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08571" w14:textId="77777777" w:rsidR="009B4F35" w:rsidRPr="009B4F35" w:rsidRDefault="009B4F35" w:rsidP="009B4F35">
      <w:pPr>
        <w:spacing w:after="20"/>
        <w:jc w:val="center"/>
        <w:rPr>
          <w:rFonts w:cstheme="minorHAnsi"/>
          <w:b/>
          <w:sz w:val="24"/>
          <w:szCs w:val="24"/>
          <w:u w:val="single"/>
        </w:rPr>
      </w:pPr>
      <w:r w:rsidRPr="009B4F35">
        <w:rPr>
          <w:rFonts w:cstheme="minorHAnsi"/>
          <w:b/>
          <w:sz w:val="24"/>
          <w:szCs w:val="24"/>
          <w:u w:val="single"/>
        </w:rPr>
        <w:t>Sparta Wiki reply</w:t>
      </w:r>
      <w:bookmarkStart w:id="0" w:name="_GoBack"/>
      <w:bookmarkEnd w:id="0"/>
    </w:p>
    <w:p w14:paraId="64CBFB51" w14:textId="77777777" w:rsidR="009B4F35" w:rsidRPr="009B4F35" w:rsidRDefault="009B4F35" w:rsidP="009B4F35">
      <w:pPr>
        <w:spacing w:after="20"/>
        <w:jc w:val="center"/>
        <w:rPr>
          <w:rFonts w:cstheme="minorHAnsi"/>
          <w:b/>
          <w:sz w:val="24"/>
          <w:szCs w:val="24"/>
          <w:u w:val="single"/>
        </w:rPr>
      </w:pPr>
      <w:r w:rsidRPr="009B4F35">
        <w:rPr>
          <w:rFonts w:cstheme="minorHAnsi"/>
          <w:b/>
          <w:sz w:val="24"/>
          <w:szCs w:val="24"/>
          <w:u w:val="single"/>
        </w:rPr>
        <w:t>Wiki Group 2 Section; ‘The Cult of the Dioscuri in Sparta’</w:t>
      </w:r>
    </w:p>
    <w:p w14:paraId="2E157180" w14:textId="77777777" w:rsidR="009B4F35" w:rsidRPr="009B4F35" w:rsidRDefault="009B4F35">
      <w:pPr>
        <w:rPr>
          <w:rFonts w:cstheme="minorHAnsi"/>
          <w:sz w:val="24"/>
          <w:szCs w:val="24"/>
        </w:rPr>
      </w:pPr>
    </w:p>
    <w:p w14:paraId="1F738E2A" w14:textId="00754645" w:rsidR="00113D22" w:rsidRPr="009B4F35" w:rsidRDefault="0017402D">
      <w:pPr>
        <w:rPr>
          <w:rFonts w:cstheme="minorHAnsi"/>
          <w:sz w:val="24"/>
          <w:szCs w:val="24"/>
        </w:rPr>
      </w:pPr>
      <w:r w:rsidRPr="009B4F35">
        <w:rPr>
          <w:rFonts w:cstheme="minorHAnsi"/>
          <w:sz w:val="24"/>
          <w:szCs w:val="24"/>
        </w:rPr>
        <w:t xml:space="preserve">The argument presented in the extract of the group 2 wiki ‘The cult of the Dioscuri in Sparta’ is that the Dioscuri were an important cult in Spartan society for its impact on the education, military life and the link to the Spartan Kings. The extract also discusses the parallels to another prevalent cult within Spartan society to </w:t>
      </w:r>
      <w:r w:rsidR="00113D22" w:rsidRPr="009B4F35">
        <w:rPr>
          <w:rFonts w:cstheme="minorHAnsi"/>
          <w:sz w:val="24"/>
          <w:szCs w:val="24"/>
        </w:rPr>
        <w:t>determine the prominence of the Dioscuri cult. The purpose of this paper is to re-examine the arguments presented as well as to contribute further discussion and evidence to further reinforce the idea the cult of the Dioscuri held great importance in Spartan society.</w:t>
      </w:r>
    </w:p>
    <w:p w14:paraId="4B7C23C8" w14:textId="3D4159DB" w:rsidR="00654011" w:rsidRPr="009B4F35" w:rsidRDefault="00654011">
      <w:pPr>
        <w:rPr>
          <w:rFonts w:cstheme="minorHAnsi"/>
          <w:sz w:val="24"/>
          <w:szCs w:val="24"/>
        </w:rPr>
      </w:pPr>
      <w:r w:rsidRPr="009B4F35">
        <w:rPr>
          <w:rFonts w:cstheme="minorHAnsi"/>
          <w:sz w:val="24"/>
          <w:szCs w:val="24"/>
        </w:rPr>
        <w:t xml:space="preserve">The Dioscuri </w:t>
      </w:r>
      <w:r w:rsidR="00F10774" w:rsidRPr="009B4F35">
        <w:rPr>
          <w:rFonts w:cstheme="minorHAnsi"/>
          <w:sz w:val="24"/>
          <w:szCs w:val="24"/>
        </w:rPr>
        <w:t xml:space="preserve">were the twin deities named Castor and </w:t>
      </w:r>
      <w:proofErr w:type="spellStart"/>
      <w:r w:rsidR="00F10774" w:rsidRPr="009B4F35">
        <w:rPr>
          <w:rFonts w:cstheme="minorHAnsi"/>
          <w:sz w:val="24"/>
          <w:szCs w:val="24"/>
        </w:rPr>
        <w:t>Polyduces</w:t>
      </w:r>
      <w:proofErr w:type="spellEnd"/>
      <w:r w:rsidR="00F10774" w:rsidRPr="009B4F35">
        <w:rPr>
          <w:rFonts w:cstheme="minorHAnsi"/>
          <w:sz w:val="24"/>
          <w:szCs w:val="24"/>
        </w:rPr>
        <w:t xml:space="preserve"> or Pollux. One was said to be the mortal son of </w:t>
      </w:r>
      <w:proofErr w:type="spellStart"/>
      <w:r w:rsidR="00F10774" w:rsidRPr="009B4F35">
        <w:rPr>
          <w:rFonts w:cstheme="minorHAnsi"/>
          <w:sz w:val="24"/>
          <w:szCs w:val="24"/>
        </w:rPr>
        <w:t>Tyndareus</w:t>
      </w:r>
      <w:proofErr w:type="spellEnd"/>
      <w:r w:rsidR="00F10774" w:rsidRPr="009B4F35">
        <w:rPr>
          <w:rFonts w:cstheme="minorHAnsi"/>
          <w:sz w:val="24"/>
          <w:szCs w:val="24"/>
        </w:rPr>
        <w:t>, a Spartan King, and the other the son of Zeus. The two were brothers of Helen of Troy and Clytemnestra who were born from eggs when their father, Zeus, seduced their mother Leda</w:t>
      </w:r>
      <w:r w:rsidR="001B029B" w:rsidRPr="009B4F35">
        <w:rPr>
          <w:rFonts w:cstheme="minorHAnsi"/>
          <w:sz w:val="24"/>
          <w:szCs w:val="24"/>
        </w:rPr>
        <w:t xml:space="preserve"> while in the form of a swan. The Dioscuri were the deities associated with horsemanship and sailors. </w:t>
      </w:r>
    </w:p>
    <w:p w14:paraId="4CE96DBC" w14:textId="40459C34" w:rsidR="00654011" w:rsidRPr="009B4F35" w:rsidRDefault="00D24327">
      <w:pPr>
        <w:rPr>
          <w:rFonts w:cstheme="minorHAnsi"/>
          <w:sz w:val="24"/>
          <w:szCs w:val="24"/>
        </w:rPr>
      </w:pPr>
      <w:r w:rsidRPr="009B4F35">
        <w:rPr>
          <w:rFonts w:cstheme="minorHAnsi"/>
          <w:sz w:val="24"/>
          <w:szCs w:val="24"/>
        </w:rPr>
        <w:t xml:space="preserve">With relevance to the extract, the first point raised is the Dioscuri’s impact on the Spartan education system. </w:t>
      </w:r>
      <w:r w:rsidR="00654011" w:rsidRPr="009B4F35">
        <w:rPr>
          <w:rFonts w:cstheme="minorHAnsi"/>
          <w:sz w:val="24"/>
          <w:szCs w:val="24"/>
        </w:rPr>
        <w:t xml:space="preserve">The Dioscuri </w:t>
      </w:r>
      <w:r w:rsidR="00F10774" w:rsidRPr="009B4F35">
        <w:rPr>
          <w:rFonts w:cstheme="minorHAnsi"/>
          <w:sz w:val="24"/>
          <w:szCs w:val="24"/>
        </w:rPr>
        <w:t>are argued by Kennel to be embodiments of the Spartan ideals</w:t>
      </w:r>
      <w:r w:rsidR="009B4F35">
        <w:rPr>
          <w:rStyle w:val="FootnoteReference"/>
          <w:rFonts w:cstheme="minorHAnsi"/>
          <w:sz w:val="24"/>
          <w:szCs w:val="24"/>
        </w:rPr>
        <w:footnoteReference w:id="1"/>
      </w:r>
      <w:r w:rsidR="00F10774" w:rsidRPr="009B4F35">
        <w:rPr>
          <w:rFonts w:cstheme="minorHAnsi"/>
          <w:sz w:val="24"/>
          <w:szCs w:val="24"/>
        </w:rPr>
        <w:t xml:space="preserve">. The extract discusses how the twin deities </w:t>
      </w:r>
      <w:proofErr w:type="spellStart"/>
      <w:r w:rsidR="00F10774" w:rsidRPr="009B4F35">
        <w:rPr>
          <w:rFonts w:cstheme="minorHAnsi"/>
          <w:sz w:val="24"/>
          <w:szCs w:val="24"/>
        </w:rPr>
        <w:t>Polyduces</w:t>
      </w:r>
      <w:proofErr w:type="spellEnd"/>
      <w:r w:rsidR="00F10774" w:rsidRPr="009B4F35">
        <w:rPr>
          <w:rFonts w:cstheme="minorHAnsi"/>
          <w:sz w:val="24"/>
          <w:szCs w:val="24"/>
        </w:rPr>
        <w:t xml:space="preserve"> and Castor were inspirations to the Spartan children growing up in the Agoge. As discusse</w:t>
      </w:r>
      <w:r w:rsidRPr="009B4F35">
        <w:rPr>
          <w:rFonts w:cstheme="minorHAnsi"/>
          <w:sz w:val="24"/>
          <w:szCs w:val="24"/>
        </w:rPr>
        <w:t>d</w:t>
      </w:r>
      <w:r w:rsidR="009C11C1" w:rsidRPr="009B4F35">
        <w:rPr>
          <w:rFonts w:cstheme="minorHAnsi"/>
          <w:sz w:val="24"/>
          <w:szCs w:val="24"/>
        </w:rPr>
        <w:t>,</w:t>
      </w:r>
      <w:r w:rsidRPr="009B4F35">
        <w:rPr>
          <w:rFonts w:cstheme="minorHAnsi"/>
          <w:sz w:val="24"/>
          <w:szCs w:val="24"/>
        </w:rPr>
        <w:t xml:space="preserve"> the Dioscuri were associated with horsemanship and the connotations of their birth are those</w:t>
      </w:r>
      <w:r w:rsidR="009C11C1" w:rsidRPr="009B4F35">
        <w:rPr>
          <w:rFonts w:cstheme="minorHAnsi"/>
          <w:sz w:val="24"/>
          <w:szCs w:val="24"/>
        </w:rPr>
        <w:t xml:space="preserve"> </w:t>
      </w:r>
      <w:r w:rsidRPr="009B4F35">
        <w:rPr>
          <w:rFonts w:cstheme="minorHAnsi"/>
          <w:sz w:val="24"/>
          <w:szCs w:val="24"/>
        </w:rPr>
        <w:t xml:space="preserve">common </w:t>
      </w:r>
      <w:r w:rsidR="009C11C1" w:rsidRPr="009B4F35">
        <w:rPr>
          <w:rFonts w:cstheme="minorHAnsi"/>
          <w:sz w:val="24"/>
          <w:szCs w:val="24"/>
        </w:rPr>
        <w:t xml:space="preserve">to the idea in the </w:t>
      </w:r>
      <w:r w:rsidRPr="009B4F35">
        <w:rPr>
          <w:rFonts w:cstheme="minorHAnsi"/>
          <w:sz w:val="24"/>
          <w:szCs w:val="24"/>
        </w:rPr>
        <w:t xml:space="preserve">classical period </w:t>
      </w:r>
      <w:r w:rsidR="009C11C1" w:rsidRPr="009B4F35">
        <w:rPr>
          <w:rFonts w:cstheme="minorHAnsi"/>
          <w:sz w:val="24"/>
          <w:szCs w:val="24"/>
        </w:rPr>
        <w:t>that rape was an acceptable part of their lives. The extract discusses the view of Kennel on this topic who appears to agree with this assessment</w:t>
      </w:r>
      <w:r w:rsidR="009B4F35">
        <w:rPr>
          <w:rStyle w:val="FootnoteReference"/>
          <w:rFonts w:cstheme="minorHAnsi"/>
          <w:sz w:val="24"/>
          <w:szCs w:val="24"/>
        </w:rPr>
        <w:footnoteReference w:id="2"/>
      </w:r>
      <w:r w:rsidR="009C11C1" w:rsidRPr="009B4F35">
        <w:rPr>
          <w:rFonts w:cstheme="minorHAnsi"/>
          <w:sz w:val="24"/>
          <w:szCs w:val="24"/>
        </w:rPr>
        <w:t>. Furthermore, the idea that the popularity of the cult being in correlation to the pursuits attributed to young men is a solid one. The pursuits of athletics, horsemanship and the previously discussed acceptance of rape discussed in Parkers work are linked in the extract with Castor and Pollux based upon their prowess in theses pursuits</w:t>
      </w:r>
      <w:r w:rsidR="00264B44" w:rsidRPr="009B4F35">
        <w:rPr>
          <w:rFonts w:cstheme="minorHAnsi"/>
          <w:sz w:val="24"/>
          <w:szCs w:val="24"/>
        </w:rPr>
        <w:t>, the extract proposes the Dioscuri statues over the entrance to the Dromos, from the works of Kennel</w:t>
      </w:r>
      <w:r w:rsidR="00B42F24">
        <w:rPr>
          <w:rStyle w:val="FootnoteReference"/>
          <w:rFonts w:cstheme="minorHAnsi"/>
          <w:sz w:val="24"/>
          <w:szCs w:val="24"/>
        </w:rPr>
        <w:footnoteReference w:id="3"/>
      </w:r>
      <w:r w:rsidR="00264B44" w:rsidRPr="009B4F35">
        <w:rPr>
          <w:rFonts w:cstheme="minorHAnsi"/>
          <w:sz w:val="24"/>
          <w:szCs w:val="24"/>
        </w:rPr>
        <w:t>, as evidence for this idea</w:t>
      </w:r>
      <w:r w:rsidR="009C11C1" w:rsidRPr="009B4F35">
        <w:rPr>
          <w:rFonts w:cstheme="minorHAnsi"/>
          <w:sz w:val="24"/>
          <w:szCs w:val="24"/>
        </w:rPr>
        <w:t xml:space="preserve">. The extract states its agreement with the work of these scholars and this paper is inclined to agree, the example the Dioscuri set for the Spartan youth is one that links to masculine values and attributed idolised by Spartan society. The extract noted the works of Apollodorus </w:t>
      </w:r>
      <w:r w:rsidR="00264B44" w:rsidRPr="009B4F35">
        <w:rPr>
          <w:rFonts w:cstheme="minorHAnsi"/>
          <w:sz w:val="24"/>
          <w:szCs w:val="24"/>
        </w:rPr>
        <w:t>quoting “Castor practiced the art of war”</w:t>
      </w:r>
      <w:r w:rsidR="00B42F24">
        <w:rPr>
          <w:rStyle w:val="FootnoteReference"/>
          <w:rFonts w:cstheme="minorHAnsi"/>
          <w:sz w:val="24"/>
          <w:szCs w:val="24"/>
        </w:rPr>
        <w:footnoteReference w:id="4"/>
      </w:r>
      <w:r w:rsidR="00264B44" w:rsidRPr="009B4F35">
        <w:rPr>
          <w:rFonts w:cstheme="minorHAnsi"/>
          <w:sz w:val="24"/>
          <w:szCs w:val="24"/>
        </w:rPr>
        <w:t xml:space="preserve">. Castor was the son of the Spartan King and with the link from the Kings bloodline to the gods in a militaristic society this paper agrees with the assessment of the extract that this would form a basis for their devotion to the cult. Spartan men spend the first half of their lives from the age of about seven in training of the Agoge, </w:t>
      </w:r>
      <w:r w:rsidR="00B42F24" w:rsidRPr="009B4F35">
        <w:rPr>
          <w:rFonts w:cstheme="minorHAnsi"/>
          <w:sz w:val="24"/>
          <w:szCs w:val="24"/>
        </w:rPr>
        <w:t>to</w:t>
      </w:r>
      <w:r w:rsidR="00264B44" w:rsidRPr="009B4F35">
        <w:rPr>
          <w:rFonts w:cstheme="minorHAnsi"/>
          <w:sz w:val="24"/>
          <w:szCs w:val="24"/>
        </w:rPr>
        <w:t xml:space="preserve"> promote discipline and comradery, holding a cult in high esteem that idolises brother deities with blood relation to the Kings of Sparta, the cult would be held in high esteem and be of importance to the men in the Spartan educational system. </w:t>
      </w:r>
    </w:p>
    <w:p w14:paraId="3F7A104F" w14:textId="2C6E6122" w:rsidR="00264B44" w:rsidRPr="009B4F35" w:rsidRDefault="00264B44">
      <w:pPr>
        <w:rPr>
          <w:rFonts w:cstheme="minorHAnsi"/>
          <w:sz w:val="24"/>
          <w:szCs w:val="24"/>
        </w:rPr>
      </w:pPr>
      <w:r w:rsidRPr="009B4F35">
        <w:rPr>
          <w:rFonts w:cstheme="minorHAnsi"/>
          <w:sz w:val="24"/>
          <w:szCs w:val="24"/>
        </w:rPr>
        <w:lastRenderedPageBreak/>
        <w:t xml:space="preserve">Once the Spartan men leave the Agoge they were in service to the state military, the importance of the Cult of the Dioscuri transcend into their military lives also. The extract uses the phrase “ideal </w:t>
      </w:r>
      <w:r w:rsidR="00EE7691" w:rsidRPr="009B4F35">
        <w:rPr>
          <w:rFonts w:cstheme="minorHAnsi"/>
          <w:sz w:val="24"/>
          <w:szCs w:val="24"/>
        </w:rPr>
        <w:t>A</w:t>
      </w:r>
      <w:r w:rsidRPr="009B4F35">
        <w:rPr>
          <w:rFonts w:cstheme="minorHAnsi"/>
          <w:sz w:val="24"/>
          <w:szCs w:val="24"/>
        </w:rPr>
        <w:t xml:space="preserve">goge graduate” which this paper agrees is a fair assessment in relation to the representation of the Dioscuri. </w:t>
      </w:r>
      <w:r w:rsidR="00EE7691" w:rsidRPr="009B4F35">
        <w:rPr>
          <w:rFonts w:cstheme="minorHAnsi"/>
          <w:sz w:val="24"/>
          <w:szCs w:val="24"/>
        </w:rPr>
        <w:t>The importance of Castor is seen in the works of Plutarch where he mentions the flute players honouring him on their way into battle by playing a hymn dedicated to Castor</w:t>
      </w:r>
      <w:r w:rsidR="00B42F24">
        <w:rPr>
          <w:rStyle w:val="FootnoteReference"/>
          <w:rFonts w:cstheme="minorHAnsi"/>
          <w:sz w:val="24"/>
          <w:szCs w:val="24"/>
        </w:rPr>
        <w:footnoteReference w:id="5"/>
      </w:r>
      <w:r w:rsidR="00EE7691" w:rsidRPr="009B4F35">
        <w:rPr>
          <w:rFonts w:cstheme="minorHAnsi"/>
          <w:sz w:val="24"/>
          <w:szCs w:val="24"/>
        </w:rPr>
        <w:t xml:space="preserve">. The practical purpose of this is well established in both the extract and further works, music is a common tool to maintain pacing and step of a military unit while moving from one place to another, this is used even today in the militaries of the modern world. The secondary purpose of this is one of a more mental influence. The importance of cult in their training days of the Agoge is reminded when the hymn is played going into battle. The soldiers will remember the ideals and example set by the Dioscuri and would, in theory, fight harder as a result </w:t>
      </w:r>
      <w:r w:rsidR="00B42F24" w:rsidRPr="009B4F35">
        <w:rPr>
          <w:rFonts w:cstheme="minorHAnsi"/>
          <w:sz w:val="24"/>
          <w:szCs w:val="24"/>
        </w:rPr>
        <w:t>to</w:t>
      </w:r>
      <w:r w:rsidR="00EE7691" w:rsidRPr="009B4F35">
        <w:rPr>
          <w:rFonts w:cstheme="minorHAnsi"/>
          <w:sz w:val="24"/>
          <w:szCs w:val="24"/>
        </w:rPr>
        <w:t xml:space="preserve"> live up to those expectations. </w:t>
      </w:r>
    </w:p>
    <w:p w14:paraId="7D13F5A1" w14:textId="00B09280" w:rsidR="00E72A44" w:rsidRPr="009B4F35" w:rsidRDefault="00EE7691" w:rsidP="00E72A44">
      <w:pPr>
        <w:rPr>
          <w:rFonts w:cstheme="minorHAnsi"/>
          <w:sz w:val="24"/>
          <w:szCs w:val="24"/>
        </w:rPr>
      </w:pPr>
      <w:r w:rsidRPr="009B4F35">
        <w:rPr>
          <w:rFonts w:cstheme="minorHAnsi"/>
          <w:sz w:val="24"/>
          <w:szCs w:val="24"/>
        </w:rPr>
        <w:t xml:space="preserve">The works of Herodotus record the idea that the Dioscuri would accompany the Spartan Kings into battle, alternating their role when the Spartan Kings began to take turns </w:t>
      </w:r>
      <w:r w:rsidR="00E72A44" w:rsidRPr="009B4F35">
        <w:rPr>
          <w:rFonts w:cstheme="minorHAnsi"/>
          <w:sz w:val="24"/>
          <w:szCs w:val="24"/>
        </w:rPr>
        <w:t>in going to battle, with one of the Dioscuri remaining at the city with the King staying behind</w:t>
      </w:r>
      <w:r w:rsidR="00E72A44" w:rsidRPr="009B4F35">
        <w:rPr>
          <w:rStyle w:val="FootnoteReference"/>
          <w:rFonts w:cstheme="minorHAnsi"/>
          <w:sz w:val="24"/>
          <w:szCs w:val="24"/>
        </w:rPr>
        <w:footnoteReference w:id="6"/>
      </w:r>
      <w:r w:rsidR="00E72A44" w:rsidRPr="009B4F35">
        <w:rPr>
          <w:rFonts w:cstheme="minorHAnsi"/>
          <w:sz w:val="24"/>
          <w:szCs w:val="24"/>
        </w:rPr>
        <w:t>. The idea of brotherly affection discussed in the extract symbolises the comradery bred into the soldiers of Sparta since their days in the Agoge. The account of Apollodorus discusses the death of the brothers, where Pollux refuses immortality unless his brother is granted it also</w:t>
      </w:r>
      <w:r w:rsidR="00B42F24">
        <w:rPr>
          <w:rStyle w:val="FootnoteReference"/>
          <w:rFonts w:cstheme="minorHAnsi"/>
          <w:sz w:val="24"/>
          <w:szCs w:val="24"/>
        </w:rPr>
        <w:footnoteReference w:id="7"/>
      </w:r>
      <w:r w:rsidR="00E72A44" w:rsidRPr="009B4F35">
        <w:rPr>
          <w:rFonts w:cstheme="minorHAnsi"/>
          <w:sz w:val="24"/>
          <w:szCs w:val="24"/>
        </w:rPr>
        <w:t>.</w:t>
      </w:r>
    </w:p>
    <w:p w14:paraId="2DAEC81C" w14:textId="05166DF8" w:rsidR="00264B44" w:rsidRPr="008D33EE" w:rsidRDefault="00E72A44" w:rsidP="00E72A44">
      <w:pPr>
        <w:rPr>
          <w:rFonts w:cstheme="minorHAnsi"/>
          <w:sz w:val="24"/>
          <w:szCs w:val="24"/>
        </w:rPr>
      </w:pPr>
      <w:r w:rsidRPr="009B4F35">
        <w:rPr>
          <w:rFonts w:eastAsia="Times New Roman" w:cstheme="minorHAnsi"/>
          <w:sz w:val="24"/>
          <w:szCs w:val="24"/>
          <w:lang w:eastAsia="en-GB"/>
        </w:rPr>
        <w:t>The final area of discussion is the relationship the Dioscuri have with the Spartan kings. This paper had identified the blood lineage proposed by the myth of their origin, as well as touching on the ideas the Dioscuri accompanied the Kings of Sparta into battle. There is little evidence to support the claim the relationship was close, however the academics Burkert and Kennel believe it to be the case</w:t>
      </w:r>
      <w:r w:rsidR="00B42F24">
        <w:rPr>
          <w:rStyle w:val="FootnoteReference"/>
          <w:rFonts w:eastAsia="Times New Roman" w:cstheme="minorHAnsi"/>
          <w:sz w:val="24"/>
          <w:szCs w:val="24"/>
          <w:lang w:eastAsia="en-GB"/>
        </w:rPr>
        <w:footnoteReference w:id="8"/>
      </w:r>
      <w:r w:rsidRPr="009B4F35">
        <w:rPr>
          <w:rFonts w:eastAsia="Times New Roman" w:cstheme="minorHAnsi"/>
          <w:sz w:val="24"/>
          <w:szCs w:val="24"/>
          <w:lang w:eastAsia="en-GB"/>
        </w:rPr>
        <w:t>. However, due to this relationship in both militaristic matters and the blood lineage presented in the myth of their origin this paper is inclined to agree with the idea their relationship was close</w:t>
      </w:r>
      <w:r w:rsidR="009B4F35" w:rsidRPr="009B4F35">
        <w:rPr>
          <w:rFonts w:eastAsia="Times New Roman" w:cstheme="minorHAnsi"/>
          <w:sz w:val="24"/>
          <w:szCs w:val="24"/>
          <w:lang w:eastAsia="en-GB"/>
        </w:rPr>
        <w:t xml:space="preserve"> when assessed in conjunction with the wider works of the classical authors</w:t>
      </w:r>
      <w:r w:rsidRPr="009B4F35">
        <w:rPr>
          <w:rFonts w:eastAsia="Times New Roman" w:cstheme="minorHAnsi"/>
          <w:sz w:val="24"/>
          <w:szCs w:val="24"/>
          <w:lang w:eastAsia="en-GB"/>
        </w:rPr>
        <w:t xml:space="preserve">. </w:t>
      </w:r>
      <w:r w:rsidR="00264B44" w:rsidRPr="008D33EE">
        <w:rPr>
          <w:rFonts w:eastAsia="Times New Roman" w:cstheme="minorHAnsi"/>
          <w:sz w:val="24"/>
          <w:szCs w:val="24"/>
          <w:lang w:eastAsia="en-GB"/>
        </w:rPr>
        <w:t> </w:t>
      </w:r>
    </w:p>
    <w:p w14:paraId="4A810F83" w14:textId="587B9203" w:rsidR="00264B44" w:rsidRPr="008D33EE" w:rsidRDefault="00264B44" w:rsidP="009B4F35">
      <w:pPr>
        <w:spacing w:after="210" w:line="240" w:lineRule="auto"/>
        <w:rPr>
          <w:rFonts w:eastAsia="Times New Roman" w:cstheme="minorHAnsi"/>
          <w:sz w:val="24"/>
          <w:szCs w:val="24"/>
          <w:lang w:eastAsia="en-GB"/>
        </w:rPr>
      </w:pPr>
      <w:r w:rsidRPr="008D33EE">
        <w:rPr>
          <w:rFonts w:eastAsia="Times New Roman" w:cstheme="minorHAnsi"/>
          <w:sz w:val="24"/>
          <w:szCs w:val="24"/>
          <w:lang w:eastAsia="en-GB"/>
        </w:rPr>
        <w:t>In conclusion th</w:t>
      </w:r>
      <w:r w:rsidR="009B4F35" w:rsidRPr="009B4F35">
        <w:rPr>
          <w:rFonts w:eastAsia="Times New Roman" w:cstheme="minorHAnsi"/>
          <w:sz w:val="24"/>
          <w:szCs w:val="24"/>
          <w:lang w:eastAsia="en-GB"/>
        </w:rPr>
        <w:t>e extract discussed ho</w:t>
      </w:r>
      <w:r w:rsidRPr="008D33EE">
        <w:rPr>
          <w:rFonts w:eastAsia="Times New Roman" w:cstheme="minorHAnsi"/>
          <w:sz w:val="24"/>
          <w:szCs w:val="24"/>
          <w:lang w:eastAsia="en-GB"/>
        </w:rPr>
        <w:t xml:space="preserve">w the myth and cult of the Dioscuri had an impact on </w:t>
      </w:r>
      <w:r w:rsidR="009B4F35" w:rsidRPr="009B4F35">
        <w:rPr>
          <w:rFonts w:eastAsia="Times New Roman" w:cstheme="minorHAnsi"/>
          <w:sz w:val="24"/>
          <w:szCs w:val="24"/>
          <w:lang w:eastAsia="en-GB"/>
        </w:rPr>
        <w:t xml:space="preserve">various areas of </w:t>
      </w:r>
      <w:r w:rsidRPr="008D33EE">
        <w:rPr>
          <w:rFonts w:eastAsia="Times New Roman" w:cstheme="minorHAnsi"/>
          <w:sz w:val="24"/>
          <w:szCs w:val="24"/>
          <w:lang w:eastAsia="en-GB"/>
        </w:rPr>
        <w:t>Spartan society</w:t>
      </w:r>
      <w:r w:rsidR="009B4F35" w:rsidRPr="009B4F35">
        <w:rPr>
          <w:rFonts w:eastAsia="Times New Roman" w:cstheme="minorHAnsi"/>
          <w:sz w:val="24"/>
          <w:szCs w:val="24"/>
          <w:lang w:eastAsia="en-GB"/>
        </w:rPr>
        <w:t xml:space="preserve"> </w:t>
      </w:r>
      <w:r w:rsidR="00B42F24" w:rsidRPr="009B4F35">
        <w:rPr>
          <w:rFonts w:eastAsia="Times New Roman" w:cstheme="minorHAnsi"/>
          <w:sz w:val="24"/>
          <w:szCs w:val="24"/>
          <w:lang w:eastAsia="en-GB"/>
        </w:rPr>
        <w:t>to</w:t>
      </w:r>
      <w:r w:rsidR="009B4F35" w:rsidRPr="009B4F35">
        <w:rPr>
          <w:rFonts w:eastAsia="Times New Roman" w:cstheme="minorHAnsi"/>
          <w:sz w:val="24"/>
          <w:szCs w:val="24"/>
          <w:lang w:eastAsia="en-GB"/>
        </w:rPr>
        <w:t xml:space="preserve"> determine the importance of the cult, this paper has re-examined the arguments presented and had concluded that the importance of the cult of Dioscuri is well founded based on the impact it had on various areas of Spartan society.</w:t>
      </w:r>
    </w:p>
    <w:p w14:paraId="3A8735AE" w14:textId="25AFCCE3" w:rsidR="00F10774" w:rsidRPr="009B4F35" w:rsidRDefault="00F10774">
      <w:pPr>
        <w:rPr>
          <w:rFonts w:cstheme="minorHAnsi"/>
          <w:sz w:val="24"/>
          <w:szCs w:val="24"/>
        </w:rPr>
      </w:pPr>
    </w:p>
    <w:p w14:paraId="6453F701" w14:textId="0437D9B4" w:rsidR="009B4F35" w:rsidRPr="009B4F35" w:rsidRDefault="009B4F35">
      <w:pPr>
        <w:rPr>
          <w:rFonts w:cstheme="minorHAnsi"/>
          <w:sz w:val="24"/>
          <w:szCs w:val="24"/>
        </w:rPr>
      </w:pPr>
    </w:p>
    <w:p w14:paraId="6DA776ED" w14:textId="4C8A4634" w:rsidR="009B4F35" w:rsidRPr="009B4F35" w:rsidRDefault="009B4F35">
      <w:pPr>
        <w:rPr>
          <w:rFonts w:cstheme="minorHAnsi"/>
          <w:sz w:val="24"/>
          <w:szCs w:val="24"/>
        </w:rPr>
      </w:pPr>
    </w:p>
    <w:p w14:paraId="6FB40624" w14:textId="685C7754" w:rsidR="009B4F35" w:rsidRPr="009B4F35" w:rsidRDefault="009B4F35">
      <w:pPr>
        <w:rPr>
          <w:rFonts w:cstheme="minorHAnsi"/>
          <w:sz w:val="24"/>
          <w:szCs w:val="24"/>
        </w:rPr>
      </w:pPr>
    </w:p>
    <w:p w14:paraId="3E5AD338" w14:textId="3D65CEEE" w:rsidR="009B4F35" w:rsidRPr="009B4F35" w:rsidRDefault="009B4F35">
      <w:pPr>
        <w:rPr>
          <w:rFonts w:cstheme="minorHAnsi"/>
          <w:sz w:val="24"/>
          <w:szCs w:val="24"/>
        </w:rPr>
      </w:pPr>
    </w:p>
    <w:p w14:paraId="05C05429" w14:textId="3E695840" w:rsidR="009B4F35" w:rsidRPr="009B4F35" w:rsidRDefault="009B4F35">
      <w:pPr>
        <w:rPr>
          <w:rFonts w:cstheme="minorHAnsi"/>
          <w:sz w:val="24"/>
          <w:szCs w:val="24"/>
        </w:rPr>
      </w:pPr>
    </w:p>
    <w:p w14:paraId="6A6B614B" w14:textId="3480767A" w:rsidR="009B4F35" w:rsidRPr="009B4F35" w:rsidRDefault="009B4F35">
      <w:pPr>
        <w:rPr>
          <w:rFonts w:cstheme="minorHAnsi"/>
          <w:sz w:val="24"/>
          <w:szCs w:val="24"/>
        </w:rPr>
      </w:pPr>
    </w:p>
    <w:p w14:paraId="3F4E064E" w14:textId="2F54ABF7" w:rsidR="009B4F35" w:rsidRPr="009B4F35" w:rsidRDefault="009B4F35">
      <w:pPr>
        <w:rPr>
          <w:rFonts w:cstheme="minorHAnsi"/>
          <w:sz w:val="24"/>
          <w:szCs w:val="24"/>
        </w:rPr>
      </w:pPr>
    </w:p>
    <w:p w14:paraId="36A371BE" w14:textId="374F5C31" w:rsidR="009B4F35" w:rsidRPr="009B4F35" w:rsidRDefault="009B4F35">
      <w:pPr>
        <w:rPr>
          <w:rFonts w:cstheme="minorHAnsi"/>
          <w:sz w:val="24"/>
          <w:szCs w:val="24"/>
        </w:rPr>
      </w:pPr>
    </w:p>
    <w:p w14:paraId="150A440C" w14:textId="77777777" w:rsidR="009B4F35" w:rsidRPr="009B4F35" w:rsidRDefault="009B4F35" w:rsidP="009B4F35">
      <w:pPr>
        <w:spacing w:after="20"/>
        <w:rPr>
          <w:rFonts w:cstheme="minorHAnsi"/>
          <w:b/>
          <w:sz w:val="24"/>
          <w:szCs w:val="24"/>
          <w:u w:val="single"/>
        </w:rPr>
      </w:pPr>
      <w:r w:rsidRPr="009B4F35">
        <w:rPr>
          <w:rFonts w:cstheme="minorHAnsi"/>
          <w:b/>
          <w:sz w:val="24"/>
          <w:szCs w:val="24"/>
          <w:u w:val="single"/>
        </w:rPr>
        <w:t>Bibliography:</w:t>
      </w:r>
    </w:p>
    <w:p w14:paraId="45E13230" w14:textId="77777777" w:rsidR="009B4F35" w:rsidRPr="009B4F35" w:rsidRDefault="009B4F35" w:rsidP="009B4F35">
      <w:pPr>
        <w:spacing w:after="20"/>
        <w:rPr>
          <w:rFonts w:cstheme="minorHAnsi"/>
          <w:sz w:val="24"/>
          <w:szCs w:val="24"/>
        </w:rPr>
      </w:pPr>
    </w:p>
    <w:p w14:paraId="6B4F2D42" w14:textId="77777777" w:rsidR="009B4F35" w:rsidRPr="009B4F35" w:rsidRDefault="009B4F35" w:rsidP="009B4F35">
      <w:pPr>
        <w:spacing w:after="20"/>
        <w:rPr>
          <w:rFonts w:cstheme="minorHAnsi"/>
          <w:b/>
          <w:sz w:val="24"/>
          <w:szCs w:val="24"/>
        </w:rPr>
      </w:pPr>
      <w:r w:rsidRPr="009B4F35">
        <w:rPr>
          <w:rFonts w:cstheme="minorHAnsi"/>
          <w:b/>
          <w:sz w:val="24"/>
          <w:szCs w:val="24"/>
        </w:rPr>
        <w:t>Ancient Sources:</w:t>
      </w:r>
    </w:p>
    <w:p w14:paraId="5788244D"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Apollodorus “Library” Frazer (trans) 1921 London: Harvard university press.</w:t>
      </w:r>
    </w:p>
    <w:p w14:paraId="1CE58A65"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Pausanias,</w:t>
      </w:r>
      <w:r w:rsidRPr="009B4F35">
        <w:rPr>
          <w:rStyle w:val="Emphasis"/>
          <w:rFonts w:cstheme="minorHAnsi"/>
          <w:sz w:val="24"/>
          <w:szCs w:val="24"/>
          <w:lang w:val="en"/>
        </w:rPr>
        <w:t xml:space="preserve"> ‘Description of Greece’, 3. 1. 5</w:t>
      </w:r>
      <w:r w:rsidRPr="009B4F35">
        <w:rPr>
          <w:rFonts w:cstheme="minorHAnsi"/>
          <w:sz w:val="24"/>
          <w:szCs w:val="24"/>
          <w:lang w:val="en"/>
        </w:rPr>
        <w:t>, Jones. W.H.S. (Trans) 1918 London. Harvard University Press</w:t>
      </w:r>
    </w:p>
    <w:p w14:paraId="2CFB182A"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Pausanias,</w:t>
      </w:r>
      <w:r w:rsidRPr="009B4F35">
        <w:rPr>
          <w:rStyle w:val="Emphasis"/>
          <w:rFonts w:cstheme="minorHAnsi"/>
          <w:sz w:val="24"/>
          <w:szCs w:val="24"/>
          <w:lang w:val="en"/>
        </w:rPr>
        <w:t xml:space="preserve"> ‘Description of Greece’, 3. 14. 6</w:t>
      </w:r>
      <w:r w:rsidRPr="009B4F35">
        <w:rPr>
          <w:rFonts w:cstheme="minorHAnsi"/>
          <w:sz w:val="24"/>
          <w:szCs w:val="24"/>
          <w:lang w:val="en"/>
        </w:rPr>
        <w:t>, Jones. W.H.S. (Trans) 1918 London. Harvard University Press</w:t>
      </w:r>
    </w:p>
    <w:p w14:paraId="37DAC412"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 xml:space="preserve">Plutarch “Life of </w:t>
      </w:r>
      <w:proofErr w:type="gramStart"/>
      <w:r w:rsidRPr="009B4F35">
        <w:rPr>
          <w:rFonts w:cstheme="minorHAnsi"/>
          <w:sz w:val="24"/>
          <w:szCs w:val="24"/>
          <w:lang w:val="en"/>
        </w:rPr>
        <w:t>Lycurgus”  Perrin</w:t>
      </w:r>
      <w:proofErr w:type="gramEnd"/>
      <w:r w:rsidRPr="009B4F35">
        <w:rPr>
          <w:rFonts w:cstheme="minorHAnsi"/>
          <w:sz w:val="24"/>
          <w:szCs w:val="24"/>
          <w:lang w:val="en"/>
        </w:rPr>
        <w:t xml:space="preserve"> (trans)</w:t>
      </w:r>
    </w:p>
    <w:p w14:paraId="5EA0C4F2" w14:textId="77777777" w:rsidR="009B4F35" w:rsidRPr="009B4F35" w:rsidRDefault="009B4F35" w:rsidP="009B4F35">
      <w:pPr>
        <w:spacing w:after="20"/>
        <w:rPr>
          <w:rFonts w:cstheme="minorHAnsi"/>
          <w:sz w:val="24"/>
          <w:szCs w:val="24"/>
          <w:lang w:val="en"/>
        </w:rPr>
      </w:pPr>
    </w:p>
    <w:p w14:paraId="58B07305" w14:textId="77777777" w:rsidR="009B4F35" w:rsidRPr="009B4F35" w:rsidRDefault="009B4F35" w:rsidP="009B4F35">
      <w:pPr>
        <w:spacing w:after="20"/>
        <w:rPr>
          <w:rFonts w:cstheme="minorHAnsi"/>
          <w:b/>
          <w:sz w:val="24"/>
          <w:szCs w:val="24"/>
          <w:lang w:val="en"/>
        </w:rPr>
      </w:pPr>
      <w:r w:rsidRPr="009B4F35">
        <w:rPr>
          <w:rFonts w:cstheme="minorHAnsi"/>
          <w:b/>
          <w:sz w:val="24"/>
          <w:szCs w:val="24"/>
          <w:lang w:val="en"/>
        </w:rPr>
        <w:t>Modern Scholarship:</w:t>
      </w:r>
    </w:p>
    <w:p w14:paraId="0439715E"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Burkert, W. ‘</w:t>
      </w:r>
      <w:r w:rsidRPr="009B4F35">
        <w:rPr>
          <w:rStyle w:val="Emphasis"/>
          <w:rFonts w:cstheme="minorHAnsi"/>
          <w:sz w:val="24"/>
          <w:szCs w:val="24"/>
          <w:lang w:val="en"/>
        </w:rPr>
        <w:t>Greek religion</w:t>
      </w:r>
      <w:r w:rsidRPr="009B4F35">
        <w:rPr>
          <w:rFonts w:cstheme="minorHAnsi"/>
          <w:sz w:val="24"/>
          <w:szCs w:val="24"/>
          <w:lang w:val="en"/>
        </w:rPr>
        <w:t>.’ (Cambridge, Mass.: Harvard University Press, 1985)</w:t>
      </w:r>
    </w:p>
    <w:p w14:paraId="2ABEE1DD" w14:textId="77777777" w:rsidR="009B4F35" w:rsidRPr="009B4F35" w:rsidRDefault="009B4F35" w:rsidP="009B4F35">
      <w:pPr>
        <w:spacing w:after="20"/>
        <w:rPr>
          <w:rFonts w:cstheme="minorHAnsi"/>
          <w:sz w:val="24"/>
          <w:szCs w:val="24"/>
          <w:lang w:val="en"/>
        </w:rPr>
      </w:pPr>
      <w:r w:rsidRPr="009B4F35">
        <w:rPr>
          <w:rStyle w:val="selectable"/>
          <w:rFonts w:cstheme="minorHAnsi"/>
          <w:sz w:val="24"/>
          <w:szCs w:val="24"/>
          <w:lang w:val="en"/>
        </w:rPr>
        <w:t xml:space="preserve">Burkert, W. and </w:t>
      </w:r>
      <w:proofErr w:type="spellStart"/>
      <w:r w:rsidRPr="009B4F35">
        <w:rPr>
          <w:rStyle w:val="selectable"/>
          <w:rFonts w:cstheme="minorHAnsi"/>
          <w:sz w:val="24"/>
          <w:szCs w:val="24"/>
          <w:lang w:val="en"/>
        </w:rPr>
        <w:t>Raffan</w:t>
      </w:r>
      <w:proofErr w:type="spellEnd"/>
      <w:r w:rsidRPr="009B4F35">
        <w:rPr>
          <w:rStyle w:val="selectable"/>
          <w:rFonts w:cstheme="minorHAnsi"/>
          <w:sz w:val="24"/>
          <w:szCs w:val="24"/>
          <w:lang w:val="en"/>
        </w:rPr>
        <w:t xml:space="preserve">, J. (2001). </w:t>
      </w:r>
      <w:r w:rsidRPr="009B4F35">
        <w:rPr>
          <w:rStyle w:val="selectable"/>
          <w:rFonts w:cstheme="minorHAnsi"/>
          <w:i/>
          <w:iCs/>
          <w:sz w:val="24"/>
          <w:szCs w:val="24"/>
          <w:lang w:val="en"/>
        </w:rPr>
        <w:t>Greek religion</w:t>
      </w:r>
      <w:r w:rsidRPr="009B4F35">
        <w:rPr>
          <w:rStyle w:val="selectable"/>
          <w:rFonts w:cstheme="minorHAnsi"/>
          <w:sz w:val="24"/>
          <w:szCs w:val="24"/>
          <w:lang w:val="en"/>
        </w:rPr>
        <w:t>. Cambridge, Mass.: Harvard University Press.</w:t>
      </w:r>
    </w:p>
    <w:p w14:paraId="77EBB665"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 xml:space="preserve">Kennel. N.M 1995 “The gymnasium of Virtue, Education and Culture in Ancient Sparta” </w:t>
      </w:r>
      <w:proofErr w:type="spellStart"/>
      <w:r w:rsidRPr="009B4F35">
        <w:rPr>
          <w:rFonts w:cstheme="minorHAnsi"/>
          <w:sz w:val="24"/>
          <w:szCs w:val="24"/>
          <w:lang w:val="en"/>
        </w:rPr>
        <w:t>Univerity</w:t>
      </w:r>
      <w:proofErr w:type="spellEnd"/>
      <w:r w:rsidRPr="009B4F35">
        <w:rPr>
          <w:rFonts w:cstheme="minorHAnsi"/>
          <w:sz w:val="24"/>
          <w:szCs w:val="24"/>
          <w:lang w:val="en"/>
        </w:rPr>
        <w:t xml:space="preserve"> of North Carolina press.</w:t>
      </w:r>
    </w:p>
    <w:p w14:paraId="28C13C1A" w14:textId="77777777" w:rsidR="009B4F35" w:rsidRPr="009B4F35" w:rsidRDefault="009B4F35" w:rsidP="009B4F35">
      <w:pPr>
        <w:spacing w:after="20"/>
        <w:rPr>
          <w:rFonts w:cstheme="minorHAnsi"/>
          <w:sz w:val="24"/>
          <w:szCs w:val="24"/>
          <w:lang w:val="en"/>
        </w:rPr>
      </w:pPr>
      <w:r w:rsidRPr="009B4F35">
        <w:rPr>
          <w:rFonts w:cstheme="minorHAnsi"/>
          <w:sz w:val="24"/>
          <w:szCs w:val="24"/>
          <w:lang w:val="en"/>
        </w:rPr>
        <w:t xml:space="preserve">Parker. </w:t>
      </w:r>
      <w:proofErr w:type="gramStart"/>
      <w:r w:rsidRPr="009B4F35">
        <w:rPr>
          <w:rFonts w:cstheme="minorHAnsi"/>
          <w:sz w:val="24"/>
          <w:szCs w:val="24"/>
          <w:lang w:val="en"/>
        </w:rPr>
        <w:t>R  1989</w:t>
      </w:r>
      <w:proofErr w:type="gramEnd"/>
      <w:r w:rsidRPr="009B4F35">
        <w:rPr>
          <w:rFonts w:cstheme="minorHAnsi"/>
          <w:sz w:val="24"/>
          <w:szCs w:val="24"/>
          <w:lang w:val="en"/>
        </w:rPr>
        <w:t xml:space="preserve"> “Spartan Religion” in A. Powell (ed.) Classical Sparta: Techniques Behind her Success. London, Routledge 142-173</w:t>
      </w:r>
    </w:p>
    <w:p w14:paraId="182B6B38" w14:textId="77777777" w:rsidR="009B4F35" w:rsidRPr="009B4F35" w:rsidRDefault="009B4F35" w:rsidP="009B4F35">
      <w:pPr>
        <w:spacing w:after="20"/>
        <w:rPr>
          <w:rStyle w:val="selectable"/>
          <w:rFonts w:cstheme="minorHAnsi"/>
          <w:sz w:val="24"/>
          <w:szCs w:val="24"/>
          <w:lang w:val="en"/>
        </w:rPr>
      </w:pPr>
      <w:proofErr w:type="spellStart"/>
      <w:r w:rsidRPr="009B4F35">
        <w:rPr>
          <w:rStyle w:val="selectable"/>
          <w:rFonts w:cstheme="minorHAnsi"/>
          <w:sz w:val="24"/>
          <w:szCs w:val="24"/>
          <w:lang w:val="en"/>
        </w:rPr>
        <w:t>Sahlins</w:t>
      </w:r>
      <w:proofErr w:type="spellEnd"/>
      <w:r w:rsidRPr="009B4F35">
        <w:rPr>
          <w:rStyle w:val="selectable"/>
          <w:rFonts w:cstheme="minorHAnsi"/>
          <w:sz w:val="24"/>
          <w:szCs w:val="24"/>
          <w:lang w:val="en"/>
        </w:rPr>
        <w:t xml:space="preserve">, M. (2011). Twin-born with greatness: the dual kingship of Sparta. </w:t>
      </w:r>
      <w:proofErr w:type="spellStart"/>
      <w:r w:rsidRPr="009B4F35">
        <w:rPr>
          <w:rStyle w:val="selectable"/>
          <w:rFonts w:cstheme="minorHAnsi"/>
          <w:i/>
          <w:iCs/>
          <w:sz w:val="24"/>
          <w:szCs w:val="24"/>
          <w:lang w:val="en"/>
        </w:rPr>
        <w:t>Hau</w:t>
      </w:r>
      <w:proofErr w:type="spellEnd"/>
      <w:r w:rsidRPr="009B4F35">
        <w:rPr>
          <w:rStyle w:val="selectable"/>
          <w:rFonts w:cstheme="minorHAnsi"/>
          <w:i/>
          <w:iCs/>
          <w:sz w:val="24"/>
          <w:szCs w:val="24"/>
          <w:lang w:val="en"/>
        </w:rPr>
        <w:t>: Journal of Ethnographic Theory</w:t>
      </w:r>
      <w:r w:rsidRPr="009B4F35">
        <w:rPr>
          <w:rStyle w:val="selectable"/>
          <w:rFonts w:cstheme="minorHAnsi"/>
          <w:sz w:val="24"/>
          <w:szCs w:val="24"/>
          <w:lang w:val="en"/>
        </w:rPr>
        <w:t>, 1(1).</w:t>
      </w:r>
    </w:p>
    <w:p w14:paraId="2B2A68FC" w14:textId="77777777" w:rsidR="009B4F35" w:rsidRPr="009B4F35" w:rsidRDefault="009B4F35">
      <w:pPr>
        <w:rPr>
          <w:rFonts w:cstheme="minorHAnsi"/>
          <w:sz w:val="24"/>
          <w:szCs w:val="24"/>
        </w:rPr>
      </w:pPr>
    </w:p>
    <w:sectPr w:rsidR="009B4F35" w:rsidRPr="009B4F3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25F42A" w14:textId="77777777" w:rsidR="00C40803" w:rsidRDefault="00C40803" w:rsidP="00E72A44">
      <w:pPr>
        <w:spacing w:after="0" w:line="240" w:lineRule="auto"/>
      </w:pPr>
      <w:r>
        <w:separator/>
      </w:r>
    </w:p>
  </w:endnote>
  <w:endnote w:type="continuationSeparator" w:id="0">
    <w:p w14:paraId="6DA8AF81" w14:textId="77777777" w:rsidR="00C40803" w:rsidRDefault="00C40803" w:rsidP="00E72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E8691" w14:textId="77777777" w:rsidR="00C40803" w:rsidRDefault="00C40803" w:rsidP="00E72A44">
      <w:pPr>
        <w:spacing w:after="0" w:line="240" w:lineRule="auto"/>
      </w:pPr>
      <w:r>
        <w:separator/>
      </w:r>
    </w:p>
  </w:footnote>
  <w:footnote w:type="continuationSeparator" w:id="0">
    <w:p w14:paraId="539B3208" w14:textId="77777777" w:rsidR="00C40803" w:rsidRDefault="00C40803" w:rsidP="00E72A44">
      <w:pPr>
        <w:spacing w:after="0" w:line="240" w:lineRule="auto"/>
      </w:pPr>
      <w:r>
        <w:continuationSeparator/>
      </w:r>
    </w:p>
  </w:footnote>
  <w:footnote w:id="1">
    <w:p w14:paraId="6196685A" w14:textId="4D8AFF7E" w:rsidR="009B4F35" w:rsidRDefault="009B4F35">
      <w:pPr>
        <w:pStyle w:val="FootnoteText"/>
      </w:pPr>
      <w:r>
        <w:rPr>
          <w:rStyle w:val="FootnoteReference"/>
        </w:rPr>
        <w:footnoteRef/>
      </w:r>
      <w:r>
        <w:t xml:space="preserve"> Kennel</w:t>
      </w:r>
    </w:p>
  </w:footnote>
  <w:footnote w:id="2">
    <w:p w14:paraId="6D177B9A" w14:textId="7C438AC5" w:rsidR="009B4F35" w:rsidRDefault="009B4F35">
      <w:pPr>
        <w:pStyle w:val="FootnoteText"/>
      </w:pPr>
      <w:r>
        <w:rPr>
          <w:rStyle w:val="FootnoteReference"/>
        </w:rPr>
        <w:footnoteRef/>
      </w:r>
      <w:r>
        <w:t xml:space="preserve"> Kennel</w:t>
      </w:r>
    </w:p>
  </w:footnote>
  <w:footnote w:id="3">
    <w:p w14:paraId="3A693D59" w14:textId="4A7A2D50" w:rsidR="00B42F24" w:rsidRDefault="00B42F24">
      <w:pPr>
        <w:pStyle w:val="FootnoteText"/>
      </w:pPr>
      <w:r>
        <w:rPr>
          <w:rStyle w:val="FootnoteReference"/>
        </w:rPr>
        <w:footnoteRef/>
      </w:r>
      <w:r>
        <w:t xml:space="preserve"> Kennel</w:t>
      </w:r>
    </w:p>
  </w:footnote>
  <w:footnote w:id="4">
    <w:p w14:paraId="65FC819C" w14:textId="73B61914" w:rsidR="00B42F24" w:rsidRDefault="00B42F24">
      <w:pPr>
        <w:pStyle w:val="FootnoteText"/>
      </w:pPr>
      <w:r>
        <w:rPr>
          <w:rStyle w:val="FootnoteReference"/>
        </w:rPr>
        <w:footnoteRef/>
      </w:r>
      <w:r>
        <w:t xml:space="preserve"> Apollod.3.11.2</w:t>
      </w:r>
    </w:p>
  </w:footnote>
  <w:footnote w:id="5">
    <w:p w14:paraId="41F07ACD" w14:textId="6BA3E5DC" w:rsidR="00B42F24" w:rsidRPr="00B42F24" w:rsidRDefault="00B42F24">
      <w:pPr>
        <w:pStyle w:val="FootnoteText"/>
        <w:rPr>
          <w:rFonts w:cstheme="minorHAnsi"/>
        </w:rPr>
      </w:pPr>
      <w:r w:rsidRPr="00B42F24">
        <w:rPr>
          <w:rStyle w:val="FootnoteReference"/>
          <w:rFonts w:cstheme="minorHAnsi"/>
        </w:rPr>
        <w:footnoteRef/>
      </w:r>
      <w:r w:rsidRPr="00B42F24">
        <w:rPr>
          <w:rFonts w:cstheme="minorHAnsi"/>
        </w:rPr>
        <w:t xml:space="preserve"> </w:t>
      </w:r>
      <w:proofErr w:type="spellStart"/>
      <w:r w:rsidRPr="008D33EE">
        <w:rPr>
          <w:rFonts w:eastAsia="Times New Roman" w:cstheme="minorHAnsi"/>
          <w:color w:val="373A3C"/>
          <w:sz w:val="21"/>
          <w:szCs w:val="21"/>
          <w:lang w:eastAsia="en-GB"/>
        </w:rPr>
        <w:t>Plut</w:t>
      </w:r>
      <w:proofErr w:type="spellEnd"/>
      <w:r w:rsidRPr="008D33EE">
        <w:rPr>
          <w:rFonts w:eastAsia="Times New Roman" w:cstheme="minorHAnsi"/>
          <w:color w:val="373A3C"/>
          <w:sz w:val="21"/>
          <w:szCs w:val="21"/>
          <w:lang w:eastAsia="en-GB"/>
        </w:rPr>
        <w:t>. Lyc. 22.2</w:t>
      </w:r>
    </w:p>
  </w:footnote>
  <w:footnote w:id="6">
    <w:p w14:paraId="48EECA49" w14:textId="5ADEA256" w:rsidR="00E72A44" w:rsidRPr="00B42F24" w:rsidRDefault="00E72A44">
      <w:pPr>
        <w:pStyle w:val="FootnoteText"/>
        <w:rPr>
          <w:rFonts w:cstheme="minorHAnsi"/>
        </w:rPr>
      </w:pPr>
      <w:r w:rsidRPr="00B42F24">
        <w:rPr>
          <w:rStyle w:val="FootnoteReference"/>
          <w:rFonts w:cstheme="minorHAnsi"/>
        </w:rPr>
        <w:footnoteRef/>
      </w:r>
      <w:r w:rsidRPr="00B42F24">
        <w:rPr>
          <w:rFonts w:cstheme="minorHAnsi"/>
        </w:rPr>
        <w:t xml:space="preserve"> Hdt.5.45</w:t>
      </w:r>
    </w:p>
  </w:footnote>
  <w:footnote w:id="7">
    <w:p w14:paraId="10F0DCD8" w14:textId="4BD352A5" w:rsidR="00B42F24" w:rsidRPr="00B42F24" w:rsidRDefault="00B42F24">
      <w:pPr>
        <w:pStyle w:val="FootnoteText"/>
        <w:rPr>
          <w:rFonts w:cstheme="minorHAnsi"/>
        </w:rPr>
      </w:pPr>
      <w:r w:rsidRPr="00B42F24">
        <w:rPr>
          <w:rStyle w:val="FootnoteReference"/>
          <w:rFonts w:cstheme="minorHAnsi"/>
        </w:rPr>
        <w:footnoteRef/>
      </w:r>
      <w:r w:rsidRPr="00B42F24">
        <w:rPr>
          <w:rFonts w:cstheme="minorHAnsi"/>
        </w:rPr>
        <w:t xml:space="preserve"> Apollod.3.11.2</w:t>
      </w:r>
    </w:p>
  </w:footnote>
  <w:footnote w:id="8">
    <w:p w14:paraId="48857765" w14:textId="52BA8B48" w:rsidR="00B42F24" w:rsidRDefault="00B42F24">
      <w:pPr>
        <w:pStyle w:val="FootnoteText"/>
      </w:pPr>
      <w:r w:rsidRPr="00B42F24">
        <w:rPr>
          <w:rStyle w:val="FootnoteReference"/>
          <w:rFonts w:cstheme="minorHAnsi"/>
        </w:rPr>
        <w:footnoteRef/>
      </w:r>
      <w:r w:rsidRPr="00B42F24">
        <w:rPr>
          <w:rFonts w:cstheme="minorHAnsi"/>
        </w:rPr>
        <w:t xml:space="preserve"> Burkert 1985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07716" w14:textId="5EE0716C" w:rsidR="00B42F24" w:rsidRDefault="00B42F24" w:rsidP="00B42F24">
    <w:pPr>
      <w:pStyle w:val="Header"/>
      <w:tabs>
        <w:tab w:val="clear" w:pos="4513"/>
      </w:tabs>
    </w:pPr>
    <w:r>
      <w:t>Tamara Bowie</w:t>
    </w:r>
    <w:r>
      <w:tab/>
      <w:t>1601293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02D"/>
    <w:rsid w:val="00113D22"/>
    <w:rsid w:val="0017402D"/>
    <w:rsid w:val="001B029B"/>
    <w:rsid w:val="00264B44"/>
    <w:rsid w:val="003D4E09"/>
    <w:rsid w:val="00654011"/>
    <w:rsid w:val="009B4F35"/>
    <w:rsid w:val="009C11C1"/>
    <w:rsid w:val="00A04E83"/>
    <w:rsid w:val="00B42F24"/>
    <w:rsid w:val="00C40803"/>
    <w:rsid w:val="00D24327"/>
    <w:rsid w:val="00E72A44"/>
    <w:rsid w:val="00EE7691"/>
    <w:rsid w:val="00F10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B1D41"/>
  <w15:chartTrackingRefBased/>
  <w15:docId w15:val="{B17DFBC2-B290-49B8-9958-31889F62C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72A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2A44"/>
    <w:rPr>
      <w:sz w:val="20"/>
      <w:szCs w:val="20"/>
    </w:rPr>
  </w:style>
  <w:style w:type="character" w:styleId="FootnoteReference">
    <w:name w:val="footnote reference"/>
    <w:basedOn w:val="DefaultParagraphFont"/>
    <w:uiPriority w:val="99"/>
    <w:semiHidden/>
    <w:unhideWhenUsed/>
    <w:rsid w:val="00E72A44"/>
    <w:rPr>
      <w:vertAlign w:val="superscript"/>
    </w:rPr>
  </w:style>
  <w:style w:type="character" w:styleId="Emphasis">
    <w:name w:val="Emphasis"/>
    <w:basedOn w:val="DefaultParagraphFont"/>
    <w:uiPriority w:val="20"/>
    <w:qFormat/>
    <w:rsid w:val="009B4F35"/>
    <w:rPr>
      <w:i/>
      <w:iCs/>
    </w:rPr>
  </w:style>
  <w:style w:type="character" w:customStyle="1" w:styleId="selectable">
    <w:name w:val="selectable"/>
    <w:basedOn w:val="DefaultParagraphFont"/>
    <w:rsid w:val="009B4F35"/>
  </w:style>
  <w:style w:type="paragraph" w:styleId="Header">
    <w:name w:val="header"/>
    <w:basedOn w:val="Normal"/>
    <w:link w:val="HeaderChar"/>
    <w:uiPriority w:val="99"/>
    <w:unhideWhenUsed/>
    <w:rsid w:val="00B42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F24"/>
  </w:style>
  <w:style w:type="paragraph" w:styleId="Footer">
    <w:name w:val="footer"/>
    <w:basedOn w:val="Normal"/>
    <w:link w:val="FooterChar"/>
    <w:uiPriority w:val="99"/>
    <w:unhideWhenUsed/>
    <w:rsid w:val="00B42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1842C-C101-4E76-BFD0-D15B26B8A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3</Pages>
  <Words>996</Words>
  <Characters>5681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Bowie</dc:creator>
  <cp:keywords/>
  <dc:description/>
  <cp:lastModifiedBy>Tammy Bowie</cp:lastModifiedBy>
  <cp:revision>1</cp:revision>
  <dcterms:created xsi:type="dcterms:W3CDTF">2018-05-08T20:04:00Z</dcterms:created>
  <dcterms:modified xsi:type="dcterms:W3CDTF">2018-05-08T22:14:00Z</dcterms:modified>
</cp:coreProperties>
</file>