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bookmarkStart w:id="0" w:name="_Hlk147143055"/>
      <w:bookmarkStart w:id="1" w:name="_GoBack"/>
      <w:bookmarkEnd w:id="1"/>
    </w:p>
    <w:p>
      <w:pPr>
        <w:jc w:val="center"/>
        <w:rPr>
          <w:b/>
          <w:bCs/>
          <w:sz w:val="32"/>
          <w:szCs w:val="32"/>
        </w:rPr>
      </w:pPr>
    </w:p>
    <w:p>
      <w:pPr>
        <w:jc w:val="center"/>
        <w:rPr>
          <w:b/>
          <w:bCs/>
          <w:sz w:val="32"/>
          <w:szCs w:val="32"/>
        </w:rPr>
      </w:pPr>
      <w:r>
        <w:rPr>
          <w:b/>
          <w:bCs/>
          <w:sz w:val="32"/>
          <w:szCs w:val="32"/>
        </w:rPr>
        <w:t>Alexandra Gheorghe</w:t>
      </w:r>
    </w:p>
    <w:p>
      <w:pPr>
        <w:jc w:val="center"/>
        <w:rPr>
          <w:b/>
          <w:bCs/>
          <w:sz w:val="32"/>
          <w:szCs w:val="32"/>
        </w:rPr>
      </w:pPr>
      <w:r>
        <w:rPr>
          <w:b/>
          <w:bCs/>
          <w:sz w:val="32"/>
          <w:szCs w:val="32"/>
        </w:rPr>
        <w:t>2117801</w:t>
      </w:r>
    </w:p>
    <w:p>
      <w:pPr>
        <w:jc w:val="center"/>
        <w:rPr>
          <w:b/>
          <w:bCs/>
          <w:sz w:val="32"/>
          <w:szCs w:val="32"/>
        </w:rPr>
      </w:pPr>
      <w:r>
        <w:rPr>
          <w:b/>
          <w:bCs/>
          <w:sz w:val="32"/>
          <w:szCs w:val="32"/>
        </w:rPr>
        <w:t>Module Handbook Winter Term 2023</w:t>
      </w:r>
    </w:p>
    <w:p>
      <w:pPr>
        <w:jc w:val="center"/>
        <w:rPr>
          <w:b/>
          <w:bCs/>
          <w:sz w:val="32"/>
          <w:szCs w:val="32"/>
        </w:rPr>
      </w:pPr>
      <w:r>
        <w:rPr>
          <w:b/>
          <w:bCs/>
          <w:sz w:val="32"/>
          <w:szCs w:val="32"/>
        </w:rPr>
        <w:t>BMIH5007</w:t>
      </w:r>
    </w:p>
    <w:p>
      <w:pPr>
        <w:jc w:val="center"/>
        <w:rPr>
          <w:b/>
          <w:bCs/>
          <w:sz w:val="32"/>
          <w:szCs w:val="32"/>
        </w:rPr>
      </w:pPr>
      <w:r>
        <w:rPr>
          <w:b/>
          <w:bCs/>
          <w:sz w:val="32"/>
          <w:szCs w:val="32"/>
        </w:rPr>
        <w:t>Financial Management for the Hotel Industry</w:t>
      </w:r>
    </w:p>
    <w:p>
      <w:pPr>
        <w:jc w:val="center"/>
        <w:rPr>
          <w:b/>
          <w:bCs/>
          <w:sz w:val="32"/>
          <w:szCs w:val="32"/>
        </w:rPr>
      </w:pPr>
      <w:r>
        <w:rPr>
          <w:b/>
          <w:bCs/>
          <w:sz w:val="32"/>
          <w:szCs w:val="32"/>
        </w:rPr>
        <w:t>LEVEL 5</w:t>
      </w:r>
    </w:p>
    <w:p>
      <w:pPr>
        <w:jc w:val="center"/>
        <w:rPr>
          <w:b/>
          <w:bCs/>
          <w:sz w:val="32"/>
          <w:szCs w:val="32"/>
        </w:rPr>
      </w:pPr>
    </w:p>
    <w:p>
      <w:pPr>
        <w:jc w:val="center"/>
        <w:rPr>
          <w:b/>
          <w:bCs/>
          <w:sz w:val="32"/>
          <w:szCs w:val="32"/>
        </w:rPr>
      </w:pPr>
      <w:r>
        <w:rPr>
          <w:b/>
          <w:bCs/>
          <w:sz w:val="32"/>
          <w:szCs w:val="32"/>
        </w:rPr>
        <w:t>Assignment 1</w:t>
      </w:r>
    </w:p>
    <w:p/>
    <w:p/>
    <w:p/>
    <w:p/>
    <w:p/>
    <w:p/>
    <w:p/>
    <w:p/>
    <w:p/>
    <w:p/>
    <w:p/>
    <w:p/>
    <w:sdt>
      <w:sdtPr>
        <w:rPr>
          <w:rFonts w:eastAsiaTheme="minorHAnsi" w:cstheme="minorBidi"/>
          <w:b w:val="0"/>
          <w:color w:val="auto"/>
          <w:sz w:val="24"/>
          <w:szCs w:val="22"/>
        </w:rPr>
        <w:id w:val="-1534337779"/>
        <w:docPartObj>
          <w:docPartGallery w:val="Table of Contents"/>
          <w:docPartUnique/>
        </w:docPartObj>
      </w:sdtPr>
      <w:sdtEndPr>
        <w:rPr>
          <w:bCs/>
          <w:noProof/>
        </w:rPr>
      </w:sdtEndPr>
      <w:sdtContent>
        <w:p>
          <w:pPr>
            <w:pStyle w:val="Heading1"/>
          </w:pPr>
          <w:r>
            <w:t>Table of Content</w:t>
          </w:r>
        </w:p>
        <w:p>
          <w:pPr>
            <w:pStyle w:val="TOC1"/>
            <w:tabs>
              <w:tab w:val="right" w:leader="dot" w:pos="9350"/>
            </w:tabs>
            <w:rPr>
              <w:noProof/>
            </w:rPr>
          </w:pPr>
          <w:r>
            <w:fldChar w:fldCharType="begin"/>
          </w:r>
          <w:r>
            <w:instrText xml:space="preserve"> TOC \o "1-3" \h \z \u </w:instrText>
          </w:r>
          <w:r>
            <w:fldChar w:fldCharType="separate"/>
          </w:r>
          <w:hyperlink w:anchor="_Toc147157736" w:history="1">
            <w:r>
              <w:rPr>
                <w:rStyle w:val="Hyperlink"/>
                <w:noProof/>
              </w:rPr>
              <w:t>Comparison of Mandarin Oriental Hotel Group and Premier Inn.</w:t>
            </w:r>
            <w:r>
              <w:rPr>
                <w:noProof/>
                <w:webHidden/>
              </w:rPr>
              <w:tab/>
            </w:r>
            <w:r>
              <w:rPr>
                <w:noProof/>
                <w:webHidden/>
              </w:rPr>
              <w:fldChar w:fldCharType="begin"/>
            </w:r>
            <w:r>
              <w:rPr>
                <w:noProof/>
                <w:webHidden/>
              </w:rPr>
              <w:instrText xml:space="preserve"> PAGEREF _Toc147157736 \h </w:instrText>
            </w:r>
            <w:r>
              <w:rPr>
                <w:noProof/>
                <w:webHidden/>
              </w:rPr>
            </w:r>
            <w:r>
              <w:rPr>
                <w:noProof/>
                <w:webHidden/>
              </w:rPr>
              <w:fldChar w:fldCharType="separate"/>
            </w:r>
            <w:r>
              <w:rPr>
                <w:noProof/>
                <w:webHidden/>
              </w:rPr>
              <w:t>3</w:t>
            </w:r>
            <w:r>
              <w:rPr>
                <w:noProof/>
                <w:webHidden/>
              </w:rPr>
              <w:fldChar w:fldCharType="end"/>
            </w:r>
          </w:hyperlink>
        </w:p>
        <w:p>
          <w:pPr>
            <w:pStyle w:val="TOC1"/>
            <w:tabs>
              <w:tab w:val="left" w:pos="440"/>
              <w:tab w:val="right" w:leader="dot" w:pos="9350"/>
            </w:tabs>
            <w:rPr>
              <w:noProof/>
            </w:rPr>
          </w:pPr>
          <w:hyperlink w:anchor="_Toc147157737" w:history="1">
            <w:r>
              <w:rPr>
                <w:rStyle w:val="Hyperlink"/>
                <w:noProof/>
              </w:rPr>
              <w:t>1.</w:t>
            </w:r>
            <w:r>
              <w:rPr>
                <w:noProof/>
              </w:rPr>
              <w:tab/>
            </w:r>
            <w:r>
              <w:rPr>
                <w:rStyle w:val="Hyperlink"/>
                <w:noProof/>
              </w:rPr>
              <w:t>Total Revenue</w:t>
            </w:r>
            <w:r>
              <w:rPr>
                <w:noProof/>
                <w:webHidden/>
              </w:rPr>
              <w:tab/>
            </w:r>
            <w:r>
              <w:rPr>
                <w:noProof/>
                <w:webHidden/>
              </w:rPr>
              <w:fldChar w:fldCharType="begin"/>
            </w:r>
            <w:r>
              <w:rPr>
                <w:noProof/>
                <w:webHidden/>
              </w:rPr>
              <w:instrText xml:space="preserve"> PAGEREF _Toc147157737 \h </w:instrText>
            </w:r>
            <w:r>
              <w:rPr>
                <w:noProof/>
                <w:webHidden/>
              </w:rPr>
            </w:r>
            <w:r>
              <w:rPr>
                <w:noProof/>
                <w:webHidden/>
              </w:rPr>
              <w:fldChar w:fldCharType="separate"/>
            </w:r>
            <w:r>
              <w:rPr>
                <w:noProof/>
                <w:webHidden/>
              </w:rPr>
              <w:t>3</w:t>
            </w:r>
            <w:r>
              <w:rPr>
                <w:noProof/>
                <w:webHidden/>
              </w:rPr>
              <w:fldChar w:fldCharType="end"/>
            </w:r>
          </w:hyperlink>
        </w:p>
        <w:p>
          <w:pPr>
            <w:pStyle w:val="TOC1"/>
            <w:tabs>
              <w:tab w:val="left" w:pos="440"/>
              <w:tab w:val="right" w:leader="dot" w:pos="9350"/>
            </w:tabs>
            <w:rPr>
              <w:noProof/>
            </w:rPr>
          </w:pPr>
          <w:hyperlink w:anchor="_Toc147157738" w:history="1">
            <w:r>
              <w:rPr>
                <w:rStyle w:val="Hyperlink"/>
                <w:noProof/>
              </w:rPr>
              <w:t>2.</w:t>
            </w:r>
            <w:r>
              <w:rPr>
                <w:noProof/>
              </w:rPr>
              <w:tab/>
            </w:r>
            <w:r>
              <w:rPr>
                <w:rStyle w:val="Hyperlink"/>
                <w:noProof/>
              </w:rPr>
              <w:t>Market Position</w:t>
            </w:r>
            <w:r>
              <w:rPr>
                <w:noProof/>
                <w:webHidden/>
              </w:rPr>
              <w:tab/>
            </w:r>
            <w:r>
              <w:rPr>
                <w:noProof/>
                <w:webHidden/>
              </w:rPr>
              <w:fldChar w:fldCharType="begin"/>
            </w:r>
            <w:r>
              <w:rPr>
                <w:noProof/>
                <w:webHidden/>
              </w:rPr>
              <w:instrText xml:space="preserve"> PAGEREF _Toc147157738 \h </w:instrText>
            </w:r>
            <w:r>
              <w:rPr>
                <w:noProof/>
                <w:webHidden/>
              </w:rPr>
            </w:r>
            <w:r>
              <w:rPr>
                <w:noProof/>
                <w:webHidden/>
              </w:rPr>
              <w:fldChar w:fldCharType="separate"/>
            </w:r>
            <w:r>
              <w:rPr>
                <w:noProof/>
                <w:webHidden/>
              </w:rPr>
              <w:t>7</w:t>
            </w:r>
            <w:r>
              <w:rPr>
                <w:noProof/>
                <w:webHidden/>
              </w:rPr>
              <w:fldChar w:fldCharType="end"/>
            </w:r>
          </w:hyperlink>
        </w:p>
        <w:p>
          <w:pPr>
            <w:pStyle w:val="TOC1"/>
            <w:tabs>
              <w:tab w:val="left" w:pos="440"/>
              <w:tab w:val="right" w:leader="dot" w:pos="9350"/>
            </w:tabs>
            <w:rPr>
              <w:noProof/>
            </w:rPr>
          </w:pPr>
          <w:hyperlink w:anchor="_Toc147157739" w:history="1">
            <w:r>
              <w:rPr>
                <w:rStyle w:val="Hyperlink"/>
                <w:noProof/>
              </w:rPr>
              <w:t>3.</w:t>
            </w:r>
            <w:r>
              <w:rPr>
                <w:noProof/>
              </w:rPr>
              <w:tab/>
            </w:r>
            <w:r>
              <w:rPr>
                <w:rStyle w:val="Hyperlink"/>
                <w:noProof/>
              </w:rPr>
              <w:t>Growth Potential</w:t>
            </w:r>
            <w:r>
              <w:rPr>
                <w:noProof/>
                <w:webHidden/>
              </w:rPr>
              <w:tab/>
            </w:r>
            <w:r>
              <w:rPr>
                <w:noProof/>
                <w:webHidden/>
              </w:rPr>
              <w:fldChar w:fldCharType="begin"/>
            </w:r>
            <w:r>
              <w:rPr>
                <w:noProof/>
                <w:webHidden/>
              </w:rPr>
              <w:instrText xml:space="preserve"> PAGEREF _Toc147157739 \h </w:instrText>
            </w:r>
            <w:r>
              <w:rPr>
                <w:noProof/>
                <w:webHidden/>
              </w:rPr>
            </w:r>
            <w:r>
              <w:rPr>
                <w:noProof/>
                <w:webHidden/>
              </w:rPr>
              <w:fldChar w:fldCharType="separate"/>
            </w:r>
            <w:r>
              <w:rPr>
                <w:noProof/>
                <w:webHidden/>
              </w:rPr>
              <w:t>8</w:t>
            </w:r>
            <w:r>
              <w:rPr>
                <w:noProof/>
                <w:webHidden/>
              </w:rPr>
              <w:fldChar w:fldCharType="end"/>
            </w:r>
          </w:hyperlink>
        </w:p>
        <w:p>
          <w:pPr>
            <w:pStyle w:val="TOC1"/>
            <w:tabs>
              <w:tab w:val="left" w:pos="440"/>
              <w:tab w:val="right" w:leader="dot" w:pos="9350"/>
            </w:tabs>
            <w:rPr>
              <w:noProof/>
            </w:rPr>
          </w:pPr>
          <w:hyperlink w:anchor="_Toc147157740" w:history="1">
            <w:r>
              <w:rPr>
                <w:rStyle w:val="Hyperlink"/>
                <w:noProof/>
              </w:rPr>
              <w:t>4.</w:t>
            </w:r>
            <w:r>
              <w:rPr>
                <w:noProof/>
              </w:rPr>
              <w:tab/>
            </w:r>
            <w:r>
              <w:rPr>
                <w:rStyle w:val="Hyperlink"/>
                <w:noProof/>
              </w:rPr>
              <w:t>Financial Commitment to CSR (Corporate Social Responsibility)</w:t>
            </w:r>
            <w:r>
              <w:rPr>
                <w:noProof/>
                <w:webHidden/>
              </w:rPr>
              <w:tab/>
            </w:r>
            <w:r>
              <w:rPr>
                <w:noProof/>
                <w:webHidden/>
              </w:rPr>
              <w:fldChar w:fldCharType="begin"/>
            </w:r>
            <w:r>
              <w:rPr>
                <w:noProof/>
                <w:webHidden/>
              </w:rPr>
              <w:instrText xml:space="preserve"> PAGEREF _Toc147157740 \h </w:instrText>
            </w:r>
            <w:r>
              <w:rPr>
                <w:noProof/>
                <w:webHidden/>
              </w:rPr>
            </w:r>
            <w:r>
              <w:rPr>
                <w:noProof/>
                <w:webHidden/>
              </w:rPr>
              <w:fldChar w:fldCharType="separate"/>
            </w:r>
            <w:r>
              <w:rPr>
                <w:noProof/>
                <w:webHidden/>
              </w:rPr>
              <w:t>9</w:t>
            </w:r>
            <w:r>
              <w:rPr>
                <w:noProof/>
                <w:webHidden/>
              </w:rPr>
              <w:fldChar w:fldCharType="end"/>
            </w:r>
          </w:hyperlink>
        </w:p>
        <w:p>
          <w:pPr>
            <w:pStyle w:val="TOC1"/>
            <w:tabs>
              <w:tab w:val="right" w:leader="dot" w:pos="9350"/>
            </w:tabs>
            <w:rPr>
              <w:noProof/>
            </w:rPr>
          </w:pPr>
          <w:hyperlink w:anchor="_Toc147157741" w:history="1">
            <w:r>
              <w:rPr>
                <w:rStyle w:val="Hyperlink"/>
                <w:noProof/>
              </w:rPr>
              <w:t>Recommendations</w:t>
            </w:r>
            <w:r>
              <w:rPr>
                <w:noProof/>
                <w:webHidden/>
              </w:rPr>
              <w:tab/>
            </w:r>
            <w:r>
              <w:rPr>
                <w:noProof/>
                <w:webHidden/>
              </w:rPr>
              <w:fldChar w:fldCharType="begin"/>
            </w:r>
            <w:r>
              <w:rPr>
                <w:noProof/>
                <w:webHidden/>
              </w:rPr>
              <w:instrText xml:space="preserve"> PAGEREF _Toc147157741 \h </w:instrText>
            </w:r>
            <w:r>
              <w:rPr>
                <w:noProof/>
                <w:webHidden/>
              </w:rPr>
            </w:r>
            <w:r>
              <w:rPr>
                <w:noProof/>
                <w:webHidden/>
              </w:rPr>
              <w:fldChar w:fldCharType="separate"/>
            </w:r>
            <w:r>
              <w:rPr>
                <w:noProof/>
                <w:webHidden/>
              </w:rPr>
              <w:t>9</w:t>
            </w:r>
            <w:r>
              <w:rPr>
                <w:noProof/>
                <w:webHidden/>
              </w:rPr>
              <w:fldChar w:fldCharType="end"/>
            </w:r>
          </w:hyperlink>
        </w:p>
        <w:p>
          <w:pPr>
            <w:pStyle w:val="TOC1"/>
            <w:tabs>
              <w:tab w:val="right" w:leader="dot" w:pos="9350"/>
            </w:tabs>
            <w:rPr>
              <w:noProof/>
            </w:rPr>
          </w:pPr>
          <w:hyperlink w:anchor="_Toc147157742" w:history="1">
            <w:r>
              <w:rPr>
                <w:rStyle w:val="Hyperlink"/>
                <w:noProof/>
              </w:rPr>
              <w:t>References</w:t>
            </w:r>
            <w:r>
              <w:rPr>
                <w:noProof/>
                <w:webHidden/>
              </w:rPr>
              <w:tab/>
            </w:r>
            <w:r>
              <w:rPr>
                <w:noProof/>
                <w:webHidden/>
              </w:rPr>
              <w:fldChar w:fldCharType="begin"/>
            </w:r>
            <w:r>
              <w:rPr>
                <w:noProof/>
                <w:webHidden/>
              </w:rPr>
              <w:instrText xml:space="preserve"> PAGEREF _Toc147157742 \h </w:instrText>
            </w:r>
            <w:r>
              <w:rPr>
                <w:noProof/>
                <w:webHidden/>
              </w:rPr>
            </w:r>
            <w:r>
              <w:rPr>
                <w:noProof/>
                <w:webHidden/>
              </w:rPr>
              <w:fldChar w:fldCharType="separate"/>
            </w:r>
            <w:r>
              <w:rPr>
                <w:noProof/>
                <w:webHidden/>
              </w:rPr>
              <w:t>10</w:t>
            </w:r>
            <w:r>
              <w:rPr>
                <w:noProof/>
                <w:webHidden/>
              </w:rPr>
              <w:fldChar w:fldCharType="end"/>
            </w:r>
          </w:hyperlink>
        </w:p>
        <w:p>
          <w:r>
            <w:rPr>
              <w:b/>
              <w:bCs/>
              <w:noProof/>
            </w:rPr>
            <w:fldChar w:fldCharType="end"/>
          </w:r>
        </w:p>
      </w:sdtContent>
    </w:sdt>
    <w:p>
      <w:pPr>
        <w:pStyle w:val="Heading1"/>
        <w:jc w:val="center"/>
      </w:pPr>
    </w:p>
    <w:p>
      <w:pPr>
        <w:pStyle w:val="Heading1"/>
        <w:jc w:val="center"/>
      </w:pPr>
    </w:p>
    <w:p>
      <w:pPr>
        <w:pStyle w:val="Heading1"/>
        <w:jc w:val="center"/>
      </w:pPr>
    </w:p>
    <w:p>
      <w:pPr>
        <w:pStyle w:val="Heading1"/>
        <w:jc w:val="center"/>
      </w:pPr>
    </w:p>
    <w:p>
      <w:pPr>
        <w:pStyle w:val="Heading1"/>
        <w:jc w:val="center"/>
      </w:pPr>
    </w:p>
    <w:p>
      <w:pPr>
        <w:pStyle w:val="Heading1"/>
        <w:jc w:val="center"/>
      </w:pPr>
    </w:p>
    <w:p>
      <w:pPr>
        <w:pStyle w:val="Heading1"/>
        <w:jc w:val="center"/>
      </w:pPr>
    </w:p>
    <w:p>
      <w:pPr>
        <w:pStyle w:val="Heading1"/>
      </w:pPr>
    </w:p>
    <w:p/>
    <w:p/>
    <w:p/>
    <w:p>
      <w:pPr>
        <w:pStyle w:val="Heading1"/>
        <w:jc w:val="center"/>
      </w:pPr>
    </w:p>
    <w:p>
      <w:pPr>
        <w:pStyle w:val="Heading1"/>
        <w:jc w:val="center"/>
      </w:pPr>
      <w:bookmarkStart w:id="2" w:name="_Toc147157736"/>
      <w:r>
        <w:t>Comparison of Mandarin Oriental Hotel Group and Premier Inn.</w:t>
      </w:r>
      <w:bookmarkEnd w:id="2"/>
    </w:p>
    <w:p>
      <w:pPr>
        <w:pStyle w:val="Heading1"/>
      </w:pPr>
    </w:p>
    <w:p>
      <w:pPr>
        <w:pStyle w:val="Heading1"/>
        <w:numPr>
          <w:ilvl w:val="0"/>
          <w:numId w:val="1"/>
        </w:numPr>
      </w:pPr>
      <w:bookmarkStart w:id="3" w:name="_Toc147157737"/>
      <w:r>
        <w:t>Total Revenue</w:t>
      </w:r>
      <w:bookmarkEnd w:id="3"/>
    </w:p>
    <w:p>
      <w:r>
        <w:t xml:space="preserve">Mandarin Oriental Hotel Group </w:t>
      </w:r>
      <w:bookmarkEnd w:id="0"/>
      <w:r>
        <w:t xml:space="preserve">owns and operates the world’s most luxurious hotels. The group now operates 37 hotels and 9 residences in 25 countries and territories. The hotel is also a member of Jardine Matheson group (Wilson, 2018). </w:t>
      </w:r>
    </w:p>
    <w:p>
      <w:r>
        <w:t xml:space="preserve">Mandarin Oriental Hotel Group earns its revenue from Rooms, Food &amp; Beverage and other sources. The company categorizes its revenue earned by three geographical areas: Asia, America and Europe, Middle East and Africa (EMEA) (OKUMUS, 2010). The geographical Area for the sources of Mandarin Oriental Hotel group revenue has shifted from Asia in 2018 (54.29%) to EMEA region in 2022 (52.99%). Revenue from Asia region has consistently declined since 2018 and was only 29.47% in 2022. While revenue from EMEA has grown from 20.10% in 2018 to 52.99% in 2022. Revenue from America has also declined during the same period going from 25.62% in 2018 to 17.54% in 2022. </w:t>
      </w:r>
    </w:p>
    <w:p>
      <w:r>
        <w:t xml:space="preserve">Revenues from renting rooms have contributed the most to the revenue of Mandarin Oriental Hotel Group ranging from 46.46% to 57.39% in the last five years. Foods and Beverages have contributed 34.04% to 40.30% during the same period. Other categories has contributed ranging from 8.56% to 13.24% during this period. Revenue amount (In GBP mn) in 2022 from Rooms, Food and Beverage and others category was respectively 900.00 million, 533.80 million and 134.30 million respectively (Mandarin Oriental Hotel Group, </w:t>
      </w:r>
      <w:r>
        <w:rPr>
          <w:i/>
          <w:iCs/>
        </w:rPr>
        <w:t>Financial reports</w:t>
      </w:r>
      <w:r>
        <w:t xml:space="preserve"> 2023). </w:t>
      </w:r>
    </w:p>
    <w:p>
      <w:r>
        <w:t xml:space="preserve">Revenue of Mandarin Oriental Hotel Group has suffered tremendously in 2020 and 2021 as the global hospitality industry was badly hit by pandemic. As the travel restriction in Europe, Middle East and America was withdrawn gradually, revenue of the company started to recover gradually (Nunkoo, 2020). However, continued constraints on movement in East Asia hampered the potential of full scale revenue recovery in 2022. Revenue of the company fell by 55.25% in 2020. However, the company recovered in 2021 and the revenue grew by 77.66% in 2021 and further 48.55% in 2022. After the revenue recovery in 2022, the company’s revenue went beyond the pre-pandemic level which shows the noteworthy business growth achieved by the company. </w:t>
      </w:r>
      <w:r>
        <w:lastRenderedPageBreak/>
        <w:t xml:space="preserve">The company launched mandarinoriental.com in 2022 to elevate the guest digital experience and drive higher revenue through its digital sales channels. </w:t>
      </w:r>
    </w:p>
    <w:p/>
    <w:p/>
    <w:p/>
    <w:p/>
    <w:p/>
    <w:p/>
    <w:p/>
    <w:p/>
    <w:tbl>
      <w:tblPr>
        <w:tblStyle w:val="GridTable4Accent3"/>
        <w:tblpPr w:leftFromText="180" w:rightFromText="180" w:vertAnchor="text" w:horzAnchor="margin" w:tblpY="404"/>
        <w:tblW w:w="5000" w:type="pct"/>
        <w:tblLook w:val="04A0" w:firstRow="1" w:lastRow="0" w:firstColumn="1" w:lastColumn="0" w:noHBand="0" w:noVBand="1"/>
      </w:tblPr>
      <w:tblGrid>
        <w:gridCol w:w="4892"/>
        <w:gridCol w:w="944"/>
        <w:gridCol w:w="944"/>
        <w:gridCol w:w="908"/>
        <w:gridCol w:w="944"/>
        <w:gridCol w:w="944"/>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4" w:type="pct"/>
          </w:tcPr>
          <w:p>
            <w:pPr>
              <w:rPr>
                <w:sz w:val="20"/>
                <w:szCs w:val="20"/>
              </w:rPr>
            </w:pPr>
            <w:r>
              <w:rPr>
                <w:sz w:val="20"/>
                <w:szCs w:val="20"/>
              </w:rPr>
              <w:t>Combined total revenue by geographical area</w:t>
            </w:r>
          </w:p>
          <w:p>
            <w:pPr>
              <w:rPr>
                <w:sz w:val="20"/>
                <w:szCs w:val="20"/>
              </w:rPr>
            </w:pPr>
            <w:r>
              <w:rPr>
                <w:sz w:val="20"/>
                <w:szCs w:val="20"/>
              </w:rPr>
              <w:t>(Amount in mn)</w:t>
            </w:r>
          </w:p>
        </w:tc>
        <w:tc>
          <w:tcPr>
            <w:tcW w:w="493"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2018</w:t>
            </w:r>
          </w:p>
        </w:tc>
        <w:tc>
          <w:tcPr>
            <w:tcW w:w="493"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2019</w:t>
            </w:r>
          </w:p>
        </w:tc>
        <w:tc>
          <w:tcPr>
            <w:tcW w:w="474"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2020</w:t>
            </w:r>
          </w:p>
        </w:tc>
        <w:tc>
          <w:tcPr>
            <w:tcW w:w="493"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2021</w:t>
            </w:r>
          </w:p>
        </w:tc>
        <w:tc>
          <w:tcPr>
            <w:tcW w:w="493"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2022</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4" w:type="pct"/>
          </w:tcPr>
          <w:p>
            <w:pPr>
              <w:rPr>
                <w:b w:val="0"/>
                <w:sz w:val="20"/>
                <w:szCs w:val="20"/>
              </w:rPr>
            </w:pPr>
            <w:r>
              <w:rPr>
                <w:sz w:val="20"/>
                <w:szCs w:val="20"/>
              </w:rPr>
              <w:t>Asia</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758.7 </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636.1 </w:t>
            </w:r>
          </w:p>
        </w:tc>
        <w:tc>
          <w:tcPr>
            <w:tcW w:w="474"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278.6 </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354.0 </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462.1 </w:t>
            </w:r>
          </w:p>
        </w:tc>
      </w:tr>
      <w:tr>
        <w:tc>
          <w:tcPr>
            <w:cnfStyle w:val="001000000000" w:firstRow="0" w:lastRow="0" w:firstColumn="1" w:lastColumn="0" w:oddVBand="0" w:evenVBand="0" w:oddHBand="0" w:evenHBand="0" w:firstRowFirstColumn="0" w:firstRowLastColumn="0" w:lastRowFirstColumn="0" w:lastRowLastColumn="0"/>
            <w:tcW w:w="2554" w:type="pct"/>
          </w:tcPr>
          <w:p>
            <w:pPr>
              <w:rPr>
                <w:b w:val="0"/>
                <w:sz w:val="20"/>
                <w:szCs w:val="20"/>
              </w:rPr>
            </w:pPr>
            <w:r>
              <w:rPr>
                <w:sz w:val="20"/>
                <w:szCs w:val="20"/>
              </w:rPr>
              <w:t>America</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 358.0 </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 348.6 </w:t>
            </w:r>
          </w:p>
        </w:tc>
        <w:tc>
          <w:tcPr>
            <w:tcW w:w="474"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 76.2 </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 170.4 </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 275.0 </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4" w:type="pct"/>
          </w:tcPr>
          <w:p>
            <w:pPr>
              <w:rPr>
                <w:b w:val="0"/>
                <w:sz w:val="20"/>
                <w:szCs w:val="20"/>
              </w:rPr>
            </w:pPr>
            <w:r>
              <w:rPr>
                <w:sz w:val="20"/>
                <w:szCs w:val="20"/>
              </w:rPr>
              <w:t>Europe, Middle East and Africa (EMEA)</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280.9 </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340.4 </w:t>
            </w:r>
          </w:p>
        </w:tc>
        <w:tc>
          <w:tcPr>
            <w:tcW w:w="474"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238.2 </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529.1 </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831.0 </w:t>
            </w:r>
          </w:p>
        </w:tc>
      </w:tr>
      <w:tr>
        <w:tc>
          <w:tcPr>
            <w:cnfStyle w:val="001000000000" w:firstRow="0" w:lastRow="0" w:firstColumn="1" w:lastColumn="0" w:oddVBand="0" w:evenVBand="0" w:oddHBand="0" w:evenHBand="0" w:firstRowFirstColumn="0" w:firstRowLastColumn="0" w:lastRowFirstColumn="0" w:lastRowLastColumn="0"/>
            <w:tcW w:w="2554" w:type="pct"/>
          </w:tcPr>
          <w:p>
            <w:pPr>
              <w:rPr>
                <w:sz w:val="20"/>
                <w:szCs w:val="20"/>
              </w:rPr>
            </w:pPr>
            <w:r>
              <w:rPr>
                <w:sz w:val="20"/>
                <w:szCs w:val="20"/>
              </w:rPr>
              <w:t>Total</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 xml:space="preserve"> 1,397.6 </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 xml:space="preserve"> 1,325.1 </w:t>
            </w:r>
          </w:p>
        </w:tc>
        <w:tc>
          <w:tcPr>
            <w:tcW w:w="474"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 xml:space="preserve"> 593.0 </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 xml:space="preserve"> 1,053.5 </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 xml:space="preserve"> 1,568.1 </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4" w:type="pct"/>
          </w:tcPr>
          <w:p>
            <w:pPr>
              <w:rPr>
                <w:sz w:val="20"/>
                <w:szCs w:val="20"/>
              </w:rPr>
            </w:pPr>
            <w:r>
              <w:rPr>
                <w:sz w:val="20"/>
                <w:szCs w:val="20"/>
              </w:rPr>
              <w:t>Combined total revenue by geographical area (%)</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2018</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2019</w:t>
            </w:r>
          </w:p>
        </w:tc>
        <w:tc>
          <w:tcPr>
            <w:tcW w:w="474"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2020</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2021</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2022</w:t>
            </w:r>
          </w:p>
        </w:tc>
      </w:tr>
      <w:tr>
        <w:tc>
          <w:tcPr>
            <w:cnfStyle w:val="001000000000" w:firstRow="0" w:lastRow="0" w:firstColumn="1" w:lastColumn="0" w:oddVBand="0" w:evenVBand="0" w:oddHBand="0" w:evenHBand="0" w:firstRowFirstColumn="0" w:firstRowLastColumn="0" w:lastRowFirstColumn="0" w:lastRowLastColumn="0"/>
            <w:tcW w:w="2554" w:type="pct"/>
          </w:tcPr>
          <w:p>
            <w:pPr>
              <w:rPr>
                <w:b w:val="0"/>
                <w:sz w:val="20"/>
                <w:szCs w:val="20"/>
              </w:rPr>
            </w:pPr>
            <w:r>
              <w:rPr>
                <w:sz w:val="20"/>
                <w:szCs w:val="20"/>
              </w:rPr>
              <w:t>Asia</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54.29%</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48.00%</w:t>
            </w:r>
          </w:p>
        </w:tc>
        <w:tc>
          <w:tcPr>
            <w:tcW w:w="474"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46.98%</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33.60%</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29.47%</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4" w:type="pct"/>
          </w:tcPr>
          <w:p>
            <w:pPr>
              <w:rPr>
                <w:b w:val="0"/>
                <w:sz w:val="20"/>
                <w:szCs w:val="20"/>
              </w:rPr>
            </w:pPr>
            <w:r>
              <w:rPr>
                <w:sz w:val="20"/>
                <w:szCs w:val="20"/>
              </w:rPr>
              <w:t>America</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25.62%</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26.31%</w:t>
            </w:r>
          </w:p>
        </w:tc>
        <w:tc>
          <w:tcPr>
            <w:tcW w:w="474"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12.85%</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16.17%</w:t>
            </w:r>
          </w:p>
        </w:tc>
        <w:tc>
          <w:tcPr>
            <w:tcW w:w="49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17.54%</w:t>
            </w:r>
          </w:p>
        </w:tc>
      </w:tr>
      <w:tr>
        <w:tc>
          <w:tcPr>
            <w:cnfStyle w:val="001000000000" w:firstRow="0" w:lastRow="0" w:firstColumn="1" w:lastColumn="0" w:oddVBand="0" w:evenVBand="0" w:oddHBand="0" w:evenHBand="0" w:firstRowFirstColumn="0" w:firstRowLastColumn="0" w:lastRowFirstColumn="0" w:lastRowLastColumn="0"/>
            <w:tcW w:w="2554" w:type="pct"/>
          </w:tcPr>
          <w:p>
            <w:pPr>
              <w:rPr>
                <w:b w:val="0"/>
                <w:sz w:val="20"/>
                <w:szCs w:val="20"/>
              </w:rPr>
            </w:pPr>
            <w:r>
              <w:rPr>
                <w:sz w:val="20"/>
                <w:szCs w:val="20"/>
              </w:rPr>
              <w:t>Europe, Middle East and Africa (EMEA)</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20.10%</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25.69%</w:t>
            </w:r>
          </w:p>
        </w:tc>
        <w:tc>
          <w:tcPr>
            <w:tcW w:w="474"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40.17%</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50.22%</w:t>
            </w:r>
          </w:p>
        </w:tc>
        <w:tc>
          <w:tcPr>
            <w:tcW w:w="49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52.99%</w:t>
            </w:r>
          </w:p>
        </w:tc>
      </w:tr>
    </w:tbl>
    <w:p/>
    <w:p/>
    <w:p/>
    <w:p/>
    <w:p/>
    <w:p/>
    <w:p/>
    <w:p>
      <w:r>
        <w:rPr>
          <w:noProof/>
        </w:rPr>
        <w:drawing>
          <wp:anchor distT="0" distB="0" distL="114300" distR="114300" simplePos="0" relativeHeight="251659264" behindDoc="0" locked="0" layoutInCell="1" allowOverlap="1">
            <wp:simplePos x="0" y="0"/>
            <wp:positionH relativeFrom="column">
              <wp:posOffset>694690</wp:posOffset>
            </wp:positionH>
            <wp:positionV relativeFrom="paragraph">
              <wp:posOffset>-274320</wp:posOffset>
            </wp:positionV>
            <wp:extent cx="4905375" cy="2743200"/>
            <wp:effectExtent l="0" t="0" r="9525" b="0"/>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anchor>
        </w:drawing>
      </w:r>
    </w:p>
    <w:p/>
    <w:p/>
    <w:p/>
    <w:p/>
    <w:p/>
    <w:p/>
    <w:p/>
    <w:tbl>
      <w:tblPr>
        <w:tblStyle w:val="GridTable4Accent3"/>
        <w:tblpPr w:leftFromText="180" w:rightFromText="180" w:vertAnchor="text" w:horzAnchor="margin" w:tblpY="-79"/>
        <w:tblW w:w="5000" w:type="pct"/>
        <w:tblLook w:val="04A0" w:firstRow="1" w:lastRow="0" w:firstColumn="1" w:lastColumn="0" w:noHBand="0" w:noVBand="1"/>
      </w:tblPr>
      <w:tblGrid>
        <w:gridCol w:w="4869"/>
        <w:gridCol w:w="943"/>
        <w:gridCol w:w="942"/>
        <w:gridCol w:w="942"/>
        <w:gridCol w:w="942"/>
        <w:gridCol w:w="938"/>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2" w:type="pct"/>
          </w:tcPr>
          <w:p>
            <w:pPr>
              <w:rPr>
                <w:sz w:val="20"/>
                <w:szCs w:val="20"/>
              </w:rPr>
            </w:pPr>
            <w:r>
              <w:rPr>
                <w:sz w:val="20"/>
                <w:szCs w:val="20"/>
              </w:rPr>
              <w:t xml:space="preserve">Combined total revenue by type of business </w:t>
            </w:r>
          </w:p>
          <w:p>
            <w:pPr>
              <w:rPr>
                <w:sz w:val="20"/>
                <w:szCs w:val="20"/>
              </w:rPr>
            </w:pPr>
            <w:r>
              <w:rPr>
                <w:sz w:val="20"/>
                <w:szCs w:val="20"/>
              </w:rPr>
              <w:t>(In mn)</w:t>
            </w:r>
          </w:p>
        </w:tc>
        <w:tc>
          <w:tcPr>
            <w:tcW w:w="492"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2018</w:t>
            </w:r>
          </w:p>
        </w:tc>
        <w:tc>
          <w:tcPr>
            <w:tcW w:w="492"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2019</w:t>
            </w:r>
          </w:p>
        </w:tc>
        <w:tc>
          <w:tcPr>
            <w:tcW w:w="492"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2020</w:t>
            </w:r>
          </w:p>
        </w:tc>
        <w:tc>
          <w:tcPr>
            <w:tcW w:w="492"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2021</w:t>
            </w:r>
          </w:p>
        </w:tc>
        <w:tc>
          <w:tcPr>
            <w:tcW w:w="490"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2022</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2" w:type="pct"/>
          </w:tcPr>
          <w:p>
            <w:pPr>
              <w:rPr>
                <w:b w:val="0"/>
                <w:sz w:val="20"/>
                <w:szCs w:val="20"/>
              </w:rPr>
            </w:pPr>
            <w:r>
              <w:rPr>
                <w:sz w:val="20"/>
                <w:szCs w:val="20"/>
              </w:rPr>
              <w:t>Rooms</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763.1</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718.1</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275.5</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565.3</w:t>
            </w:r>
          </w:p>
        </w:tc>
        <w:tc>
          <w:tcPr>
            <w:tcW w:w="490"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900.0</w:t>
            </w:r>
          </w:p>
        </w:tc>
      </w:tr>
      <w:tr>
        <w:tc>
          <w:tcPr>
            <w:cnfStyle w:val="001000000000" w:firstRow="0" w:lastRow="0" w:firstColumn="1" w:lastColumn="0" w:oddVBand="0" w:evenVBand="0" w:oddHBand="0" w:evenHBand="0" w:firstRowFirstColumn="0" w:firstRowLastColumn="0" w:lastRowFirstColumn="0" w:lastRowLastColumn="0"/>
            <w:tcW w:w="2542" w:type="pct"/>
          </w:tcPr>
          <w:p>
            <w:pPr>
              <w:rPr>
                <w:b w:val="0"/>
                <w:sz w:val="20"/>
                <w:szCs w:val="20"/>
              </w:rPr>
            </w:pPr>
            <w:r>
              <w:rPr>
                <w:sz w:val="20"/>
                <w:szCs w:val="20"/>
              </w:rPr>
              <w:t>Food and beverage</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514.8</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491.8</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239.0</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360.0</w:t>
            </w:r>
          </w:p>
        </w:tc>
        <w:tc>
          <w:tcPr>
            <w:tcW w:w="490"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533.8</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2" w:type="pct"/>
          </w:tcPr>
          <w:p>
            <w:pPr>
              <w:rPr>
                <w:b w:val="0"/>
                <w:sz w:val="20"/>
                <w:szCs w:val="20"/>
              </w:rPr>
            </w:pPr>
            <w:r>
              <w:rPr>
                <w:sz w:val="20"/>
                <w:szCs w:val="20"/>
              </w:rPr>
              <w:t>Others</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119.7</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115.2</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78.5</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128.2</w:t>
            </w:r>
          </w:p>
        </w:tc>
        <w:tc>
          <w:tcPr>
            <w:tcW w:w="490"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134.3</w:t>
            </w:r>
          </w:p>
        </w:tc>
      </w:tr>
      <w:tr>
        <w:tc>
          <w:tcPr>
            <w:cnfStyle w:val="001000000000" w:firstRow="0" w:lastRow="0" w:firstColumn="1" w:lastColumn="0" w:oddVBand="0" w:evenVBand="0" w:oddHBand="0" w:evenHBand="0" w:firstRowFirstColumn="0" w:firstRowLastColumn="0" w:lastRowFirstColumn="0" w:lastRowLastColumn="0"/>
            <w:tcW w:w="2542" w:type="pct"/>
          </w:tcPr>
          <w:p>
            <w:pPr>
              <w:rPr>
                <w:sz w:val="20"/>
                <w:szCs w:val="20"/>
              </w:rPr>
            </w:pPr>
            <w:r>
              <w:rPr>
                <w:sz w:val="20"/>
                <w:szCs w:val="20"/>
              </w:rPr>
              <w:t>Total</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1397.6</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1325.1</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593.0</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1053.5</w:t>
            </w:r>
          </w:p>
        </w:tc>
        <w:tc>
          <w:tcPr>
            <w:tcW w:w="490"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1568.1</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2" w:type="pct"/>
          </w:tcPr>
          <w:p>
            <w:pPr>
              <w:rPr>
                <w:sz w:val="20"/>
                <w:szCs w:val="20"/>
              </w:rPr>
            </w:pPr>
            <w:r>
              <w:rPr>
                <w:sz w:val="20"/>
                <w:szCs w:val="20"/>
              </w:rPr>
              <w:t>Combined total revenue by type of business (%)</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2018</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2019</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2020</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2021</w:t>
            </w:r>
          </w:p>
        </w:tc>
        <w:tc>
          <w:tcPr>
            <w:tcW w:w="490"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2022</w:t>
            </w:r>
          </w:p>
        </w:tc>
      </w:tr>
      <w:tr>
        <w:tc>
          <w:tcPr>
            <w:cnfStyle w:val="001000000000" w:firstRow="0" w:lastRow="0" w:firstColumn="1" w:lastColumn="0" w:oddVBand="0" w:evenVBand="0" w:oddHBand="0" w:evenHBand="0" w:firstRowFirstColumn="0" w:firstRowLastColumn="0" w:lastRowFirstColumn="0" w:lastRowLastColumn="0"/>
            <w:tcW w:w="2542" w:type="pct"/>
          </w:tcPr>
          <w:p>
            <w:pPr>
              <w:rPr>
                <w:b w:val="0"/>
                <w:sz w:val="20"/>
                <w:szCs w:val="20"/>
              </w:rPr>
            </w:pPr>
            <w:r>
              <w:rPr>
                <w:sz w:val="20"/>
                <w:szCs w:val="20"/>
              </w:rPr>
              <w:t>Rooms</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54.60%</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54.19%</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46.46%</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53.66%</w:t>
            </w:r>
          </w:p>
        </w:tc>
        <w:tc>
          <w:tcPr>
            <w:tcW w:w="490"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57.39%</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2" w:type="pct"/>
          </w:tcPr>
          <w:p>
            <w:pPr>
              <w:rPr>
                <w:b w:val="0"/>
                <w:sz w:val="20"/>
                <w:szCs w:val="20"/>
              </w:rPr>
            </w:pPr>
            <w:r>
              <w:rPr>
                <w:sz w:val="20"/>
                <w:szCs w:val="20"/>
              </w:rPr>
              <w:t>Food and beverage</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36.83%</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37.11%</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40.30%</w:t>
            </w:r>
          </w:p>
        </w:tc>
        <w:tc>
          <w:tcPr>
            <w:tcW w:w="492"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34.17%</w:t>
            </w:r>
          </w:p>
        </w:tc>
        <w:tc>
          <w:tcPr>
            <w:tcW w:w="490"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34.04%</w:t>
            </w:r>
          </w:p>
        </w:tc>
      </w:tr>
      <w:tr>
        <w:tc>
          <w:tcPr>
            <w:cnfStyle w:val="001000000000" w:firstRow="0" w:lastRow="0" w:firstColumn="1" w:lastColumn="0" w:oddVBand="0" w:evenVBand="0" w:oddHBand="0" w:evenHBand="0" w:firstRowFirstColumn="0" w:firstRowLastColumn="0" w:lastRowFirstColumn="0" w:lastRowLastColumn="0"/>
            <w:tcW w:w="2542" w:type="pct"/>
          </w:tcPr>
          <w:p>
            <w:pPr>
              <w:rPr>
                <w:b w:val="0"/>
                <w:sz w:val="20"/>
                <w:szCs w:val="20"/>
              </w:rPr>
            </w:pPr>
            <w:r>
              <w:rPr>
                <w:sz w:val="20"/>
                <w:szCs w:val="20"/>
              </w:rPr>
              <w:t>Others</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8.56%</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8.69%</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13.24%</w:t>
            </w:r>
          </w:p>
        </w:tc>
        <w:tc>
          <w:tcPr>
            <w:tcW w:w="492"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12.17%</w:t>
            </w:r>
          </w:p>
        </w:tc>
        <w:tc>
          <w:tcPr>
            <w:tcW w:w="490"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8.56%</w:t>
            </w:r>
          </w:p>
        </w:tc>
      </w:tr>
    </w:tbl>
    <w:p/>
    <w:p>
      <w:r>
        <w:t xml:space="preserve">Premier Inn is owned by Whitbread and is the UK’s biggest hotel brand with over 83,500 rooms in over 840 hotels. The company also has a growing presence in Germany with 9,000 rooms in 51 hotels (Page, 2019). </w:t>
      </w:r>
    </w:p>
    <w:p>
      <w:r>
        <w:t xml:space="preserve">Whitbread PLC (owner of Premier Inn) earns most of its revenue from United Kingdom. Total revenue of the company in FY’23 stood at 2,625.20 million pound, of which United Kingdom contributed 94.8%. However, in recent years, revenue contribution from Germany has also been increasing. Revenue from Germany was 117.5 million pound in FY’23 which was only 11.8 </w:t>
      </w:r>
      <w:r>
        <w:lastRenderedPageBreak/>
        <w:t xml:space="preserve">million pound in FY’20. Revenue contribution (%) from Germany has increased to 4.5% in FY’23 compared to 0.6% in FY’20. </w:t>
      </w:r>
    </w:p>
    <w:p/>
    <w:p>
      <w:r>
        <w:rPr>
          <w:noProof/>
        </w:rPr>
        <w:drawing>
          <wp:anchor distT="0" distB="0" distL="114300" distR="114300" simplePos="0" relativeHeight="251660288" behindDoc="0" locked="0" layoutInCell="1" allowOverlap="1">
            <wp:simplePos x="0" y="0"/>
            <wp:positionH relativeFrom="column">
              <wp:posOffset>876300</wp:posOffset>
            </wp:positionH>
            <wp:positionV relativeFrom="paragraph">
              <wp:posOffset>73660</wp:posOffset>
            </wp:positionV>
            <wp:extent cx="4572000" cy="2743200"/>
            <wp:effectExtent l="0" t="0" r="0" b="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p/>
    <w:p/>
    <w:p/>
    <w:p/>
    <w:p/>
    <w:p/>
    <w:tbl>
      <w:tblPr>
        <w:tblStyle w:val="GridTable4Accent3"/>
        <w:tblpPr w:leftFromText="180" w:rightFromText="180" w:vertAnchor="text" w:horzAnchor="margin" w:tblpY="300"/>
        <w:tblW w:w="5000" w:type="pct"/>
        <w:tblLook w:val="04A0" w:firstRow="1" w:lastRow="0" w:firstColumn="1" w:lastColumn="0" w:noHBand="0" w:noVBand="1"/>
      </w:tblPr>
      <w:tblGrid>
        <w:gridCol w:w="4768"/>
        <w:gridCol w:w="1213"/>
        <w:gridCol w:w="1171"/>
        <w:gridCol w:w="1212"/>
        <w:gridCol w:w="1212"/>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sz w:val="20"/>
                <w:szCs w:val="20"/>
              </w:rPr>
            </w:pPr>
            <w:r>
              <w:rPr>
                <w:sz w:val="20"/>
                <w:szCs w:val="20"/>
              </w:rPr>
              <w:t>Revenue by Country (In million poundS)</w:t>
            </w:r>
          </w:p>
        </w:tc>
        <w:tc>
          <w:tcPr>
            <w:tcW w:w="633"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2019-20</w:t>
            </w:r>
          </w:p>
        </w:tc>
        <w:tc>
          <w:tcPr>
            <w:tcW w:w="611"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2020-21</w:t>
            </w:r>
          </w:p>
        </w:tc>
        <w:tc>
          <w:tcPr>
            <w:tcW w:w="633"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2021-22</w:t>
            </w:r>
          </w:p>
        </w:tc>
        <w:tc>
          <w:tcPr>
            <w:tcW w:w="633" w:type="pct"/>
            <w:vAlign w:val="center"/>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2022-23</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b w:val="0"/>
                <w:sz w:val="20"/>
                <w:szCs w:val="20"/>
              </w:rPr>
            </w:pPr>
            <w:r>
              <w:rPr>
                <w:sz w:val="20"/>
                <w:szCs w:val="20"/>
              </w:rPr>
              <w:t>United Kingdom</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2,051.60</w:t>
            </w:r>
          </w:p>
        </w:tc>
        <w:tc>
          <w:tcPr>
            <w:tcW w:w="611" w:type="pct"/>
            <w:vAlign w:val="center"/>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575.5</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1,661.80</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2,487.70</w:t>
            </w:r>
          </w:p>
        </w:tc>
      </w:tr>
      <w:t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b w:val="0"/>
                <w:sz w:val="20"/>
                <w:szCs w:val="20"/>
              </w:rPr>
            </w:pPr>
            <w:r>
              <w:rPr>
                <w:sz w:val="20"/>
                <w:szCs w:val="20"/>
              </w:rPr>
              <w:t>Germany</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11.8</w:t>
            </w:r>
          </w:p>
        </w:tc>
        <w:tc>
          <w:tcPr>
            <w:tcW w:w="611" w:type="pct"/>
            <w:vAlign w:val="center"/>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11.5</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35.2</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117.5</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b w:val="0"/>
                <w:sz w:val="20"/>
                <w:szCs w:val="20"/>
              </w:rPr>
            </w:pPr>
            <w:r>
              <w:rPr>
                <w:sz w:val="20"/>
                <w:szCs w:val="20"/>
              </w:rPr>
              <w:t>Other</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8.1</w:t>
            </w:r>
          </w:p>
        </w:tc>
        <w:tc>
          <w:tcPr>
            <w:tcW w:w="611" w:type="pct"/>
            <w:vAlign w:val="center"/>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2.4</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6.4</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20</w:t>
            </w:r>
          </w:p>
        </w:tc>
      </w:tr>
      <w:t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sz w:val="20"/>
                <w:szCs w:val="20"/>
              </w:rPr>
            </w:pPr>
            <w:r>
              <w:rPr>
                <w:sz w:val="20"/>
                <w:szCs w:val="20"/>
              </w:rPr>
              <w:t>Total</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2,071.50</w:t>
            </w:r>
          </w:p>
        </w:tc>
        <w:tc>
          <w:tcPr>
            <w:tcW w:w="611"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589.40</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1,703.40</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b/>
                <w:sz w:val="20"/>
                <w:szCs w:val="20"/>
              </w:rPr>
              <w:t>2,625.20</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sz w:val="20"/>
                <w:szCs w:val="20"/>
              </w:rPr>
            </w:pPr>
            <w:r>
              <w:rPr>
                <w:sz w:val="20"/>
                <w:szCs w:val="20"/>
              </w:rPr>
              <w:t>Revenue by Country (%)</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2019-20</w:t>
            </w:r>
          </w:p>
        </w:tc>
        <w:tc>
          <w:tcPr>
            <w:tcW w:w="611" w:type="pct"/>
            <w:vAlign w:val="center"/>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2020-21</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2021-22</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b/>
                <w:sz w:val="20"/>
                <w:szCs w:val="20"/>
              </w:rPr>
              <w:t>2022-23</w:t>
            </w:r>
          </w:p>
        </w:tc>
      </w:tr>
      <w:t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b w:val="0"/>
                <w:sz w:val="20"/>
                <w:szCs w:val="20"/>
              </w:rPr>
            </w:pPr>
            <w:r>
              <w:rPr>
                <w:sz w:val="20"/>
                <w:szCs w:val="20"/>
              </w:rPr>
              <w:t>United Kingdom</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99.0%</w:t>
            </w:r>
          </w:p>
        </w:tc>
        <w:tc>
          <w:tcPr>
            <w:tcW w:w="611"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97.6%</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97.6%</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94.8%</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b w:val="0"/>
                <w:sz w:val="20"/>
                <w:szCs w:val="20"/>
              </w:rPr>
            </w:pPr>
            <w:r>
              <w:rPr>
                <w:sz w:val="20"/>
                <w:szCs w:val="20"/>
              </w:rPr>
              <w:t>Germany</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0.6%</w:t>
            </w:r>
          </w:p>
        </w:tc>
        <w:tc>
          <w:tcPr>
            <w:tcW w:w="611" w:type="pct"/>
            <w:vAlign w:val="center"/>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2.0%</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2.1%</w:t>
            </w:r>
          </w:p>
        </w:tc>
        <w:tc>
          <w:tcPr>
            <w:tcW w:w="633" w:type="pct"/>
            <w:vAlign w:val="center"/>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4.5%</w:t>
            </w:r>
          </w:p>
        </w:tc>
      </w:tr>
      <w:tr>
        <w:tc>
          <w:tcPr>
            <w:cnfStyle w:val="001000000000" w:firstRow="0" w:lastRow="0" w:firstColumn="1" w:lastColumn="0" w:oddVBand="0" w:evenVBand="0" w:oddHBand="0" w:evenHBand="0" w:firstRowFirstColumn="0" w:firstRowLastColumn="0" w:lastRowFirstColumn="0" w:lastRowLastColumn="0"/>
            <w:tcW w:w="2489" w:type="pct"/>
            <w:vAlign w:val="center"/>
          </w:tcPr>
          <w:p>
            <w:pPr>
              <w:jc w:val="left"/>
              <w:rPr>
                <w:b w:val="0"/>
                <w:sz w:val="20"/>
                <w:szCs w:val="20"/>
              </w:rPr>
            </w:pPr>
            <w:r>
              <w:rPr>
                <w:sz w:val="20"/>
                <w:szCs w:val="20"/>
              </w:rPr>
              <w:t>Other</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0.4%</w:t>
            </w:r>
          </w:p>
        </w:tc>
        <w:tc>
          <w:tcPr>
            <w:tcW w:w="611"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0.4%</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0.4%</w:t>
            </w:r>
          </w:p>
        </w:tc>
        <w:tc>
          <w:tcPr>
            <w:tcW w:w="633" w:type="pct"/>
            <w:vAlign w:val="center"/>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0.8%</w:t>
            </w:r>
          </w:p>
        </w:tc>
      </w:tr>
    </w:tbl>
    <w:p/>
    <w:p>
      <w:r>
        <w:t xml:space="preserve">The company has further segmented its revenues by two business operating segments: a. Accommodation; b. Food, beverage and other items (Knani, 2022). Contribution from accommodation business has grown from 64.1% in FY’20 to 72.2% in FY’23. However, during the same period, contribution from Food, beverage and other items has declined from 35.9% in FY’20 to 27.8% in FY’23. In FY’23, revenue from accommodation was BDT 1,895.10 million and Food, beverage and other items was 730.1 million. </w:t>
      </w:r>
    </w:p>
    <w:p/>
    <w:p/>
    <w:p/>
    <w:p/>
    <w:tbl>
      <w:tblPr>
        <w:tblStyle w:val="GridTable4Accent3"/>
        <w:tblpPr w:leftFromText="180" w:rightFromText="180" w:vertAnchor="text" w:horzAnchor="margin" w:tblpY="-74"/>
        <w:tblW w:w="5000" w:type="pct"/>
        <w:tblLook w:val="04A0" w:firstRow="1" w:lastRow="0" w:firstColumn="1" w:lastColumn="0" w:noHBand="0" w:noVBand="1"/>
      </w:tblPr>
      <w:tblGrid>
        <w:gridCol w:w="4826"/>
        <w:gridCol w:w="1199"/>
        <w:gridCol w:w="1155"/>
        <w:gridCol w:w="1199"/>
        <w:gridCol w:w="1197"/>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9" w:type="pct"/>
          </w:tcPr>
          <w:p>
            <w:pPr>
              <w:rPr>
                <w:sz w:val="20"/>
                <w:szCs w:val="20"/>
              </w:rPr>
            </w:pPr>
            <w:r>
              <w:rPr>
                <w:sz w:val="20"/>
                <w:szCs w:val="20"/>
              </w:rPr>
              <w:t>Revenue by Segments (In million pound)</w:t>
            </w:r>
          </w:p>
        </w:tc>
        <w:tc>
          <w:tcPr>
            <w:tcW w:w="626" w:type="pct"/>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2019-20</w:t>
            </w:r>
          </w:p>
        </w:tc>
        <w:tc>
          <w:tcPr>
            <w:tcW w:w="603" w:type="pct"/>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2020-21</w:t>
            </w:r>
          </w:p>
        </w:tc>
        <w:tc>
          <w:tcPr>
            <w:tcW w:w="626" w:type="pct"/>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2021-22</w:t>
            </w:r>
          </w:p>
        </w:tc>
        <w:tc>
          <w:tcPr>
            <w:tcW w:w="625" w:type="pct"/>
          </w:tcPr>
          <w:p>
            <w:pPr>
              <w:jc w:val="right"/>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2022-23</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9" w:type="pct"/>
          </w:tcPr>
          <w:p>
            <w:pPr>
              <w:rPr>
                <w:b w:val="0"/>
                <w:bCs w:val="0"/>
                <w:sz w:val="20"/>
                <w:szCs w:val="20"/>
              </w:rPr>
            </w:pPr>
            <w:r>
              <w:rPr>
                <w:sz w:val="20"/>
                <w:szCs w:val="20"/>
              </w:rPr>
              <w:t>Accommodation</w:t>
            </w:r>
          </w:p>
        </w:tc>
        <w:tc>
          <w:tcPr>
            <w:tcW w:w="626"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1,321.40</w:t>
            </w:r>
          </w:p>
        </w:tc>
        <w:tc>
          <w:tcPr>
            <w:tcW w:w="603"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398.7</w:t>
            </w:r>
          </w:p>
        </w:tc>
        <w:tc>
          <w:tcPr>
            <w:tcW w:w="626"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1,186.90</w:t>
            </w:r>
          </w:p>
        </w:tc>
        <w:tc>
          <w:tcPr>
            <w:tcW w:w="625" w:type="pct"/>
          </w:tcPr>
          <w:p>
            <w:pPr>
              <w:jc w:val="righ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1,895.10</w:t>
            </w:r>
          </w:p>
        </w:tc>
      </w:tr>
      <w:tr>
        <w:tc>
          <w:tcPr>
            <w:cnfStyle w:val="001000000000" w:firstRow="0" w:lastRow="0" w:firstColumn="1" w:lastColumn="0" w:oddVBand="0" w:evenVBand="0" w:oddHBand="0" w:evenHBand="0" w:firstRowFirstColumn="0" w:firstRowLastColumn="0" w:lastRowFirstColumn="0" w:lastRowLastColumn="0"/>
            <w:tcW w:w="2519" w:type="pct"/>
          </w:tcPr>
          <w:p>
            <w:pPr>
              <w:rPr>
                <w:b w:val="0"/>
                <w:bCs w:val="0"/>
                <w:sz w:val="20"/>
                <w:szCs w:val="20"/>
              </w:rPr>
            </w:pPr>
            <w:r>
              <w:rPr>
                <w:sz w:val="20"/>
                <w:szCs w:val="20"/>
              </w:rPr>
              <w:t>Food, beverage and other items</w:t>
            </w:r>
          </w:p>
        </w:tc>
        <w:tc>
          <w:tcPr>
            <w:tcW w:w="626"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740.7</w:t>
            </w:r>
          </w:p>
        </w:tc>
        <w:tc>
          <w:tcPr>
            <w:tcW w:w="603"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190.2</w:t>
            </w:r>
          </w:p>
        </w:tc>
        <w:tc>
          <w:tcPr>
            <w:tcW w:w="626"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516.5</w:t>
            </w:r>
          </w:p>
        </w:tc>
        <w:tc>
          <w:tcPr>
            <w:tcW w:w="625" w:type="pct"/>
          </w:tcPr>
          <w:p>
            <w:pPr>
              <w:jc w:val="righ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730.1</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9" w:type="pct"/>
          </w:tcPr>
          <w:p>
            <w:pPr>
              <w:rPr>
                <w:b w:val="0"/>
                <w:sz w:val="20"/>
                <w:szCs w:val="20"/>
              </w:rPr>
            </w:pPr>
            <w:r>
              <w:rPr>
                <w:sz w:val="20"/>
                <w:szCs w:val="20"/>
              </w:rPr>
              <w:t>Total</w:t>
            </w:r>
          </w:p>
        </w:tc>
        <w:tc>
          <w:tcPr>
            <w:tcW w:w="626" w:type="pct"/>
          </w:tcPr>
          <w:p>
            <w:pPr>
              <w:jc w:val="right"/>
              <w:cnfStyle w:val="000000100000" w:firstRow="0" w:lastRow="0" w:firstColumn="0" w:lastColumn="0" w:oddVBand="0" w:evenVBand="0" w:oddHBand="1" w:evenHBand="0" w:firstRowFirstColumn="0" w:firstRowLastColumn="0" w:lastRowFirstColumn="0" w:lastRowLastColumn="0"/>
              <w:rPr>
                <w:b/>
                <w:bCs/>
                <w:sz w:val="20"/>
                <w:szCs w:val="20"/>
              </w:rPr>
            </w:pPr>
            <w:r>
              <w:rPr>
                <w:b/>
                <w:bCs/>
                <w:sz w:val="20"/>
                <w:szCs w:val="20"/>
              </w:rPr>
              <w:t>2,062.10</w:t>
            </w:r>
          </w:p>
        </w:tc>
        <w:tc>
          <w:tcPr>
            <w:tcW w:w="603" w:type="pct"/>
          </w:tcPr>
          <w:p>
            <w:pPr>
              <w:jc w:val="right"/>
              <w:cnfStyle w:val="000000100000" w:firstRow="0" w:lastRow="0" w:firstColumn="0" w:lastColumn="0" w:oddVBand="0" w:evenVBand="0" w:oddHBand="1" w:evenHBand="0" w:firstRowFirstColumn="0" w:firstRowLastColumn="0" w:lastRowFirstColumn="0" w:lastRowLastColumn="0"/>
              <w:rPr>
                <w:b/>
                <w:bCs/>
                <w:sz w:val="20"/>
                <w:szCs w:val="20"/>
              </w:rPr>
            </w:pPr>
            <w:r>
              <w:rPr>
                <w:b/>
                <w:bCs/>
                <w:sz w:val="20"/>
                <w:szCs w:val="20"/>
              </w:rPr>
              <w:t>588.90</w:t>
            </w:r>
          </w:p>
        </w:tc>
        <w:tc>
          <w:tcPr>
            <w:tcW w:w="626" w:type="pct"/>
          </w:tcPr>
          <w:p>
            <w:pPr>
              <w:jc w:val="right"/>
              <w:cnfStyle w:val="000000100000" w:firstRow="0" w:lastRow="0" w:firstColumn="0" w:lastColumn="0" w:oddVBand="0" w:evenVBand="0" w:oddHBand="1" w:evenHBand="0" w:firstRowFirstColumn="0" w:firstRowLastColumn="0" w:lastRowFirstColumn="0" w:lastRowLastColumn="0"/>
              <w:rPr>
                <w:b/>
                <w:bCs/>
                <w:sz w:val="20"/>
                <w:szCs w:val="20"/>
              </w:rPr>
            </w:pPr>
            <w:r>
              <w:rPr>
                <w:b/>
                <w:bCs/>
                <w:sz w:val="20"/>
                <w:szCs w:val="20"/>
              </w:rPr>
              <w:t>1,703.40</w:t>
            </w:r>
          </w:p>
        </w:tc>
        <w:tc>
          <w:tcPr>
            <w:tcW w:w="625" w:type="pct"/>
          </w:tcPr>
          <w:p>
            <w:pPr>
              <w:jc w:val="right"/>
              <w:cnfStyle w:val="000000100000" w:firstRow="0" w:lastRow="0" w:firstColumn="0" w:lastColumn="0" w:oddVBand="0" w:evenVBand="0" w:oddHBand="1" w:evenHBand="0" w:firstRowFirstColumn="0" w:firstRowLastColumn="0" w:lastRowFirstColumn="0" w:lastRowLastColumn="0"/>
              <w:rPr>
                <w:b/>
                <w:bCs/>
                <w:sz w:val="20"/>
                <w:szCs w:val="20"/>
              </w:rPr>
            </w:pPr>
            <w:r>
              <w:rPr>
                <w:b/>
                <w:bCs/>
                <w:sz w:val="20"/>
                <w:szCs w:val="20"/>
              </w:rPr>
              <w:t>2,625.20</w:t>
            </w:r>
          </w:p>
        </w:tc>
      </w:tr>
      <w:tr>
        <w:tc>
          <w:tcPr>
            <w:cnfStyle w:val="001000000000" w:firstRow="0" w:lastRow="0" w:firstColumn="1" w:lastColumn="0" w:oddVBand="0" w:evenVBand="0" w:oddHBand="0" w:evenHBand="0" w:firstRowFirstColumn="0" w:firstRowLastColumn="0" w:lastRowFirstColumn="0" w:lastRowLastColumn="0"/>
            <w:tcW w:w="2519" w:type="pct"/>
          </w:tcPr>
          <w:p>
            <w:pPr>
              <w:rPr>
                <w:sz w:val="20"/>
                <w:szCs w:val="20"/>
              </w:rPr>
            </w:pPr>
            <w:r>
              <w:rPr>
                <w:sz w:val="20"/>
                <w:szCs w:val="20"/>
              </w:rPr>
              <w:t>Revenue by Country (%)</w:t>
            </w:r>
          </w:p>
        </w:tc>
        <w:tc>
          <w:tcPr>
            <w:tcW w:w="626" w:type="pct"/>
          </w:tcPr>
          <w:p>
            <w:pPr>
              <w:jc w:val="right"/>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2019-20</w:t>
            </w:r>
          </w:p>
        </w:tc>
        <w:tc>
          <w:tcPr>
            <w:tcW w:w="603" w:type="pct"/>
          </w:tcPr>
          <w:p>
            <w:pPr>
              <w:jc w:val="right"/>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2020-21</w:t>
            </w:r>
          </w:p>
        </w:tc>
        <w:tc>
          <w:tcPr>
            <w:tcW w:w="626" w:type="pct"/>
          </w:tcPr>
          <w:p>
            <w:pPr>
              <w:jc w:val="right"/>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2021-22</w:t>
            </w:r>
          </w:p>
        </w:tc>
        <w:tc>
          <w:tcPr>
            <w:tcW w:w="625" w:type="pct"/>
          </w:tcPr>
          <w:p>
            <w:pPr>
              <w:jc w:val="right"/>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2022-23</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9" w:type="pct"/>
          </w:tcPr>
          <w:p>
            <w:pPr>
              <w:rPr>
                <w:b w:val="0"/>
                <w:bCs w:val="0"/>
                <w:sz w:val="20"/>
                <w:szCs w:val="20"/>
              </w:rPr>
            </w:pPr>
            <w:r>
              <w:rPr>
                <w:sz w:val="20"/>
                <w:szCs w:val="20"/>
              </w:rPr>
              <w:t>Accommodation</w:t>
            </w:r>
          </w:p>
        </w:tc>
        <w:tc>
          <w:tcPr>
            <w:tcW w:w="626"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64.1%</w:t>
            </w:r>
          </w:p>
        </w:tc>
        <w:tc>
          <w:tcPr>
            <w:tcW w:w="603"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67.7%</w:t>
            </w:r>
          </w:p>
        </w:tc>
        <w:tc>
          <w:tcPr>
            <w:tcW w:w="626"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69.7%</w:t>
            </w:r>
          </w:p>
        </w:tc>
        <w:tc>
          <w:tcPr>
            <w:tcW w:w="625" w:type="pct"/>
          </w:tcPr>
          <w:p>
            <w:pPr>
              <w:jc w:val="right"/>
              <w:cnfStyle w:val="000000100000" w:firstRow="0" w:lastRow="0" w:firstColumn="0" w:lastColumn="0" w:oddVBand="0" w:evenVBand="0" w:oddHBand="1" w:evenHBand="0" w:firstRowFirstColumn="0" w:firstRowLastColumn="0" w:lastRowFirstColumn="0" w:lastRowLastColumn="0"/>
              <w:rPr>
                <w:b/>
                <w:sz w:val="20"/>
                <w:szCs w:val="20"/>
              </w:rPr>
            </w:pPr>
            <w:r>
              <w:rPr>
                <w:sz w:val="20"/>
                <w:szCs w:val="20"/>
              </w:rPr>
              <w:t>72.2%</w:t>
            </w:r>
          </w:p>
        </w:tc>
      </w:tr>
      <w:tr>
        <w:tc>
          <w:tcPr>
            <w:cnfStyle w:val="001000000000" w:firstRow="0" w:lastRow="0" w:firstColumn="1" w:lastColumn="0" w:oddVBand="0" w:evenVBand="0" w:oddHBand="0" w:evenHBand="0" w:firstRowFirstColumn="0" w:firstRowLastColumn="0" w:lastRowFirstColumn="0" w:lastRowLastColumn="0"/>
            <w:tcW w:w="2519" w:type="pct"/>
          </w:tcPr>
          <w:p>
            <w:pPr>
              <w:rPr>
                <w:b w:val="0"/>
                <w:bCs w:val="0"/>
                <w:sz w:val="20"/>
                <w:szCs w:val="20"/>
              </w:rPr>
            </w:pPr>
            <w:r>
              <w:rPr>
                <w:sz w:val="20"/>
                <w:szCs w:val="20"/>
              </w:rPr>
              <w:t>Food, beverage and other items</w:t>
            </w:r>
          </w:p>
        </w:tc>
        <w:tc>
          <w:tcPr>
            <w:tcW w:w="626"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35.9%</w:t>
            </w:r>
          </w:p>
        </w:tc>
        <w:tc>
          <w:tcPr>
            <w:tcW w:w="603"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32.3%</w:t>
            </w:r>
          </w:p>
        </w:tc>
        <w:tc>
          <w:tcPr>
            <w:tcW w:w="626"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30.3%</w:t>
            </w:r>
          </w:p>
        </w:tc>
        <w:tc>
          <w:tcPr>
            <w:tcW w:w="625" w:type="pct"/>
          </w:tcPr>
          <w:p>
            <w:pPr>
              <w:jc w:val="right"/>
              <w:cnfStyle w:val="000000000000" w:firstRow="0" w:lastRow="0" w:firstColumn="0" w:lastColumn="0" w:oddVBand="0" w:evenVBand="0" w:oddHBand="0" w:evenHBand="0" w:firstRowFirstColumn="0" w:firstRowLastColumn="0" w:lastRowFirstColumn="0" w:lastRowLastColumn="0"/>
              <w:rPr>
                <w:b/>
                <w:sz w:val="20"/>
                <w:szCs w:val="20"/>
              </w:rPr>
            </w:pPr>
            <w:r>
              <w:rPr>
                <w:sz w:val="20"/>
                <w:szCs w:val="20"/>
              </w:rPr>
              <w:t>27.8%</w:t>
            </w:r>
          </w:p>
        </w:tc>
      </w:tr>
    </w:tbl>
    <w:p>
      <w:r>
        <w:t xml:space="preserve">The impact of Covid-19 was felt across hospitality industries and Whitbread PLC was no exception. The company has lost 71.44% revenue in FY’21, however, has recovered in FY’22 and FY’23 by achieving 189.25% and 54.12% revenue growth respectively. Recovery of office-based business demand in London was one of the major drivers in revenue in recent years (Whitbread, </w:t>
      </w:r>
      <w:r>
        <w:rPr>
          <w:i/>
          <w:iCs/>
        </w:rPr>
        <w:t>Results, reports and presentations</w:t>
      </w:r>
      <w:r>
        <w:t xml:space="preserve"> 2023). </w:t>
      </w:r>
    </w:p>
    <w:p>
      <w:pPr>
        <w:pStyle w:val="Heading1"/>
        <w:numPr>
          <w:ilvl w:val="0"/>
          <w:numId w:val="1"/>
        </w:numPr>
      </w:pPr>
      <w:bookmarkStart w:id="4" w:name="_Toc147157738"/>
      <w:r>
        <w:t>Market Position</w:t>
      </w:r>
      <w:bookmarkEnd w:id="4"/>
    </w:p>
    <w:p>
      <w:r>
        <w:t xml:space="preserve">Mandarin Oriental Hotel Group has more geographical footprints while Premier Inn earns most of its revenue from United Kingdom (Wilson, 2018). For this reason, Premier Inn is also more vulnerable to the shock in the overall economy of United Kingdom. Food and Beverage brings a significant amount of revenue for Mandarin Oriental Hotel Group while Premier Inn contribution is less and decreasing each year. </w:t>
      </w:r>
    </w:p>
    <w:p>
      <w:r>
        <w:t xml:space="preserve">Mandarin Oriental hotel is a luxury hotel brand that caters to high end affluent clientele. The typical customer demographics of Mandarin Oriental Hotels include: (a) Affluent travelers; (b) Business travelers; (c) Luxury tourists; (d) Couples and honeymooners; (e) Event and wedding guests; (f) International travelers; (g) Repeat guests. Although these are common demographics of Mandarin Oriental hotel, the specific demographics can vary from on property to another property and may evolve over time (Mishra &amp; Verma, 2018). </w:t>
      </w:r>
    </w:p>
    <w:p>
      <w:r>
        <w:lastRenderedPageBreak/>
        <w:t xml:space="preserve">The brand of Mandarin Oriental hotel group is perceived as one of luxury and elegance. The group is also often praised for its exceptional service. Most of the Mandarin Oriental properties are located at prestigious and sought after destinations that offers guests convenient access to city centers, cultural attractions and scenic views (McKinsey &amp; Company, 2022). Also, Mandarin Oriental Hotels are known for having Culinary Excellence and World-Class Spa and Wellness facilities. The brand has a loyalty program that has helped cultivate a loyal customer base by providing rewards and exclusive privileges to frequent guests (Baum, 2011). </w:t>
      </w:r>
    </w:p>
    <w:p>
      <w:r>
        <w:t xml:space="preserve">Premier Inn is known for providing affordable and comfortable accommodations. The typical customer demographics for Premier Inn includes: (a) Budget-Conscious travelers; (b) Leisure travelers; (c) Business travelers; (d) Tourists; (e) Families; (f) Seniors; (g) Long-term stays; (h) Travelers on a budget; (i) Group travel; (j) Local residents. Although Premier Inn is known for its affordability and accessibility, the specific customer demographics can vary across locations (Kokkinou &amp; Josephi, 2019). </w:t>
      </w:r>
    </w:p>
    <w:p>
      <w:r>
        <w:t xml:space="preserve">Premier Inn is perceived as an affordable brand. The company is often seen as a cost-effective option for travelers who are looking for comfortable accommodations without spending too much money. Premier Inn is known for its consistent quality and standardized amenities across its properties. Premier Inn is also perceived as a family-friendly brand with spacious rooms and facilities suitable for families with children (Pfister, 2021). The brand is associated with convenience owing to its strategic locations close to city centers, business districts, tourist destinations, airports etc. The hotel chain provides Wi-Fi and meeting facilities and hence attracts business travelers. Premier Inn harbors a loyal customer base and many guests after having positive experiences become repeat customers (Andrew et al., 2007). </w:t>
      </w:r>
    </w:p>
    <w:p>
      <w:pPr>
        <w:pStyle w:val="Heading1"/>
        <w:numPr>
          <w:ilvl w:val="0"/>
          <w:numId w:val="1"/>
        </w:numPr>
      </w:pPr>
      <w:bookmarkStart w:id="5" w:name="_Toc147157739"/>
      <w:r>
        <w:t>Growth Potential</w:t>
      </w:r>
      <w:bookmarkEnd w:id="5"/>
    </w:p>
    <w:p>
      <w:r>
        <w:t xml:space="preserve">Mandarin Oriental Hotel Group is focused on expanding by growing Mandarin Oriental Exclusive Homes, its online retail shop M.O. and through its strategic alliance with The Oberoi Group. The long-term objective of the company is to evolve from a luxury hospitality brand to a luxury brand. The company partners with other brands to continue to enhance the brand beyond its current levels (Pendergast, 2020). In 2022, the company has announced seven new management contracts in Costa Navarino (Greece), the Maldives, Cairo, Cortina (Italy), Tianfu (China), Kuwait, and Bai Nom (Vietnam) to expand the group’s presence into new countries and </w:t>
      </w:r>
      <w:r>
        <w:lastRenderedPageBreak/>
        <w:t xml:space="preserve">new propositions . The company is expected to open 26 new projects in the next five years. The company has growth opportunities by tapping on global expansion and expanding in emerging markets in Asia, Middle East and Africa. Potential barriers to growth for the company are Economic Downturns, Competition, Regulatory &amp; Compliance Challenges and Geopolitical risks (Aima et al., 2014). </w:t>
      </w:r>
    </w:p>
    <w:p>
      <w:r>
        <w:t xml:space="preserve">Premier Inn’s expansion is driven by levels of potential financial return, drawing on possible development options, building new hotels, conversion, single site acquisitions and extensions. International expansion of the company is mostly focused in Germany. The company has potential market opportunities by capitalizing on the growing trend of domestic tourism in UK and by continuing to provide economic value to its customers. Potential barriers to growth for the company are adverse macroeconomic conditions, geopolitical risks, brand reputations and supply chain disruptions (Mishra &amp; Verma, 2018). </w:t>
      </w:r>
    </w:p>
    <w:p>
      <w:pPr>
        <w:pStyle w:val="Heading1"/>
        <w:numPr>
          <w:ilvl w:val="0"/>
          <w:numId w:val="1"/>
        </w:numPr>
      </w:pPr>
      <w:bookmarkStart w:id="6" w:name="_Toc147157740"/>
      <w:r>
        <w:t>Financial Commitment to CSR (Corporate Social Responsibility)</w:t>
      </w:r>
      <w:bookmarkEnd w:id="6"/>
    </w:p>
    <w:p>
      <w:r>
        <w:t xml:space="preserve">Mandarin Oriental Hotel Group’s Corporate Social Responsibility (CSR) motto is “Acting with Responsibility”. The company has donated over $65,000 to US colleague charities. The company has provided support to Asian Cultural Council’s Mandarin Oriental Fellowship for Cultural Heritage Preservation for 17 years. The company has also donated over $1.5 million in support of diverse social segments in various communities (Nesterova, 2022). The company has appointed Lloyd’s Register Quality Assurance (‘LRQA’) in 2022 and aims to eliminate 99% single use plastics and wants to procure 100% responsibly procured coffee, tea, cocoa, vanilla, paper and avoid endangered seafood types (Mollenkamp, 2022). </w:t>
      </w:r>
    </w:p>
    <w:p>
      <w:r>
        <w:t xml:space="preserve">Premier Inn is committed to responsibly sourcing Soy, Cotton, Cocoa, Sugar, Meat, Palm Oil and Timber. The company is also engaged in several forms of sustainability reporting such as Environmental, Social and Governance Report, TCFD (Task Force on Climate-related Financial Disclosures) reporting, SASB (Sustainability Accounting Standards Board) reporting, CDP (Carbon Disclosure Project) etc. For the German customers of Premier Inn, sustainability issues are a top priority and the company takes great care to implement sustainability principles and ESG practices (Walker, 2017). </w:t>
      </w:r>
    </w:p>
    <w:p>
      <w:pPr>
        <w:sectPr>
          <w:pgSz w:w="12240" w:h="15840"/>
          <w:pgMar w:top="1440" w:right="1440" w:bottom="1440" w:left="1440" w:header="720" w:footer="720" w:gutter="0"/>
          <w:cols w:space="720"/>
          <w:docGrid w:linePitch="360"/>
        </w:sectPr>
      </w:pPr>
    </w:p>
    <w:p>
      <w:pPr>
        <w:pStyle w:val="Heading1"/>
      </w:pPr>
      <w:bookmarkStart w:id="7" w:name="_Toc147157741"/>
      <w:r>
        <w:lastRenderedPageBreak/>
        <w:t>Conclusion and Recommendations</w:t>
      </w:r>
      <w:bookmarkEnd w:id="7"/>
    </w:p>
    <w:p>
      <w:r>
        <w:t xml:space="preserve">Although Mandarin Oriental Hotel Group has made significant strides in recovery after Covid-19 pandemic, the company is still highly reliant on revenues from renting rooms which accounted for 57.39% of its revenue in 2022. To lessen risk and increase long term sustainability, the company should consider diversifying its revenue sources by increasing its Food and Beverage offerings, exploring new business segments such as wellness and spa services and expanding its digital sales channels . </w:t>
      </w:r>
    </w:p>
    <w:p>
      <w:r>
        <w:t>Premier Inn has been successful in expanding its presence in Germany and this is a positive sign for the growth prospect of the company. To further reduce its dependence on the UK market, the company should accelerate its international expansion efforts. Targeting other European markets or emerging economies with a growing middle class and tourism industry could give significant opportunities to diversify the company’s revenue. Additionally, Premier Inn should continue to put emphasis on sustainability initiatives, as they match with the preferences of the modern travelers and can increase the brand's appeal in international markets.</w:t>
      </w:r>
    </w:p>
    <w:p>
      <w:pPr>
        <w:sectPr>
          <w:pgSz w:w="12240" w:h="15840"/>
          <w:pgMar w:top="1440" w:right="1440" w:bottom="1440" w:left="1440" w:header="720" w:footer="720" w:gutter="0"/>
          <w:cols w:space="720"/>
          <w:docGrid w:linePitch="360"/>
        </w:sectPr>
      </w:pPr>
    </w:p>
    <w:p>
      <w:pPr>
        <w:pStyle w:val="Heading1"/>
      </w:pPr>
      <w:bookmarkStart w:id="8" w:name="_Toc147157742"/>
      <w:r>
        <w:lastRenderedPageBreak/>
        <w:t>References</w:t>
      </w:r>
      <w:bookmarkEnd w:id="8"/>
    </w:p>
    <w:p>
      <w:pPr>
        <w:pStyle w:val="NormalWeb"/>
        <w:ind w:left="567" w:hanging="567"/>
      </w:pPr>
      <w:r>
        <w:t xml:space="preserve">Baum, T. (2011) </w:t>
      </w:r>
      <w:r>
        <w:rPr>
          <w:i/>
          <w:iCs/>
        </w:rPr>
        <w:t>Hospitality management</w:t>
      </w:r>
      <w:r>
        <w:t xml:space="preserve">. Los Angeles: Sage. </w:t>
      </w:r>
    </w:p>
    <w:p>
      <w:r>
        <w:t>Andrew, W.P., Damitio, J.W. and Schmidgall, R.S. (2007) Financial Management for the Hospitality Industry. Upper Saddle River: Pearson Prentice Hall.</w:t>
      </w:r>
    </w:p>
    <w:p>
      <w:r>
        <w:t>Aima, A., Chauhan, V. and Bhasin, J. (2014) Contemporary trends in tourism and Hospitality Management. Delhi: Primus Books.</w:t>
      </w:r>
    </w:p>
    <w:p>
      <w:r>
        <w:t>Walker, L. (2017) Tourism and hospitality management. New York: Larsen and Keller Education.</w:t>
      </w:r>
    </w:p>
    <w:p>
      <w:r>
        <w:t>Nunkoo, R. (2020) Handbook of Research Methods for Tourism and hospitality management. Cheltenham, UK: Edward Elgar Publishing.</w:t>
      </w:r>
    </w:p>
    <w:p>
      <w:r>
        <w:t>OKUMUS, F. (2010) ‘Strategic management in hospitality and tourism’, Strategic Management for Hospitality and Tourism, pp. 19–38. doi:10.1016/b978-0-7506-6522-3.00002-x.\</w:t>
      </w:r>
    </w:p>
    <w:p>
      <w:r>
        <w:t>Knani, M. (2022) ‘What motivates tourism and hospitality employees to practice presenteeism?’, Journal of Hospitality and Tourism Management, 52, pp. 198–207. doi:10.1016/j.jhtm.2022.06.017.</w:t>
      </w:r>
    </w:p>
    <w:p>
      <w:r>
        <w:t>Financial reports (no date) Luxury 5 Star Hotels &amp;amp; Resorts Worldwide. Available at: https://www.mandarinoriental.com/en/investors/financial-reports (Accessed: 02 October 2023).</w:t>
      </w:r>
    </w:p>
    <w:p>
      <w:r>
        <w:t>Results, reports and presentations (2023) Whitbread PLC. Available at: https://www.whitbread.co.uk/investors/results-reports-and-presentations/ (Accessed: 02 October 2023).</w:t>
      </w:r>
    </w:p>
    <w:p>
      <w:pPr>
        <w:spacing w:before="100" w:beforeAutospacing="1" w:after="100" w:afterAutospacing="1" w:line="240" w:lineRule="auto"/>
        <w:ind w:left="567" w:hanging="567"/>
        <w:jc w:val="left"/>
        <w:rPr>
          <w:rFonts w:eastAsia="Times New Roman" w:cs="Times New Roman"/>
          <w:kern w:val="0"/>
          <w:szCs w:val="24"/>
          <w14:ligatures w14:val="none"/>
        </w:rPr>
      </w:pPr>
      <w:r>
        <w:rPr>
          <w:rFonts w:eastAsia="Times New Roman" w:cs="Times New Roman"/>
          <w:kern w:val="0"/>
          <w:szCs w:val="24"/>
          <w14:ligatures w14:val="none"/>
        </w:rPr>
        <w:t xml:space="preserve">Page, S. (2019) </w:t>
      </w:r>
      <w:r>
        <w:rPr>
          <w:rFonts w:eastAsia="Times New Roman" w:cs="Times New Roman"/>
          <w:i/>
          <w:iCs/>
          <w:kern w:val="0"/>
          <w:szCs w:val="24"/>
          <w14:ligatures w14:val="none"/>
        </w:rPr>
        <w:t>Tourism management</w:t>
      </w:r>
      <w:r>
        <w:rPr>
          <w:rFonts w:eastAsia="Times New Roman" w:cs="Times New Roman"/>
          <w:kern w:val="0"/>
          <w:szCs w:val="24"/>
          <w14:ligatures w14:val="none"/>
        </w:rPr>
        <w:t xml:space="preserve">. New York: Routledge. </w:t>
      </w:r>
    </w:p>
    <w:p>
      <w:r>
        <w:t>Wilson, C. (2018) Financial management. South Melbourne, Victoria: Cengage Learning Australia.</w:t>
      </w:r>
    </w:p>
    <w:p>
      <w:r>
        <w:t>Mishra, P.K. and Verma, J.K. (2018) Tourism Industry: Opportunities and challenges. New Delhi: A.P.H. Publishing Corporation.</w:t>
      </w:r>
    </w:p>
    <w:p>
      <w:pPr>
        <w:pStyle w:val="NormalWeb"/>
        <w:ind w:left="567" w:hanging="567"/>
      </w:pPr>
      <w:r>
        <w:rPr>
          <w:i/>
          <w:iCs/>
        </w:rPr>
        <w:t>European hotel chain expansion</w:t>
      </w:r>
      <w:r>
        <w:t xml:space="preserve"> (2022). London: Mintel. </w:t>
      </w:r>
    </w:p>
    <w:p>
      <w:r>
        <w:lastRenderedPageBreak/>
        <w:t>Dennis, K.M.-L. (2012) Business growth. Newcastle, N.S.W.: Round Room (Australia).</w:t>
      </w:r>
    </w:p>
    <w:p>
      <w:r>
        <w:t>Choosing to grow: The leader’s blueprint (2022) McKinsey &amp;amp; Company. Available at: https://www.mckinsey.com/capabilities/growth-marketing-and-sales/our-insights/choosing-to-grow-the-leaders-blueprint (Accessed: 02 October 2023).</w:t>
      </w:r>
    </w:p>
    <w:p>
      <w:r>
        <w:t>Gillespie, A. (2019) ‘Strategies for growth’, Economics for Business [Preprint]. doi:10.1093/hebz/9780198786030.003.0010.</w:t>
      </w:r>
    </w:p>
    <w:p>
      <w:r>
        <w:t>Kokkinou, A. and Josephi, S. (2019) ‘Quality Management in Hospitality’, Hospitality Experience, pp. 214–248. doi:10.4324/9781003023814-8.</w:t>
      </w:r>
    </w:p>
    <w:p>
      <w:r>
        <w:t>Mishra, P.K. and Verma, J.K. (2018) Tourism Industry: Opportunities and challenges. New Delhi: A.P.H. Publishing Corporation.</w:t>
      </w:r>
    </w:p>
    <w:p>
      <w:r>
        <w:t>Mollenkamp, D.T. (no date) What is sustainability? how sustainabilities work, benefits, and example, Investopedia. Available at: https://www.investopedia.com/terms/s/sustainability.asp (Accessed: 02 October 2023).</w:t>
      </w:r>
    </w:p>
    <w:p>
      <w:r>
        <w:t>Nesterova, A.A. (2022) ‘ESG-asset, ESG-liability and ESG-equity as a way to reflect sustainable development goals in financial statements’, Research result Economic Research, 8(4). doi:10.18413/2409-1634-2022-8-4-0-6.</w:t>
      </w:r>
    </w:p>
    <w:p>
      <w:r>
        <w:t>Pendergast, J.M. (2020) ‘How much growth is right for our business?’, Healthy Growth for the Family Business, pp. 25–31. doi:10.1007/978-1-137-51260-4_4.</w:t>
      </w:r>
    </w:p>
    <w:p>
      <w:r>
        <w:t>Pfister, T. (2021) Sustainability. London: Routledge Taylor &amp;amp; Francis Group.</w:t>
      </w:r>
    </w:p>
    <w:p>
      <w:r>
        <w:t>Thompson, P.B. and Norris, P.E. (2021) Sustainability [Preprint]. doi:10.1093/wentk/9780190883249.003.0009.</w:t>
      </w:r>
    </w:p>
    <w:p>
      <w:r>
        <w:t>Wilson, C. (2018) Financial management. South Melbourne, Victoria: Cengage Learning Australia.</w:t>
      </w:r>
    </w:p>
    <w:p>
      <w:pPr>
        <w:pStyle w:val="NormalWeb"/>
        <w:ind w:left="567" w:hanging="567"/>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E7642A"/>
    <w:multiLevelType w:val="hybridMultilevel"/>
    <w:tmpl w:val="90463E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after="0"/>
      <w:outlineLvl w:val="0"/>
    </w:pPr>
    <w:rPr>
      <w:rFonts w:eastAsiaTheme="majorEastAsia"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stTable6Colorful">
    <w:name w:val="List Table 6 Colorful"/>
    <w:basedOn w:val="TableNormal"/>
    <w:uiPriority w:val="51"/>
    <w:pPr>
      <w:spacing w:after="0" w:line="240" w:lineRule="auto"/>
    </w:pPr>
    <w:rPr>
      <w:color w:val="000000" w:themeColor="text1"/>
    </w:rPr>
    <w:tblPr>
      <w:tblStyleRowBandSize w:val="1"/>
      <w:tblStyleColBandSize w:val="1"/>
      <w:tblInd w:w="0" w:type="dxa"/>
      <w:tblBorders>
        <w:top w:val="single" w:sz="4" w:space="0" w:color="000000" w:themeColor="text1"/>
        <w:bottom w:val="single" w:sz="4" w:space="0" w:color="000000" w:themeColor="text1"/>
      </w:tblBorders>
      <w:tblCellMar>
        <w:top w:w="0" w:type="dxa"/>
        <w:left w:w="108" w:type="dxa"/>
        <w:bottom w:w="0" w:type="dxa"/>
        <w:right w:w="108" w:type="dxa"/>
      </w:tblCellMar>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3">
    <w:name w:val="Grid Table 4 Accent 3"/>
    <w:basedOn w:val="TableNormal"/>
    <w:uiPriority w:val="49"/>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2F5496" w:themeColor="accent1" w:themeShade="BF"/>
      <w:sz w:val="28"/>
      <w:szCs w:val="32"/>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kern w:val="0"/>
      <w:szCs w:val="24"/>
      <w14:ligatures w14:val="none"/>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pPr>
      <w:spacing w:before="240" w:line="259" w:lineRule="auto"/>
      <w:jc w:val="left"/>
      <w:outlineLvl w:val="9"/>
    </w:pPr>
    <w:rPr>
      <w:rFonts w:asciiTheme="majorHAnsi" w:hAnsiTheme="majorHAnsi"/>
      <w:b w:val="0"/>
      <w:kern w:val="0"/>
      <w:sz w:val="32"/>
      <w14:ligatures w14:val="none"/>
    </w:rPr>
  </w:style>
  <w:style w:type="paragraph" w:styleId="TOC1">
    <w:name w:val="toc 1"/>
    <w:basedOn w:val="Normal"/>
    <w:next w:val="Normal"/>
    <w:autoRedefine/>
    <w:uiPriority w:val="39"/>
    <w:unhideWhenUsed/>
    <w:pPr>
      <w:spacing w:after="100"/>
    </w:p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after="0"/>
      <w:outlineLvl w:val="0"/>
    </w:pPr>
    <w:rPr>
      <w:rFonts w:eastAsiaTheme="majorEastAsia"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stTable6Colorful">
    <w:name w:val="List Table 6 Colorful"/>
    <w:basedOn w:val="TableNormal"/>
    <w:uiPriority w:val="51"/>
    <w:pPr>
      <w:spacing w:after="0" w:line="240" w:lineRule="auto"/>
    </w:pPr>
    <w:rPr>
      <w:color w:val="000000" w:themeColor="text1"/>
    </w:rPr>
    <w:tblPr>
      <w:tblStyleRowBandSize w:val="1"/>
      <w:tblStyleColBandSize w:val="1"/>
      <w:tblInd w:w="0" w:type="dxa"/>
      <w:tblBorders>
        <w:top w:val="single" w:sz="4" w:space="0" w:color="000000" w:themeColor="text1"/>
        <w:bottom w:val="single" w:sz="4" w:space="0" w:color="000000" w:themeColor="text1"/>
      </w:tblBorders>
      <w:tblCellMar>
        <w:top w:w="0" w:type="dxa"/>
        <w:left w:w="108" w:type="dxa"/>
        <w:bottom w:w="0" w:type="dxa"/>
        <w:right w:w="108" w:type="dxa"/>
      </w:tblCellMar>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3">
    <w:name w:val="Grid Table 4 Accent 3"/>
    <w:basedOn w:val="TableNormal"/>
    <w:uiPriority w:val="49"/>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2F5496" w:themeColor="accent1" w:themeShade="BF"/>
      <w:sz w:val="28"/>
      <w:szCs w:val="32"/>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kern w:val="0"/>
      <w:szCs w:val="24"/>
      <w14:ligatures w14:val="none"/>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pPr>
      <w:spacing w:before="240" w:line="259" w:lineRule="auto"/>
      <w:jc w:val="left"/>
      <w:outlineLvl w:val="9"/>
    </w:pPr>
    <w:rPr>
      <w:rFonts w:asciiTheme="majorHAnsi" w:hAnsiTheme="majorHAnsi"/>
      <w:b w:val="0"/>
      <w:kern w:val="0"/>
      <w:sz w:val="32"/>
      <w14:ligatures w14:val="none"/>
    </w:rPr>
  </w:style>
  <w:style w:type="paragraph" w:styleId="TOC1">
    <w:name w:val="toc 1"/>
    <w:basedOn w:val="Normal"/>
    <w:next w:val="Normal"/>
    <w:autoRedefine/>
    <w:uiPriority w:val="39"/>
    <w:unhideWhenUsed/>
    <w:pPr>
      <w:spacing w:after="100"/>
    </w:p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77974">
      <w:bodyDiv w:val="1"/>
      <w:marLeft w:val="0"/>
      <w:marRight w:val="0"/>
      <w:marTop w:val="0"/>
      <w:marBottom w:val="0"/>
      <w:divBdr>
        <w:top w:val="none" w:sz="0" w:space="0" w:color="auto"/>
        <w:left w:val="none" w:sz="0" w:space="0" w:color="auto"/>
        <w:bottom w:val="none" w:sz="0" w:space="0" w:color="auto"/>
        <w:right w:val="none" w:sz="0" w:space="0" w:color="auto"/>
      </w:divBdr>
    </w:div>
    <w:div w:id="40909936">
      <w:bodyDiv w:val="1"/>
      <w:marLeft w:val="0"/>
      <w:marRight w:val="0"/>
      <w:marTop w:val="0"/>
      <w:marBottom w:val="0"/>
      <w:divBdr>
        <w:top w:val="none" w:sz="0" w:space="0" w:color="auto"/>
        <w:left w:val="none" w:sz="0" w:space="0" w:color="auto"/>
        <w:bottom w:val="none" w:sz="0" w:space="0" w:color="auto"/>
        <w:right w:val="none" w:sz="0" w:space="0" w:color="auto"/>
      </w:divBdr>
    </w:div>
    <w:div w:id="266154623">
      <w:bodyDiv w:val="1"/>
      <w:marLeft w:val="0"/>
      <w:marRight w:val="0"/>
      <w:marTop w:val="0"/>
      <w:marBottom w:val="0"/>
      <w:divBdr>
        <w:top w:val="none" w:sz="0" w:space="0" w:color="auto"/>
        <w:left w:val="none" w:sz="0" w:space="0" w:color="auto"/>
        <w:bottom w:val="none" w:sz="0" w:space="0" w:color="auto"/>
        <w:right w:val="none" w:sz="0" w:space="0" w:color="auto"/>
      </w:divBdr>
    </w:div>
    <w:div w:id="306011562">
      <w:bodyDiv w:val="1"/>
      <w:marLeft w:val="0"/>
      <w:marRight w:val="0"/>
      <w:marTop w:val="0"/>
      <w:marBottom w:val="0"/>
      <w:divBdr>
        <w:top w:val="none" w:sz="0" w:space="0" w:color="auto"/>
        <w:left w:val="none" w:sz="0" w:space="0" w:color="auto"/>
        <w:bottom w:val="none" w:sz="0" w:space="0" w:color="auto"/>
        <w:right w:val="none" w:sz="0" w:space="0" w:color="auto"/>
      </w:divBdr>
    </w:div>
    <w:div w:id="492722076">
      <w:bodyDiv w:val="1"/>
      <w:marLeft w:val="0"/>
      <w:marRight w:val="0"/>
      <w:marTop w:val="0"/>
      <w:marBottom w:val="0"/>
      <w:divBdr>
        <w:top w:val="none" w:sz="0" w:space="0" w:color="auto"/>
        <w:left w:val="none" w:sz="0" w:space="0" w:color="auto"/>
        <w:bottom w:val="none" w:sz="0" w:space="0" w:color="auto"/>
        <w:right w:val="none" w:sz="0" w:space="0" w:color="auto"/>
      </w:divBdr>
    </w:div>
    <w:div w:id="631640156">
      <w:bodyDiv w:val="1"/>
      <w:marLeft w:val="0"/>
      <w:marRight w:val="0"/>
      <w:marTop w:val="0"/>
      <w:marBottom w:val="0"/>
      <w:divBdr>
        <w:top w:val="none" w:sz="0" w:space="0" w:color="auto"/>
        <w:left w:val="none" w:sz="0" w:space="0" w:color="auto"/>
        <w:bottom w:val="none" w:sz="0" w:space="0" w:color="auto"/>
        <w:right w:val="none" w:sz="0" w:space="0" w:color="auto"/>
      </w:divBdr>
    </w:div>
    <w:div w:id="881207326">
      <w:bodyDiv w:val="1"/>
      <w:marLeft w:val="0"/>
      <w:marRight w:val="0"/>
      <w:marTop w:val="0"/>
      <w:marBottom w:val="0"/>
      <w:divBdr>
        <w:top w:val="none" w:sz="0" w:space="0" w:color="auto"/>
        <w:left w:val="none" w:sz="0" w:space="0" w:color="auto"/>
        <w:bottom w:val="none" w:sz="0" w:space="0" w:color="auto"/>
        <w:right w:val="none" w:sz="0" w:space="0" w:color="auto"/>
      </w:divBdr>
    </w:div>
    <w:div w:id="926305907">
      <w:bodyDiv w:val="1"/>
      <w:marLeft w:val="0"/>
      <w:marRight w:val="0"/>
      <w:marTop w:val="0"/>
      <w:marBottom w:val="0"/>
      <w:divBdr>
        <w:top w:val="none" w:sz="0" w:space="0" w:color="auto"/>
        <w:left w:val="none" w:sz="0" w:space="0" w:color="auto"/>
        <w:bottom w:val="none" w:sz="0" w:space="0" w:color="auto"/>
        <w:right w:val="none" w:sz="0" w:space="0" w:color="auto"/>
      </w:divBdr>
    </w:div>
    <w:div w:id="1120495522">
      <w:bodyDiv w:val="1"/>
      <w:marLeft w:val="0"/>
      <w:marRight w:val="0"/>
      <w:marTop w:val="0"/>
      <w:marBottom w:val="0"/>
      <w:divBdr>
        <w:top w:val="none" w:sz="0" w:space="0" w:color="auto"/>
        <w:left w:val="none" w:sz="0" w:space="0" w:color="auto"/>
        <w:bottom w:val="none" w:sz="0" w:space="0" w:color="auto"/>
        <w:right w:val="none" w:sz="0" w:space="0" w:color="auto"/>
      </w:divBdr>
    </w:div>
    <w:div w:id="1561821053">
      <w:bodyDiv w:val="1"/>
      <w:marLeft w:val="0"/>
      <w:marRight w:val="0"/>
      <w:marTop w:val="0"/>
      <w:marBottom w:val="0"/>
      <w:divBdr>
        <w:top w:val="none" w:sz="0" w:space="0" w:color="auto"/>
        <w:left w:val="none" w:sz="0" w:space="0" w:color="auto"/>
        <w:bottom w:val="none" w:sz="0" w:space="0" w:color="auto"/>
        <w:right w:val="none" w:sz="0" w:space="0" w:color="auto"/>
      </w:divBdr>
    </w:div>
    <w:div w:id="1565410662">
      <w:bodyDiv w:val="1"/>
      <w:marLeft w:val="0"/>
      <w:marRight w:val="0"/>
      <w:marTop w:val="0"/>
      <w:marBottom w:val="0"/>
      <w:divBdr>
        <w:top w:val="none" w:sz="0" w:space="0" w:color="auto"/>
        <w:left w:val="none" w:sz="0" w:space="0" w:color="auto"/>
        <w:bottom w:val="none" w:sz="0" w:space="0" w:color="auto"/>
        <w:right w:val="none" w:sz="0" w:space="0" w:color="auto"/>
      </w:divBdr>
    </w:div>
    <w:div w:id="1683163972">
      <w:bodyDiv w:val="1"/>
      <w:marLeft w:val="0"/>
      <w:marRight w:val="0"/>
      <w:marTop w:val="0"/>
      <w:marBottom w:val="0"/>
      <w:divBdr>
        <w:top w:val="none" w:sz="0" w:space="0" w:color="auto"/>
        <w:left w:val="none" w:sz="0" w:space="0" w:color="auto"/>
        <w:bottom w:val="none" w:sz="0" w:space="0" w:color="auto"/>
        <w:right w:val="none" w:sz="0" w:space="0" w:color="auto"/>
      </w:divBdr>
    </w:div>
    <w:div w:id="1786536411">
      <w:bodyDiv w:val="1"/>
      <w:marLeft w:val="0"/>
      <w:marRight w:val="0"/>
      <w:marTop w:val="0"/>
      <w:marBottom w:val="0"/>
      <w:divBdr>
        <w:top w:val="none" w:sz="0" w:space="0" w:color="auto"/>
        <w:left w:val="none" w:sz="0" w:space="0" w:color="auto"/>
        <w:bottom w:val="none" w:sz="0" w:space="0" w:color="auto"/>
        <w:right w:val="none" w:sz="0" w:space="0" w:color="auto"/>
      </w:divBdr>
    </w:div>
    <w:div w:id="195651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US" sz="1200" b="1"/>
              <a:t>Combined total revenue by type</a:t>
            </a:r>
            <a:r>
              <a:rPr lang="en-US" sz="1200" b="1" baseline="0"/>
              <a:t> of business </a:t>
            </a:r>
            <a:r>
              <a:rPr lang="en-US" sz="1200" b="1"/>
              <a:t>(In </a:t>
            </a:r>
            <a:r>
              <a:rPr lang="en-US" sz="1200" b="1" baseline="0"/>
              <a:t>mn)</a:t>
            </a:r>
            <a:endParaRPr lang="en-US" sz="1200" b="1"/>
          </a:p>
        </c:rich>
      </c:tx>
      <c:overlay val="0"/>
      <c:spPr>
        <a:solidFill>
          <a:schemeClr val="bg1">
            <a:lumMod val="85000"/>
          </a:schemeClr>
        </a:solidFill>
        <a:ln>
          <a:noFill/>
        </a:ln>
        <a:effectLst/>
      </c:spPr>
    </c:title>
    <c:autoTitleDeleted val="0"/>
    <c:plotArea>
      <c:layout/>
      <c:barChart>
        <c:barDir val="col"/>
        <c:grouping val="stacked"/>
        <c:varyColors val="0"/>
        <c:ser>
          <c:idx val="1"/>
          <c:order val="0"/>
          <c:tx>
            <c:strRef>
              <c:f>Sheet1!$B$15</c:f>
              <c:strCache>
                <c:ptCount val="1"/>
                <c:pt idx="0">
                  <c:v>Rooms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Sheet1!$C$14:$G$14</c:f>
              <c:numCache>
                <c:formatCode>General</c:formatCode>
                <c:ptCount val="5"/>
                <c:pt idx="0">
                  <c:v>2018</c:v>
                </c:pt>
                <c:pt idx="1">
                  <c:v>2019</c:v>
                </c:pt>
                <c:pt idx="2">
                  <c:v>2020</c:v>
                </c:pt>
                <c:pt idx="3">
                  <c:v>2021</c:v>
                </c:pt>
                <c:pt idx="4">
                  <c:v>2022</c:v>
                </c:pt>
              </c:numCache>
            </c:numRef>
          </c:cat>
          <c:val>
            <c:numRef>
              <c:f>Sheet1!$C$15:$G$15</c:f>
              <c:numCache>
                <c:formatCode>0.0</c:formatCode>
                <c:ptCount val="5"/>
                <c:pt idx="0">
                  <c:v>763.1</c:v>
                </c:pt>
                <c:pt idx="1">
                  <c:v>718.1</c:v>
                </c:pt>
                <c:pt idx="2">
                  <c:v>275.5</c:v>
                </c:pt>
                <c:pt idx="3">
                  <c:v>565.29999999999995</c:v>
                </c:pt>
                <c:pt idx="4">
                  <c:v>900</c:v>
                </c:pt>
              </c:numCache>
            </c:numRef>
          </c:val>
          <c:extLst xmlns:c16r2="http://schemas.microsoft.com/office/drawing/2015/06/chart">
            <c:ext xmlns:c16="http://schemas.microsoft.com/office/drawing/2014/chart" uri="{C3380CC4-5D6E-409C-BE32-E72D297353CC}">
              <c16:uniqueId val="{00000000-0482-4828-9103-D19932A1A0C8}"/>
            </c:ext>
          </c:extLst>
        </c:ser>
        <c:ser>
          <c:idx val="2"/>
          <c:order val="1"/>
          <c:tx>
            <c:strRef>
              <c:f>Sheet1!$B$16</c:f>
              <c:strCache>
                <c:ptCount val="1"/>
                <c:pt idx="0">
                  <c:v>Food and beverage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Sheet1!$C$14:$G$14</c:f>
              <c:numCache>
                <c:formatCode>General</c:formatCode>
                <c:ptCount val="5"/>
                <c:pt idx="0">
                  <c:v>2018</c:v>
                </c:pt>
                <c:pt idx="1">
                  <c:v>2019</c:v>
                </c:pt>
                <c:pt idx="2">
                  <c:v>2020</c:v>
                </c:pt>
                <c:pt idx="3">
                  <c:v>2021</c:v>
                </c:pt>
                <c:pt idx="4">
                  <c:v>2022</c:v>
                </c:pt>
              </c:numCache>
            </c:numRef>
          </c:cat>
          <c:val>
            <c:numRef>
              <c:f>Sheet1!$C$16:$G$16</c:f>
              <c:numCache>
                <c:formatCode>0.0</c:formatCode>
                <c:ptCount val="5"/>
                <c:pt idx="0">
                  <c:v>514.79999999999995</c:v>
                </c:pt>
                <c:pt idx="1">
                  <c:v>491.8</c:v>
                </c:pt>
                <c:pt idx="2">
                  <c:v>239</c:v>
                </c:pt>
                <c:pt idx="3">
                  <c:v>360</c:v>
                </c:pt>
                <c:pt idx="4">
                  <c:v>533.79999999999995</c:v>
                </c:pt>
              </c:numCache>
            </c:numRef>
          </c:val>
          <c:extLst xmlns:c16r2="http://schemas.microsoft.com/office/drawing/2015/06/chart">
            <c:ext xmlns:c16="http://schemas.microsoft.com/office/drawing/2014/chart" uri="{C3380CC4-5D6E-409C-BE32-E72D297353CC}">
              <c16:uniqueId val="{00000001-0482-4828-9103-D19932A1A0C8}"/>
            </c:ext>
          </c:extLst>
        </c:ser>
        <c:ser>
          <c:idx val="3"/>
          <c:order val="2"/>
          <c:tx>
            <c:strRef>
              <c:f>Sheet1!$B$17</c:f>
              <c:strCache>
                <c:ptCount val="1"/>
                <c:pt idx="0">
                  <c:v>Others</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Sheet1!$C$14:$G$14</c:f>
              <c:numCache>
                <c:formatCode>General</c:formatCode>
                <c:ptCount val="5"/>
                <c:pt idx="0">
                  <c:v>2018</c:v>
                </c:pt>
                <c:pt idx="1">
                  <c:v>2019</c:v>
                </c:pt>
                <c:pt idx="2">
                  <c:v>2020</c:v>
                </c:pt>
                <c:pt idx="3">
                  <c:v>2021</c:v>
                </c:pt>
                <c:pt idx="4">
                  <c:v>2022</c:v>
                </c:pt>
              </c:numCache>
            </c:numRef>
          </c:cat>
          <c:val>
            <c:numRef>
              <c:f>Sheet1!$C$17:$G$17</c:f>
              <c:numCache>
                <c:formatCode>0.0</c:formatCode>
                <c:ptCount val="5"/>
                <c:pt idx="0">
                  <c:v>119.7</c:v>
                </c:pt>
                <c:pt idx="1">
                  <c:v>115.2</c:v>
                </c:pt>
                <c:pt idx="2">
                  <c:v>78.5</c:v>
                </c:pt>
                <c:pt idx="3">
                  <c:v>128.19999999999999</c:v>
                </c:pt>
                <c:pt idx="4">
                  <c:v>134.30000000000001</c:v>
                </c:pt>
              </c:numCache>
            </c:numRef>
          </c:val>
          <c:extLst xmlns:c16r2="http://schemas.microsoft.com/office/drawing/2015/06/chart">
            <c:ext xmlns:c16="http://schemas.microsoft.com/office/drawing/2014/chart" uri="{C3380CC4-5D6E-409C-BE32-E72D297353CC}">
              <c16:uniqueId val="{00000002-0482-4828-9103-D19932A1A0C8}"/>
            </c:ext>
          </c:extLst>
        </c:ser>
        <c:dLbls>
          <c:dLblPos val="ctr"/>
          <c:showLegendKey val="0"/>
          <c:showVal val="1"/>
          <c:showCatName val="0"/>
          <c:showSerName val="0"/>
          <c:showPercent val="0"/>
          <c:showBubbleSize val="0"/>
        </c:dLbls>
        <c:gapWidth val="150"/>
        <c:overlap val="100"/>
        <c:axId val="100668160"/>
        <c:axId val="100669696"/>
      </c:barChart>
      <c:catAx>
        <c:axId val="100668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69696"/>
        <c:crosses val="autoZero"/>
        <c:auto val="1"/>
        <c:lblAlgn val="ctr"/>
        <c:lblOffset val="100"/>
        <c:noMultiLvlLbl val="0"/>
      </c:catAx>
      <c:valAx>
        <c:axId val="100669696"/>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100668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19050" cap="flat" cmpd="sng" algn="ctr">
      <a:solidFill>
        <a:srgbClr val="002060"/>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US" sz="1200" b="1"/>
              <a:t>Revenue by Country (In million pound)</a:t>
            </a:r>
          </a:p>
        </c:rich>
      </c:tx>
      <c:overlay val="0"/>
      <c:spPr>
        <a:solidFill>
          <a:schemeClr val="bg1">
            <a:lumMod val="85000"/>
          </a:schemeClr>
        </a:solidFill>
        <a:ln>
          <a:noFill/>
        </a:ln>
        <a:effectLst/>
      </c:spPr>
    </c:title>
    <c:autoTitleDeleted val="0"/>
    <c:plotArea>
      <c:layout/>
      <c:barChart>
        <c:barDir val="col"/>
        <c:grouping val="stacked"/>
        <c:varyColors val="0"/>
        <c:ser>
          <c:idx val="0"/>
          <c:order val="0"/>
          <c:tx>
            <c:strRef>
              <c:f>Sheet2!$B$4</c:f>
              <c:strCache>
                <c:ptCount val="1"/>
                <c:pt idx="0">
                  <c:v>United Kingdom</c:v>
                </c:pt>
              </c:strCache>
            </c:strRef>
          </c:tx>
          <c:spPr>
            <a:solidFill>
              <a:schemeClr val="accent1"/>
            </a:solidFill>
            <a:ln>
              <a:noFill/>
            </a:ln>
            <a:effectLst/>
          </c:spPr>
          <c:invertIfNegative val="0"/>
          <c:cat>
            <c:strRef>
              <c:f>Sheet2!$C$3:$F$3</c:f>
              <c:strCache>
                <c:ptCount val="4"/>
                <c:pt idx="0">
                  <c:v>2019-20</c:v>
                </c:pt>
                <c:pt idx="1">
                  <c:v>2020-21</c:v>
                </c:pt>
                <c:pt idx="2">
                  <c:v>2021-22</c:v>
                </c:pt>
                <c:pt idx="3">
                  <c:v>2022-23</c:v>
                </c:pt>
              </c:strCache>
            </c:strRef>
          </c:cat>
          <c:val>
            <c:numRef>
              <c:f>Sheet2!$C$4:$F$4</c:f>
              <c:numCache>
                <c:formatCode>General</c:formatCode>
                <c:ptCount val="4"/>
                <c:pt idx="0" formatCode="#,##0.00">
                  <c:v>2051.6</c:v>
                </c:pt>
                <c:pt idx="1">
                  <c:v>575.5</c:v>
                </c:pt>
                <c:pt idx="2" formatCode="#,##0.00">
                  <c:v>1661.8</c:v>
                </c:pt>
                <c:pt idx="3" formatCode="#,##0.00">
                  <c:v>2487.6999999999998</c:v>
                </c:pt>
              </c:numCache>
            </c:numRef>
          </c:val>
          <c:extLst xmlns:c16r2="http://schemas.microsoft.com/office/drawing/2015/06/chart">
            <c:ext xmlns:c16="http://schemas.microsoft.com/office/drawing/2014/chart" uri="{C3380CC4-5D6E-409C-BE32-E72D297353CC}">
              <c16:uniqueId val="{00000000-7F5A-4D35-8EF1-4F0A7EA34765}"/>
            </c:ext>
          </c:extLst>
        </c:ser>
        <c:ser>
          <c:idx val="1"/>
          <c:order val="1"/>
          <c:tx>
            <c:strRef>
              <c:f>Sheet2!$B$5</c:f>
              <c:strCache>
                <c:ptCount val="1"/>
                <c:pt idx="0">
                  <c:v>Germany</c:v>
                </c:pt>
              </c:strCache>
            </c:strRef>
          </c:tx>
          <c:spPr>
            <a:solidFill>
              <a:schemeClr val="accent2"/>
            </a:solidFill>
            <a:ln>
              <a:noFill/>
            </a:ln>
            <a:effectLst/>
          </c:spPr>
          <c:invertIfNegative val="0"/>
          <c:cat>
            <c:strRef>
              <c:f>Sheet2!$C$3:$F$3</c:f>
              <c:strCache>
                <c:ptCount val="4"/>
                <c:pt idx="0">
                  <c:v>2019-20</c:v>
                </c:pt>
                <c:pt idx="1">
                  <c:v>2020-21</c:v>
                </c:pt>
                <c:pt idx="2">
                  <c:v>2021-22</c:v>
                </c:pt>
                <c:pt idx="3">
                  <c:v>2022-23</c:v>
                </c:pt>
              </c:strCache>
            </c:strRef>
          </c:cat>
          <c:val>
            <c:numRef>
              <c:f>Sheet2!$C$5:$F$5</c:f>
              <c:numCache>
                <c:formatCode>General</c:formatCode>
                <c:ptCount val="4"/>
                <c:pt idx="0">
                  <c:v>11.8</c:v>
                </c:pt>
                <c:pt idx="1">
                  <c:v>11.5</c:v>
                </c:pt>
                <c:pt idx="2">
                  <c:v>35.200000000000003</c:v>
                </c:pt>
                <c:pt idx="3">
                  <c:v>117.5</c:v>
                </c:pt>
              </c:numCache>
            </c:numRef>
          </c:val>
          <c:extLst xmlns:c16r2="http://schemas.microsoft.com/office/drawing/2015/06/chart">
            <c:ext xmlns:c16="http://schemas.microsoft.com/office/drawing/2014/chart" uri="{C3380CC4-5D6E-409C-BE32-E72D297353CC}">
              <c16:uniqueId val="{00000001-7F5A-4D35-8EF1-4F0A7EA34765}"/>
            </c:ext>
          </c:extLst>
        </c:ser>
        <c:ser>
          <c:idx val="2"/>
          <c:order val="2"/>
          <c:tx>
            <c:strRef>
              <c:f>Sheet2!$B$6</c:f>
              <c:strCache>
                <c:ptCount val="1"/>
                <c:pt idx="0">
                  <c:v>Other</c:v>
                </c:pt>
              </c:strCache>
            </c:strRef>
          </c:tx>
          <c:spPr>
            <a:solidFill>
              <a:schemeClr val="accent3"/>
            </a:solidFill>
            <a:ln>
              <a:noFill/>
            </a:ln>
            <a:effectLst/>
          </c:spPr>
          <c:invertIfNegative val="0"/>
          <c:cat>
            <c:strRef>
              <c:f>Sheet2!$C$3:$F$3</c:f>
              <c:strCache>
                <c:ptCount val="4"/>
                <c:pt idx="0">
                  <c:v>2019-20</c:v>
                </c:pt>
                <c:pt idx="1">
                  <c:v>2020-21</c:v>
                </c:pt>
                <c:pt idx="2">
                  <c:v>2021-22</c:v>
                </c:pt>
                <c:pt idx="3">
                  <c:v>2022-23</c:v>
                </c:pt>
              </c:strCache>
            </c:strRef>
          </c:cat>
          <c:val>
            <c:numRef>
              <c:f>Sheet2!$C$6:$F$6</c:f>
              <c:numCache>
                <c:formatCode>General</c:formatCode>
                <c:ptCount val="4"/>
                <c:pt idx="0">
                  <c:v>8.1</c:v>
                </c:pt>
                <c:pt idx="1">
                  <c:v>2.4</c:v>
                </c:pt>
                <c:pt idx="2">
                  <c:v>6.4</c:v>
                </c:pt>
                <c:pt idx="3">
                  <c:v>20</c:v>
                </c:pt>
              </c:numCache>
            </c:numRef>
          </c:val>
          <c:extLst xmlns:c16r2="http://schemas.microsoft.com/office/drawing/2015/06/chart">
            <c:ext xmlns:c16="http://schemas.microsoft.com/office/drawing/2014/chart" uri="{C3380CC4-5D6E-409C-BE32-E72D297353CC}">
              <c16:uniqueId val="{00000002-7F5A-4D35-8EF1-4F0A7EA34765}"/>
            </c:ext>
          </c:extLst>
        </c:ser>
        <c:dLbls>
          <c:showLegendKey val="0"/>
          <c:showVal val="0"/>
          <c:showCatName val="0"/>
          <c:showSerName val="0"/>
          <c:showPercent val="0"/>
          <c:showBubbleSize val="0"/>
        </c:dLbls>
        <c:gapWidth val="150"/>
        <c:overlap val="100"/>
        <c:axId val="100713600"/>
        <c:axId val="100715136"/>
      </c:barChart>
      <c:catAx>
        <c:axId val="100713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715136"/>
        <c:crosses val="autoZero"/>
        <c:auto val="1"/>
        <c:lblAlgn val="ctr"/>
        <c:lblOffset val="100"/>
        <c:noMultiLvlLbl val="0"/>
      </c:catAx>
      <c:valAx>
        <c:axId val="100715136"/>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0071360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19050" cap="flat" cmpd="sng" algn="ctr">
      <a:solidFill>
        <a:srgbClr val="002060"/>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BCCF1-DC65-45C5-92D1-D534EBFC5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2524</Words>
  <Characters>14390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2023-10-03T05:43:00Z</dcterms:created>
  <dcterms:modified xsi:type="dcterms:W3CDTF">2023-10-18T07:55:00Z</dcterms:modified>
</cp:coreProperties>
</file>