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CCA1F" w14:textId="1F514995" w:rsidR="00FD516E" w:rsidRPr="00FD516E" w:rsidRDefault="00FD516E" w:rsidP="00FD516E">
      <w:pPr>
        <w:pStyle w:val="NormalWeb"/>
        <w:spacing w:line="360" w:lineRule="auto"/>
      </w:pPr>
      <w:r w:rsidRPr="00FD516E">
        <w:t>Previous research suggests that legislative change outlawing physical punishment can change attitudes and behaviour towards discipline methods, alongside positive modifications to parental practice (</w:t>
      </w:r>
      <w:proofErr w:type="spellStart"/>
      <w:r w:rsidRPr="00FD516E">
        <w:t>Zolotor</w:t>
      </w:r>
      <w:proofErr w:type="spellEnd"/>
      <w:r w:rsidRPr="00FD516E">
        <w:t xml:space="preserve"> &amp; </w:t>
      </w:r>
      <w:proofErr w:type="spellStart"/>
      <w:r w:rsidRPr="00FD516E">
        <w:t>Puzia</w:t>
      </w:r>
      <w:proofErr w:type="spellEnd"/>
      <w:r w:rsidRPr="00FD516E">
        <w:t>, 2010). Consequently, this outcome could relate to increased public awareness of the harmful effects on child wellbeing caused by physical punishment</w:t>
      </w:r>
      <w:r>
        <w:t xml:space="preserve"> a</w:t>
      </w:r>
      <w:r w:rsidRPr="00FD516E">
        <w:t>nd parental education of alternate methods. However, the complex relationship between legal enforcement of physical punishment bans and public attitudes seems problematic. Further, for parliamentary change to occur, politicians are somewhat reliant on public support. Suggesting that despite the emphasis on children’s rights</w:t>
      </w:r>
      <w:r w:rsidRPr="00FD516E">
        <w:rPr>
          <w:shd w:val="clear" w:color="auto" w:fill="FFFFFF"/>
        </w:rPr>
        <w:t xml:space="preserve"> to protection from violence, </w:t>
      </w:r>
      <w:r w:rsidRPr="00FD516E">
        <w:t>(UN. Committee on the Rights of the Child (42nd sess.: 2006: Geneva), 2007) lawful prohibition of physical punishment without public endorsement is improbable (</w:t>
      </w:r>
      <w:proofErr w:type="spellStart"/>
      <w:r w:rsidRPr="00FD516E">
        <w:t>Zolotor</w:t>
      </w:r>
      <w:proofErr w:type="spellEnd"/>
      <w:r w:rsidRPr="00FD516E">
        <w:t xml:space="preserve"> &amp; </w:t>
      </w:r>
      <w:proofErr w:type="spellStart"/>
      <w:r w:rsidRPr="00FD516E">
        <w:t>Puzia</w:t>
      </w:r>
      <w:proofErr w:type="spellEnd"/>
      <w:r w:rsidRPr="00FD516E">
        <w:t xml:space="preserve">, 2010). Conversely, whether this research is applicable to modern day Wales is doubtful and issues are apparent within the methodology of the systemic review pertaining </w:t>
      </w:r>
      <w:r>
        <w:t xml:space="preserve">to </w:t>
      </w:r>
      <w:r w:rsidRPr="00FD516E">
        <w:t>the sources used for information retrieval including Google search engine and government databases</w:t>
      </w:r>
      <w:r>
        <w:t>,</w:t>
      </w:r>
      <w:r w:rsidRPr="00FD516E">
        <w:t xml:space="preserve"> which carry potential for reporting bias and unreliability. Moreover, data was translated using multiple online translation websites with the researchers determining which version was most intelligible. Consequently, including potentially inaccurate and invalid material resulting from artificial intelligence insufficiently translating contextual intricacies of human linguistics and semantic connotation. Additionally, by 2022 63 countries worldwide had illegalised child physical punishment (</w:t>
      </w:r>
      <w:r w:rsidRPr="00FD516E">
        <w:rPr>
          <w:i/>
          <w:iCs/>
        </w:rPr>
        <w:t>COUNTDOWN | Global Initiative to End All Corporal Punishment of Children</w:t>
      </w:r>
      <w:r w:rsidRPr="00FD516E">
        <w:t xml:space="preserve">, n.d.), compared to only 24 at the time of the </w:t>
      </w:r>
      <w:proofErr w:type="spellStart"/>
      <w:r w:rsidRPr="00FD516E">
        <w:t>Zolotor</w:t>
      </w:r>
      <w:proofErr w:type="spellEnd"/>
      <w:r w:rsidRPr="00FD516E">
        <w:t xml:space="preserve"> &amp; </w:t>
      </w:r>
      <w:proofErr w:type="spellStart"/>
      <w:r w:rsidRPr="00FD516E">
        <w:t>Puzia</w:t>
      </w:r>
      <w:proofErr w:type="spellEnd"/>
      <w:r w:rsidRPr="00FD516E">
        <w:t xml:space="preserve"> (2010) study. This insinuates that societal and global awareness, legal reform and child protection laws have excelled vastly since 2010 and a greater body of knowledge relevant to public attitudes, behaviour and child wellbeing may exist. </w:t>
      </w:r>
      <w:r w:rsidRPr="00FD516E">
        <w:tab/>
      </w:r>
      <w:r w:rsidRPr="00FD516E">
        <w:tab/>
        <w:t xml:space="preserve">Historical longitudinal research on the effects of physical punishment on children declared a negative impact on child behaviour when physical punishment was enforced (Straus et al., 1997). Although, this study is </w:t>
      </w:r>
      <w:proofErr w:type="gramStart"/>
      <w:r w:rsidRPr="00FD516E">
        <w:t>dated</w:t>
      </w:r>
      <w:proofErr w:type="gramEnd"/>
      <w:r>
        <w:t xml:space="preserve"> </w:t>
      </w:r>
      <w:r w:rsidRPr="00FD516E">
        <w:t xml:space="preserve">and participants consisted of American mothers with children aged 6 – 9 years exclusively which limits the sample and provides unrepresentative data for wider application. The participants were interviewed and therefore, could be prone to gender, recall or reporting bias. Another study from this period questioned children aged 5 – 7 years about receiving physical punishment from their indirect knowledge, </w:t>
      </w:r>
      <w:r>
        <w:t xml:space="preserve">of </w:t>
      </w:r>
      <w:r w:rsidRPr="00FD516E">
        <w:t xml:space="preserve">how and why </w:t>
      </w:r>
      <w:r>
        <w:t xml:space="preserve">parents choose to </w:t>
      </w:r>
      <w:r w:rsidRPr="00FD516E">
        <w:t xml:space="preserve">smack. Many when asked expressed emotional and physical pain from being smacked and how it impacts their interpretation of the adults in their lives. Concerningly, these children acknowledged being hit as a form of acceptable discipline and parental justification (Willow &amp; </w:t>
      </w:r>
      <w:proofErr w:type="spellStart"/>
      <w:r w:rsidRPr="00FD516E">
        <w:t>Hyder</w:t>
      </w:r>
      <w:proofErr w:type="spellEnd"/>
      <w:r w:rsidRPr="00FD516E">
        <w:t xml:space="preserve">, 1998). Evidently, there are ethical concerns </w:t>
      </w:r>
      <w:r w:rsidRPr="00FD516E">
        <w:lastRenderedPageBreak/>
        <w:t>regarding this study from the use of children as participants and their inherent vulnerability and susceptibility to deception. Furthermore, the potential for harm due to topical sensitivity, emotional and psychological distress</w:t>
      </w:r>
      <w:r>
        <w:t>,</w:t>
      </w:r>
      <w:r w:rsidRPr="00FD516E">
        <w:t xml:space="preserve"> and consent issues are apparent as highlighted by the </w:t>
      </w:r>
      <w:r w:rsidRPr="00FD516E">
        <w:rPr>
          <w:i/>
          <w:iCs/>
        </w:rPr>
        <w:t>BPS Code of Human Research Ethics</w:t>
      </w:r>
      <w:r w:rsidRPr="00FD516E">
        <w:t xml:space="preserve"> (2021). </w:t>
      </w:r>
      <w:r w:rsidRPr="00FD516E">
        <w:tab/>
      </w:r>
      <w:r w:rsidRPr="00FD516E">
        <w:tab/>
      </w:r>
      <w:r w:rsidRPr="00FD516E">
        <w:tab/>
      </w:r>
      <w:r w:rsidRPr="00FD516E">
        <w:tab/>
      </w:r>
      <w:r w:rsidRPr="00FD516E">
        <w:tab/>
      </w:r>
      <w:r w:rsidRPr="00FD516E">
        <w:tab/>
      </w:r>
      <w:r w:rsidRPr="00FD516E">
        <w:tab/>
        <w:t xml:space="preserve">Alarmingly, Elliman &amp; Lynch (2000) claimed that literature of the time encouraged early implementation of physical punishment towards babies by smacking or squeezing their limbs to cause discomfort. Even dated research suggests that physical punishment is used consequently of parent’s anger (Graziano et al., 1996) indicating that this discipline method could occur due to lack of parental self-regulation skills. A study by </w:t>
      </w:r>
      <w:proofErr w:type="spellStart"/>
      <w:r w:rsidRPr="00FD516E">
        <w:t>Nobes</w:t>
      </w:r>
      <w:proofErr w:type="spellEnd"/>
      <w:r w:rsidRPr="00FD516E">
        <w:t xml:space="preserve"> et al (1999) involved parents describing types of physical punishment inflicted on a child many of which were recognised as elements of abuse. Further noted was the widespread phenomenon of physical punishment and the then lack of support for criminalising such punishment as a form of discipline. In 1979</w:t>
      </w:r>
      <w:r>
        <w:t>,</w:t>
      </w:r>
      <w:r w:rsidRPr="00FD516E">
        <w:t xml:space="preserve"> the country of Sweden initiated a national sanction against the physical punishment of children causing controversy and propaganda by pro-smackers concerning its negative impact on society, outlawing of Swedish parents, escalation in youth delinquency rates, and the removal of children from the family environment (Elliman &amp; Lynch, 2000). Yet, a study by </w:t>
      </w:r>
      <w:proofErr w:type="spellStart"/>
      <w:r w:rsidRPr="00FD516E">
        <w:t>Durrant</w:t>
      </w:r>
      <w:proofErr w:type="spellEnd"/>
      <w:r w:rsidRPr="00FD516E">
        <w:t xml:space="preserve"> (1999) investigated levels of abuse, anti-social and dysregulated behaviour in Swedish children, families referred to social services and prosecution taken against parents’ post-ban. This research established a different outcome than Elliman &amp; Lynch (2000) refuting these allegations and declaring a declination in child mortalities and assault charges. Throughout the period of 1971-1975 in Sweden, it was proclaimed that 5 children lost their lives consequently to physical abuse. Comparatively, from the United Kingdom, without any prohibition of physical punishment existing, their criminal records database determined national weekly child mortalities relative to physical abuse (Creighton, 1995). What is more, during the 17 years post illegalisation of physical punishment</w:t>
      </w:r>
      <w:r>
        <w:t xml:space="preserve"> in Sweden</w:t>
      </w:r>
      <w:r w:rsidRPr="00FD516E">
        <w:t>, there were less child casualties than the previously mentioned period (</w:t>
      </w:r>
      <w:proofErr w:type="spellStart"/>
      <w:r w:rsidRPr="00FD516E">
        <w:t>Durrant</w:t>
      </w:r>
      <w:proofErr w:type="spellEnd"/>
      <w:r w:rsidRPr="00FD516E">
        <w:t>, 1999). Nevertheless, a cautious approach should be acquired when deliberating crime statistics. Even contemporary progressive databases may be elusive and biased in their publication and documentation of c</w:t>
      </w:r>
      <w:r>
        <w:t>rime reporting</w:t>
      </w:r>
      <w:r w:rsidRPr="00FD516E">
        <w:t xml:space="preserve"> (Ashby, 2019) with assault offenses being unrecorded if significant injury is not apparent (Tarling &amp; Morris, 2010).</w:t>
      </w:r>
      <w:r w:rsidRPr="00FD516E">
        <w:tab/>
      </w:r>
      <w:r w:rsidRPr="00FD516E">
        <w:tab/>
      </w:r>
      <w:r w:rsidRPr="00FD516E">
        <w:tab/>
      </w:r>
      <w:r w:rsidRPr="00FD516E">
        <w:tab/>
        <w:t>Encouragingly, indication of potential attitudinal and behavioural change in future generations was present in the decrease of parental prosecution for child assault relating to</w:t>
      </w:r>
      <w:r>
        <w:t xml:space="preserve"> Swedish </w:t>
      </w:r>
      <w:r w:rsidRPr="00FD516E">
        <w:t xml:space="preserve">parents who were children during the illegalisation of physical punishment. Moreover, public support of child physical punishment in Sweden condensed to a mere 11% </w:t>
      </w:r>
      <w:r w:rsidRPr="00FD516E">
        <w:lastRenderedPageBreak/>
        <w:t>of the parental population by 1994. Support from social services amplified as parents received further education and demonstration on positive parenting practice. Likewise, extended prospective benefits included improved teenage mental health and reduced substance and alcohol abuse (</w:t>
      </w:r>
      <w:proofErr w:type="spellStart"/>
      <w:r w:rsidRPr="00FD516E">
        <w:t>Durrant</w:t>
      </w:r>
      <w:proofErr w:type="spellEnd"/>
      <w:r w:rsidRPr="00FD516E">
        <w:t>, 1999). Therefore, it may be inferred that societal awareness o</w:t>
      </w:r>
      <w:r>
        <w:t>n</w:t>
      </w:r>
      <w:r w:rsidRPr="00FD516E">
        <w:t xml:space="preserve"> potential adverse effects of physical punishment alongside unprejudiced parental provision services may possess protective capabilities. Additionally, the risks of accepting physical punishment towards children and </w:t>
      </w:r>
      <w:r>
        <w:t>the prosect of</w:t>
      </w:r>
      <w:r w:rsidRPr="00FD516E">
        <w:t xml:space="preserve"> accelerat</w:t>
      </w:r>
      <w:r>
        <w:t>ed</w:t>
      </w:r>
      <w:r w:rsidRPr="00FD516E">
        <w:t xml:space="preserve"> behaviour towards child abuse appears plausible as there is an indistinct dualistic variance.</w:t>
      </w:r>
      <w:r w:rsidRPr="00FD516E">
        <w:tab/>
      </w:r>
      <w:r w:rsidRPr="00FD516E">
        <w:tab/>
      </w:r>
      <w:r w:rsidRPr="00FD516E">
        <w:tab/>
        <w:t xml:space="preserve">Historically, the deduction that the prohibition of physical punishment could enable a protective barrier for children, societal reform, advantage on children’s wellbeing, public and prosecution services, the family dynamic, and the prevention of trans-generational cycles was already founded through methodical research. Importantly, domestic reasonable chastisement of children was still largely accepted during the millennium in the United Kingdom, although views within the population were incongruous and complex. With many parents advocating for physical punishment and disproving of preventative legislation, despite being sceptical of its effectiveness as a method of behavioural improvement in children. With several parents disclosing that when enraged or under stress, they were more likely to physically punish their children (Bunting et al., 2009). This provides a prospective insight to parental state of mind, lack of emotional self-regulation and motivation for resorting to physical punishment. Moreover, it seems crucial to consider that parental mental health issues may also escalate this process. </w:t>
      </w:r>
      <w:r w:rsidRPr="00FD516E">
        <w:rPr>
          <w:kern w:val="36"/>
        </w:rPr>
        <w:t xml:space="preserve">Remarkably, physical abuse is a classification of adverse childhood experiences (ACEs), and it was previously concluded that nearly half of the Welsh adult population had been exposed to ACEs during childhood with victimisation from violence being a prevalent factor in later life health and societal behavioural issues. Further, adding that impeding exposure to ACEs was fundamental in health improvement in Wales, highlighting the importance of the </w:t>
      </w:r>
      <w:r w:rsidRPr="00FD516E">
        <w:rPr>
          <w:shd w:val="clear" w:color="auto" w:fill="FFFFFF"/>
        </w:rPr>
        <w:t xml:space="preserve">Well-Being and Future Generations Act (Wales) 2015 in the prevention of childhood ACEs to enable a wholly thriving Welsh population </w:t>
      </w:r>
      <w:r w:rsidRPr="00FD516E">
        <w:t>(Ma et al., 2016)</w:t>
      </w:r>
      <w:r w:rsidRPr="00FD516E">
        <w:rPr>
          <w:shd w:val="clear" w:color="auto" w:fill="FFFFFF"/>
        </w:rPr>
        <w:t>.</w:t>
      </w:r>
      <w:r w:rsidRPr="00FD516E">
        <w:rPr>
          <w:kern w:val="36"/>
        </w:rPr>
        <w:t xml:space="preserve"> </w:t>
      </w:r>
      <w:r w:rsidRPr="00FD516E">
        <w:t>Aptly, Hughes et al. (2022)</w:t>
      </w:r>
      <w:r w:rsidRPr="00FD516E">
        <w:rPr>
          <w:kern w:val="36"/>
        </w:rPr>
        <w:t xml:space="preserve"> reviewed Welsh parents’ (n= 720) own ACEs in relation to their utilization of physical discipline in parenthood (children aged &lt;18 years). The results indicated that the greater number of parental ACEs, the probability of physical punishment employed was more conceivable. Additionally, comparative to parents without ACEs, those exceeding three ACEs displayed triple the likelihood to have physically reprimanded a child, including recent use, more than ten times prospectively. Moreover, concluding that there was an association between parental ACEs and physically punishing a child. Correspondingly, </w:t>
      </w:r>
      <w:r w:rsidRPr="00FD516E">
        <w:rPr>
          <w:kern w:val="36"/>
        </w:rPr>
        <w:lastRenderedPageBreak/>
        <w:t xml:space="preserve">highlighting the contextual application within the wider family dynamic and declaring that the illegalisation of physical punishment, with additional family provision, may provide protective factors against the repetition of brutality cultivated through intergenerational cycles. </w:t>
      </w:r>
      <w:r w:rsidRPr="00FD516E">
        <w:tab/>
      </w:r>
      <w:r w:rsidRPr="00FD516E">
        <w:rPr>
          <w:kern w:val="36"/>
        </w:rPr>
        <w:t xml:space="preserve">Importantly, physical punishment use may be consequential of parental exposure throughout personal childhood experience </w:t>
      </w:r>
      <w:r w:rsidRPr="00FD516E">
        <w:t>(Hughes et al., 2022)</w:t>
      </w:r>
      <w:r w:rsidRPr="00FD516E">
        <w:rPr>
          <w:kern w:val="36"/>
        </w:rPr>
        <w:t xml:space="preserve">. This suggests that absence of regulatory skills and emotional nourishment during childhood may result in future difficulties of emotional management and competence into adulthood and ultimately parenthood. Subsequently, causing transgenerational cycles throughout families as parents may be unable to process additional and often intense feelings within their children, supporting their emotions, alongside self-regulating, and guiding the child through negative and challenging emotions to promote resilience. Interestingly, more than fifty percent of these parents also claimed that their child had recently hit them. </w:t>
      </w:r>
      <w:r w:rsidRPr="00FD516E">
        <w:rPr>
          <w:kern w:val="36"/>
        </w:rPr>
        <w:tab/>
      </w:r>
      <w:r w:rsidRPr="00FD516E">
        <w:rPr>
          <w:kern w:val="36"/>
        </w:rPr>
        <w:tab/>
      </w:r>
      <w:r w:rsidRPr="00FD516E">
        <w:rPr>
          <w:kern w:val="36"/>
        </w:rPr>
        <w:tab/>
      </w:r>
      <w:r w:rsidRPr="00FD516E">
        <w:rPr>
          <w:kern w:val="36"/>
        </w:rPr>
        <w:tab/>
      </w:r>
      <w:r w:rsidRPr="00FD516E">
        <w:rPr>
          <w:kern w:val="36"/>
        </w:rPr>
        <w:tab/>
      </w:r>
      <w:r w:rsidRPr="00FD516E">
        <w:rPr>
          <w:kern w:val="36"/>
        </w:rPr>
        <w:tab/>
        <w:t xml:space="preserve">Social Learning Theory (SLT) by </w:t>
      </w:r>
      <w:r w:rsidRPr="00FD516E">
        <w:t>Bandura (1973) is a learning process whereby a child observes a caregiver or significant figure in their life modelling behaviour, attitudinal and emotional expression which the child internalises on a cognitive level before imitating the behaviour. In</w:t>
      </w:r>
      <w:r w:rsidR="00AD6344">
        <w:t xml:space="preserve"> the</w:t>
      </w:r>
      <w:r w:rsidRPr="00FD516E">
        <w:t xml:space="preserve"> context of physical punishment, it may instil in a child </w:t>
      </w:r>
      <w:r w:rsidRPr="00FD516E">
        <w:rPr>
          <w:kern w:val="36"/>
        </w:rPr>
        <w:t xml:space="preserve">that hitting another person is a societally acceptable expression of emotion and mechanism of behavioural coercion. Interestingly, this would suggest a causation for a child to behave in a non-desirable manner rather than correcting anti-social behaviour, thus defeating the purpose of using physical force as a discipline technique and undermining its </w:t>
      </w:r>
      <w:r w:rsidR="00AD6344">
        <w:rPr>
          <w:kern w:val="36"/>
        </w:rPr>
        <w:t>effectiveness as a behaviour management strategy</w:t>
      </w:r>
      <w:r w:rsidRPr="00FD516E">
        <w:rPr>
          <w:kern w:val="36"/>
        </w:rPr>
        <w:t>. Correspondingly,</w:t>
      </w:r>
      <w:r w:rsidRPr="00FD516E">
        <w:t xml:space="preserve"> Grogan‐Kaylor et al. (2018)</w:t>
      </w:r>
      <w:r w:rsidRPr="00FD516E">
        <w:rPr>
          <w:kern w:val="36"/>
        </w:rPr>
        <w:t xml:space="preserve"> stated that a child may observe the parent resorting to violence to regain control</w:t>
      </w:r>
      <w:r w:rsidR="00AD6344">
        <w:rPr>
          <w:kern w:val="36"/>
        </w:rPr>
        <w:t xml:space="preserve">, </w:t>
      </w:r>
      <w:r w:rsidRPr="00FD516E">
        <w:rPr>
          <w:kern w:val="36"/>
        </w:rPr>
        <w:t xml:space="preserve">resolve social and relational conflict. Hence, reinforcing the use of violence to the child through SLT </w:t>
      </w:r>
      <w:r w:rsidRPr="00FD516E">
        <w:t xml:space="preserve">(Bandura, 1973). Concerningly, this causes a prospective coercive cycle of physical conflict between parent and child which may pose the child at risk of physical abuse. If the parent does not find an alternative method of discipline, their intensity of force used against the child could escalate. Alternatively, the child may submit to behavioural demands through distress over impending </w:t>
      </w:r>
      <w:r w:rsidR="00AD6344">
        <w:t xml:space="preserve">severe </w:t>
      </w:r>
      <w:r w:rsidRPr="00FD516E">
        <w:t xml:space="preserve">physical punishment and pain inflicted by the </w:t>
      </w:r>
      <w:r w:rsidR="00AD6344">
        <w:t>parent</w:t>
      </w:r>
      <w:r w:rsidRPr="00FD516E">
        <w:t xml:space="preserve"> (Grogan‐Kaylor et al., 2018).</w:t>
      </w:r>
      <w:r w:rsidRPr="00FD516E">
        <w:rPr>
          <w:rFonts w:ascii="Georgia" w:hAnsi="Georgia"/>
        </w:rPr>
        <w:tab/>
      </w:r>
      <w:r w:rsidRPr="00FD516E">
        <w:t xml:space="preserve">Upon comprehensive analysis of the literature, a need for legislative action to prevent the violation of children’s rights was emphasised, as stated previously, in the </w:t>
      </w:r>
      <w:r w:rsidRPr="00FD516E">
        <w:rPr>
          <w:shd w:val="clear" w:color="auto" w:fill="FFFFFF"/>
        </w:rPr>
        <w:t xml:space="preserve">United Nations Convention on the Rights of the Child </w:t>
      </w:r>
      <w:r w:rsidRPr="00FD516E">
        <w:t xml:space="preserve">(UN. Committee on the Rights of the Child (42nd sess.: 2006: Geneva), 2007), </w:t>
      </w:r>
      <w:r w:rsidRPr="00FD516E">
        <w:rPr>
          <w:shd w:val="clear" w:color="auto" w:fill="FFFFFF"/>
        </w:rPr>
        <w:t xml:space="preserve">relating to children’s entitlement to safety </w:t>
      </w:r>
      <w:r w:rsidRPr="00FD516E">
        <w:t xml:space="preserve">rather than determining acceptance of physical punishment founded on the opinions of the public (Bunting et al., 2009). Notably, one factor named responsible for influential parliamentary </w:t>
      </w:r>
      <w:r w:rsidRPr="00FD516E">
        <w:lastRenderedPageBreak/>
        <w:t xml:space="preserve">reformation regarding physical punishment in Wales was the adjustment in public attitudes. By 2015, over 70% of Welsh parents included in a sizeable survey, disagreed with the statement ‘it is sometimes necessary to smack a naughty child’. In 2017 this amount ascended to over 80% of parents (Timmins &amp; Knight, 2018). Clearly demonstrating an indication of attitudinal reform on applying physical punishment </w:t>
      </w:r>
      <w:r w:rsidR="00AD6344">
        <w:t>against</w:t>
      </w:r>
      <w:r w:rsidRPr="00FD516E">
        <w:t xml:space="preserve"> children. Essentially, amendment in public attitude serves a purpose of encouraging policymakers to create change in legislature, despite the potential advantages to children’s rights and public health fostered by modification of law (Holland, 2023). </w:t>
      </w:r>
      <w:r w:rsidRPr="00FD516E">
        <w:tab/>
      </w:r>
      <w:r w:rsidRPr="00FD516E">
        <w:tab/>
      </w:r>
      <w:r w:rsidRPr="00FD516E">
        <w:tab/>
      </w:r>
      <w:r w:rsidRPr="00FD516E">
        <w:tab/>
      </w:r>
      <w:r w:rsidRPr="00FD516E">
        <w:tab/>
      </w:r>
      <w:r w:rsidRPr="00FD516E">
        <w:tab/>
      </w:r>
      <w:r w:rsidRPr="00FD516E">
        <w:tab/>
        <w:t>Lansford et al. (2017) accentuated the importance of robust promotional public education to enhance the effectiveness of legislature change, through examination of the attitudes of 7 nations towards physical punishment, and the results of attitudinal alteration and variance in terms of support or rejection of physical punishment acceptability. Astoundingly, despite decades of substantiation of the detrimental effects, capacity for behavioural and attitudinal change, physical punishment legislation to protect children from unwarranted and unreasonable harm from aggression and violence has only recently been established (</w:t>
      </w:r>
      <w:r w:rsidRPr="00FD516E">
        <w:rPr>
          <w:i/>
          <w:iCs/>
        </w:rPr>
        <w:t>Physically Punishing Children Becomes Illegal in Wales</w:t>
      </w:r>
      <w:r w:rsidRPr="00FD516E">
        <w:t xml:space="preserve">, 2022). The Senedd (Welsh Parliament) approved the Children (Abolition of Defence of Reasonable Punishment) (Wales) Act with Royal Assent established in March 2020 with full enforcement commencing in 2022 (Holland, 2023). With Wales second to Scotland concerning legislative reform surrounding reasonable punishment (Middleton, 2020). As a result, parental privilege to physically punish children defensible as a form of reasonable discipline was revoked. </w:t>
      </w:r>
      <w:r w:rsidRPr="00FD516E">
        <w:tab/>
      </w:r>
      <w:r w:rsidRPr="00FD516E">
        <w:tab/>
        <w:t xml:space="preserve">Currently, when an offence of child assault occurs, there must be adequate evidence of the crime to allow legal action to transpire. Further, the level of prosecution is dependent on public interest and the ferocity of physical harm to the child. Moreover, the Act delegated an obligation to the Welsh Government to inform the public and increase awareness of physical punishment prohibition in Wales (Holland, 2023). With the endorsement of The Welsh Act in March 2020, public promotion preceding its implementation in 2022 was introduced. Featuring online informational resources for positive parental practice, support and advice from professionals, confronting children’s challenging behaviour non-violently and child development </w:t>
      </w:r>
      <w:r w:rsidR="00AD6344">
        <w:t xml:space="preserve">material </w:t>
      </w:r>
      <w:r w:rsidRPr="00FD516E">
        <w:t>(</w:t>
      </w:r>
      <w:r w:rsidRPr="00FD516E">
        <w:rPr>
          <w:i/>
          <w:iCs/>
        </w:rPr>
        <w:t>Parenting. Give It Time.</w:t>
      </w:r>
      <w:r w:rsidRPr="00FD516E">
        <w:t>, n.d.). Correspondingly, advertising the new law throughout Welsh homes and communities’ whist offering training to authorities, professionals, and parents alike (Holland, 2023).  Although, there is currently no existing literature to report on the effectiveness of these resources or policies among parents or child professionals in Wales due to the very recent implementation of the physical punishment ban</w:t>
      </w:r>
      <w:r w:rsidR="00AD6344">
        <w:t xml:space="preserve">, </w:t>
      </w:r>
      <w:r w:rsidR="00AD6344">
        <w:lastRenderedPageBreak/>
        <w:t>f</w:t>
      </w:r>
      <w:r w:rsidRPr="00FD516E">
        <w:t>uture research is expected to be published by the Welsh Government consisting of consequential data stemming from the Act at three- and five-years post implementation.</w:t>
      </w:r>
      <w:r w:rsidRPr="00FD516E">
        <w:tab/>
      </w:r>
      <w:r w:rsidRPr="00FD516E">
        <w:tab/>
        <w:t>To mitigate the circumstances surrounding a child physical punishment offence</w:t>
      </w:r>
      <w:r w:rsidR="00AD6344">
        <w:t xml:space="preserve"> in Wales</w:t>
      </w:r>
      <w:r w:rsidRPr="00FD516E">
        <w:t>, as opposition to Crown Prosecution Service referral, law enforcement can issue an out-of-court disposal (OOCD) where applicable. This comprises positive parenting support and non-violent parental practice as a replacement of criminal prosecution (Crown Prosecution Service, 2022). Aptly, this process appears to target the issue at the source, provide parental education and awareness of alternative methods, promote progressive transformational results, preserve children’s rights, and endorse systemic change. Ultimately, aiming to improve child outcomes and disrupt cycles of normalised parent-child violence. Indicative of the previous research (Lansford et al., 2017), the broad, concise, and informative method of public campaign regarding the legal ramifications, alongside the diminishing support of physical punishment in Wales, suggestibly should induce the model circumstantial foundation for a prompt declination in the exertion of physical discipline.</w:t>
      </w:r>
      <w:r w:rsidRPr="00FD516E">
        <w:tab/>
      </w:r>
      <w:r w:rsidRPr="00FD516E">
        <w:tab/>
        <w:t>Further, although the physical punishment of children was outlawed in 63 nations internationally by 2022</w:t>
      </w:r>
      <w:r w:rsidR="00AD6344">
        <w:t>,</w:t>
      </w:r>
      <w:r w:rsidRPr="00FD516E">
        <w:t xml:space="preserve"> which appears evidential of a revolution in attitudes and lack of support for physical discipline, this amounts to only 14% of the child population globally (</w:t>
      </w:r>
      <w:r w:rsidRPr="00FD516E">
        <w:rPr>
          <w:i/>
          <w:iCs/>
        </w:rPr>
        <w:t>COUNTDOWN | Global Initiative to End All Corporal Punishment of Children</w:t>
      </w:r>
      <w:r w:rsidRPr="00FD516E">
        <w:t>, n.d.). Forbidding corporal punishment may discourage and reduce the pervasiveness of its use as a child discipline method (</w:t>
      </w:r>
      <w:r w:rsidRPr="00FD516E">
        <w:rPr>
          <w:i/>
          <w:iCs/>
        </w:rPr>
        <w:t>Sustainable Development Goals</w:t>
      </w:r>
      <w:r w:rsidRPr="00FD516E">
        <w:t>, n.d.).</w:t>
      </w:r>
      <w:r w:rsidRPr="00FD516E">
        <w:rPr>
          <w:sz w:val="18"/>
          <w:szCs w:val="18"/>
        </w:rPr>
        <w:t xml:space="preserve"> </w:t>
      </w:r>
      <w:r w:rsidRPr="00FD516E">
        <w:t>Therefore, further steps towards prevention and reduction of harm towards children should be encouraged through the continuation of education and risks of the effects relating to physical punishment, appropriate parental support, and alternative forms of discipline</w:t>
      </w:r>
      <w:r w:rsidR="00343F84">
        <w:t>. C</w:t>
      </w:r>
      <w:r w:rsidRPr="00FD516E">
        <w:t>onsequently</w:t>
      </w:r>
      <w:r w:rsidR="00343F84">
        <w:t>,</w:t>
      </w:r>
      <w:r w:rsidRPr="00FD516E">
        <w:t xml:space="preserve"> terminating the use of violence against children globally and aspiring to improve outcomes for future generations. Insight into the motives for utilising physical punishment against children is critical to fully comprehend parental thought and behaviour patterns, individual differences and experiences, social norms, and cultural factors which may pertain the use of physical punishment (Langevin et al., 2019). A more concise understanding would contribute towards awareness of this issue and parental practice universally.  </w:t>
      </w:r>
      <w:r w:rsidRPr="00FD516E">
        <w:rPr>
          <w:kern w:val="36"/>
        </w:rPr>
        <w:tab/>
      </w:r>
      <w:r w:rsidRPr="00FD516E">
        <w:rPr>
          <w:kern w:val="36"/>
        </w:rPr>
        <w:tab/>
      </w:r>
      <w:r w:rsidRPr="00FD516E">
        <w:rPr>
          <w:kern w:val="36"/>
        </w:rPr>
        <w:tab/>
      </w:r>
      <w:r w:rsidRPr="00FD516E">
        <w:rPr>
          <w:kern w:val="36"/>
        </w:rPr>
        <w:tab/>
      </w:r>
      <w:r w:rsidRPr="00FD516E">
        <w:rPr>
          <w:kern w:val="36"/>
        </w:rPr>
        <w:tab/>
      </w:r>
      <w:r w:rsidRPr="00FD516E">
        <w:rPr>
          <w:kern w:val="36"/>
        </w:rPr>
        <w:tab/>
      </w:r>
      <w:r w:rsidRPr="00FD516E">
        <w:rPr>
          <w:kern w:val="36"/>
        </w:rPr>
        <w:tab/>
        <w:t xml:space="preserve">Finally, the Covid-19 pandemic must be discussed as </w:t>
      </w:r>
      <w:r w:rsidR="00343F84">
        <w:rPr>
          <w:kern w:val="36"/>
        </w:rPr>
        <w:t xml:space="preserve">Chinese </w:t>
      </w:r>
      <w:r w:rsidRPr="00FD516E">
        <w:rPr>
          <w:kern w:val="36"/>
        </w:rPr>
        <w:t>parental stress was seemingly elevated during lockdown periods and throughout changes to societal</w:t>
      </w:r>
      <w:r w:rsidR="00343F84">
        <w:rPr>
          <w:kern w:val="36"/>
        </w:rPr>
        <w:t xml:space="preserve"> and </w:t>
      </w:r>
      <w:r w:rsidRPr="00FD516E">
        <w:rPr>
          <w:kern w:val="36"/>
        </w:rPr>
        <w:t xml:space="preserve">social adjustment </w:t>
      </w:r>
      <w:r w:rsidR="00343F84">
        <w:rPr>
          <w:kern w:val="36"/>
        </w:rPr>
        <w:t>including</w:t>
      </w:r>
      <w:r w:rsidRPr="00FD516E">
        <w:rPr>
          <w:kern w:val="36"/>
        </w:rPr>
        <w:t xml:space="preserve"> financial </w:t>
      </w:r>
      <w:r w:rsidR="00343F84">
        <w:rPr>
          <w:kern w:val="36"/>
        </w:rPr>
        <w:t>uncertainty</w:t>
      </w:r>
      <w:r w:rsidRPr="00FD516E">
        <w:rPr>
          <w:kern w:val="36"/>
        </w:rPr>
        <w:t xml:space="preserve">. During these alterations, child maltreatment and physical assaults towards children seemingly escalated </w:t>
      </w:r>
      <w:r w:rsidRPr="00FD516E">
        <w:t>(Wong et al., 2021).</w:t>
      </w:r>
      <w:r w:rsidRPr="00FD516E">
        <w:rPr>
          <w:kern w:val="36"/>
        </w:rPr>
        <w:t xml:space="preserve"> Substantiating the results of the more dated study by </w:t>
      </w:r>
      <w:r w:rsidRPr="00FD516E">
        <w:t xml:space="preserve">Bunting et al. (2009) that parental stress is a factor </w:t>
      </w:r>
      <w:r w:rsidRPr="00FD516E">
        <w:lastRenderedPageBreak/>
        <w:t>attributing to increased child physical punishment. More recent support of this viewpoint (Lawson et al., 2020) determined that income stress amplified parent</w:t>
      </w:r>
      <w:r w:rsidR="00343F84">
        <w:t>-</w:t>
      </w:r>
      <w:r w:rsidRPr="00FD516E">
        <w:t>to</w:t>
      </w:r>
      <w:r w:rsidR="00343F84">
        <w:t>-</w:t>
      </w:r>
      <w:r w:rsidRPr="00FD516E">
        <w:t xml:space="preserve">child maltreatment by almost triple the amount in comparison to those without financial </w:t>
      </w:r>
      <w:r w:rsidR="00343F84">
        <w:t>burden</w:t>
      </w:r>
      <w:r w:rsidRPr="00FD516E">
        <w:t>. Other research insinuates that in families with parenting concerns, during lockdown children may have been at more at risk of harm owing to school closures (</w:t>
      </w:r>
      <w:proofErr w:type="spellStart"/>
      <w:r w:rsidRPr="00FD516E">
        <w:t>Barón</w:t>
      </w:r>
      <w:proofErr w:type="spellEnd"/>
      <w:r w:rsidRPr="00FD516E">
        <w:t xml:space="preserve"> et al., 2020). However, limitations occur in methodology of Wong et al. (2021) comprised of self-reporting reliance parents, exclusion of those with limited technological capabilities and the sample containing insufficient participants </w:t>
      </w:r>
      <w:r w:rsidR="00343F84">
        <w:t>all within</w:t>
      </w:r>
      <w:r w:rsidRPr="00FD516E">
        <w:t xml:space="preserve"> similar educational attainment</w:t>
      </w:r>
      <w:r w:rsidR="00343F84">
        <w:t xml:space="preserve"> levels.</w:t>
      </w:r>
      <w:r w:rsidRPr="00FD516E">
        <w:t xml:space="preserve"> Thus, casting doubt over the validity of reporting, limited unrepresentative participant scope within the Chinese population</w:t>
      </w:r>
      <w:r w:rsidR="00343F84">
        <w:t>,</w:t>
      </w:r>
      <w:r w:rsidRPr="00FD516E">
        <w:t xml:space="preserve"> and need for longitudinal study to comprehend the trajectory of parental attitudes and behaviour relative to parenting practice</w:t>
      </w:r>
      <w:r w:rsidR="00343F84">
        <w:t xml:space="preserve"> during this period</w:t>
      </w:r>
      <w:r w:rsidRPr="00FD516E">
        <w:t xml:space="preserve">. Additionally, </w:t>
      </w:r>
      <w:r w:rsidR="00343F84">
        <w:t xml:space="preserve">there are </w:t>
      </w:r>
      <w:r w:rsidRPr="00FD516E">
        <w:t>cultural differences</w:t>
      </w:r>
      <w:r w:rsidR="00343F84" w:rsidRPr="00FD516E">
        <w:t xml:space="preserve"> regarding physical punishment</w:t>
      </w:r>
      <w:r w:rsidR="00343F84">
        <w:t xml:space="preserve"> and education</w:t>
      </w:r>
      <w:r w:rsidR="00343F84" w:rsidRPr="00FD516E">
        <w:t xml:space="preserve"> </w:t>
      </w:r>
      <w:r w:rsidR="00343F84">
        <w:t>which</w:t>
      </w:r>
      <w:r w:rsidR="00343F84" w:rsidRPr="00FD516E">
        <w:t xml:space="preserve"> </w:t>
      </w:r>
      <w:r w:rsidRPr="00FD516E">
        <w:t>could impact the results</w:t>
      </w:r>
      <w:r w:rsidR="00343F84">
        <w:t xml:space="preserve"> comparative to the Welsh population. </w:t>
      </w:r>
      <w:r w:rsidRPr="00FD516E">
        <w:t xml:space="preserve">However, parental difficulties during the pandemic are noteworthy if future lockdowns or government restrictions are implemented </w:t>
      </w:r>
      <w:r w:rsidR="00343F84">
        <w:t xml:space="preserve">again. Prospective insight could </w:t>
      </w:r>
      <w:r w:rsidRPr="00FD516E">
        <w:t>mitigat</w:t>
      </w:r>
      <w:r w:rsidR="00343F84">
        <w:t>e</w:t>
      </w:r>
      <w:r w:rsidRPr="00FD516E">
        <w:t xml:space="preserve"> against </w:t>
      </w:r>
      <w:r w:rsidR="00343F84">
        <w:t xml:space="preserve">the </w:t>
      </w:r>
      <w:r w:rsidRPr="00FD516E">
        <w:t xml:space="preserve">potential long-term harmful effects </w:t>
      </w:r>
      <w:r w:rsidR="00343F84">
        <w:t>of the Covid-19 pandemic</w:t>
      </w:r>
      <w:r w:rsidRPr="00FD516E">
        <w:t xml:space="preserve"> </w:t>
      </w:r>
      <w:r w:rsidR="00343F84">
        <w:t xml:space="preserve">and safeguard children at risk. </w:t>
      </w:r>
    </w:p>
    <w:p w14:paraId="3EA0A26B" w14:textId="655FCF08" w:rsidR="00CD24F8" w:rsidRPr="00FD516E" w:rsidRDefault="00CD24F8" w:rsidP="0065336E">
      <w:pPr>
        <w:spacing w:line="360" w:lineRule="auto"/>
      </w:pPr>
    </w:p>
    <w:sectPr w:rsidR="00CD24F8" w:rsidRPr="00FD51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4ED0"/>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C5D67"/>
    <w:multiLevelType w:val="hybridMultilevel"/>
    <w:tmpl w:val="DF1A91DA"/>
    <w:lvl w:ilvl="0" w:tplc="4C42E692">
      <w:start w:val="35"/>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B776A"/>
    <w:multiLevelType w:val="hybridMultilevel"/>
    <w:tmpl w:val="E59E5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50865"/>
    <w:multiLevelType w:val="multilevel"/>
    <w:tmpl w:val="53CE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4798C"/>
    <w:multiLevelType w:val="multilevel"/>
    <w:tmpl w:val="9464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C77188"/>
    <w:multiLevelType w:val="multilevel"/>
    <w:tmpl w:val="59AE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C564B4"/>
    <w:multiLevelType w:val="hybridMultilevel"/>
    <w:tmpl w:val="0E72A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97CBB"/>
    <w:multiLevelType w:val="hybridMultilevel"/>
    <w:tmpl w:val="C68EBD90"/>
    <w:lvl w:ilvl="0" w:tplc="4C42E692">
      <w:start w:val="35"/>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3D1978"/>
    <w:multiLevelType w:val="multilevel"/>
    <w:tmpl w:val="B0A2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974052"/>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D755B3"/>
    <w:multiLevelType w:val="multilevel"/>
    <w:tmpl w:val="D7CA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67150B"/>
    <w:multiLevelType w:val="multilevel"/>
    <w:tmpl w:val="121AB8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BA68D5"/>
    <w:multiLevelType w:val="multilevel"/>
    <w:tmpl w:val="F6024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F3E61"/>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EF76DA"/>
    <w:multiLevelType w:val="hybridMultilevel"/>
    <w:tmpl w:val="6F929654"/>
    <w:lvl w:ilvl="0" w:tplc="49DC0A6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004A8"/>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BB2500"/>
    <w:multiLevelType w:val="hybridMultilevel"/>
    <w:tmpl w:val="30245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D070CA"/>
    <w:multiLevelType w:val="multilevel"/>
    <w:tmpl w:val="121AB8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E01730"/>
    <w:multiLevelType w:val="hybridMultilevel"/>
    <w:tmpl w:val="84DEA78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917B27"/>
    <w:multiLevelType w:val="hybridMultilevel"/>
    <w:tmpl w:val="245058C6"/>
    <w:lvl w:ilvl="0" w:tplc="6A4A10A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0" w15:restartNumberingAfterBreak="0">
    <w:nsid w:val="5F731C06"/>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544F26"/>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F135BD"/>
    <w:multiLevelType w:val="multilevel"/>
    <w:tmpl w:val="B832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F64ED6"/>
    <w:multiLevelType w:val="hybridMultilevel"/>
    <w:tmpl w:val="0BC865E4"/>
    <w:lvl w:ilvl="0" w:tplc="E7F8AFDC">
      <w:start w:val="35"/>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4" w15:restartNumberingAfterBreak="0">
    <w:nsid w:val="694137EB"/>
    <w:multiLevelType w:val="multilevel"/>
    <w:tmpl w:val="DC10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B585894"/>
    <w:multiLevelType w:val="hybridMultilevel"/>
    <w:tmpl w:val="D1C63C20"/>
    <w:lvl w:ilvl="0" w:tplc="4C42E692">
      <w:start w:val="35"/>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46367"/>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176BC5"/>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2B0096"/>
    <w:multiLevelType w:val="multilevel"/>
    <w:tmpl w:val="121A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6A5AC7"/>
    <w:multiLevelType w:val="hybridMultilevel"/>
    <w:tmpl w:val="7518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7B5CF8"/>
    <w:multiLevelType w:val="hybridMultilevel"/>
    <w:tmpl w:val="0A78003A"/>
    <w:lvl w:ilvl="0" w:tplc="4C42E692">
      <w:start w:val="35"/>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hint="default"/>
      </w:rPr>
    </w:lvl>
    <w:lvl w:ilvl="8" w:tplc="08090005" w:tentative="1">
      <w:start w:val="1"/>
      <w:numFmt w:val="bullet"/>
      <w:lvlText w:val=""/>
      <w:lvlJc w:val="left"/>
      <w:pPr>
        <w:ind w:left="9000" w:hanging="360"/>
      </w:pPr>
      <w:rPr>
        <w:rFonts w:ascii="Wingdings" w:hAnsi="Wingdings" w:hint="default"/>
      </w:rPr>
    </w:lvl>
  </w:abstractNum>
  <w:num w:numId="1" w16cid:durableId="224491899">
    <w:abstractNumId w:val="16"/>
  </w:num>
  <w:num w:numId="2" w16cid:durableId="1005017878">
    <w:abstractNumId w:val="6"/>
  </w:num>
  <w:num w:numId="3" w16cid:durableId="690569002">
    <w:abstractNumId w:val="23"/>
  </w:num>
  <w:num w:numId="4" w16cid:durableId="240796510">
    <w:abstractNumId w:val="30"/>
  </w:num>
  <w:num w:numId="5" w16cid:durableId="579143303">
    <w:abstractNumId w:val="2"/>
  </w:num>
  <w:num w:numId="6" w16cid:durableId="1837068519">
    <w:abstractNumId w:val="12"/>
  </w:num>
  <w:num w:numId="7" w16cid:durableId="1482699394">
    <w:abstractNumId w:val="25"/>
  </w:num>
  <w:num w:numId="8" w16cid:durableId="999381831">
    <w:abstractNumId w:val="1"/>
  </w:num>
  <w:num w:numId="9" w16cid:durableId="1539658244">
    <w:abstractNumId w:val="7"/>
  </w:num>
  <w:num w:numId="10" w16cid:durableId="1913656144">
    <w:abstractNumId w:val="11"/>
  </w:num>
  <w:num w:numId="11" w16cid:durableId="1103918297">
    <w:abstractNumId w:val="17"/>
  </w:num>
  <w:num w:numId="12" w16cid:durableId="1161312547">
    <w:abstractNumId w:val="24"/>
  </w:num>
  <w:num w:numId="13" w16cid:durableId="789398329">
    <w:abstractNumId w:val="8"/>
  </w:num>
  <w:num w:numId="14" w16cid:durableId="782001215">
    <w:abstractNumId w:val="5"/>
  </w:num>
  <w:num w:numId="15" w16cid:durableId="467170843">
    <w:abstractNumId w:val="4"/>
  </w:num>
  <w:num w:numId="16" w16cid:durableId="2001539983">
    <w:abstractNumId w:val="3"/>
  </w:num>
  <w:num w:numId="17" w16cid:durableId="457450443">
    <w:abstractNumId w:val="10"/>
  </w:num>
  <w:num w:numId="18" w16cid:durableId="1933706762">
    <w:abstractNumId w:val="20"/>
  </w:num>
  <w:num w:numId="19" w16cid:durableId="1392538026">
    <w:abstractNumId w:val="26"/>
  </w:num>
  <w:num w:numId="20" w16cid:durableId="368140936">
    <w:abstractNumId w:val="21"/>
  </w:num>
  <w:num w:numId="21" w16cid:durableId="1015882199">
    <w:abstractNumId w:val="28"/>
  </w:num>
  <w:num w:numId="22" w16cid:durableId="1928923064">
    <w:abstractNumId w:val="18"/>
  </w:num>
  <w:num w:numId="23" w16cid:durableId="611518985">
    <w:abstractNumId w:val="0"/>
  </w:num>
  <w:num w:numId="24" w16cid:durableId="874150440">
    <w:abstractNumId w:val="14"/>
  </w:num>
  <w:num w:numId="25" w16cid:durableId="1735853630">
    <w:abstractNumId w:val="19"/>
  </w:num>
  <w:num w:numId="26" w16cid:durableId="580801275">
    <w:abstractNumId w:val="27"/>
  </w:num>
  <w:num w:numId="27" w16cid:durableId="2117939102">
    <w:abstractNumId w:val="13"/>
  </w:num>
  <w:num w:numId="28" w16cid:durableId="1591543215">
    <w:abstractNumId w:val="15"/>
  </w:num>
  <w:num w:numId="29" w16cid:durableId="1985306683">
    <w:abstractNumId w:val="9"/>
  </w:num>
  <w:num w:numId="30" w16cid:durableId="135492645">
    <w:abstractNumId w:val="29"/>
  </w:num>
  <w:num w:numId="31" w16cid:durableId="19584445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6FC"/>
    <w:rsid w:val="0014000F"/>
    <w:rsid w:val="00343F84"/>
    <w:rsid w:val="0065336E"/>
    <w:rsid w:val="00713429"/>
    <w:rsid w:val="00972E73"/>
    <w:rsid w:val="00AD6344"/>
    <w:rsid w:val="00CA06FC"/>
    <w:rsid w:val="00CC1366"/>
    <w:rsid w:val="00CD24F8"/>
    <w:rsid w:val="00D70823"/>
    <w:rsid w:val="00FD5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6169FF"/>
  <w15:chartTrackingRefBased/>
  <w15:docId w15:val="{F00AD9AA-C1FE-DA43-9D27-AD1C0C0C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16E"/>
    <w:rPr>
      <w:rFonts w:ascii="Times New Roman" w:eastAsia="Times New Roman" w:hAnsi="Times New Roman" w:cs="Times New Roman"/>
      <w:lang w:eastAsia="en-GB"/>
    </w:rPr>
  </w:style>
  <w:style w:type="paragraph" w:styleId="Heading1">
    <w:name w:val="heading 1"/>
    <w:basedOn w:val="Normal"/>
    <w:link w:val="Heading1Char"/>
    <w:uiPriority w:val="9"/>
    <w:qFormat/>
    <w:rsid w:val="00FD516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FD51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51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D516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16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D516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FD516E"/>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FD516E"/>
    <w:rPr>
      <w:rFonts w:asciiTheme="majorHAnsi" w:eastAsiaTheme="majorEastAsia" w:hAnsiTheme="majorHAnsi" w:cstheme="majorBidi"/>
      <w:i/>
      <w:iCs/>
      <w:color w:val="2F5496" w:themeColor="accent1" w:themeShade="BF"/>
      <w:lang w:eastAsia="en-GB"/>
    </w:rPr>
  </w:style>
  <w:style w:type="paragraph" w:styleId="ListParagraph">
    <w:name w:val="List Paragraph"/>
    <w:basedOn w:val="Normal"/>
    <w:uiPriority w:val="34"/>
    <w:qFormat/>
    <w:rsid w:val="00FD516E"/>
    <w:pPr>
      <w:ind w:left="720"/>
      <w:contextualSpacing/>
    </w:pPr>
  </w:style>
  <w:style w:type="paragraph" w:styleId="Header">
    <w:name w:val="header"/>
    <w:basedOn w:val="Normal"/>
    <w:link w:val="HeaderChar"/>
    <w:uiPriority w:val="99"/>
    <w:unhideWhenUsed/>
    <w:rsid w:val="00FD516E"/>
    <w:pPr>
      <w:tabs>
        <w:tab w:val="center" w:pos="4513"/>
        <w:tab w:val="right" w:pos="9026"/>
      </w:tabs>
    </w:pPr>
  </w:style>
  <w:style w:type="character" w:customStyle="1" w:styleId="HeaderChar">
    <w:name w:val="Header Char"/>
    <w:basedOn w:val="DefaultParagraphFont"/>
    <w:link w:val="Header"/>
    <w:uiPriority w:val="99"/>
    <w:rsid w:val="00FD516E"/>
    <w:rPr>
      <w:rFonts w:ascii="Times New Roman" w:eastAsia="Times New Roman" w:hAnsi="Times New Roman" w:cs="Times New Roman"/>
      <w:lang w:eastAsia="en-GB"/>
    </w:rPr>
  </w:style>
  <w:style w:type="paragraph" w:styleId="Footer">
    <w:name w:val="footer"/>
    <w:basedOn w:val="Normal"/>
    <w:link w:val="FooterChar"/>
    <w:uiPriority w:val="99"/>
    <w:unhideWhenUsed/>
    <w:rsid w:val="00FD516E"/>
    <w:pPr>
      <w:tabs>
        <w:tab w:val="center" w:pos="4513"/>
        <w:tab w:val="right" w:pos="9026"/>
      </w:tabs>
    </w:pPr>
  </w:style>
  <w:style w:type="character" w:customStyle="1" w:styleId="FooterChar">
    <w:name w:val="Footer Char"/>
    <w:basedOn w:val="DefaultParagraphFont"/>
    <w:link w:val="Footer"/>
    <w:uiPriority w:val="99"/>
    <w:rsid w:val="00FD516E"/>
    <w:rPr>
      <w:rFonts w:ascii="Times New Roman" w:eastAsia="Times New Roman" w:hAnsi="Times New Roman" w:cs="Times New Roman"/>
      <w:lang w:eastAsia="en-GB"/>
    </w:rPr>
  </w:style>
  <w:style w:type="paragraph" w:styleId="NormalWeb">
    <w:name w:val="Normal (Web)"/>
    <w:basedOn w:val="Normal"/>
    <w:uiPriority w:val="99"/>
    <w:unhideWhenUsed/>
    <w:rsid w:val="00FD516E"/>
    <w:pPr>
      <w:spacing w:before="100" w:beforeAutospacing="1" w:after="100" w:afterAutospacing="1"/>
    </w:pPr>
  </w:style>
  <w:style w:type="character" w:customStyle="1" w:styleId="apple-converted-space">
    <w:name w:val="apple-converted-space"/>
    <w:basedOn w:val="DefaultParagraphFont"/>
    <w:rsid w:val="00FD516E"/>
  </w:style>
  <w:style w:type="paragraph" w:customStyle="1" w:styleId="col">
    <w:name w:val="col"/>
    <w:basedOn w:val="Normal"/>
    <w:rsid w:val="00FD516E"/>
    <w:pPr>
      <w:spacing w:before="100" w:beforeAutospacing="1" w:after="100" w:afterAutospacing="1"/>
    </w:pPr>
  </w:style>
  <w:style w:type="character" w:styleId="Hyperlink">
    <w:name w:val="Hyperlink"/>
    <w:basedOn w:val="DefaultParagraphFont"/>
    <w:uiPriority w:val="99"/>
    <w:unhideWhenUsed/>
    <w:rsid w:val="00FD516E"/>
    <w:rPr>
      <w:color w:val="0000FF"/>
      <w:u w:val="single"/>
    </w:rPr>
  </w:style>
  <w:style w:type="paragraph" w:styleId="z-TopofForm">
    <w:name w:val="HTML Top of Form"/>
    <w:basedOn w:val="Normal"/>
    <w:next w:val="Normal"/>
    <w:link w:val="z-TopofFormChar"/>
    <w:hidden/>
    <w:uiPriority w:val="99"/>
    <w:semiHidden/>
    <w:unhideWhenUsed/>
    <w:rsid w:val="00FD516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D516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D516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D516E"/>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FD516E"/>
    <w:rPr>
      <w:color w:val="605E5C"/>
      <w:shd w:val="clear" w:color="auto" w:fill="E1DFDD"/>
    </w:rPr>
  </w:style>
  <w:style w:type="character" w:styleId="FollowedHyperlink">
    <w:name w:val="FollowedHyperlink"/>
    <w:basedOn w:val="DefaultParagraphFont"/>
    <w:uiPriority w:val="99"/>
    <w:semiHidden/>
    <w:unhideWhenUsed/>
    <w:rsid w:val="00FD516E"/>
    <w:rPr>
      <w:color w:val="954F72" w:themeColor="followedHyperlink"/>
      <w:u w:val="single"/>
    </w:rPr>
  </w:style>
  <w:style w:type="paragraph" w:customStyle="1" w:styleId="html-x">
    <w:name w:val="html-x"/>
    <w:basedOn w:val="Normal"/>
    <w:rsid w:val="00FD516E"/>
    <w:pPr>
      <w:spacing w:before="100" w:beforeAutospacing="1" w:after="100" w:afterAutospacing="1"/>
    </w:pPr>
  </w:style>
  <w:style w:type="character" w:customStyle="1" w:styleId="html-italic">
    <w:name w:val="html-italic"/>
    <w:basedOn w:val="DefaultParagraphFont"/>
    <w:rsid w:val="00FD516E"/>
  </w:style>
  <w:style w:type="paragraph" w:customStyle="1" w:styleId="html-xx">
    <w:name w:val="html-xx"/>
    <w:basedOn w:val="Normal"/>
    <w:rsid w:val="00FD516E"/>
    <w:pPr>
      <w:spacing w:before="100" w:beforeAutospacing="1" w:after="100" w:afterAutospacing="1"/>
    </w:pPr>
  </w:style>
  <w:style w:type="character" w:styleId="HTMLCite">
    <w:name w:val="HTML Cite"/>
    <w:basedOn w:val="DefaultParagraphFont"/>
    <w:uiPriority w:val="99"/>
    <w:semiHidden/>
    <w:unhideWhenUsed/>
    <w:rsid w:val="00FD516E"/>
    <w:rPr>
      <w:i/>
      <w:iCs/>
    </w:rPr>
  </w:style>
  <w:style w:type="character" w:customStyle="1" w:styleId="highwire-access-icon">
    <w:name w:val="highwire-access-icon"/>
    <w:basedOn w:val="DefaultParagraphFont"/>
    <w:rsid w:val="00FD516E"/>
  </w:style>
  <w:style w:type="paragraph" w:customStyle="1" w:styleId="contributor">
    <w:name w:val="contributor"/>
    <w:basedOn w:val="Normal"/>
    <w:rsid w:val="00FD516E"/>
    <w:pPr>
      <w:spacing w:before="100" w:beforeAutospacing="1" w:after="100" w:afterAutospacing="1"/>
    </w:pPr>
  </w:style>
  <w:style w:type="character" w:customStyle="1" w:styleId="name">
    <w:name w:val="name"/>
    <w:basedOn w:val="DefaultParagraphFont"/>
    <w:rsid w:val="00FD516E"/>
  </w:style>
  <w:style w:type="paragraph" w:customStyle="1" w:styleId="last">
    <w:name w:val="last"/>
    <w:basedOn w:val="Normal"/>
    <w:rsid w:val="00FD516E"/>
    <w:pPr>
      <w:spacing w:before="100" w:beforeAutospacing="1" w:after="100" w:afterAutospacing="1"/>
    </w:pPr>
  </w:style>
  <w:style w:type="character" w:customStyle="1" w:styleId="timestamp">
    <w:name w:val="timestamp"/>
    <w:basedOn w:val="DefaultParagraphFont"/>
    <w:rsid w:val="00FD516E"/>
  </w:style>
  <w:style w:type="character" w:styleId="Emphasis">
    <w:name w:val="Emphasis"/>
    <w:basedOn w:val="DefaultParagraphFont"/>
    <w:uiPriority w:val="20"/>
    <w:qFormat/>
    <w:rsid w:val="00FD516E"/>
    <w:rPr>
      <w:i/>
      <w:iCs/>
    </w:rPr>
  </w:style>
  <w:style w:type="character" w:customStyle="1" w:styleId="xref-sep">
    <w:name w:val="xref-sep"/>
    <w:basedOn w:val="DefaultParagraphFont"/>
    <w:rsid w:val="00FD516E"/>
  </w:style>
  <w:style w:type="character" w:customStyle="1" w:styleId="xref-bibr">
    <w:name w:val="xref-bibr"/>
    <w:basedOn w:val="DefaultParagraphFont"/>
    <w:rsid w:val="00FD516E"/>
  </w:style>
  <w:style w:type="character" w:styleId="Strong">
    <w:name w:val="Strong"/>
    <w:basedOn w:val="DefaultParagraphFont"/>
    <w:uiPriority w:val="22"/>
    <w:qFormat/>
    <w:rsid w:val="00FD516E"/>
    <w:rPr>
      <w:b/>
      <w:bCs/>
    </w:rPr>
  </w:style>
  <w:style w:type="character" w:customStyle="1" w:styleId="nlmarticle-title">
    <w:name w:val="nlm_article-title"/>
    <w:basedOn w:val="DefaultParagraphFont"/>
    <w:rsid w:val="00FD516E"/>
  </w:style>
  <w:style w:type="paragraph" w:customStyle="1" w:styleId="msonormal0">
    <w:name w:val="msonormal"/>
    <w:basedOn w:val="Normal"/>
    <w:rsid w:val="00FD516E"/>
    <w:pPr>
      <w:spacing w:before="100" w:beforeAutospacing="1" w:after="100" w:afterAutospacing="1"/>
    </w:pPr>
  </w:style>
  <w:style w:type="character" w:customStyle="1" w:styleId="ref-lnk">
    <w:name w:val="ref-lnk"/>
    <w:basedOn w:val="DefaultParagraphFont"/>
    <w:rsid w:val="00FD516E"/>
  </w:style>
  <w:style w:type="character" w:customStyle="1" w:styleId="off-screen">
    <w:name w:val="off-screen"/>
    <w:basedOn w:val="DefaultParagraphFont"/>
    <w:rsid w:val="00FD516E"/>
  </w:style>
  <w:style w:type="character" w:customStyle="1" w:styleId="authorinfodata">
    <w:name w:val="authorinfodata"/>
    <w:basedOn w:val="DefaultParagraphFont"/>
    <w:rsid w:val="00FD516E"/>
  </w:style>
  <w:style w:type="character" w:customStyle="1" w:styleId="nlmgiven-names">
    <w:name w:val="nlm_given-names"/>
    <w:basedOn w:val="DefaultParagraphFont"/>
    <w:rsid w:val="00FD516E"/>
  </w:style>
  <w:style w:type="character" w:customStyle="1" w:styleId="title-text">
    <w:name w:val="title-text"/>
    <w:basedOn w:val="DefaultParagraphFont"/>
    <w:rsid w:val="00FD516E"/>
  </w:style>
  <w:style w:type="character" w:customStyle="1" w:styleId="gsct1">
    <w:name w:val="gs_ct1"/>
    <w:basedOn w:val="DefaultParagraphFont"/>
    <w:rsid w:val="00FD516E"/>
  </w:style>
  <w:style w:type="character" w:customStyle="1" w:styleId="anchor-text">
    <w:name w:val="anchor-text"/>
    <w:basedOn w:val="DefaultParagraphFont"/>
    <w:rsid w:val="00FD5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2911</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Marie James</dc:creator>
  <cp:keywords/>
  <dc:description/>
  <cp:lastModifiedBy>Lauren James (2104051)</cp:lastModifiedBy>
  <cp:revision>3</cp:revision>
  <dcterms:created xsi:type="dcterms:W3CDTF">2023-11-05T12:39:00Z</dcterms:created>
  <dcterms:modified xsi:type="dcterms:W3CDTF">2023-11-05T15:56:00Z</dcterms:modified>
</cp:coreProperties>
</file>