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B7EBB8" w14:textId="43158B5B" w:rsidR="007F4B05" w:rsidRPr="00881271" w:rsidRDefault="007F4B05" w:rsidP="00881271">
      <w:pPr>
        <w:jc w:val="center"/>
        <w:rPr>
          <w:u w:val="single"/>
        </w:rPr>
      </w:pPr>
      <w:r w:rsidRPr="007F4B05">
        <w:rPr>
          <w:u w:val="single"/>
        </w:rPr>
        <w:t>Analyse the ways in which feminist biblical criticism can shed new light on the biblical presentation of ONE of the following female figures: Delilah</w:t>
      </w:r>
    </w:p>
    <w:p w14:paraId="283031FB" w14:textId="7B91250F" w:rsidR="007F4B05" w:rsidRDefault="00AA598D" w:rsidP="007F4B05">
      <w:r>
        <w:t>The narrative of Delilah and Samson appears in Judges 16: 4-22</w:t>
      </w:r>
      <w:r w:rsidR="003A6C9C">
        <w:t>. It</w:t>
      </w:r>
      <w:r>
        <w:t xml:space="preserve"> </w:t>
      </w:r>
      <w:r w:rsidR="000B5C40">
        <w:t xml:space="preserve">has been interpreted </w:t>
      </w:r>
      <w:r w:rsidR="00AE45E5">
        <w:t xml:space="preserve">differently throughout history by scholars, authors </w:t>
      </w:r>
      <w:r w:rsidR="00AE45E5" w:rsidRPr="00881271">
        <w:rPr>
          <w:noProof/>
        </w:rPr>
        <w:t>and</w:t>
      </w:r>
      <w:r w:rsidR="00AE45E5">
        <w:t xml:space="preserve"> academic</w:t>
      </w:r>
      <w:r w:rsidR="00D80325">
        <w:t>s. The</w:t>
      </w:r>
      <w:r w:rsidR="00C77D63">
        <w:t>se interpretations have changed throughout the centuries</w:t>
      </w:r>
      <w:r w:rsidR="00135B41">
        <w:t xml:space="preserve"> </w:t>
      </w:r>
      <w:r w:rsidR="003A6C9C">
        <w:t xml:space="preserve">and </w:t>
      </w:r>
      <w:r w:rsidR="00135B41">
        <w:t>male authors</w:t>
      </w:r>
      <w:r w:rsidR="003A6C9C">
        <w:t xml:space="preserve"> have</w:t>
      </w:r>
      <w:r w:rsidR="00135B41">
        <w:t xml:space="preserve"> dominat</w:t>
      </w:r>
      <w:r w:rsidR="003A6C9C">
        <w:t>ed</w:t>
      </w:r>
      <w:r w:rsidR="00135B41">
        <w:t xml:space="preserve"> </w:t>
      </w:r>
      <w:r w:rsidR="00F1484C">
        <w:t>early interpretations</w:t>
      </w:r>
      <w:r w:rsidR="003A6C9C">
        <w:t>.</w:t>
      </w:r>
      <w:r w:rsidR="00F1484C">
        <w:t xml:space="preserve"> </w:t>
      </w:r>
      <w:r w:rsidR="003A6C9C">
        <w:t>E</w:t>
      </w:r>
      <w:r w:rsidR="00F1484C">
        <w:t xml:space="preserve">arly </w:t>
      </w:r>
      <w:r w:rsidR="003A6C9C">
        <w:t xml:space="preserve">analyses </w:t>
      </w:r>
      <w:r w:rsidR="00F1484C">
        <w:t>by men</w:t>
      </w:r>
      <w:r w:rsidR="003A6C9C">
        <w:t xml:space="preserve"> and</w:t>
      </w:r>
      <w:r w:rsidR="00F1484C">
        <w:t xml:space="preserve"> for men </w:t>
      </w:r>
      <w:r w:rsidR="003A6C9C">
        <w:t xml:space="preserve">produced </w:t>
      </w:r>
      <w:r w:rsidR="00F1484C">
        <w:t xml:space="preserve">an androcentric perspective. </w:t>
      </w:r>
      <w:r w:rsidR="003A6C9C">
        <w:t>Their</w:t>
      </w:r>
      <w:r w:rsidR="00F1484C">
        <w:t xml:space="preserve"> interpretation of Delilah</w:t>
      </w:r>
      <w:r w:rsidR="003A6C9C">
        <w:t xml:space="preserve"> as</w:t>
      </w:r>
      <w:r w:rsidR="00F1484C">
        <w:t xml:space="preserve"> being the “manipulator”</w:t>
      </w:r>
      <w:r w:rsidR="00C77D63">
        <w:t xml:space="preserve"> </w:t>
      </w:r>
      <w:r w:rsidR="00F1484C">
        <w:t xml:space="preserve">has influenced the way society and the church </w:t>
      </w:r>
      <w:r w:rsidR="003A6C9C">
        <w:t xml:space="preserve">view </w:t>
      </w:r>
      <w:r w:rsidR="00F1484C">
        <w:t xml:space="preserve">the Samson, Delilah narrative. </w:t>
      </w:r>
      <w:r w:rsidR="003A6C9C">
        <w:t xml:space="preserve">In addition, there is a presumption </w:t>
      </w:r>
      <w:r w:rsidR="00F1484C">
        <w:t xml:space="preserve">that the strength of women is the weakness of great men. </w:t>
      </w:r>
      <w:r w:rsidR="003A6C9C">
        <w:t>F</w:t>
      </w:r>
      <w:r w:rsidR="002A44E6">
        <w:t>eminist biblical scholars have debunked these traditional stigmas</w:t>
      </w:r>
      <w:r w:rsidR="003A6C9C">
        <w:t xml:space="preserve"> </w:t>
      </w:r>
      <w:r w:rsidR="002A44E6">
        <w:t>by suggesting th</w:t>
      </w:r>
      <w:r w:rsidR="003A6C9C">
        <w:t>at the</w:t>
      </w:r>
      <w:r w:rsidR="002A44E6">
        <w:t xml:space="preserve"> text needs expanding beyond the narrative, </w:t>
      </w:r>
      <w:r w:rsidR="003A6C9C">
        <w:t>and that Delilah</w:t>
      </w:r>
      <w:r w:rsidR="002A44E6">
        <w:t xml:space="preserve"> is</w:t>
      </w:r>
      <w:r w:rsidR="00881271">
        <w:t>, in fact,</w:t>
      </w:r>
      <w:r w:rsidR="002A44E6">
        <w:t xml:space="preserve"> </w:t>
      </w:r>
      <w:r w:rsidR="003A6C9C">
        <w:t xml:space="preserve">a </w:t>
      </w:r>
      <w:r w:rsidR="002A44E6">
        <w:t>clever, independent</w:t>
      </w:r>
      <w:r w:rsidR="00881271">
        <w:t xml:space="preserve"> wom</w:t>
      </w:r>
      <w:r w:rsidR="003A6C9C">
        <w:t>a</w:t>
      </w:r>
      <w:r w:rsidR="00881271">
        <w:t>n</w:t>
      </w:r>
      <w:r w:rsidR="002A44E6">
        <w:t xml:space="preserve"> in a </w:t>
      </w:r>
      <w:r w:rsidR="002A44E6" w:rsidRPr="002A44E6">
        <w:t>patriarch</w:t>
      </w:r>
      <w:r w:rsidR="00881271">
        <w:t>al society</w:t>
      </w:r>
      <w:r w:rsidR="002A44E6">
        <w:t xml:space="preserve">. These new </w:t>
      </w:r>
      <w:r w:rsidR="00881271">
        <w:t>interpretations</w:t>
      </w:r>
      <w:r w:rsidR="002A44E6">
        <w:t xml:space="preserve"> have challenged the traditional </w:t>
      </w:r>
      <w:r w:rsidR="00FC09F1">
        <w:t xml:space="preserve">view </w:t>
      </w:r>
      <w:r w:rsidR="00881271">
        <w:t>of Delilah</w:t>
      </w:r>
      <w:r w:rsidR="00FC09F1">
        <w:t>,</w:t>
      </w:r>
      <w:r w:rsidR="00881271">
        <w:t xml:space="preserve"> elevating her </w:t>
      </w:r>
      <w:r w:rsidR="00FC09F1">
        <w:t xml:space="preserve">motives and character </w:t>
      </w:r>
      <w:r w:rsidR="00881271">
        <w:t xml:space="preserve">from one of manipulation and greed to one of strength and intelligence. </w:t>
      </w:r>
      <w:r w:rsidR="002A44E6">
        <w:t xml:space="preserve">  </w:t>
      </w:r>
      <w:r w:rsidR="00F1484C">
        <w:t xml:space="preserve"> </w:t>
      </w:r>
    </w:p>
    <w:p w14:paraId="03BF9D47" w14:textId="4332C434" w:rsidR="007F4B05" w:rsidRDefault="00465285" w:rsidP="007F4B05">
      <w:r>
        <w:t xml:space="preserve">Delilah first appears </w:t>
      </w:r>
      <w:r w:rsidR="00B33E9F">
        <w:t>in Judges 16: 4-21</w:t>
      </w:r>
      <w:r w:rsidR="00B33E9F">
        <w:t xml:space="preserve"> </w:t>
      </w:r>
      <w:r>
        <w:t xml:space="preserve">as </w:t>
      </w:r>
      <w:r w:rsidR="00861975">
        <w:t>‘…</w:t>
      </w:r>
      <w:r w:rsidR="00861975" w:rsidRPr="00861975">
        <w:t>he fell in love with a woman in the valley of Sorek, whose name was Delilah</w:t>
      </w:r>
      <w:r w:rsidR="00861975">
        <w:t>’</w:t>
      </w:r>
      <w:r w:rsidR="00861975">
        <w:rPr>
          <w:rStyle w:val="FootnoteReference"/>
        </w:rPr>
        <w:footnoteReference w:id="1"/>
      </w:r>
      <w:r w:rsidR="00B33E9F">
        <w:t>.</w:t>
      </w:r>
      <w:r w:rsidR="00861975">
        <w:t xml:space="preserve"> This suggests that she </w:t>
      </w:r>
      <w:r w:rsidR="00FC09F1">
        <w:t>was</w:t>
      </w:r>
      <w:r w:rsidR="00861975">
        <w:t xml:space="preserve"> Philistine, but this is not distinctly</w:t>
      </w:r>
      <w:r w:rsidR="00AB3B3A">
        <w:t xml:space="preserve"> confirmed</w:t>
      </w:r>
      <w:r w:rsidR="00FC09F1">
        <w:t xml:space="preserve">. </w:t>
      </w:r>
      <w:r w:rsidR="00861975">
        <w:t>‘</w:t>
      </w:r>
      <w:r w:rsidR="00861975" w:rsidRPr="00861975">
        <w:t xml:space="preserve">Delilah… was </w:t>
      </w:r>
      <w:r w:rsidR="00964031" w:rsidRPr="00861975">
        <w:t>probably</w:t>
      </w:r>
      <w:r w:rsidR="00861975" w:rsidRPr="00861975">
        <w:t xml:space="preserve"> Philistine, though the text does not say so. On 2 other occasions, at Timnah and at Gaza, Samson was involved with Philistine women. Each time</w:t>
      </w:r>
      <w:r w:rsidR="00964031">
        <w:t xml:space="preserve"> the</w:t>
      </w:r>
      <w:r w:rsidR="00861975" w:rsidRPr="00861975">
        <w:t xml:space="preserve"> pursuit of a woman leads Samson into trouble</w:t>
      </w:r>
      <w:r w:rsidR="00861975">
        <w:t>’</w:t>
      </w:r>
      <w:r w:rsidR="00861975">
        <w:rPr>
          <w:rStyle w:val="FootnoteReference"/>
        </w:rPr>
        <w:footnoteReference w:id="2"/>
      </w:r>
      <w:r w:rsidR="00861975">
        <w:t>. Once the Philistines hea</w:t>
      </w:r>
      <w:r w:rsidR="00FC09F1">
        <w:t xml:space="preserve">rd about the liaison, </w:t>
      </w:r>
      <w:r w:rsidR="00861975">
        <w:t>they approach</w:t>
      </w:r>
      <w:r w:rsidR="00FC09F1">
        <w:t>ed</w:t>
      </w:r>
      <w:r w:rsidR="00861975">
        <w:t xml:space="preserve"> Delilah</w:t>
      </w:r>
      <w:r w:rsidR="00FC09F1">
        <w:t xml:space="preserve">, asking her to, </w:t>
      </w:r>
      <w:r w:rsidR="00861975">
        <w:t>‘</w:t>
      </w:r>
      <w:r w:rsidR="00AB3B3A">
        <w:t>[</w:t>
      </w:r>
      <w:r w:rsidR="00861975" w:rsidRPr="00861975">
        <w:t>C</w:t>
      </w:r>
      <w:r w:rsidR="00AB3B3A">
        <w:t>]</w:t>
      </w:r>
      <w:r w:rsidR="00861975" w:rsidRPr="00861975">
        <w:t>oax him, and find out what makes his strength so great, and how we may overpower him, so that we may bind him in order to subdue him; and we will each give you eleven hundred pieces of silver</w:t>
      </w:r>
      <w:r w:rsidR="00861975">
        <w:t>’</w:t>
      </w:r>
      <w:r w:rsidR="00C8156E">
        <w:rPr>
          <w:rStyle w:val="FootnoteReference"/>
        </w:rPr>
        <w:footnoteReference w:id="3"/>
      </w:r>
      <w:r w:rsidR="00861975">
        <w:t xml:space="preserve">. </w:t>
      </w:r>
      <w:r w:rsidR="00C8156E">
        <w:t>She subsequently ask</w:t>
      </w:r>
      <w:r w:rsidR="00FC09F1">
        <w:t>ed</w:t>
      </w:r>
      <w:r w:rsidR="00C8156E">
        <w:t xml:space="preserve"> Samson three times to </w:t>
      </w:r>
      <w:r w:rsidR="00C8156E" w:rsidRPr="00C8156E">
        <w:t>reveal</w:t>
      </w:r>
      <w:r w:rsidR="00C8156E">
        <w:t xml:space="preserve"> his secret</w:t>
      </w:r>
      <w:r w:rsidR="00FC09F1">
        <w:t>.</w:t>
      </w:r>
      <w:r w:rsidR="00C8156E">
        <w:t xml:space="preserve"> </w:t>
      </w:r>
      <w:r w:rsidR="00FC09F1">
        <w:t>E</w:t>
      </w:r>
      <w:r w:rsidR="00C8156E">
        <w:t>ach time Samson t</w:t>
      </w:r>
      <w:r w:rsidR="00FC09F1">
        <w:t>old her</w:t>
      </w:r>
      <w:r w:rsidR="00AB3B3A">
        <w:t xml:space="preserve"> </w:t>
      </w:r>
      <w:r w:rsidR="00C8156E">
        <w:t>lie</w:t>
      </w:r>
      <w:r w:rsidR="00FC09F1">
        <w:t xml:space="preserve">, to which she responded, </w:t>
      </w:r>
      <w:r w:rsidR="00C8156E">
        <w:t>‘</w:t>
      </w:r>
      <w:r w:rsidR="00C8156E" w:rsidRPr="00C8156E">
        <w:t xml:space="preserve">How can you say, </w:t>
      </w:r>
      <w:r w:rsidR="00C8156E">
        <w:t>“</w:t>
      </w:r>
      <w:r w:rsidR="00C8156E" w:rsidRPr="00C8156E">
        <w:t>I love you,</w:t>
      </w:r>
      <w:r w:rsidR="00C8156E">
        <w:t>”</w:t>
      </w:r>
      <w:r w:rsidR="00C8156E" w:rsidRPr="00C8156E">
        <w:t xml:space="preserve"> when your heart is not with me? You have mocked me three times now and have not told me what makes your strength so great</w:t>
      </w:r>
      <w:r w:rsidR="00C8156E">
        <w:t>’</w:t>
      </w:r>
      <w:r w:rsidR="00C8156E">
        <w:rPr>
          <w:rStyle w:val="FootnoteReference"/>
        </w:rPr>
        <w:footnoteReference w:id="4"/>
      </w:r>
      <w:r w:rsidR="00C8156E">
        <w:t xml:space="preserve">. This constant harassment </w:t>
      </w:r>
      <w:r w:rsidR="00772B31">
        <w:t>is the only way Delilah</w:t>
      </w:r>
      <w:r w:rsidR="00AB3B3A">
        <w:t xml:space="preserve"> c</w:t>
      </w:r>
      <w:r w:rsidR="00FC09F1">
        <w:t>ould</w:t>
      </w:r>
      <w:r w:rsidR="00772B31">
        <w:t xml:space="preserve"> deceive Samson</w:t>
      </w:r>
      <w:r w:rsidR="00FC09F1">
        <w:t>.</w:t>
      </w:r>
      <w:r w:rsidR="00772B31">
        <w:t xml:space="preserve"> ‘[</w:t>
      </w:r>
      <w:r w:rsidR="00772B31" w:rsidRPr="00772B31">
        <w:t>O</w:t>
      </w:r>
      <w:r w:rsidR="00772B31">
        <w:t>]</w:t>
      </w:r>
      <w:r w:rsidR="00772B31" w:rsidRPr="00772B31">
        <w:t>nly through persistence does Delilah break down Samson’s resolve</w:t>
      </w:r>
      <w:r w:rsidR="00772B31">
        <w:t>… [</w:t>
      </w:r>
      <w:r w:rsidR="00772B31" w:rsidRPr="00772B31">
        <w:t>T</w:t>
      </w:r>
      <w:r w:rsidR="00772B31">
        <w:t>]</w:t>
      </w:r>
      <w:r w:rsidR="00772B31" w:rsidRPr="00772B31">
        <w:t>he strong man’s one weakness is love. Faced with Delilah’s accusation that he cannot really love her if he does not share his secret with her’</w:t>
      </w:r>
      <w:r w:rsidR="00772B31">
        <w:rPr>
          <w:rStyle w:val="FootnoteReference"/>
        </w:rPr>
        <w:footnoteReference w:id="5"/>
      </w:r>
      <w:r w:rsidR="00772B31">
        <w:t>. Samson</w:t>
      </w:r>
      <w:r w:rsidR="00FC09F1">
        <w:t>,</w:t>
      </w:r>
      <w:r w:rsidR="00772B31">
        <w:t xml:space="preserve"> after this accusation</w:t>
      </w:r>
      <w:r w:rsidR="00FC09F1">
        <w:t>,</w:t>
      </w:r>
      <w:r w:rsidR="00772B31">
        <w:t xml:space="preserve"> </w:t>
      </w:r>
      <w:r w:rsidR="003227E8">
        <w:t>confesse</w:t>
      </w:r>
      <w:r w:rsidR="00FC09F1">
        <w:t>d</w:t>
      </w:r>
      <w:r w:rsidR="003227E8">
        <w:t xml:space="preserve"> his secret, ‘</w:t>
      </w:r>
      <w:bookmarkStart w:id="0" w:name="_Hlk510099701"/>
      <w:r w:rsidR="00F36A18">
        <w:t>[a]</w:t>
      </w:r>
      <w:r w:rsidR="003227E8" w:rsidRPr="003227E8">
        <w:t xml:space="preserve"> razor has never come upon my head</w:t>
      </w:r>
      <w:bookmarkEnd w:id="0"/>
      <w:r w:rsidR="003227E8" w:rsidRPr="003227E8">
        <w:t xml:space="preserve">; for I have been a </w:t>
      </w:r>
      <w:r w:rsidR="00945373">
        <w:t>N</w:t>
      </w:r>
      <w:r w:rsidR="003227E8" w:rsidRPr="003227E8">
        <w:t>azirite</w:t>
      </w:r>
      <w:r w:rsidR="003227E8">
        <w:t xml:space="preserve"> </w:t>
      </w:r>
      <w:r w:rsidR="003227E8" w:rsidRPr="003227E8">
        <w:t>to God from my mother’s womb. If my head were shaved, then my strength would leave me; I would become weak, and be like anyone else</w:t>
      </w:r>
      <w:r w:rsidR="003227E8">
        <w:t>’</w:t>
      </w:r>
      <w:r w:rsidR="003227E8">
        <w:rPr>
          <w:rStyle w:val="FootnoteReference"/>
        </w:rPr>
        <w:footnoteReference w:id="6"/>
      </w:r>
      <w:r w:rsidR="003227E8">
        <w:t xml:space="preserve">. With </w:t>
      </w:r>
      <w:r w:rsidR="00F36A18">
        <w:t xml:space="preserve">the </w:t>
      </w:r>
      <w:r w:rsidR="00104C39">
        <w:t>secret revealed,</w:t>
      </w:r>
      <w:r w:rsidR="003227E8">
        <w:t xml:space="preserve"> Delilah call</w:t>
      </w:r>
      <w:r w:rsidR="00F36A18">
        <w:t>ed</w:t>
      </w:r>
      <w:r w:rsidR="003227E8">
        <w:t xml:space="preserve"> upon the Philistines to give her the eleven hundred pieces of silver</w:t>
      </w:r>
      <w:r w:rsidR="00F36A18">
        <w:t>.</w:t>
      </w:r>
      <w:r w:rsidR="003227E8">
        <w:t xml:space="preserve"> </w:t>
      </w:r>
      <w:r w:rsidR="002902FE">
        <w:t>Samson f</w:t>
      </w:r>
      <w:r w:rsidR="00104C39">
        <w:t>ell</w:t>
      </w:r>
      <w:r w:rsidR="002902FE">
        <w:t xml:space="preserve"> asleep on her lap, </w:t>
      </w:r>
      <w:r w:rsidR="00F36A18">
        <w:t>which enabled</w:t>
      </w:r>
      <w:r w:rsidR="002902FE">
        <w:t xml:space="preserve"> a man</w:t>
      </w:r>
      <w:r w:rsidR="00F36A18">
        <w:t xml:space="preserve"> to</w:t>
      </w:r>
      <w:r w:rsidR="00104C39">
        <w:t xml:space="preserve"> enter</w:t>
      </w:r>
      <w:r w:rsidR="002902FE">
        <w:t xml:space="preserve"> the room to shave </w:t>
      </w:r>
      <w:r w:rsidR="00104C39">
        <w:t>Samson’s hair</w:t>
      </w:r>
      <w:r w:rsidR="002902FE">
        <w:t>. Once Samson aw</w:t>
      </w:r>
      <w:r w:rsidR="00F36A18">
        <w:t>oke</w:t>
      </w:r>
      <w:r w:rsidR="002902FE">
        <w:t xml:space="preserve"> he </w:t>
      </w:r>
      <w:r w:rsidR="002902FE" w:rsidRPr="00205D2F">
        <w:rPr>
          <w:noProof/>
        </w:rPr>
        <w:t>realise</w:t>
      </w:r>
      <w:r w:rsidR="00F36A18">
        <w:rPr>
          <w:noProof/>
        </w:rPr>
        <w:t>d</w:t>
      </w:r>
      <w:r w:rsidR="002902FE">
        <w:t xml:space="preserve"> that his strength </w:t>
      </w:r>
      <w:r w:rsidR="00945373">
        <w:t>ha</w:t>
      </w:r>
      <w:r w:rsidR="00F36A18">
        <w:t>d</w:t>
      </w:r>
      <w:r w:rsidR="002902FE">
        <w:t xml:space="preserve"> gone</w:t>
      </w:r>
      <w:r w:rsidR="00F36A18">
        <w:t xml:space="preserve"> and</w:t>
      </w:r>
      <w:r w:rsidR="002902FE">
        <w:t>, ‘</w:t>
      </w:r>
      <w:r w:rsidR="00F36A18">
        <w:t>[h]</w:t>
      </w:r>
      <w:r w:rsidR="002902FE" w:rsidRPr="002902FE">
        <w:t>e began to weaken</w:t>
      </w:r>
      <w:r w:rsidR="002902FE">
        <w:t xml:space="preserve"> </w:t>
      </w:r>
      <w:r w:rsidR="002902FE" w:rsidRPr="002902FE">
        <w:t>[</w:t>
      </w:r>
      <w:r w:rsidR="004B053D">
        <w:t>‘</w:t>
      </w:r>
      <w:r w:rsidR="002902FE">
        <w:t>she began to torment</w:t>
      </w:r>
      <w:r w:rsidR="004B053D">
        <w:t>’</w:t>
      </w:r>
      <w:r w:rsidR="002902FE">
        <w:t xml:space="preserve"> in Greek</w:t>
      </w:r>
      <w:r w:rsidR="00945373">
        <w:t>]</w:t>
      </w:r>
      <w:r w:rsidR="002902FE" w:rsidRPr="002902FE">
        <w:t xml:space="preserve"> and his strength left him</w:t>
      </w:r>
      <w:r w:rsidR="002902FE">
        <w:t xml:space="preserve">… </w:t>
      </w:r>
      <w:r w:rsidR="00104C39">
        <w:t>W</w:t>
      </w:r>
      <w:r w:rsidR="002902FE" w:rsidRPr="002902FE">
        <w:t>hen he awoke from his sleep, he thought, “I will go out as at other times, and shake myself free.” But he did not know that the Lord had left him. So the Philistines seized him and gouged out his eyes</w:t>
      </w:r>
      <w:r w:rsidR="004B053D">
        <w:t>’</w:t>
      </w:r>
      <w:r w:rsidR="004B053D">
        <w:rPr>
          <w:rStyle w:val="FootnoteReference"/>
        </w:rPr>
        <w:footnoteReference w:id="7"/>
      </w:r>
      <w:r w:rsidR="00945373">
        <w:t xml:space="preserve">. This </w:t>
      </w:r>
      <w:r w:rsidR="00F36A18">
        <w:t>is</w:t>
      </w:r>
      <w:r w:rsidR="00945373">
        <w:t xml:space="preserve"> the last appearance of Delilah</w:t>
      </w:r>
      <w:r w:rsidR="00F36A18">
        <w:t xml:space="preserve">; </w:t>
      </w:r>
      <w:r w:rsidR="00945373">
        <w:t>she le</w:t>
      </w:r>
      <w:r w:rsidR="00F36A18">
        <w:t>ft</w:t>
      </w:r>
      <w:r w:rsidR="00945373">
        <w:t xml:space="preserve"> as quickly as she appear</w:t>
      </w:r>
      <w:r w:rsidR="00F36A18">
        <w:t>ed</w:t>
      </w:r>
      <w:r w:rsidR="00945373">
        <w:t>, in a shadow of mystery</w:t>
      </w:r>
      <w:r w:rsidR="00F36A18">
        <w:t>,</w:t>
      </w:r>
      <w:r w:rsidR="00945373">
        <w:t xml:space="preserve"> with</w:t>
      </w:r>
      <w:r w:rsidR="00F36A18">
        <w:t xml:space="preserve"> no indication of where she went or what she did</w:t>
      </w:r>
      <w:r w:rsidR="00945373">
        <w:t xml:space="preserve"> with the eleven hundred pieces of silver. This sudden disappearance has</w:t>
      </w:r>
      <w:r w:rsidR="006211FE">
        <w:t xml:space="preserve"> created</w:t>
      </w:r>
      <w:r w:rsidR="00945373">
        <w:t xml:space="preserve"> the view that Delilah </w:t>
      </w:r>
      <w:r w:rsidR="006211FE">
        <w:t xml:space="preserve">was a </w:t>
      </w:r>
      <w:r w:rsidR="00945373">
        <w:t>schem</w:t>
      </w:r>
      <w:r w:rsidR="006211FE">
        <w:t>er</w:t>
      </w:r>
      <w:r w:rsidR="00945373">
        <w:t xml:space="preserve"> and </w:t>
      </w:r>
      <w:r w:rsidR="004B131E">
        <w:t>manipulator</w:t>
      </w:r>
      <w:r w:rsidR="006211FE">
        <w:t xml:space="preserve"> and</w:t>
      </w:r>
      <w:r w:rsidR="004B131E">
        <w:t xml:space="preserve"> Biblical scholars such as David Joris (1501-56) and John Owen (1616-83) have developed this </w:t>
      </w:r>
      <w:r w:rsidR="006211FE">
        <w:t xml:space="preserve">perception </w:t>
      </w:r>
      <w:r w:rsidR="004B131E">
        <w:t>of Delilah.</w:t>
      </w:r>
      <w:r w:rsidR="00C22240">
        <w:t xml:space="preserve"> The</w:t>
      </w:r>
      <w:r w:rsidR="001672B2">
        <w:t>ir</w:t>
      </w:r>
      <w:r w:rsidR="00C22240">
        <w:t xml:space="preserve"> interpretations are considered the “traditional” Christian view</w:t>
      </w:r>
      <w:r w:rsidR="001672B2">
        <w:t>, whereby</w:t>
      </w:r>
      <w:r w:rsidR="008B42A8">
        <w:t xml:space="preserve"> </w:t>
      </w:r>
      <w:r w:rsidR="0074138C">
        <w:t>Joris tak</w:t>
      </w:r>
      <w:r w:rsidR="001672B2">
        <w:t>es</w:t>
      </w:r>
      <w:r w:rsidR="0074138C">
        <w:t xml:space="preserve"> a </w:t>
      </w:r>
      <w:r w:rsidR="004D512E">
        <w:lastRenderedPageBreak/>
        <w:t>strong</w:t>
      </w:r>
      <w:r w:rsidR="0074138C">
        <w:t xml:space="preserve"> </w:t>
      </w:r>
      <w:bookmarkStart w:id="2" w:name="_Hlk510099420"/>
      <w:r w:rsidR="0074138C" w:rsidRPr="0074138C">
        <w:t>androcentric</w:t>
      </w:r>
      <w:r w:rsidR="0074138C">
        <w:t xml:space="preserve"> </w:t>
      </w:r>
      <w:bookmarkEnd w:id="2"/>
      <w:r w:rsidR="0074138C">
        <w:t xml:space="preserve">perspective </w:t>
      </w:r>
      <w:r w:rsidR="001672B2">
        <w:t xml:space="preserve">and </w:t>
      </w:r>
      <w:r w:rsidR="0074138C">
        <w:t>Owen</w:t>
      </w:r>
      <w:r w:rsidR="004D512E">
        <w:t xml:space="preserve"> instead</w:t>
      </w:r>
      <w:r w:rsidR="0074138C">
        <w:t xml:space="preserve"> focus</w:t>
      </w:r>
      <w:r w:rsidR="001672B2">
        <w:t>es</w:t>
      </w:r>
      <w:r w:rsidR="0074138C">
        <w:t xml:space="preserve"> on the stupidity of </w:t>
      </w:r>
      <w:r w:rsidR="004D512E">
        <w:t>Samson.</w:t>
      </w:r>
      <w:r w:rsidR="004B131E">
        <w:t xml:space="preserve"> </w:t>
      </w:r>
      <w:r w:rsidR="004B131E" w:rsidRPr="00205D2F">
        <w:rPr>
          <w:noProof/>
        </w:rPr>
        <w:t>Joris</w:t>
      </w:r>
      <w:r w:rsidR="00205D2F" w:rsidRPr="00205D2F">
        <w:rPr>
          <w:noProof/>
        </w:rPr>
        <w:t>’</w:t>
      </w:r>
      <w:r w:rsidR="004B131E">
        <w:t xml:space="preserve"> states, ‘</w:t>
      </w:r>
      <w:r w:rsidR="004B131E" w:rsidRPr="004B131E">
        <w:t>let your beards grow and your strength increase in Christ which you, in the first Adam, have allowed the woman (your own flesh) to shave off</w:t>
      </w:r>
      <w:r w:rsidR="004B131E">
        <w:t>’</w:t>
      </w:r>
      <w:r w:rsidR="002E5A07">
        <w:rPr>
          <w:rStyle w:val="FootnoteReference"/>
        </w:rPr>
        <w:footnoteReference w:id="8"/>
      </w:r>
      <w:r w:rsidR="004B131E">
        <w:t xml:space="preserve">. </w:t>
      </w:r>
      <w:r w:rsidR="004B131E" w:rsidRPr="00205D2F">
        <w:rPr>
          <w:noProof/>
        </w:rPr>
        <w:t>Joris</w:t>
      </w:r>
      <w:r w:rsidR="001672B2">
        <w:rPr>
          <w:noProof/>
        </w:rPr>
        <w:t>’</w:t>
      </w:r>
      <w:r w:rsidR="004B131E">
        <w:t xml:space="preserve"> </w:t>
      </w:r>
      <w:r w:rsidR="00E828CC">
        <w:t xml:space="preserve">interpretation of the narrative is one of control over </w:t>
      </w:r>
      <w:r w:rsidR="00205D2F">
        <w:t xml:space="preserve">a </w:t>
      </w:r>
      <w:r w:rsidR="00E828CC" w:rsidRPr="00205D2F">
        <w:rPr>
          <w:noProof/>
        </w:rPr>
        <w:t>woman</w:t>
      </w:r>
      <w:r w:rsidR="00E828CC">
        <w:t xml:space="preserve">, </w:t>
      </w:r>
      <w:r w:rsidR="00E828CC" w:rsidRPr="00881271">
        <w:rPr>
          <w:noProof/>
        </w:rPr>
        <w:t>as</w:t>
      </w:r>
      <w:r w:rsidR="00881271">
        <w:t xml:space="preserve"> </w:t>
      </w:r>
      <w:r w:rsidR="00E828CC" w:rsidRPr="00205D2F">
        <w:rPr>
          <w:noProof/>
        </w:rPr>
        <w:t>man</w:t>
      </w:r>
      <w:r w:rsidR="00E828CC">
        <w:t xml:space="preserve"> was created first and </w:t>
      </w:r>
      <w:r w:rsidR="00221A64">
        <w:t xml:space="preserve">he suggests </w:t>
      </w:r>
      <w:r w:rsidR="00E828CC">
        <w:t>that the hairiness of man is a connection to God and</w:t>
      </w:r>
      <w:r w:rsidR="00221A64">
        <w:t xml:space="preserve"> therefore</w:t>
      </w:r>
      <w:r w:rsidR="00E828CC">
        <w:t xml:space="preserve"> to shave </w:t>
      </w:r>
      <w:r w:rsidR="002E5A07">
        <w:t>is to sever this connection.</w:t>
      </w:r>
      <w:r w:rsidR="00C63E86">
        <w:t xml:space="preserve"> Joris also uses P</w:t>
      </w:r>
      <w:r w:rsidR="00C63E86" w:rsidRPr="00C63E86">
        <w:t>roverbs</w:t>
      </w:r>
      <w:r w:rsidR="00C63E86">
        <w:t xml:space="preserve"> 5:3</w:t>
      </w:r>
      <w:r w:rsidR="00C22240">
        <w:t xml:space="preserve"> (‘</w:t>
      </w:r>
      <w:r w:rsidR="00C22240" w:rsidRPr="00C22240">
        <w:t>For the lips of a loose woman drip honey and her speech is smoother than oil</w:t>
      </w:r>
      <w:r w:rsidR="00C22240">
        <w:t>’</w:t>
      </w:r>
      <w:r w:rsidR="00C22240">
        <w:rPr>
          <w:rStyle w:val="FootnoteReference"/>
        </w:rPr>
        <w:footnoteReference w:id="9"/>
      </w:r>
      <w:r w:rsidR="00C22240">
        <w:t>) and Proverbs 7:26-7 (</w:t>
      </w:r>
      <w:r w:rsidR="00C22240" w:rsidRPr="00C22240">
        <w:t>For many are those she has laid low, and numerous are her victims. Her house is the way to Sheol, going down to the chambers of death</w:t>
      </w:r>
      <w:r w:rsidR="00C22240">
        <w:rPr>
          <w:rStyle w:val="FootnoteReference"/>
        </w:rPr>
        <w:footnoteReference w:id="10"/>
      </w:r>
      <w:r w:rsidR="00C22240">
        <w:t>) in his argument that Delilah is like all women, manipulative and greedy.</w:t>
      </w:r>
      <w:r w:rsidR="002E5A07">
        <w:t xml:space="preserve"> Owen’s interpretation is one of disbelief as he cannot imagine how Samson could be so stupid, </w:t>
      </w:r>
      <w:r w:rsidR="002E5A07" w:rsidRPr="002E5A07">
        <w:t>‘Lust “bewitched” Samson. How, otherwise, could he have been so stupid? Diverted by his harlot, his heart was effeminate’</w:t>
      </w:r>
      <w:r w:rsidR="002E5A07">
        <w:rPr>
          <w:rStyle w:val="FootnoteReference"/>
        </w:rPr>
        <w:footnoteReference w:id="11"/>
      </w:r>
      <w:r w:rsidR="002E5A07">
        <w:t xml:space="preserve">. </w:t>
      </w:r>
      <w:r w:rsidR="00C63E86">
        <w:t>How could she fool him four times with the same trick?</w:t>
      </w:r>
      <w:r w:rsidR="004D512E">
        <w:t xml:space="preserve"> Owen places significant</w:t>
      </w:r>
      <w:r w:rsidR="00C63E86">
        <w:t xml:space="preserve"> </w:t>
      </w:r>
      <w:r w:rsidR="004D512E">
        <w:t>blame on Samson for accepting her lustful advances and allowing her to bewitch</w:t>
      </w:r>
      <w:r w:rsidR="00C63E86">
        <w:t xml:space="preserve"> </w:t>
      </w:r>
      <w:r w:rsidR="004D512E">
        <w:t xml:space="preserve">him. </w:t>
      </w:r>
      <w:r w:rsidR="00046265">
        <w:t>These traditional perspectives of the narrative</w:t>
      </w:r>
      <w:r w:rsidR="004D512E">
        <w:t xml:space="preserve"> have influenced the way biblical criticism is conducted</w:t>
      </w:r>
      <w:r w:rsidR="00221A64">
        <w:t>. However,</w:t>
      </w:r>
      <w:r w:rsidR="004D512E">
        <w:t xml:space="preserve"> recent feminist perceptive</w:t>
      </w:r>
      <w:r w:rsidR="00046265">
        <w:t xml:space="preserve"> disregard</w:t>
      </w:r>
      <w:r w:rsidR="00221A64">
        <w:t>s</w:t>
      </w:r>
      <w:r w:rsidR="00046265">
        <w:t xml:space="preserve"> Joris’ interpretation</w:t>
      </w:r>
      <w:r w:rsidR="006C2E72">
        <w:t>, particularly</w:t>
      </w:r>
      <w:r w:rsidR="001E3A10">
        <w:t xml:space="preserve"> his </w:t>
      </w:r>
      <w:r w:rsidR="001E3A10" w:rsidRPr="001E3A10">
        <w:t>androcentric</w:t>
      </w:r>
      <w:r w:rsidR="001E3A10">
        <w:t xml:space="preserve"> interpretation of beard hair as preposterous</w:t>
      </w:r>
      <w:r w:rsidR="006C2E72">
        <w:t>,</w:t>
      </w:r>
      <w:r w:rsidR="001E3A10">
        <w:t xml:space="preserve"> as Samson’s strength came from his head hair</w:t>
      </w:r>
      <w:r w:rsidR="00205D2F">
        <w:t>,</w:t>
      </w:r>
      <w:r w:rsidR="001E3A10">
        <w:t xml:space="preserve"> </w:t>
      </w:r>
      <w:r w:rsidR="001E3A10" w:rsidRPr="00205D2F">
        <w:rPr>
          <w:noProof/>
        </w:rPr>
        <w:t>not</w:t>
      </w:r>
      <w:r w:rsidR="001E3A10">
        <w:t xml:space="preserve"> his beard, ‘</w:t>
      </w:r>
      <w:r w:rsidR="007376C5" w:rsidRPr="007376C5">
        <w:t>A razor has never come upon my head</w:t>
      </w:r>
      <w:r w:rsidR="007376C5">
        <w:t>’</w:t>
      </w:r>
      <w:r w:rsidR="007376C5">
        <w:rPr>
          <w:rStyle w:val="FootnoteReference"/>
        </w:rPr>
        <w:footnoteReference w:id="12"/>
      </w:r>
      <w:r w:rsidR="006C2E72">
        <w:t>. Additionally,</w:t>
      </w:r>
      <w:r w:rsidR="007376C5">
        <w:t xml:space="preserve"> representation of Samson within 1600</w:t>
      </w:r>
      <w:r w:rsidR="007376C5" w:rsidRPr="007376C5">
        <w:rPr>
          <w:vertAlign w:val="superscript"/>
        </w:rPr>
        <w:t>th</w:t>
      </w:r>
      <w:r w:rsidR="007376C5">
        <w:t xml:space="preserve"> century </w:t>
      </w:r>
      <w:r w:rsidR="007376C5" w:rsidRPr="00205D2F">
        <w:rPr>
          <w:noProof/>
        </w:rPr>
        <w:t>artwork</w:t>
      </w:r>
      <w:r w:rsidR="007376C5">
        <w:t xml:space="preserve"> represents Samson’s hair being cut, not his beard. Feminist biblical critics have</w:t>
      </w:r>
      <w:r w:rsidR="001E3A10">
        <w:t xml:space="preserve"> either adopt</w:t>
      </w:r>
      <w:r w:rsidR="006C2E72">
        <w:t>ed</w:t>
      </w:r>
      <w:r w:rsidR="001E3A10">
        <w:t xml:space="preserve"> a view</w:t>
      </w:r>
      <w:r w:rsidR="00046265">
        <w:t xml:space="preserve"> </w:t>
      </w:r>
      <w:r w:rsidR="006C2E72">
        <w:t xml:space="preserve">closer </w:t>
      </w:r>
      <w:r w:rsidR="00046265">
        <w:t>to Owen</w:t>
      </w:r>
      <w:r w:rsidR="006C2E72">
        <w:t>’s</w:t>
      </w:r>
      <w:r w:rsidR="001E3A10">
        <w:t xml:space="preserve"> or</w:t>
      </w:r>
      <w:r w:rsidR="006C2E72">
        <w:t xml:space="preserve"> they</w:t>
      </w:r>
      <w:r w:rsidR="001E3A10">
        <w:t xml:space="preserve"> </w:t>
      </w:r>
      <w:r w:rsidR="00046265" w:rsidRPr="00205D2F">
        <w:rPr>
          <w:noProof/>
        </w:rPr>
        <w:t>expand</w:t>
      </w:r>
      <w:r w:rsidR="00046265">
        <w:t xml:space="preserve"> the story so to investigate where Delilah went and what she did with bribe money. </w:t>
      </w:r>
      <w:r w:rsidR="001E3A10">
        <w:t xml:space="preserve">These questions require further investigation before </w:t>
      </w:r>
      <w:r w:rsidR="006C2E72">
        <w:t xml:space="preserve">earlier narrative perspectives, arising from the sudden </w:t>
      </w:r>
      <w:r w:rsidR="007376C5">
        <w:t xml:space="preserve">entrance </w:t>
      </w:r>
      <w:r w:rsidR="00205D2F">
        <w:t>and exi</w:t>
      </w:r>
      <w:r w:rsidR="006C2E72">
        <w:t>t</w:t>
      </w:r>
      <w:r w:rsidR="00205D2F">
        <w:t xml:space="preserve"> of Delilah</w:t>
      </w:r>
      <w:r w:rsidR="006C2E72">
        <w:t xml:space="preserve"> are accepted as legitimate</w:t>
      </w:r>
      <w:r w:rsidR="00205D2F">
        <w:t xml:space="preserve">. </w:t>
      </w:r>
    </w:p>
    <w:p w14:paraId="6A9BE4AA" w14:textId="208E40A3" w:rsidR="007F4B05" w:rsidRDefault="001E0444" w:rsidP="007F4B05">
      <w:r>
        <w:t>Delilah</w:t>
      </w:r>
      <w:r w:rsidR="00A625DD">
        <w:t>’s</w:t>
      </w:r>
      <w:r>
        <w:t xml:space="preserve"> </w:t>
      </w:r>
      <w:r w:rsidR="00A625DD">
        <w:t xml:space="preserve">sudden disappearance </w:t>
      </w:r>
      <w:r w:rsidR="000E3D2B">
        <w:t>has led to many authors</w:t>
      </w:r>
      <w:r w:rsidR="001F1D4D">
        <w:t xml:space="preserve"> </w:t>
      </w:r>
      <w:r w:rsidR="001F1D4D" w:rsidRPr="001F1D4D">
        <w:t>to dramatize a reunion between Samson and Delilah at Gaza</w:t>
      </w:r>
      <w:r w:rsidR="001F1D4D">
        <w:t>.</w:t>
      </w:r>
      <w:r w:rsidR="000E3D2B">
        <w:t xml:space="preserve"> John Milton’s (1608-1674) poem </w:t>
      </w:r>
      <w:r w:rsidR="000E3D2B" w:rsidRPr="00243F5E">
        <w:rPr>
          <w:i/>
        </w:rPr>
        <w:t>Samson Agonistes</w:t>
      </w:r>
      <w:r w:rsidR="000E3D2B">
        <w:rPr>
          <w:i/>
        </w:rPr>
        <w:t xml:space="preserve"> </w:t>
      </w:r>
      <w:r w:rsidR="000E3D2B">
        <w:t>(1671)</w:t>
      </w:r>
      <w:r w:rsidR="001F1D4D">
        <w:t>,</w:t>
      </w:r>
      <w:r w:rsidR="000E3D2B">
        <w:t xml:space="preserve"> which George </w:t>
      </w:r>
      <w:r w:rsidR="000E3D2B" w:rsidRPr="00CF6508">
        <w:t>Handel</w:t>
      </w:r>
      <w:r w:rsidR="000E3D2B">
        <w:t xml:space="preserve"> (1685-1759) adapted into his </w:t>
      </w:r>
      <w:r w:rsidR="000E3D2B" w:rsidRPr="001679F3">
        <w:t>oratorio</w:t>
      </w:r>
      <w:r w:rsidR="000E3D2B">
        <w:t xml:space="preserve">, </w:t>
      </w:r>
      <w:r w:rsidR="000E3D2B" w:rsidRPr="00834C06">
        <w:rPr>
          <w:i/>
        </w:rPr>
        <w:t>Samson</w:t>
      </w:r>
      <w:r w:rsidR="000E3D2B">
        <w:t xml:space="preserve"> (</w:t>
      </w:r>
      <w:r w:rsidR="000E3D2B" w:rsidRPr="00834C06">
        <w:t>1743</w:t>
      </w:r>
      <w:r w:rsidR="000E3D2B">
        <w:t>)</w:t>
      </w:r>
      <w:r w:rsidR="001F1D4D">
        <w:t>, is one example, in</w:t>
      </w:r>
      <w:r w:rsidR="000E3D2B">
        <w:t xml:space="preserve"> Handel’s </w:t>
      </w:r>
      <w:r w:rsidR="000E3D2B" w:rsidRPr="008F2A23">
        <w:rPr>
          <w:i/>
        </w:rPr>
        <w:t>Samson</w:t>
      </w:r>
      <w:r w:rsidR="000E3D2B">
        <w:t xml:space="preserve">, Delilah </w:t>
      </w:r>
      <w:r w:rsidR="001F1D4D">
        <w:t>confessed</w:t>
      </w:r>
      <w:r w:rsidR="000E3D2B">
        <w:t xml:space="preserve"> her sins and love for Samson, ‘But hear me hear the voice of love!... To fleeting pleasure make your count,/ No moment lose, for life is short! / The Present now’s our only time / The missing that our only crime’</w:t>
      </w:r>
      <w:r w:rsidR="000E3D2B">
        <w:rPr>
          <w:rStyle w:val="FootnoteReference"/>
        </w:rPr>
        <w:footnoteReference w:id="13"/>
      </w:r>
      <w:r w:rsidR="000E3D2B">
        <w:t>. Samson reject</w:t>
      </w:r>
      <w:r w:rsidR="001F1D4D">
        <w:t>ed</w:t>
      </w:r>
      <w:r w:rsidR="000E3D2B">
        <w:t xml:space="preserve"> her advances, but her response to this rejection induces pathos, ‘When in this land I ever shall be held. The first of womankind, living or dead. </w:t>
      </w:r>
      <w:bookmarkStart w:id="5" w:name="_Hlk510101437"/>
      <w:r w:rsidR="000E3D2B">
        <w:t>My promises shall be at solemn feasts</w:t>
      </w:r>
      <w:bookmarkEnd w:id="5"/>
      <w:r w:rsidR="000E3D2B">
        <w:t>, Who saved my country from a fierce destroyer’</w:t>
      </w:r>
      <w:r w:rsidR="000E3D2B">
        <w:rPr>
          <w:rStyle w:val="FootnoteReference"/>
        </w:rPr>
        <w:footnoteReference w:id="14"/>
      </w:r>
      <w:r w:rsidR="000E3D2B">
        <w:t xml:space="preserve">. </w:t>
      </w:r>
      <w:r>
        <w:t xml:space="preserve">Delilah’s response </w:t>
      </w:r>
      <w:r w:rsidR="001F1D4D">
        <w:t xml:space="preserve">was </w:t>
      </w:r>
      <w:r>
        <w:t xml:space="preserve">not of anger but revelation. She </w:t>
      </w:r>
      <w:r w:rsidRPr="00881271">
        <w:rPr>
          <w:noProof/>
        </w:rPr>
        <w:t>plead</w:t>
      </w:r>
      <w:r w:rsidR="001F1D4D">
        <w:rPr>
          <w:noProof/>
        </w:rPr>
        <w:t>ed</w:t>
      </w:r>
      <w:r>
        <w:t xml:space="preserve"> with him to understand </w:t>
      </w:r>
      <w:r w:rsidR="001F1D4D">
        <w:t>her</w:t>
      </w:r>
      <w:r>
        <w:t xml:space="preserve"> Philistine </w:t>
      </w:r>
      <w:r w:rsidR="001F1D4D">
        <w:t xml:space="preserve">heritage, rationalising that she was </w:t>
      </w:r>
      <w:r>
        <w:t>trying to save her country. The statement, ‘</w:t>
      </w:r>
      <w:r w:rsidRPr="001E0444">
        <w:t>My promises shall be at solemn feasts</w:t>
      </w:r>
      <w:r>
        <w:t>’</w:t>
      </w:r>
      <w:r>
        <w:rPr>
          <w:rStyle w:val="FootnoteReference"/>
        </w:rPr>
        <w:footnoteReference w:id="15"/>
      </w:r>
      <w:r>
        <w:t xml:space="preserve"> is in reference </w:t>
      </w:r>
      <w:r w:rsidR="00E401CA">
        <w:t xml:space="preserve">to the Philistine toasting this great victory to the god </w:t>
      </w:r>
      <w:r w:rsidR="00E401CA" w:rsidRPr="00E401CA">
        <w:t>Dagon</w:t>
      </w:r>
      <w:r w:rsidR="001F1D4D">
        <w:t>,</w:t>
      </w:r>
      <w:r w:rsidR="00E401CA">
        <w:t xml:space="preserve"> not to Delilah. She </w:t>
      </w:r>
      <w:r w:rsidR="001F1D4D">
        <w:t xml:space="preserve">was </w:t>
      </w:r>
      <w:r w:rsidR="00E401CA">
        <w:t xml:space="preserve">rejected by the </w:t>
      </w:r>
      <w:r w:rsidR="008039CB">
        <w:t>Philistine lords for her work</w:t>
      </w:r>
      <w:r w:rsidR="001F1D4D">
        <w:t xml:space="preserve"> and</w:t>
      </w:r>
      <w:r w:rsidR="008039CB">
        <w:t xml:space="preserve"> brushed </w:t>
      </w:r>
      <w:r w:rsidR="008039CB" w:rsidRPr="00881271">
        <w:rPr>
          <w:noProof/>
        </w:rPr>
        <w:t>aside</w:t>
      </w:r>
      <w:r w:rsidR="008039CB">
        <w:t xml:space="preserve"> as if her role in the fall of Samson was nothing. </w:t>
      </w:r>
      <w:r w:rsidR="001F1D4D">
        <w:t xml:space="preserve">It is important to note that </w:t>
      </w:r>
      <w:r w:rsidR="000E3D2B">
        <w:t>Handel cannot be considered a feminist.</w:t>
      </w:r>
      <w:r w:rsidR="001543AB">
        <w:t xml:space="preserve"> </w:t>
      </w:r>
      <w:r w:rsidR="001543AB" w:rsidRPr="00CB55C2">
        <w:t>Nevertheless</w:t>
      </w:r>
      <w:r w:rsidR="000E3D2B" w:rsidRPr="00CB55C2">
        <w:t>, his portrayal of Delilah must be evaluated through the feminist perspective as it elevates the narrative from one of temptation and manipulation to one of pity and shame</w:t>
      </w:r>
      <w:r w:rsidR="008039CB" w:rsidRPr="00CB55C2">
        <w:t xml:space="preserve">. </w:t>
      </w:r>
      <w:r w:rsidR="005D0029" w:rsidRPr="00CB55C2">
        <w:t xml:space="preserve">The 2016 novel </w:t>
      </w:r>
      <w:r w:rsidR="005D0029" w:rsidRPr="00CB55C2">
        <w:rPr>
          <w:i/>
        </w:rPr>
        <w:t>Delilah: A Dangerous Beauty</w:t>
      </w:r>
      <w:r w:rsidR="005D0029" w:rsidRPr="00CB55C2">
        <w:t xml:space="preserve"> (written by Angela Hunt) is a modern example of authors </w:t>
      </w:r>
      <w:r w:rsidR="00115562" w:rsidRPr="00CB55C2">
        <w:t>expanding</w:t>
      </w:r>
      <w:r w:rsidR="005D0029" w:rsidRPr="00CB55C2">
        <w:t xml:space="preserve"> the Samson</w:t>
      </w:r>
      <w:r w:rsidR="00FE4123" w:rsidRPr="00CB55C2">
        <w:t xml:space="preserve"> and</w:t>
      </w:r>
      <w:r w:rsidR="005D0029" w:rsidRPr="00CB55C2">
        <w:t xml:space="preserve"> Delilah narrative.</w:t>
      </w:r>
      <w:r w:rsidR="00FE4123" w:rsidRPr="00CB55C2">
        <w:t xml:space="preserve"> Hunt builds a </w:t>
      </w:r>
      <w:r w:rsidR="00FE4123" w:rsidRPr="00CB55C2">
        <w:rPr>
          <w:noProof/>
        </w:rPr>
        <w:t>backstory</w:t>
      </w:r>
      <w:r w:rsidR="00FE4123" w:rsidRPr="00CB55C2">
        <w:t xml:space="preserve"> </w:t>
      </w:r>
      <w:r w:rsidR="002D7040" w:rsidRPr="00CB55C2">
        <w:t>for Delilah</w:t>
      </w:r>
      <w:r w:rsidR="001543AB" w:rsidRPr="00CB55C2">
        <w:t>.</w:t>
      </w:r>
      <w:r w:rsidR="002D7040" w:rsidRPr="00CB55C2">
        <w:t xml:space="preserve"> ‘Hunt's vivid retelling of the biblical tale of Samson and Delilah creates a plausible </w:t>
      </w:r>
      <w:r w:rsidR="002D7040" w:rsidRPr="002D7040">
        <w:t xml:space="preserve">backstory, portraying Delilah as </w:t>
      </w:r>
      <w:r w:rsidR="002D7040" w:rsidRPr="002D7040">
        <w:lastRenderedPageBreak/>
        <w:t>a surprisingly sympathetic character</w:t>
      </w:r>
      <w:r w:rsidR="002D7040">
        <w:t>’</w:t>
      </w:r>
      <w:r w:rsidR="002D7040">
        <w:rPr>
          <w:rStyle w:val="FootnoteReference"/>
        </w:rPr>
        <w:footnoteReference w:id="16"/>
      </w:r>
      <w:r w:rsidR="002D7040">
        <w:t xml:space="preserve">.  Instead of developing the narrative after </w:t>
      </w:r>
      <w:r w:rsidR="0044125D">
        <w:t>Delilah betrayed Samson she focuses on Delilah’s family (especially her stepbrother) and the treatment she suffered. These are biblical fictions</w:t>
      </w:r>
      <w:r w:rsidR="00D9448C">
        <w:t xml:space="preserve"> and therefore consist more of</w:t>
      </w:r>
      <w:r w:rsidR="0044125D">
        <w:t xml:space="preserve"> imagination than </w:t>
      </w:r>
      <w:r w:rsidR="00560BED">
        <w:t>scripture,</w:t>
      </w:r>
      <w:r w:rsidR="0044125D">
        <w:t xml:space="preserve"> </w:t>
      </w:r>
      <w:r w:rsidR="009C6BB7">
        <w:t xml:space="preserve">but they do </w:t>
      </w:r>
      <w:r w:rsidR="00D9448C">
        <w:t>offer</w:t>
      </w:r>
      <w:r w:rsidR="009C6BB7">
        <w:t xml:space="preserve"> a different perspective on how to interpret biblical narratives</w:t>
      </w:r>
      <w:r w:rsidR="00560BED">
        <w:t>, which helps develop the narrative of Delilah and Samson.</w:t>
      </w:r>
      <w:r w:rsidR="009C6BB7">
        <w:t xml:space="preserve"> </w:t>
      </w:r>
      <w:r w:rsidR="00976B67">
        <w:t>Feminist biblical</w:t>
      </w:r>
      <w:r w:rsidR="008039CB">
        <w:t xml:space="preserve"> authors such as Edith Deen and Cheryl Exum also comment on the need to expand beyond </w:t>
      </w:r>
      <w:r w:rsidR="00D9448C">
        <w:t>earlier interpretations to fully perceive</w:t>
      </w:r>
      <w:r w:rsidR="008039CB">
        <w:t xml:space="preserve"> </w:t>
      </w:r>
      <w:r w:rsidR="00666F18">
        <w:t xml:space="preserve">the </w:t>
      </w:r>
      <w:r w:rsidR="00976B67">
        <w:t>narrative</w:t>
      </w:r>
      <w:r w:rsidR="00666F18">
        <w:t xml:space="preserve">. </w:t>
      </w:r>
      <w:r w:rsidR="00976B67">
        <w:t>Deen comments on the need to understand Delilah perspective and what she truly knew about the situation</w:t>
      </w:r>
      <w:r w:rsidR="00D9448C">
        <w:t>.</w:t>
      </w:r>
      <w:r w:rsidR="00976B67">
        <w:t xml:space="preserve"> ‘</w:t>
      </w:r>
      <w:r w:rsidR="00976B67" w:rsidRPr="00976B67">
        <w:t>Did she know that the eyes which had gazed on her delighted love had now been cruelly mutilated? Had she gone to collect and to spend those 1,100 pieces of silver from each of the lords of the Philistines?’</w:t>
      </w:r>
      <w:r w:rsidR="00D10000">
        <w:rPr>
          <w:rStyle w:val="FootnoteReference"/>
        </w:rPr>
        <w:footnoteReference w:id="17"/>
      </w:r>
      <w:r w:rsidR="00D10000">
        <w:t xml:space="preserve">. We do not know </w:t>
      </w:r>
      <w:r w:rsidR="00A84893">
        <w:t xml:space="preserve">Delilah’s true </w:t>
      </w:r>
      <w:r w:rsidR="00D10000">
        <w:t xml:space="preserve">motivation, feelings </w:t>
      </w:r>
      <w:r w:rsidR="00A84893">
        <w:t>and fore</w:t>
      </w:r>
      <w:r w:rsidR="00D90EFD">
        <w:t xml:space="preserve">knowledge of Samson’s previous actions against the Philistines. Did Delilah know what the Philistines did to </w:t>
      </w:r>
      <w:r w:rsidR="00964031">
        <w:t>Samson</w:t>
      </w:r>
      <w:r w:rsidR="00D90EFD">
        <w:t xml:space="preserve">? If not did she </w:t>
      </w:r>
      <w:r w:rsidR="00562129">
        <w:t>not,</w:t>
      </w:r>
      <w:r w:rsidR="00D90EFD">
        <w:t xml:space="preserve"> simply carry out her mission by </w:t>
      </w:r>
      <w:r w:rsidR="00562129">
        <w:t>seducing Samson? Exum compares the narrative Jael (Judges 4-5) to Delilah, ‘</w:t>
      </w:r>
      <w:r w:rsidR="00562129" w:rsidRPr="00562129">
        <w:t xml:space="preserve">in the context of the book of </w:t>
      </w:r>
      <w:r w:rsidR="00A84893">
        <w:t>J</w:t>
      </w:r>
      <w:r w:rsidR="00562129" w:rsidRPr="00562129">
        <w:t>udges, Delilah is the Philistine version of Jael</w:t>
      </w:r>
      <w:r w:rsidR="00562129">
        <w:t>…</w:t>
      </w:r>
      <w:r w:rsidR="00562129" w:rsidRPr="00562129">
        <w:t xml:space="preserve"> the wom</w:t>
      </w:r>
      <w:r w:rsidR="00A84893">
        <w:t>a</w:t>
      </w:r>
      <w:r w:rsidR="00562129" w:rsidRPr="00562129">
        <w:t xml:space="preserve">n who </w:t>
      </w:r>
      <w:r w:rsidR="00562129" w:rsidRPr="00881271">
        <w:rPr>
          <w:noProof/>
        </w:rPr>
        <w:t>brings</w:t>
      </w:r>
      <w:r w:rsidR="00562129" w:rsidRPr="00562129">
        <w:t xml:space="preserve"> about the downfall of an enemy through deception</w:t>
      </w:r>
      <w:r w:rsidR="009B4089">
        <w:t xml:space="preserve">… </w:t>
      </w:r>
      <w:r w:rsidR="009B4089" w:rsidRPr="009B4089">
        <w:t>the</w:t>
      </w:r>
      <w:r w:rsidR="009B4089">
        <w:t>y</w:t>
      </w:r>
      <w:r w:rsidR="009B4089" w:rsidRPr="009B4089">
        <w:t xml:space="preserve"> attribute their victory over Samson not to Delilah but to their god</w:t>
      </w:r>
      <w:r w:rsidR="00562129">
        <w:t>’</w:t>
      </w:r>
      <w:r w:rsidR="00562129">
        <w:rPr>
          <w:rStyle w:val="FootnoteReference"/>
        </w:rPr>
        <w:footnoteReference w:id="18"/>
      </w:r>
      <w:r w:rsidR="00562129">
        <w:t xml:space="preserve">. </w:t>
      </w:r>
      <w:r w:rsidR="00A84893">
        <w:t xml:space="preserve">Attributing </w:t>
      </w:r>
      <w:r w:rsidR="009B4089">
        <w:t>Delilah</w:t>
      </w:r>
      <w:r w:rsidR="00A84893">
        <w:t>’s achievement to the god Dagon</w:t>
      </w:r>
      <w:r w:rsidR="009B4089">
        <w:t xml:space="preserve"> is</w:t>
      </w:r>
      <w:r w:rsidR="00A84893">
        <w:t xml:space="preserve"> an insult but</w:t>
      </w:r>
      <w:r w:rsidR="009B4089">
        <w:t xml:space="preserve"> </w:t>
      </w:r>
      <w:r w:rsidR="002B59A8">
        <w:t xml:space="preserve">also suggests that she </w:t>
      </w:r>
      <w:r w:rsidR="00A84893">
        <w:t>has</w:t>
      </w:r>
      <w:r w:rsidR="002B59A8">
        <w:t xml:space="preserve"> no</w:t>
      </w:r>
      <w:r w:rsidR="00A84893">
        <w:t xml:space="preserve"> right</w:t>
      </w:r>
      <w:r w:rsidR="002B59A8">
        <w:t xml:space="preserve"> to </w:t>
      </w:r>
      <w:r w:rsidR="00A84893">
        <w:t xml:space="preserve">take the </w:t>
      </w:r>
      <w:r w:rsidR="002B59A8">
        <w:t xml:space="preserve">credit. She might feel that the </w:t>
      </w:r>
      <w:r w:rsidR="002B59A8" w:rsidRPr="002B59A8">
        <w:t>patriarchal</w:t>
      </w:r>
      <w:r w:rsidR="005D0029">
        <w:t xml:space="preserve"> society of Philistine</w:t>
      </w:r>
      <w:r w:rsidR="002B59A8">
        <w:t xml:space="preserve"> </w:t>
      </w:r>
      <w:r w:rsidR="005D0029">
        <w:t xml:space="preserve">would not allow her to accept the credit or she is too ashamed to accept responsibility for her actions. </w:t>
      </w:r>
      <w:r w:rsidR="002B59A8">
        <w:t xml:space="preserve">  </w:t>
      </w:r>
      <w:r w:rsidR="00D90EFD">
        <w:t xml:space="preserve"> </w:t>
      </w:r>
    </w:p>
    <w:p w14:paraId="4BAA6ABE" w14:textId="5BF1F604" w:rsidR="002B3F54" w:rsidRDefault="009D7990" w:rsidP="007F4B05">
      <w:r>
        <w:t>A feminist biblical interpretation of the Samson and Delilah narrative</w:t>
      </w:r>
      <w:r w:rsidR="006C4786">
        <w:t xml:space="preserve"> shifts the perspective from </w:t>
      </w:r>
      <w:r>
        <w:t xml:space="preserve">Delilah’s manipulation to one of Delilah’s wisdom and courage. </w:t>
      </w:r>
      <w:r w:rsidR="00B36512">
        <w:t>There is obviously a lack of background information, ‘</w:t>
      </w:r>
      <w:r w:rsidR="00B36512" w:rsidRPr="00B36512">
        <w:t>What is her status in society? Is she a wealthy widow, like Judith? A sexually autonomous woman, like the woman in the Song of Solomon? A harlot, as is commonly supposed?’</w:t>
      </w:r>
      <w:r w:rsidR="00B36512">
        <w:rPr>
          <w:rStyle w:val="FootnoteReference"/>
        </w:rPr>
        <w:footnoteReference w:id="19"/>
      </w:r>
      <w:r w:rsidR="007F2111">
        <w:t xml:space="preserve">. This lack of information has </w:t>
      </w:r>
      <w:r w:rsidR="007F2111" w:rsidRPr="00881271">
        <w:rPr>
          <w:noProof/>
        </w:rPr>
        <w:t>led</w:t>
      </w:r>
      <w:r w:rsidR="007F2111">
        <w:t xml:space="preserve"> many interpreters to believe she is a clever, wealthy and independent </w:t>
      </w:r>
      <w:r w:rsidR="007F2111" w:rsidRPr="00881271">
        <w:rPr>
          <w:noProof/>
        </w:rPr>
        <w:t>wom</w:t>
      </w:r>
      <w:r w:rsidR="00881271">
        <w:rPr>
          <w:noProof/>
        </w:rPr>
        <w:t>a</w:t>
      </w:r>
      <w:r w:rsidR="007F2111" w:rsidRPr="00881271">
        <w:rPr>
          <w:noProof/>
        </w:rPr>
        <w:t>n</w:t>
      </w:r>
      <w:r w:rsidR="007F2111">
        <w:t xml:space="preserve">. </w:t>
      </w:r>
      <w:r w:rsidR="006C4786">
        <w:t>Why</w:t>
      </w:r>
      <w:r w:rsidR="007F2111">
        <w:t xml:space="preserve"> would she need to be paid if she was a loyal Philistine? The lords of Philistine could have persuaded her to help </w:t>
      </w:r>
      <w:r w:rsidR="00680E79">
        <w:t>her</w:t>
      </w:r>
      <w:r w:rsidR="007F2111">
        <w:t xml:space="preserve"> community </w:t>
      </w:r>
      <w:r w:rsidR="00680E79">
        <w:t xml:space="preserve">against the mighty Samson instead of offering her a </w:t>
      </w:r>
      <w:r w:rsidR="006C4786">
        <w:t xml:space="preserve">substantial </w:t>
      </w:r>
      <w:r w:rsidR="00680E79">
        <w:t>amount of money. Herbert Lockyer compares this betrayal to that of Jesus’ betrayal by Judas, ‘</w:t>
      </w:r>
      <w:r w:rsidR="00680E79" w:rsidRPr="00680E79">
        <w:t>The lords of Philistines offered an enormous sum as a bride, namely 1,100 pieces of silver. Jesus was sold by Judas for only 30 pieces of silver’</w:t>
      </w:r>
      <w:r w:rsidR="00680E79">
        <w:rPr>
          <w:rStyle w:val="FootnoteReference"/>
        </w:rPr>
        <w:footnoteReference w:id="20"/>
      </w:r>
      <w:r w:rsidR="00680E79">
        <w:t xml:space="preserve">. This observation shows that </w:t>
      </w:r>
      <w:r w:rsidR="002F7ADF">
        <w:t xml:space="preserve">Delilah is not a very good Philistine if she had to be paid such an </w:t>
      </w:r>
      <w:r w:rsidR="006C4786">
        <w:rPr>
          <w:color w:val="FF0000"/>
        </w:rPr>
        <w:t xml:space="preserve">excessive </w:t>
      </w:r>
      <w:r w:rsidR="002F7ADF">
        <w:t>amount of money to deliver Samson to her leaders. If she wanted to destroy the greatest threat to her nation</w:t>
      </w:r>
      <w:r w:rsidR="006C4786">
        <w:t>,</w:t>
      </w:r>
      <w:r w:rsidR="002F7ADF">
        <w:t xml:space="preserve"> should she not of</w:t>
      </w:r>
      <w:r w:rsidR="006C4786">
        <w:t xml:space="preserve"> </w:t>
      </w:r>
      <w:r w:rsidR="006C4786" w:rsidRPr="00872A5B">
        <w:rPr>
          <w:noProof/>
        </w:rPr>
        <w:t>have</w:t>
      </w:r>
      <w:r w:rsidR="002F7ADF">
        <w:t xml:space="preserve"> betrayed Samson for free</w:t>
      </w:r>
      <w:r w:rsidR="006C4786">
        <w:t>, crediting the god Dagon herself?</w:t>
      </w:r>
      <w:r w:rsidR="002F7ADF">
        <w:t xml:space="preserve"> For the good of </w:t>
      </w:r>
      <w:r w:rsidR="006B15D7">
        <w:t>the</w:t>
      </w:r>
      <w:r w:rsidR="002F7ADF">
        <w:t xml:space="preserve"> nation</w:t>
      </w:r>
      <w:r w:rsidR="006B15D7">
        <w:t xml:space="preserve"> and demanded the credit for this great victory went to her instead of god Dagon.</w:t>
      </w:r>
      <w:r w:rsidR="002F7ADF">
        <w:t xml:space="preserve"> </w:t>
      </w:r>
      <w:r w:rsidR="006B15D7">
        <w:t xml:space="preserve">H. V. Morton comments that </w:t>
      </w:r>
      <w:r w:rsidR="009252BA">
        <w:t>every Samson (a man who possesses traditional masculine characteristics) has a Delilah (a woman who possesses traditional feminine characteristics) to corrupt them,</w:t>
      </w:r>
    </w:p>
    <w:p w14:paraId="46C58754" w14:textId="081AB7E8" w:rsidR="009252BA" w:rsidRDefault="009252BA" w:rsidP="002B3F54">
      <w:pPr>
        <w:ind w:left="720"/>
      </w:pPr>
      <w:r w:rsidRPr="009252BA">
        <w:lastRenderedPageBreak/>
        <w:t>She was the type of woman created from the beginning of time to be the downfall of men like Samson. She is the classic instance of the truth that, if a man is given to philandering, the time will probably come when he will encounter a Delil</w:t>
      </w:r>
      <w:r>
        <w:t>ah</w:t>
      </w:r>
      <w:r w:rsidR="002B3F54">
        <w:rPr>
          <w:rStyle w:val="FootnoteReference"/>
        </w:rPr>
        <w:footnoteReference w:id="21"/>
      </w:r>
    </w:p>
    <w:p w14:paraId="1D4548B1" w14:textId="151FB24A" w:rsidR="006A7D44" w:rsidRDefault="002B3F54" w:rsidP="002B3F54">
      <w:r>
        <w:t xml:space="preserve">H. V. Morton is not suggesting all men and all women are Samson and Delilah but that if </w:t>
      </w:r>
      <w:r w:rsidR="006C4786">
        <w:t>a person possesses</w:t>
      </w:r>
      <w:r>
        <w:t xml:space="preserve"> traditional </w:t>
      </w:r>
      <w:r w:rsidR="0035465F">
        <w:t>masculine</w:t>
      </w:r>
      <w:r>
        <w:t xml:space="preserve"> or feminine characteristics it is more likely</w:t>
      </w:r>
      <w:r w:rsidR="0019586D">
        <w:t xml:space="preserve"> that they</w:t>
      </w:r>
      <w:r>
        <w:t xml:space="preserve"> will be manipulated</w:t>
      </w:r>
      <w:r w:rsidR="0035465F">
        <w:t xml:space="preserve"> or</w:t>
      </w:r>
      <w:r w:rsidR="0019586D">
        <w:t xml:space="preserve"> will</w:t>
      </w:r>
      <w:r w:rsidR="0035465F">
        <w:t xml:space="preserve"> manipulate</w:t>
      </w:r>
      <w:r>
        <w:t xml:space="preserve">. </w:t>
      </w:r>
      <w:r w:rsidR="00E717F1">
        <w:t>This</w:t>
      </w:r>
      <w:r w:rsidR="00580AAF">
        <w:t xml:space="preserve"> is</w:t>
      </w:r>
      <w:r w:rsidR="00E717F1">
        <w:t xml:space="preserve"> quite </w:t>
      </w:r>
      <w:r w:rsidR="009E39C1">
        <w:t>general,</w:t>
      </w:r>
      <w:r w:rsidR="00E717F1">
        <w:t xml:space="preserve"> but his premise</w:t>
      </w:r>
      <w:r w:rsidR="00580AAF">
        <w:t xml:space="preserve"> is</w:t>
      </w:r>
      <w:r w:rsidR="00AE0098">
        <w:t xml:space="preserve"> that</w:t>
      </w:r>
      <w:r w:rsidR="00027095">
        <w:t xml:space="preserve"> philandering individuals will be manipulated by</w:t>
      </w:r>
      <w:r w:rsidR="0019586D">
        <w:t xml:space="preserve"> those possessing</w:t>
      </w:r>
      <w:r w:rsidR="00027095">
        <w:t xml:space="preserve"> </w:t>
      </w:r>
      <w:r w:rsidR="00D64FED">
        <w:t xml:space="preserve">similar vices. Morton gives another example,  </w:t>
      </w:r>
    </w:p>
    <w:p w14:paraId="19697F8D" w14:textId="2F851077" w:rsidR="002B3F54" w:rsidRDefault="006A7D44" w:rsidP="006A7D44">
      <w:pPr>
        <w:ind w:left="720"/>
      </w:pPr>
      <w:r w:rsidRPr="006A7D44">
        <w:t xml:space="preserve">I was </w:t>
      </w:r>
      <w:r w:rsidRPr="00881271">
        <w:rPr>
          <w:noProof/>
        </w:rPr>
        <w:t>remin</w:t>
      </w:r>
      <w:r w:rsidR="00881271">
        <w:rPr>
          <w:noProof/>
        </w:rPr>
        <w:t>d</w:t>
      </w:r>
      <w:r w:rsidRPr="00881271">
        <w:rPr>
          <w:noProof/>
        </w:rPr>
        <w:t>ed</w:t>
      </w:r>
      <w:r w:rsidRPr="006A7D44">
        <w:t xml:space="preserve"> of her the other day when I was talking to a criminal lawyer. I asked him how it was that the prosecution in a recent case </w:t>
      </w:r>
      <w:r w:rsidRPr="00881271">
        <w:rPr>
          <w:noProof/>
        </w:rPr>
        <w:t>man</w:t>
      </w:r>
      <w:r w:rsidR="00881271">
        <w:rPr>
          <w:noProof/>
        </w:rPr>
        <w:t>a</w:t>
      </w:r>
      <w:r w:rsidRPr="00881271">
        <w:rPr>
          <w:noProof/>
        </w:rPr>
        <w:t>ged</w:t>
      </w:r>
      <w:r w:rsidRPr="006A7D44">
        <w:t xml:space="preserve"> to bring certain charges against a ruined man. “It was </w:t>
      </w:r>
      <w:r w:rsidRPr="00881271">
        <w:rPr>
          <w:noProof/>
        </w:rPr>
        <w:t>simple</w:t>
      </w:r>
      <w:r w:rsidR="00881271">
        <w:rPr>
          <w:noProof/>
        </w:rPr>
        <w:t>,</w:t>
      </w:r>
      <w:r w:rsidRPr="006A7D44">
        <w:t>” he said. “A girl pretended to be in love with him and gave him away.” “You mean they bribed her?” “Of course,” he said</w:t>
      </w:r>
      <w:r>
        <w:rPr>
          <w:rStyle w:val="FootnoteReference"/>
        </w:rPr>
        <w:footnoteReference w:id="22"/>
      </w:r>
      <w:r w:rsidR="00027095">
        <w:t xml:space="preserve"> </w:t>
      </w:r>
    </w:p>
    <w:p w14:paraId="6041945B" w14:textId="427D6B7F" w:rsidR="007F4B05" w:rsidRDefault="007F0828" w:rsidP="007F4B05">
      <w:r>
        <w:t>Both simple</w:t>
      </w:r>
      <w:r w:rsidR="00621900">
        <w:t>, lustful</w:t>
      </w:r>
      <w:r>
        <w:t xml:space="preserve"> men and intelligent, manipulative </w:t>
      </w:r>
      <w:r w:rsidR="001D5E2D">
        <w:t>women exist</w:t>
      </w:r>
      <w:r w:rsidR="0019586D">
        <w:t>;</w:t>
      </w:r>
      <w:r w:rsidR="001D5E2D">
        <w:t xml:space="preserve"> the problem </w:t>
      </w:r>
      <w:r w:rsidR="00621900">
        <w:t xml:space="preserve">arises </w:t>
      </w:r>
      <w:r w:rsidR="00B94CFE">
        <w:t>when</w:t>
      </w:r>
      <w:r w:rsidR="00621900">
        <w:t xml:space="preserve"> they</w:t>
      </w:r>
      <w:r w:rsidR="00B94CFE">
        <w:t xml:space="preserve"> both appear together</w:t>
      </w:r>
      <w:r w:rsidR="00621900">
        <w:t xml:space="preserve"> without restraint.  </w:t>
      </w:r>
      <w:r>
        <w:t xml:space="preserve"> </w:t>
      </w:r>
    </w:p>
    <w:p w14:paraId="6D1BE1B9" w14:textId="5578356A" w:rsidR="007F4B05" w:rsidRDefault="00881271" w:rsidP="007F4B05">
      <w:r>
        <w:t xml:space="preserve">The </w:t>
      </w:r>
      <w:r w:rsidR="00F723AC">
        <w:t>stigmatisation of Delilah has been debated throughout the centuries</w:t>
      </w:r>
      <w:r w:rsidR="0019586D">
        <w:t xml:space="preserve"> and is widely considered to</w:t>
      </w:r>
      <w:r w:rsidR="00F723AC">
        <w:t xml:space="preserve"> </w:t>
      </w:r>
      <w:r w:rsidR="0019586D">
        <w:t xml:space="preserve">be </w:t>
      </w:r>
      <w:r w:rsidR="00F723AC">
        <w:t>unjustified</w:t>
      </w:r>
      <w:r w:rsidR="0019586D">
        <w:t xml:space="preserve"> by academic feminists</w:t>
      </w:r>
      <w:r w:rsidR="00F723AC">
        <w:t xml:space="preserve">. </w:t>
      </w:r>
      <w:r w:rsidR="00B00656">
        <w:t>‘</w:t>
      </w:r>
      <w:r w:rsidR="00B00656" w:rsidRPr="00B00656">
        <w:t>If Delilah had had been a woman like Judith, willing, no matter how hateful her task, to betray a man for the sake of her nation, why should they have put a price on her betrayal?’</w:t>
      </w:r>
      <w:r w:rsidR="00B00656">
        <w:rPr>
          <w:rStyle w:val="FootnoteReference"/>
        </w:rPr>
        <w:footnoteReference w:id="23"/>
      </w:r>
      <w:r w:rsidR="00B00656">
        <w:t xml:space="preserve">. If she was a good patriot </w:t>
      </w:r>
      <w:r w:rsidR="001E4FF4">
        <w:t>she would not need to be paid, ‘</w:t>
      </w:r>
      <w:r w:rsidR="005930B8">
        <w:t>[s]</w:t>
      </w:r>
      <w:r w:rsidR="001E4FF4" w:rsidRPr="001E4FF4">
        <w:t>he had one purpose and that was to secure money and had no qualms of conscience to trifle with love for the sake of wealth’</w:t>
      </w:r>
      <w:r w:rsidR="001E4FF4">
        <w:rPr>
          <w:rStyle w:val="FootnoteReference"/>
        </w:rPr>
        <w:footnoteReference w:id="24"/>
      </w:r>
      <w:r w:rsidR="001E4FF4">
        <w:t>. Some would argue that this</w:t>
      </w:r>
      <w:r w:rsidR="005930B8">
        <w:t xml:space="preserve"> payment indicates</w:t>
      </w:r>
      <w:r w:rsidR="001E4FF4">
        <w:t xml:space="preserve"> weakness</w:t>
      </w:r>
      <w:r w:rsidR="005930B8">
        <w:t xml:space="preserve"> in</w:t>
      </w:r>
      <w:r w:rsidR="001E4FF4">
        <w:t xml:space="preserve"> Delilah but</w:t>
      </w:r>
      <w:r w:rsidR="005930B8">
        <w:t xml:space="preserve"> considering </w:t>
      </w:r>
      <w:r w:rsidR="001E4FF4">
        <w:t xml:space="preserve">a </w:t>
      </w:r>
      <w:r w:rsidR="005930B8">
        <w:t xml:space="preserve">parallel with </w:t>
      </w:r>
      <w:r w:rsidR="001E4FF4" w:rsidRPr="00872A5B">
        <w:rPr>
          <w:noProof/>
        </w:rPr>
        <w:t>modern</w:t>
      </w:r>
      <w:r w:rsidR="001E4FF4">
        <w:t xml:space="preserve"> businessm</w:t>
      </w:r>
      <w:r w:rsidR="005930B8">
        <w:t>a</w:t>
      </w:r>
      <w:r w:rsidR="001E4FF4">
        <w:t>n (such as Elon Musk)</w:t>
      </w:r>
      <w:r w:rsidR="005930B8">
        <w:t>,</w:t>
      </w:r>
      <w:r w:rsidR="001E4FF4">
        <w:t xml:space="preserve"> who is praised for </w:t>
      </w:r>
      <w:r w:rsidR="00350DC6">
        <w:t>his</w:t>
      </w:r>
      <w:r w:rsidR="001E4FF4">
        <w:t xml:space="preserve"> dedication</w:t>
      </w:r>
      <w:r w:rsidR="00350DC6">
        <w:t xml:space="preserve"> in</w:t>
      </w:r>
      <w:r w:rsidR="001E4FF4">
        <w:t xml:space="preserve"> making</w:t>
      </w:r>
      <w:r w:rsidR="00350DC6">
        <w:t xml:space="preserve"> substantial</w:t>
      </w:r>
      <w:r w:rsidR="001E4FF4">
        <w:t xml:space="preserve"> amounts of money</w:t>
      </w:r>
      <w:r w:rsidR="00350DC6">
        <w:t xml:space="preserve">, that </w:t>
      </w:r>
      <w:r w:rsidR="00350DC6" w:rsidRPr="00872A5B">
        <w:rPr>
          <w:noProof/>
        </w:rPr>
        <w:t>judgement</w:t>
      </w:r>
      <w:r w:rsidR="00350DC6">
        <w:t xml:space="preserve"> can be questioned. Should not Delilah then be</w:t>
      </w:r>
      <w:r w:rsidR="001E4FF4">
        <w:t xml:space="preserve"> </w:t>
      </w:r>
      <w:r w:rsidR="00BF21A3">
        <w:t>praised</w:t>
      </w:r>
      <w:r w:rsidR="001E4FF4">
        <w:t xml:space="preserve"> for having good business senses</w:t>
      </w:r>
      <w:r w:rsidR="00350DC6">
        <w:t xml:space="preserve"> and negotiation skills?</w:t>
      </w:r>
      <w:r w:rsidR="001E4FF4">
        <w:t xml:space="preserve"> </w:t>
      </w:r>
      <w:r w:rsidR="00BF21A3">
        <w:t>It</w:t>
      </w:r>
      <w:r w:rsidR="00350DC6">
        <w:t xml:space="preserve"> is presented</w:t>
      </w:r>
      <w:r w:rsidR="00BF21A3">
        <w:t xml:space="preserve"> as a weakness that she ha</w:t>
      </w:r>
      <w:r w:rsidR="00350DC6">
        <w:t>d</w:t>
      </w:r>
      <w:r w:rsidR="00BF21A3">
        <w:t xml:space="preserve"> the necessary skills to expand her own personal wealth by manipulation and exploitation,</w:t>
      </w:r>
      <w:r w:rsidR="00350DC6">
        <w:t xml:space="preserve"> but this is something those of both genders in modern</w:t>
      </w:r>
      <w:r w:rsidR="00BF21A3">
        <w:t xml:space="preserve"> business do all the time</w:t>
      </w:r>
      <w:r w:rsidR="00350DC6">
        <w:t>.</w:t>
      </w:r>
      <w:r w:rsidR="00BF21A3">
        <w:t xml:space="preserve"> Kelly Murphy comments</w:t>
      </w:r>
      <w:r w:rsidR="001E4FF4">
        <w:t xml:space="preserve"> </w:t>
      </w:r>
      <w:r w:rsidR="00BF21A3">
        <w:t xml:space="preserve">on the links between </w:t>
      </w:r>
      <w:r w:rsidR="000557D2">
        <w:t>the Indian epics and the Delilah/Samson narrative, ‘</w:t>
      </w:r>
      <w:r w:rsidR="000557D2" w:rsidRPr="000557D2">
        <w:t>Just like Delilah the Philistine, the unnamed courtesan of the Indian epics [Ramayana and the Mahabharata] who risked her life for the well-being of her country and people was forgotten for generations’</w:t>
      </w:r>
      <w:r w:rsidR="000557D2">
        <w:rPr>
          <w:rStyle w:val="FootnoteReference"/>
        </w:rPr>
        <w:footnoteReference w:id="25"/>
      </w:r>
      <w:r w:rsidR="000557D2">
        <w:t>. Murphy is commenting that most ancient religious communities disregard the sacrifices of women for the community while worshiping the sacrifices of men</w:t>
      </w:r>
      <w:r w:rsidR="001B75B4">
        <w:t xml:space="preserve">. </w:t>
      </w:r>
      <w:r w:rsidR="000557D2">
        <w:t xml:space="preserve"> </w:t>
      </w:r>
      <w:r w:rsidR="0062123F">
        <w:t xml:space="preserve">Delilah has appeared in art throughout history with her portrayal </w:t>
      </w:r>
      <w:r w:rsidR="009D4BFA">
        <w:t xml:space="preserve">in traditional art </w:t>
      </w:r>
      <w:r w:rsidR="009D4BFA" w:rsidRPr="00872A5B">
        <w:rPr>
          <w:noProof/>
        </w:rPr>
        <w:t>being</w:t>
      </w:r>
      <w:r w:rsidR="009D4BFA">
        <w:t xml:space="preserve"> one of a</w:t>
      </w:r>
      <w:r w:rsidR="00350DC6">
        <w:t xml:space="preserve"> greedy</w:t>
      </w:r>
      <w:r w:rsidR="009D4BFA">
        <w:t xml:space="preserve"> manipulator. However, since the 1950’s many artists have adopted a sympathetic interpretation of Delilah by developing her as an independent wom</w:t>
      </w:r>
      <w:r w:rsidR="00DC1B1C">
        <w:t>a</w:t>
      </w:r>
      <w:r w:rsidR="009D4BFA">
        <w:t xml:space="preserve">n. </w:t>
      </w:r>
      <w:r w:rsidR="00D03E3D">
        <w:t xml:space="preserve">One of these </w:t>
      </w:r>
      <w:r w:rsidR="00D03E3D" w:rsidRPr="00BA0C4F">
        <w:rPr>
          <w:noProof/>
        </w:rPr>
        <w:t>artworks</w:t>
      </w:r>
      <w:r w:rsidR="00D03E3D">
        <w:t xml:space="preserve"> is called, ‘</w:t>
      </w:r>
      <w:bookmarkStart w:id="9" w:name="_Hlk510708258"/>
      <w:r w:rsidR="00D03E3D">
        <w:t>Delilah’s Scissors’</w:t>
      </w:r>
      <w:bookmarkEnd w:id="9"/>
      <w:r w:rsidR="00D03E3D">
        <w:rPr>
          <w:rStyle w:val="FootnoteReference"/>
        </w:rPr>
        <w:footnoteReference w:id="26"/>
      </w:r>
      <w:r w:rsidR="00D03E3D">
        <w:t xml:space="preserve"> and gives a different interpretation of the Delilah and Samson Story, </w:t>
      </w:r>
      <w:r w:rsidR="00D03E3D" w:rsidRPr="00D03E3D">
        <w:t>‘It is as though Delilah has said to Rubens</w:t>
      </w:r>
      <w:r w:rsidR="00D03E3D">
        <w:t xml:space="preserve"> [a 17</w:t>
      </w:r>
      <w:r w:rsidR="00D03E3D" w:rsidRPr="00D03E3D">
        <w:rPr>
          <w:vertAlign w:val="superscript"/>
        </w:rPr>
        <w:t>th</w:t>
      </w:r>
      <w:r w:rsidR="00D03E3D">
        <w:t xml:space="preserve"> century artist</w:t>
      </w:r>
      <w:r w:rsidR="00D03E3D" w:rsidRPr="00D03E3D">
        <w:t>,</w:t>
      </w:r>
      <w:r w:rsidR="00D03E3D">
        <w:t xml:space="preserve"> famous for his depiction of Delilah]</w:t>
      </w:r>
      <w:r w:rsidR="00D03E3D" w:rsidRPr="00D03E3D">
        <w:t xml:space="preserve"> “If this is what you believe about me, then forget </w:t>
      </w:r>
      <w:r w:rsidR="00D03E3D" w:rsidRPr="00D03E3D">
        <w:lastRenderedPageBreak/>
        <w:t>that voluptuous body – here I am”’</w:t>
      </w:r>
      <w:r w:rsidR="00D03E3D">
        <w:rPr>
          <w:rStyle w:val="FootnoteReference"/>
        </w:rPr>
        <w:footnoteReference w:id="27"/>
      </w:r>
      <w:r w:rsidR="00D03E3D">
        <w:t xml:space="preserve">. </w:t>
      </w:r>
      <w:r w:rsidR="00BB74D4">
        <w:t>It portrays</w:t>
      </w:r>
      <w:r w:rsidR="00D03E3D">
        <w:t xml:space="preserve"> Delilah </w:t>
      </w:r>
      <w:r w:rsidR="00616DDD">
        <w:t xml:space="preserve">as a strong </w:t>
      </w:r>
      <w:r w:rsidR="00BA0C4F">
        <w:rPr>
          <w:noProof/>
        </w:rPr>
        <w:drawing>
          <wp:anchor distT="0" distB="0" distL="114300" distR="114300" simplePos="0" relativeHeight="251658240" behindDoc="1" locked="0" layoutInCell="1" allowOverlap="1" wp14:anchorId="3546511C" wp14:editId="3A80F241">
            <wp:simplePos x="0" y="0"/>
            <wp:positionH relativeFrom="page">
              <wp:posOffset>4220845</wp:posOffset>
            </wp:positionH>
            <wp:positionV relativeFrom="margin">
              <wp:posOffset>186055</wp:posOffset>
            </wp:positionV>
            <wp:extent cx="4417695" cy="2266950"/>
            <wp:effectExtent l="8573" t="0" r="0" b="0"/>
            <wp:wrapTight wrapText="bothSides">
              <wp:wrapPolygon edited="0">
                <wp:start x="42" y="21682"/>
                <wp:lineTo x="21465" y="21682"/>
                <wp:lineTo x="21465" y="263"/>
                <wp:lineTo x="42" y="263"/>
                <wp:lineTo x="42" y="21682"/>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9809" t="11484" r="16612" b="21379"/>
                    <a:stretch/>
                  </pic:blipFill>
                  <pic:spPr bwMode="auto">
                    <a:xfrm rot="5400000">
                      <a:off x="0" y="0"/>
                      <a:ext cx="4417695" cy="22669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16DDD">
        <w:t xml:space="preserve">independent woman who is not ashamed of her body or actions. Her defiant pose </w:t>
      </w:r>
      <w:r w:rsidR="00BB74D4">
        <w:t xml:space="preserve">suggests she is </w:t>
      </w:r>
      <w:r w:rsidR="00616DDD">
        <w:t>a</w:t>
      </w:r>
      <w:r w:rsidR="00BB74D4">
        <w:t xml:space="preserve"> strong autonomous</w:t>
      </w:r>
      <w:r w:rsidR="00616DDD">
        <w:t xml:space="preserve"> wom</w:t>
      </w:r>
      <w:r w:rsidR="00DC1B1C">
        <w:t>a</w:t>
      </w:r>
      <w:r w:rsidR="00616DDD">
        <w:t xml:space="preserve">n.   </w:t>
      </w:r>
      <w:r w:rsidR="009D4BFA">
        <w:t xml:space="preserve"> </w:t>
      </w:r>
      <w:r w:rsidR="0062123F">
        <w:t xml:space="preserve">  </w:t>
      </w:r>
      <w:r w:rsidR="000557D2" w:rsidRPr="000557D2">
        <w:t xml:space="preserve"> </w:t>
      </w:r>
      <w:r w:rsidR="001E4FF4">
        <w:t xml:space="preserve">   </w:t>
      </w:r>
    </w:p>
    <w:p w14:paraId="5C1A45B8" w14:textId="3943070A" w:rsidR="00861975" w:rsidRDefault="00BA0C4F" w:rsidP="007F4B05">
      <w:r>
        <w:rPr>
          <w:noProof/>
        </w:rPr>
        <mc:AlternateContent>
          <mc:Choice Requires="wps">
            <w:drawing>
              <wp:anchor distT="45720" distB="45720" distL="114300" distR="114300" simplePos="0" relativeHeight="251660288" behindDoc="0" locked="0" layoutInCell="1" allowOverlap="1" wp14:anchorId="6BD8A068" wp14:editId="6D6A69AD">
                <wp:simplePos x="0" y="0"/>
                <wp:positionH relativeFrom="page">
                  <wp:posOffset>5260769</wp:posOffset>
                </wp:positionH>
                <wp:positionV relativeFrom="margin">
                  <wp:posOffset>3479470</wp:posOffset>
                </wp:positionV>
                <wp:extent cx="2244436" cy="843148"/>
                <wp:effectExtent l="0" t="0" r="22860" b="1460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4436" cy="843148"/>
                        </a:xfrm>
                        <a:prstGeom prst="rect">
                          <a:avLst/>
                        </a:prstGeom>
                        <a:solidFill>
                          <a:srgbClr val="FFFFFF"/>
                        </a:solidFill>
                        <a:ln w="9525">
                          <a:solidFill>
                            <a:srgbClr val="000000"/>
                          </a:solidFill>
                          <a:miter lim="800000"/>
                          <a:headEnd/>
                          <a:tailEnd/>
                        </a:ln>
                      </wps:spPr>
                      <wps:txbx>
                        <w:txbxContent>
                          <w:p w14:paraId="6DCF6055" w14:textId="286049F7" w:rsidR="00417E6F" w:rsidRPr="004E5586" w:rsidRDefault="00417E6F">
                            <w:r>
                              <w:t>Figure 1</w:t>
                            </w:r>
                            <w:bookmarkStart w:id="10" w:name="_Hlk510708551"/>
                            <w:r>
                              <w:t>:</w:t>
                            </w:r>
                            <w:r w:rsidR="004E5586">
                              <w:t xml:space="preserve"> unknown artist, </w:t>
                            </w:r>
                            <w:r w:rsidR="004E5586" w:rsidRPr="004E5586">
                              <w:rPr>
                                <w:i/>
                              </w:rPr>
                              <w:t>Delilah’s Scissors</w:t>
                            </w:r>
                            <w:r w:rsidR="004E5586">
                              <w:t xml:space="preserve">, painting. Book, </w:t>
                            </w:r>
                            <w:r w:rsidR="004E5586" w:rsidRPr="004E5586">
                              <w:t xml:space="preserve">David M. Gunn, </w:t>
                            </w:r>
                            <w:r w:rsidR="004E5586" w:rsidRPr="004E5586">
                              <w:rPr>
                                <w:i/>
                              </w:rPr>
                              <w:t>Judges</w:t>
                            </w:r>
                            <w:r w:rsidR="004E5586" w:rsidRPr="004E5586">
                              <w:t xml:space="preserve"> (Oxford: Blackwell Publishing, 2005) p.2</w:t>
                            </w:r>
                            <w:r w:rsidR="004E5586">
                              <w:t>20</w:t>
                            </w:r>
                            <w:r w:rsidR="00CB55C2">
                              <w:t xml:space="preserve"> (1986) </w:t>
                            </w:r>
                            <w:bookmarkEnd w:id="10"/>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BD8A068" id="_x0000_t202" coordsize="21600,21600" o:spt="202" path="m,l,21600r21600,l21600,xe">
                <v:stroke joinstyle="miter"/>
                <v:path gradientshapeok="t" o:connecttype="rect"/>
              </v:shapetype>
              <v:shape id="Text Box 2" o:spid="_x0000_s1026" type="#_x0000_t202" style="position:absolute;margin-left:414.25pt;margin-top:273.95pt;width:176.75pt;height:66.4pt;z-index:251660288;visibility:visible;mso-wrap-style:square;mso-width-percent:0;mso-height-percent:0;mso-wrap-distance-left:9pt;mso-wrap-distance-top:3.6pt;mso-wrap-distance-right:9pt;mso-wrap-distance-bottom:3.6pt;mso-position-horizontal:absolute;mso-position-horizontal-relative:page;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0027JAIAAEYEAAAOAAAAZHJzL2Uyb0RvYy54bWysU9tu2zAMfR+wfxD0vjhxnTY14hRdugwD&#10;ugvQ7gNkWY6FSaImKbG7rx8lu1l2exmmB0EUqSPyHHJ9M2hFjsJ5Caaii9mcEmE4NNLsK/r5cfdq&#10;RYkPzDRMgREVfRKe3mxevlj3thQ5dKAa4QiCGF/2tqJdCLbMMs87oZmfgRUGnS04zQKabp81jvWI&#10;rlWWz+eXWQ+usQ648B5v70Yn3ST8thU8fGxbLwJRFcXcQtpd2uu4Z5s1K/eO2U7yKQ32D1loJg1+&#10;eoK6Y4GRg5O/QWnJHXhow4yDzqBtJRepBqxmMf+lmoeOWZFqQXK8PdHk/x8s/3D85IhsKpovrigx&#10;TKNIj2II5DUMJI/89NaXGPZgMTAMeI06p1q9vQf+xRMD246Zvbh1DvpOsAbzW8SX2dnTEcdHkLp/&#10;Dw1+ww4BEtDQOh3JQzoIoqNOTydtYiocL/O8KIqLS0o4+lbFxaJYpS9Y+fzaOh/eCtAkHirqUPuE&#10;zo73PsRsWPkcEj/zoGSzk0olw+3rrXLkyLBPdmlN6D+FKUP6il4v8+VIwF8h5mn9CULLgA2vpMYq&#10;TkGsjLS9MU1qx8CkGs+YsjITj5G6kcQw1MOkSw3NEzLqYGxsHEQ8dOC+UdJjU1fUfz0wJyhR7wyq&#10;cr0oijgFySiWVzka7txTn3uY4QhV0UDJeNyGNDmRMAO3qF4rE7FR5jGTKVds1sT3NFhxGs7tFPVj&#10;/DffAQAA//8DAFBLAwQUAAYACAAAACEAiiG2QOIAAAAMAQAADwAAAGRycy9kb3ducmV2LnhtbEyP&#10;wU7DMBBE70j8g7VIXBB1GtrEDXEqhASCG7QVXN3YTSLidbDdNPw92xMcV/v0ZqZcT7Zno/Ghcyhh&#10;PkuAGayd7rCRsNs+3QpgISrUqndoJPyYAOvq8qJUhXYnfDfjJjaMJBgKJaGNcSg4D3VrrAozNxik&#10;38F5qyKdvuHaqxPJbc/TJMm4VR1SQqsG89ia+mtztBLE4mX8DK93bx91duhX8SYfn7+9lNdX08M9&#10;sGim+AfDuT5Vh4o67d0RdWA9OVKxJFTCcpGvgJ2JuUhp3l5CJpIceFXy/yOqXwAAAP//AwBQSwEC&#10;LQAUAAYACAAAACEAtoM4kv4AAADhAQAAEwAAAAAAAAAAAAAAAAAAAAAAW0NvbnRlbnRfVHlwZXNd&#10;LnhtbFBLAQItABQABgAIAAAAIQA4/SH/1gAAAJQBAAALAAAAAAAAAAAAAAAAAC8BAABfcmVscy8u&#10;cmVsc1BLAQItABQABgAIAAAAIQAt0027JAIAAEYEAAAOAAAAAAAAAAAAAAAAAC4CAABkcnMvZTJv&#10;RG9jLnhtbFBLAQItABQABgAIAAAAIQCKIbZA4gAAAAwBAAAPAAAAAAAAAAAAAAAAAH4EAABkcnMv&#10;ZG93bnJldi54bWxQSwUGAAAAAAQABADzAAAAjQUAAAAA&#10;">
                <v:textbox>
                  <w:txbxContent>
                    <w:p w14:paraId="6DCF6055" w14:textId="286049F7" w:rsidR="00417E6F" w:rsidRPr="004E5586" w:rsidRDefault="00417E6F">
                      <w:r>
                        <w:t>Figure 1</w:t>
                      </w:r>
                      <w:bookmarkStart w:id="11" w:name="_Hlk510708551"/>
                      <w:r>
                        <w:t>:</w:t>
                      </w:r>
                      <w:r w:rsidR="004E5586">
                        <w:t xml:space="preserve"> unknown artist, </w:t>
                      </w:r>
                      <w:r w:rsidR="004E5586" w:rsidRPr="004E5586">
                        <w:rPr>
                          <w:i/>
                        </w:rPr>
                        <w:t>Delilah’s Scissors</w:t>
                      </w:r>
                      <w:r w:rsidR="004E5586">
                        <w:t xml:space="preserve">, painting. Book, </w:t>
                      </w:r>
                      <w:r w:rsidR="004E5586" w:rsidRPr="004E5586">
                        <w:t xml:space="preserve">David M. Gunn, </w:t>
                      </w:r>
                      <w:r w:rsidR="004E5586" w:rsidRPr="004E5586">
                        <w:rPr>
                          <w:i/>
                        </w:rPr>
                        <w:t>Judges</w:t>
                      </w:r>
                      <w:r w:rsidR="004E5586" w:rsidRPr="004E5586">
                        <w:t xml:space="preserve"> (Oxford: Blackwell Publishing, 2005) p.2</w:t>
                      </w:r>
                      <w:r w:rsidR="004E5586">
                        <w:t>20</w:t>
                      </w:r>
                      <w:r w:rsidR="00CB55C2">
                        <w:t xml:space="preserve"> (1986) </w:t>
                      </w:r>
                      <w:bookmarkEnd w:id="11"/>
                    </w:p>
                  </w:txbxContent>
                </v:textbox>
                <w10:wrap anchorx="page" anchory="margin"/>
              </v:shape>
            </w:pict>
          </mc:Fallback>
        </mc:AlternateContent>
      </w:r>
      <w:r w:rsidR="00CB55C2">
        <w:t>Feminist biblical criticism of Judges 4-22 has developed the Delilah</w:t>
      </w:r>
      <w:r w:rsidR="00001C04">
        <w:t>, Samson</w:t>
      </w:r>
      <w:r w:rsidR="00CB55C2">
        <w:t xml:space="preserve"> narrative </w:t>
      </w:r>
      <w:r w:rsidR="00001C04">
        <w:t xml:space="preserve">from its traditional interpretation. </w:t>
      </w:r>
      <w:r w:rsidR="00DD6417">
        <w:t>These feminist criticisms</w:t>
      </w:r>
      <w:r w:rsidR="00001C04">
        <w:t xml:space="preserve"> have significantly changed the way a contemporary audience </w:t>
      </w:r>
      <w:r w:rsidR="00DD6417">
        <w:t>interprets</w:t>
      </w:r>
      <w:r w:rsidR="00001C04">
        <w:t xml:space="preserve"> the </w:t>
      </w:r>
      <w:r w:rsidR="00DD6417">
        <w:t xml:space="preserve">narrative. Development by Cheryl Exum and Edith Deen has elevated the narrative from manipulation and greed to pity and shame. They have </w:t>
      </w:r>
      <w:r w:rsidR="006D1533">
        <w:t xml:space="preserve">noted the need to consider why she was paid eleven-hundred pieces of silver if she was a philistine, why her victory over Samson is </w:t>
      </w:r>
      <w:r w:rsidR="001E780B">
        <w:t>at</w:t>
      </w:r>
      <w:r w:rsidR="006D1533" w:rsidRPr="00BA0C4F">
        <w:rPr>
          <w:noProof/>
        </w:rPr>
        <w:t>tributed</w:t>
      </w:r>
      <w:r w:rsidR="006D1533">
        <w:t xml:space="preserve"> to the god Dagon and not</w:t>
      </w:r>
      <w:r w:rsidR="004B5F72">
        <w:t xml:space="preserve"> to</w:t>
      </w:r>
      <w:r w:rsidR="006D1533">
        <w:t xml:space="preserve"> her</w:t>
      </w:r>
      <w:r w:rsidR="004B5F72">
        <w:t>,</w:t>
      </w:r>
      <w:r w:rsidR="006D1533">
        <w:t xml:space="preserve"> and what did she do after her great betrayal</w:t>
      </w:r>
      <w:r w:rsidR="004B5F72">
        <w:t>?</w:t>
      </w:r>
      <w:r w:rsidR="006D1533">
        <w:t xml:space="preserve"> </w:t>
      </w:r>
      <w:r w:rsidR="004B5F72">
        <w:t xml:space="preserve">These questions require further evaluation and the results will be subjective. However, traditional interpretations of the narrative still run deep in society with those who know the story recounting the sins and betrayal by </w:t>
      </w:r>
      <w:r w:rsidR="009352C2">
        <w:t xml:space="preserve">Delilah. Feminist biblical criticism has </w:t>
      </w:r>
      <w:r w:rsidR="004C2422">
        <w:t xml:space="preserve">however </w:t>
      </w:r>
      <w:r w:rsidR="009352C2">
        <w:t>started changing this perceptive</w:t>
      </w:r>
      <w:r w:rsidR="004C2422">
        <w:t>.</w:t>
      </w:r>
      <w:r w:rsidR="009352C2">
        <w:t xml:space="preserve"> </w:t>
      </w:r>
      <w:r w:rsidR="004C2422">
        <w:rPr>
          <w:noProof/>
        </w:rPr>
        <w:t>T</w:t>
      </w:r>
      <w:r w:rsidR="009352C2" w:rsidRPr="00BA0C4F">
        <w:rPr>
          <w:noProof/>
        </w:rPr>
        <w:t>he</w:t>
      </w:r>
      <w:r>
        <w:rPr>
          <w:noProof/>
        </w:rPr>
        <w:t>ir</w:t>
      </w:r>
      <w:r w:rsidR="009352C2">
        <w:t xml:space="preserve"> interpretations will fall on deaf ears unless the church adopts a feminist perspective of the narrative which is highly unlikely</w:t>
      </w:r>
      <w:r w:rsidR="004C2422">
        <w:t>,</w:t>
      </w:r>
      <w:r w:rsidR="009352C2">
        <w:t xml:space="preserve"> as the </w:t>
      </w:r>
      <w:r w:rsidR="009352C2" w:rsidRPr="009352C2">
        <w:t>institution</w:t>
      </w:r>
      <w:r w:rsidR="009352C2">
        <w:t xml:space="preserve"> is </w:t>
      </w:r>
      <w:r w:rsidR="009352C2" w:rsidRPr="009352C2">
        <w:t>patriarch</w:t>
      </w:r>
      <w:r w:rsidR="009352C2">
        <w:t xml:space="preserve">al. Is the </w:t>
      </w:r>
      <w:r>
        <w:t xml:space="preserve">feminist perspective of the narrative futile then? Possibly. But without Exum and Deen to counter the traditional </w:t>
      </w:r>
      <w:r w:rsidRPr="00BA0C4F">
        <w:rPr>
          <w:noProof/>
        </w:rPr>
        <w:t>interpretations</w:t>
      </w:r>
      <w:r>
        <w:rPr>
          <w:noProof/>
        </w:rPr>
        <w:t>,</w:t>
      </w:r>
      <w:r>
        <w:t xml:space="preserve"> we will never find out.   </w:t>
      </w:r>
      <w:r w:rsidR="009352C2">
        <w:t xml:space="preserve"> </w:t>
      </w:r>
    </w:p>
    <w:p w14:paraId="5D4B3023" w14:textId="09A36E34" w:rsidR="007376C5" w:rsidRDefault="007376C5" w:rsidP="007F4B05"/>
    <w:p w14:paraId="34446FAC" w14:textId="7F94D121" w:rsidR="007376C5" w:rsidRDefault="007376C5" w:rsidP="007F4B05"/>
    <w:p w14:paraId="57CCB80C" w14:textId="0640AF50" w:rsidR="00680E79" w:rsidRDefault="00680E79" w:rsidP="007F4B05"/>
    <w:p w14:paraId="79DB4276" w14:textId="7F0537D1" w:rsidR="00680E79" w:rsidRDefault="00680E79" w:rsidP="007F4B05"/>
    <w:p w14:paraId="1FEE28D2" w14:textId="35EDAEE2" w:rsidR="00881271" w:rsidRDefault="00881271" w:rsidP="007F4B05"/>
    <w:p w14:paraId="48451F0B" w14:textId="4872A7C8" w:rsidR="00881271" w:rsidRDefault="00881271" w:rsidP="007F4B05"/>
    <w:p w14:paraId="7F8A055B" w14:textId="5BCEA0AB" w:rsidR="00881271" w:rsidRDefault="00881271" w:rsidP="007F4B05"/>
    <w:p w14:paraId="2C107F92" w14:textId="1460F92D" w:rsidR="00881271" w:rsidRDefault="00881271" w:rsidP="007F4B05"/>
    <w:p w14:paraId="24A3637C" w14:textId="3FFB4ACE" w:rsidR="00881271" w:rsidRDefault="00881271" w:rsidP="007F4B05"/>
    <w:p w14:paraId="5C84FE3A" w14:textId="46255B31" w:rsidR="00881271" w:rsidRDefault="00881271" w:rsidP="007F4B05"/>
    <w:p w14:paraId="7EC01AA7" w14:textId="472800F3" w:rsidR="00881271" w:rsidRDefault="00881271" w:rsidP="007F4B05"/>
    <w:p w14:paraId="596D65D4" w14:textId="682D8EA4" w:rsidR="00881271" w:rsidRDefault="00881271" w:rsidP="007F4B05"/>
    <w:p w14:paraId="714EDF14" w14:textId="77777777" w:rsidR="00881271" w:rsidRDefault="00881271" w:rsidP="007F4B05"/>
    <w:p w14:paraId="60F6F72C" w14:textId="77777777" w:rsidR="00881271" w:rsidRDefault="00881271" w:rsidP="007F4B05"/>
    <w:p w14:paraId="14705EE1" w14:textId="77777777" w:rsidR="00881271" w:rsidRDefault="00881271" w:rsidP="007F4B05"/>
    <w:p w14:paraId="5BA6DA30" w14:textId="77777777" w:rsidR="001241A1" w:rsidRDefault="001241A1" w:rsidP="007F4B05"/>
    <w:p w14:paraId="3747476D" w14:textId="173753A7" w:rsidR="009352C2" w:rsidRDefault="009352C2" w:rsidP="007F4B05"/>
    <w:p w14:paraId="2DD9216C" w14:textId="25187B84" w:rsidR="00861975" w:rsidRDefault="00861975" w:rsidP="007F4B05">
      <w:r>
        <w:t>Bibliography:</w:t>
      </w:r>
    </w:p>
    <w:p w14:paraId="1013A63E" w14:textId="4309AEC2" w:rsidR="00D363D5" w:rsidRDefault="00D363D5" w:rsidP="00772B31">
      <w:pPr>
        <w:pStyle w:val="ListParagraph"/>
        <w:numPr>
          <w:ilvl w:val="0"/>
          <w:numId w:val="1"/>
        </w:numPr>
      </w:pPr>
      <w:r w:rsidRPr="00976B67">
        <w:t>Deen</w:t>
      </w:r>
      <w:r>
        <w:t>,</w:t>
      </w:r>
      <w:r w:rsidRPr="001241A1">
        <w:t xml:space="preserve"> </w:t>
      </w:r>
      <w:r w:rsidRPr="00976B67">
        <w:t xml:space="preserve">Edith, All The Women of The Bible </w:t>
      </w:r>
      <w:r w:rsidR="000F2690">
        <w:t>(</w:t>
      </w:r>
      <w:r w:rsidRPr="00976B67">
        <w:t>London</w:t>
      </w:r>
      <w:r w:rsidR="000F2690">
        <w:t>:</w:t>
      </w:r>
      <w:r w:rsidRPr="00976B67">
        <w:t xml:space="preserve"> Independent Press Limited, 1959</w:t>
      </w:r>
      <w:r w:rsidR="000F2690">
        <w:t>)</w:t>
      </w:r>
    </w:p>
    <w:p w14:paraId="434F99A8" w14:textId="17586835" w:rsidR="00D363D5" w:rsidRDefault="00772B31" w:rsidP="00D363D5">
      <w:pPr>
        <w:pStyle w:val="ListParagraph"/>
        <w:numPr>
          <w:ilvl w:val="0"/>
          <w:numId w:val="1"/>
        </w:numPr>
      </w:pPr>
      <w:r w:rsidRPr="00772B31">
        <w:t>Exum</w:t>
      </w:r>
      <w:r w:rsidR="001241A1">
        <w:t>,</w:t>
      </w:r>
      <w:r w:rsidR="001241A1" w:rsidRPr="001241A1">
        <w:t xml:space="preserve"> </w:t>
      </w:r>
      <w:r w:rsidR="001241A1" w:rsidRPr="00772B31">
        <w:t>J. Cheryl</w:t>
      </w:r>
      <w:r w:rsidRPr="00772B31">
        <w:t xml:space="preserve">, The Anchor Bible Dictionary: Volume 2 ed. David N. Freedman </w:t>
      </w:r>
      <w:r w:rsidR="000F2690">
        <w:t>(</w:t>
      </w:r>
      <w:r w:rsidRPr="00772B31">
        <w:t>London</w:t>
      </w:r>
      <w:r w:rsidR="000F2690">
        <w:t xml:space="preserve">: </w:t>
      </w:r>
      <w:r w:rsidRPr="00772B31">
        <w:t xml:space="preserve">Doubleday, 1992) </w:t>
      </w:r>
    </w:p>
    <w:p w14:paraId="005AD848" w14:textId="31ED4238" w:rsidR="00D363D5" w:rsidRDefault="00D363D5" w:rsidP="00D363D5">
      <w:pPr>
        <w:pStyle w:val="ListParagraph"/>
        <w:numPr>
          <w:ilvl w:val="0"/>
          <w:numId w:val="1"/>
        </w:numPr>
      </w:pPr>
      <w:r w:rsidRPr="00680E79">
        <w:t>Exum</w:t>
      </w:r>
      <w:r>
        <w:t>,</w:t>
      </w:r>
      <w:r w:rsidRPr="001241A1">
        <w:t xml:space="preserve"> </w:t>
      </w:r>
      <w:r w:rsidRPr="00680E79">
        <w:t>J. Cheryl, Women In A Dictionary of Named and Unnamed women In The Hebrew Bible, The Apocryphal/Deuterocanonical Books, And The New Testament Scripture, Eds. Carol Meyers et al. (Cambridge</w:t>
      </w:r>
      <w:r w:rsidR="000F2690">
        <w:t>:</w:t>
      </w:r>
      <w:r w:rsidRPr="00680E79">
        <w:t xml:space="preserve"> William B. Eerdmans Publishing Company, 2000)</w:t>
      </w:r>
    </w:p>
    <w:p w14:paraId="2D5C9AA2" w14:textId="398D4992" w:rsidR="00861975" w:rsidRDefault="00D363D5" w:rsidP="00D363D5">
      <w:pPr>
        <w:pStyle w:val="ListParagraph"/>
        <w:numPr>
          <w:ilvl w:val="0"/>
          <w:numId w:val="1"/>
        </w:numPr>
      </w:pPr>
      <w:r w:rsidRPr="00680E79">
        <w:t>Lockyer</w:t>
      </w:r>
      <w:r>
        <w:t>,</w:t>
      </w:r>
      <w:r w:rsidRPr="001241A1">
        <w:t xml:space="preserve"> </w:t>
      </w:r>
      <w:r w:rsidRPr="00680E79">
        <w:t xml:space="preserve">Herbert, The Life and Times of All the Women of the Bible </w:t>
      </w:r>
      <w:r>
        <w:t>(</w:t>
      </w:r>
      <w:r w:rsidRPr="00680E79">
        <w:t>Michigan</w:t>
      </w:r>
      <w:r w:rsidR="000F2690">
        <w:t xml:space="preserve">: </w:t>
      </w:r>
      <w:r w:rsidRPr="00680E79">
        <w:t>ZondervanPublishingHouse, 1988)</w:t>
      </w:r>
    </w:p>
    <w:p w14:paraId="3D22D651" w14:textId="1EA6752C" w:rsidR="000F2690" w:rsidRDefault="000F2690" w:rsidP="000F2690">
      <w:pPr>
        <w:pStyle w:val="ListParagraph"/>
        <w:numPr>
          <w:ilvl w:val="0"/>
          <w:numId w:val="1"/>
        </w:numPr>
      </w:pPr>
      <w:bookmarkStart w:id="12" w:name="_Hlk510552498"/>
      <w:r w:rsidRPr="002B3F54">
        <w:t>Morton</w:t>
      </w:r>
      <w:r>
        <w:t>,</w:t>
      </w:r>
      <w:r w:rsidRPr="002B3F54">
        <w:t xml:space="preserve"> H. V., Women of The Bible </w:t>
      </w:r>
      <w:r>
        <w:t>(</w:t>
      </w:r>
      <w:r w:rsidRPr="002B3F54">
        <w:t>London</w:t>
      </w:r>
      <w:r>
        <w:t>:</w:t>
      </w:r>
      <w:r w:rsidRPr="002B3F54">
        <w:t xml:space="preserve"> Methuen &amp; Co. Ltd. 1941</w:t>
      </w:r>
      <w:bookmarkEnd w:id="12"/>
    </w:p>
    <w:p w14:paraId="5199E0B1" w14:textId="5512800E" w:rsidR="00976B67" w:rsidRDefault="000E3D2B" w:rsidP="00D363D5">
      <w:pPr>
        <w:pStyle w:val="ListParagraph"/>
        <w:numPr>
          <w:ilvl w:val="0"/>
          <w:numId w:val="1"/>
        </w:numPr>
      </w:pPr>
      <w:r w:rsidRPr="000E3D2B">
        <w:t>M. Gunn</w:t>
      </w:r>
      <w:r w:rsidR="001241A1">
        <w:t>,</w:t>
      </w:r>
      <w:r w:rsidR="001241A1" w:rsidRPr="001241A1">
        <w:t xml:space="preserve"> </w:t>
      </w:r>
      <w:r w:rsidR="001241A1" w:rsidRPr="000E3D2B">
        <w:t>David</w:t>
      </w:r>
      <w:r w:rsidRPr="000E3D2B">
        <w:t xml:space="preserve">, Judges </w:t>
      </w:r>
      <w:r w:rsidR="000F2690">
        <w:t>(</w:t>
      </w:r>
      <w:r w:rsidRPr="000E3D2B">
        <w:t>Oxford</w:t>
      </w:r>
      <w:r w:rsidR="000F2690">
        <w:t xml:space="preserve">: </w:t>
      </w:r>
      <w:r w:rsidRPr="000E3D2B">
        <w:t xml:space="preserve">Blackwell Publishing, 2005) </w:t>
      </w:r>
    </w:p>
    <w:p w14:paraId="6D15A983" w14:textId="77777777" w:rsidR="000F2690" w:rsidRPr="007F4B05" w:rsidRDefault="000F2690" w:rsidP="000F2690">
      <w:pPr>
        <w:pStyle w:val="ListParagraph"/>
        <w:numPr>
          <w:ilvl w:val="0"/>
          <w:numId w:val="1"/>
        </w:numPr>
      </w:pPr>
      <w:r w:rsidRPr="000557D2">
        <w:t>J. Murphy</w:t>
      </w:r>
      <w:r>
        <w:t>,</w:t>
      </w:r>
      <w:r w:rsidRPr="001241A1">
        <w:t xml:space="preserve"> </w:t>
      </w:r>
      <w:r w:rsidRPr="000557D2">
        <w:t xml:space="preserve">Kelly, Judges in Recent Research, Currents in Biblical Research 2017, Vol. 15(2) 191 [Online] </w:t>
      </w:r>
      <w:hyperlink r:id="rId9" w:history="1">
        <w:r w:rsidRPr="001F3030">
          <w:rPr>
            <w:rStyle w:val="Hyperlink"/>
          </w:rPr>
          <w:t>http://journals.sagepub.com.ezproxy.uwtsd.ac.uk/doi/pdf/10.1177/1476993X16659798</w:t>
        </w:r>
      </w:hyperlink>
      <w:r>
        <w:t xml:space="preserve"> [Accessed 4th April 2018] </w:t>
      </w:r>
    </w:p>
    <w:p w14:paraId="7C84B977" w14:textId="61DC8C0E" w:rsidR="000F2690" w:rsidRDefault="002D7040" w:rsidP="004470E7">
      <w:pPr>
        <w:pStyle w:val="ListParagraph"/>
        <w:numPr>
          <w:ilvl w:val="0"/>
          <w:numId w:val="1"/>
        </w:numPr>
      </w:pPr>
      <w:r w:rsidRPr="00BA0C4F">
        <w:rPr>
          <w:noProof/>
        </w:rPr>
        <w:t>Sharbrough</w:t>
      </w:r>
      <w:r w:rsidR="001241A1">
        <w:t>,</w:t>
      </w:r>
      <w:r w:rsidR="001241A1" w:rsidRPr="001241A1">
        <w:t xml:space="preserve"> </w:t>
      </w:r>
      <w:r w:rsidR="001241A1" w:rsidRPr="002D7040">
        <w:t>Christine</w:t>
      </w:r>
      <w:r w:rsidRPr="002D7040">
        <w:t xml:space="preserve">, Christian Fiction, Library </w:t>
      </w:r>
      <w:r w:rsidRPr="00881271">
        <w:rPr>
          <w:noProof/>
        </w:rPr>
        <w:t>Journal;</w:t>
      </w:r>
      <w:r w:rsidRPr="002D7040">
        <w:t xml:space="preserve"> New York  Vol. 141, Iss. 10,  (Jun 01, 2016) </w:t>
      </w:r>
      <w:r w:rsidR="004470E7">
        <w:t xml:space="preserve">[Online] Available </w:t>
      </w:r>
      <w:r w:rsidR="004470E7" w:rsidRPr="00BA0C4F">
        <w:rPr>
          <w:noProof/>
        </w:rPr>
        <w:t>at:</w:t>
      </w:r>
      <w:r w:rsidR="004470E7" w:rsidRPr="004470E7">
        <w:t xml:space="preserve">  </w:t>
      </w:r>
      <w:hyperlink r:id="rId10" w:history="1">
        <w:r w:rsidR="004470E7" w:rsidRPr="001F3030">
          <w:rPr>
            <w:rStyle w:val="Hyperlink"/>
          </w:rPr>
          <w:t>https://search-proquest-com.ezproxy.uwtsd.ac.uk/docview/2012920156?accountid=130472&amp;rfr_id=info%3Axri%2Fsid%3Aprimo</w:t>
        </w:r>
      </w:hyperlink>
      <w:r w:rsidR="004470E7">
        <w:t xml:space="preserve"> [Accessed 4</w:t>
      </w:r>
      <w:r w:rsidR="004470E7" w:rsidRPr="004470E7">
        <w:rPr>
          <w:vertAlign w:val="superscript"/>
        </w:rPr>
        <w:t>th</w:t>
      </w:r>
      <w:r w:rsidR="004470E7">
        <w:t xml:space="preserve"> April 2018]</w:t>
      </w:r>
    </w:p>
    <w:p w14:paraId="64F5DA9D" w14:textId="12B8439A" w:rsidR="00CB55C2" w:rsidRDefault="009352C2" w:rsidP="00CB55C2">
      <w:pPr>
        <w:pStyle w:val="ListParagraph"/>
        <w:numPr>
          <w:ilvl w:val="0"/>
          <w:numId w:val="1"/>
        </w:numPr>
      </w:pPr>
      <w:r>
        <w:t>U</w:t>
      </w:r>
      <w:r w:rsidR="00CB55C2" w:rsidRPr="00CB55C2">
        <w:t>nknown artist, Delilah’s Scissors, painting. Book, David M. Gunn, Judges (Oxford: Blackwell Publishing, 2005) p.220 (1986)</w:t>
      </w:r>
    </w:p>
    <w:p w14:paraId="05154D56" w14:textId="50347F8E" w:rsidR="00BB74D4" w:rsidRDefault="00BB74D4" w:rsidP="00BB74D4">
      <w:r>
        <w:t>Word Count:</w:t>
      </w:r>
    </w:p>
    <w:p w14:paraId="6B26F4A9" w14:textId="471E3061" w:rsidR="00BB74D4" w:rsidRDefault="00BB74D4" w:rsidP="00BB74D4">
      <w:r>
        <w:t>2</w:t>
      </w:r>
      <w:r w:rsidR="00F17C4E">
        <w:t>951</w:t>
      </w:r>
      <w:r>
        <w:t xml:space="preserve"> </w:t>
      </w:r>
      <w:r>
        <w:t xml:space="preserve">(including, footnotes, titles, bib etc.) </w:t>
      </w:r>
    </w:p>
    <w:p w14:paraId="090E52E4" w14:textId="167DC017" w:rsidR="00BB74D4" w:rsidRPr="007F4B05" w:rsidRDefault="00417E6F" w:rsidP="00BB74D4">
      <w:r>
        <w:t>2</w:t>
      </w:r>
      <w:r w:rsidR="00F17C4E">
        <w:t>568</w:t>
      </w:r>
      <w:bookmarkStart w:id="13" w:name="_GoBack"/>
      <w:bookmarkEnd w:id="13"/>
      <w:r>
        <w:t xml:space="preserve"> </w:t>
      </w:r>
      <w:r w:rsidR="00BB74D4">
        <w:t>(not including the introduction, footnotes, titles, bib etc – just text)</w:t>
      </w:r>
    </w:p>
    <w:sectPr w:rsidR="00BB74D4" w:rsidRPr="007F4B0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D68F97" w14:textId="77777777" w:rsidR="00D61DE1" w:rsidRDefault="00D61DE1" w:rsidP="00861975">
      <w:pPr>
        <w:spacing w:after="0" w:line="240" w:lineRule="auto"/>
      </w:pPr>
      <w:r>
        <w:separator/>
      </w:r>
    </w:p>
  </w:endnote>
  <w:endnote w:type="continuationSeparator" w:id="0">
    <w:p w14:paraId="747D5CD2" w14:textId="77777777" w:rsidR="00D61DE1" w:rsidRDefault="00D61DE1" w:rsidP="008619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F9F59B" w14:textId="77777777" w:rsidR="00D61DE1" w:rsidRDefault="00D61DE1" w:rsidP="00861975">
      <w:pPr>
        <w:spacing w:after="0" w:line="240" w:lineRule="auto"/>
      </w:pPr>
      <w:r>
        <w:separator/>
      </w:r>
    </w:p>
  </w:footnote>
  <w:footnote w:type="continuationSeparator" w:id="0">
    <w:p w14:paraId="74DEF9D4" w14:textId="77777777" w:rsidR="00D61DE1" w:rsidRDefault="00D61DE1" w:rsidP="00861975">
      <w:pPr>
        <w:spacing w:after="0" w:line="240" w:lineRule="auto"/>
      </w:pPr>
      <w:r>
        <w:continuationSeparator/>
      </w:r>
    </w:p>
  </w:footnote>
  <w:footnote w:id="1">
    <w:p w14:paraId="6B1C8FE0" w14:textId="63BE0217" w:rsidR="00861975" w:rsidRDefault="00861975">
      <w:pPr>
        <w:pStyle w:val="FootnoteText"/>
      </w:pPr>
      <w:r>
        <w:rPr>
          <w:rStyle w:val="FootnoteReference"/>
        </w:rPr>
        <w:footnoteRef/>
      </w:r>
      <w:r>
        <w:t xml:space="preserve"> Judges 16:4</w:t>
      </w:r>
    </w:p>
  </w:footnote>
  <w:footnote w:id="2">
    <w:p w14:paraId="52F9A421" w14:textId="53E43397" w:rsidR="00861975" w:rsidRDefault="00861975">
      <w:pPr>
        <w:pStyle w:val="FootnoteText"/>
      </w:pPr>
      <w:r>
        <w:rPr>
          <w:rStyle w:val="FootnoteReference"/>
        </w:rPr>
        <w:footnoteRef/>
      </w:r>
      <w:r>
        <w:t xml:space="preserve"> </w:t>
      </w:r>
      <w:r w:rsidRPr="00861975">
        <w:t xml:space="preserve">J. Cheryl Exum, </w:t>
      </w:r>
      <w:r w:rsidRPr="00861975">
        <w:rPr>
          <w:i/>
        </w:rPr>
        <w:t>The Anchor Bible Dictionary: Volume 2</w:t>
      </w:r>
      <w:r w:rsidRPr="00861975">
        <w:t xml:space="preserve"> ed. David N. Freedman </w:t>
      </w:r>
      <w:r w:rsidR="00833D29">
        <w:t>(</w:t>
      </w:r>
      <w:r w:rsidRPr="00861975">
        <w:t>London</w:t>
      </w:r>
      <w:r w:rsidR="00835190">
        <w:t>:</w:t>
      </w:r>
      <w:r w:rsidRPr="00861975">
        <w:t xml:space="preserve"> Doubleday, 1992) </w:t>
      </w:r>
      <w:r w:rsidR="00835190">
        <w:t>p.</w:t>
      </w:r>
      <w:r w:rsidRPr="00861975">
        <w:t>133</w:t>
      </w:r>
    </w:p>
  </w:footnote>
  <w:footnote w:id="3">
    <w:p w14:paraId="3A9883AD" w14:textId="23863279" w:rsidR="00C8156E" w:rsidRDefault="00C8156E">
      <w:pPr>
        <w:pStyle w:val="FootnoteText"/>
      </w:pPr>
      <w:r>
        <w:rPr>
          <w:rStyle w:val="FootnoteReference"/>
        </w:rPr>
        <w:footnoteRef/>
      </w:r>
      <w:r>
        <w:t xml:space="preserve"> Judges 16:5</w:t>
      </w:r>
      <w:r w:rsidR="00835190">
        <w:t xml:space="preserve"> (</w:t>
      </w:r>
    </w:p>
  </w:footnote>
  <w:footnote w:id="4">
    <w:p w14:paraId="0A4B9D25" w14:textId="4E7B13E4" w:rsidR="00C8156E" w:rsidRDefault="00C8156E">
      <w:pPr>
        <w:pStyle w:val="FootnoteText"/>
      </w:pPr>
      <w:r>
        <w:rPr>
          <w:rStyle w:val="FootnoteReference"/>
        </w:rPr>
        <w:footnoteRef/>
      </w:r>
      <w:r>
        <w:t xml:space="preserve"> Judges 16:15</w:t>
      </w:r>
      <w:r w:rsidR="00835190">
        <w:t xml:space="preserve"> (</w:t>
      </w:r>
    </w:p>
  </w:footnote>
  <w:footnote w:id="5">
    <w:p w14:paraId="5760A592" w14:textId="10311CB1" w:rsidR="00772B31" w:rsidRDefault="00772B31">
      <w:pPr>
        <w:pStyle w:val="FootnoteText"/>
      </w:pPr>
      <w:r>
        <w:rPr>
          <w:rStyle w:val="FootnoteReference"/>
        </w:rPr>
        <w:footnoteRef/>
      </w:r>
      <w:r>
        <w:t xml:space="preserve"> </w:t>
      </w:r>
      <w:r w:rsidRPr="00772B31">
        <w:t xml:space="preserve">Exum, </w:t>
      </w:r>
      <w:r w:rsidR="00835190">
        <w:t>p.</w:t>
      </w:r>
      <w:r w:rsidRPr="00772B31">
        <w:t>134</w:t>
      </w:r>
    </w:p>
  </w:footnote>
  <w:footnote w:id="6">
    <w:p w14:paraId="2DFA717F" w14:textId="12084ACD" w:rsidR="003227E8" w:rsidRDefault="003227E8">
      <w:pPr>
        <w:pStyle w:val="FootnoteText"/>
      </w:pPr>
      <w:r>
        <w:rPr>
          <w:rStyle w:val="FootnoteReference"/>
        </w:rPr>
        <w:footnoteRef/>
      </w:r>
      <w:r>
        <w:t xml:space="preserve"> </w:t>
      </w:r>
      <w:bookmarkStart w:id="1" w:name="_Hlk510099741"/>
      <w:r>
        <w:t>Judges 16:17</w:t>
      </w:r>
      <w:bookmarkEnd w:id="1"/>
      <w:r>
        <w:t xml:space="preserve"> </w:t>
      </w:r>
    </w:p>
  </w:footnote>
  <w:footnote w:id="7">
    <w:p w14:paraId="3621A867" w14:textId="0F3A3CDF" w:rsidR="004B053D" w:rsidRDefault="004B053D">
      <w:pPr>
        <w:pStyle w:val="FootnoteText"/>
      </w:pPr>
      <w:r>
        <w:rPr>
          <w:rStyle w:val="FootnoteReference"/>
        </w:rPr>
        <w:footnoteRef/>
      </w:r>
      <w:r>
        <w:t xml:space="preserve"> Judges 16:19-21</w:t>
      </w:r>
    </w:p>
  </w:footnote>
  <w:footnote w:id="8">
    <w:p w14:paraId="4FBAA115" w14:textId="2DAB82F6" w:rsidR="002E5A07" w:rsidRDefault="002E5A07">
      <w:pPr>
        <w:pStyle w:val="FootnoteText"/>
      </w:pPr>
      <w:r>
        <w:rPr>
          <w:rStyle w:val="FootnoteReference"/>
        </w:rPr>
        <w:footnoteRef/>
      </w:r>
      <w:r>
        <w:t xml:space="preserve"> </w:t>
      </w:r>
      <w:bookmarkStart w:id="3" w:name="_Hlk510708390"/>
      <w:r w:rsidRPr="002E5A07">
        <w:t xml:space="preserve">David M. Gunn, </w:t>
      </w:r>
      <w:r w:rsidRPr="00835190">
        <w:rPr>
          <w:i/>
        </w:rPr>
        <w:t>Judges</w:t>
      </w:r>
      <w:r w:rsidR="00835190">
        <w:t xml:space="preserve"> (</w:t>
      </w:r>
      <w:r w:rsidRPr="002E5A07">
        <w:t>Oxford</w:t>
      </w:r>
      <w:r w:rsidR="00835190">
        <w:t>:</w:t>
      </w:r>
      <w:r w:rsidRPr="002E5A07">
        <w:t xml:space="preserve"> Blackwell Publishing, 2005) </w:t>
      </w:r>
      <w:r w:rsidR="00835190">
        <w:t>p.</w:t>
      </w:r>
      <w:r w:rsidRPr="002E5A07">
        <w:t>212</w:t>
      </w:r>
      <w:bookmarkEnd w:id="3"/>
      <w:r w:rsidRPr="002E5A07">
        <w:t xml:space="preserve"> </w:t>
      </w:r>
    </w:p>
  </w:footnote>
  <w:footnote w:id="9">
    <w:p w14:paraId="49F60FE8" w14:textId="2FB9D794" w:rsidR="00C22240" w:rsidRDefault="00C22240">
      <w:pPr>
        <w:pStyle w:val="FootnoteText"/>
      </w:pPr>
      <w:r>
        <w:rPr>
          <w:rStyle w:val="FootnoteReference"/>
        </w:rPr>
        <w:footnoteRef/>
      </w:r>
      <w:r>
        <w:t xml:space="preserve"> </w:t>
      </w:r>
      <w:r w:rsidRPr="00C22240">
        <w:t>Prov. 5:3</w:t>
      </w:r>
    </w:p>
  </w:footnote>
  <w:footnote w:id="10">
    <w:p w14:paraId="339D4C6F" w14:textId="46ECB515" w:rsidR="00C22240" w:rsidRDefault="00C22240">
      <w:pPr>
        <w:pStyle w:val="FootnoteText"/>
      </w:pPr>
      <w:r>
        <w:rPr>
          <w:rStyle w:val="FootnoteReference"/>
        </w:rPr>
        <w:footnoteRef/>
      </w:r>
      <w:r>
        <w:t xml:space="preserve"> Prov. 7:26-27</w:t>
      </w:r>
    </w:p>
  </w:footnote>
  <w:footnote w:id="11">
    <w:p w14:paraId="268FDCFF" w14:textId="1D09AA42" w:rsidR="002E5A07" w:rsidRDefault="002E5A07">
      <w:pPr>
        <w:pStyle w:val="FootnoteText"/>
      </w:pPr>
      <w:r>
        <w:rPr>
          <w:rStyle w:val="FootnoteReference"/>
        </w:rPr>
        <w:footnoteRef/>
      </w:r>
      <w:r>
        <w:t xml:space="preserve"> </w:t>
      </w:r>
      <w:r w:rsidRPr="002E5A07">
        <w:t>Gunn</w:t>
      </w:r>
      <w:r w:rsidR="00835190">
        <w:t xml:space="preserve">, pp. </w:t>
      </w:r>
      <w:r w:rsidRPr="002E5A07">
        <w:t>212-213</w:t>
      </w:r>
    </w:p>
  </w:footnote>
  <w:footnote w:id="12">
    <w:p w14:paraId="20172628" w14:textId="488CBC12" w:rsidR="007376C5" w:rsidRDefault="007376C5">
      <w:pPr>
        <w:pStyle w:val="FootnoteText"/>
      </w:pPr>
      <w:r>
        <w:rPr>
          <w:rStyle w:val="FootnoteReference"/>
        </w:rPr>
        <w:footnoteRef/>
      </w:r>
      <w:r>
        <w:t xml:space="preserve"> </w:t>
      </w:r>
      <w:r w:rsidRPr="007376C5">
        <w:t>Judges 16:17</w:t>
      </w:r>
    </w:p>
  </w:footnote>
  <w:footnote w:id="13">
    <w:p w14:paraId="2D769BF0" w14:textId="62A09863" w:rsidR="000E3D2B" w:rsidRDefault="000E3D2B" w:rsidP="000E3D2B">
      <w:pPr>
        <w:pStyle w:val="FootnoteText"/>
      </w:pPr>
      <w:r>
        <w:rPr>
          <w:rStyle w:val="FootnoteReference"/>
        </w:rPr>
        <w:footnoteRef/>
      </w:r>
      <w:r>
        <w:t xml:space="preserve"> </w:t>
      </w:r>
      <w:bookmarkStart w:id="4" w:name="_Hlk510041902"/>
      <w:r w:rsidRPr="00833D29">
        <w:t xml:space="preserve">Gunn, </w:t>
      </w:r>
      <w:r w:rsidR="00835190">
        <w:t xml:space="preserve">p. </w:t>
      </w:r>
      <w:r w:rsidRPr="00833D29">
        <w:t>213</w:t>
      </w:r>
      <w:bookmarkEnd w:id="4"/>
      <w:r w:rsidRPr="00833D29">
        <w:t xml:space="preserve"> </w:t>
      </w:r>
    </w:p>
  </w:footnote>
  <w:footnote w:id="14">
    <w:p w14:paraId="3A491311" w14:textId="4BA29399" w:rsidR="000E3D2B" w:rsidRDefault="000E3D2B" w:rsidP="000E3D2B">
      <w:pPr>
        <w:pStyle w:val="FootnoteText"/>
      </w:pPr>
      <w:r>
        <w:rPr>
          <w:rStyle w:val="FootnoteReference"/>
        </w:rPr>
        <w:footnoteRef/>
      </w:r>
      <w:r>
        <w:t xml:space="preserve"> </w:t>
      </w:r>
      <w:r w:rsidRPr="00FE7218">
        <w:t>Gunn</w:t>
      </w:r>
      <w:r w:rsidR="00835190">
        <w:t xml:space="preserve">, p. </w:t>
      </w:r>
      <w:r w:rsidRPr="00FE7218">
        <w:t>213</w:t>
      </w:r>
    </w:p>
  </w:footnote>
  <w:footnote w:id="15">
    <w:p w14:paraId="43B0E087" w14:textId="4744BDF3" w:rsidR="001E0444" w:rsidRDefault="001E0444">
      <w:pPr>
        <w:pStyle w:val="FootnoteText"/>
      </w:pPr>
      <w:r>
        <w:rPr>
          <w:rStyle w:val="FootnoteReference"/>
        </w:rPr>
        <w:footnoteRef/>
      </w:r>
      <w:r>
        <w:t xml:space="preserve"> Gunn, </w:t>
      </w:r>
      <w:r w:rsidR="00835190">
        <w:t xml:space="preserve">p. </w:t>
      </w:r>
      <w:r>
        <w:t xml:space="preserve">213 </w:t>
      </w:r>
    </w:p>
  </w:footnote>
  <w:footnote w:id="16">
    <w:p w14:paraId="404C9C6E" w14:textId="0AA7233D" w:rsidR="002D7040" w:rsidRDefault="002D7040">
      <w:pPr>
        <w:pStyle w:val="FootnoteText"/>
      </w:pPr>
      <w:r>
        <w:rPr>
          <w:rStyle w:val="FootnoteReference"/>
        </w:rPr>
        <w:footnoteRef/>
      </w:r>
      <w:r>
        <w:t xml:space="preserve"> </w:t>
      </w:r>
      <w:r w:rsidRPr="00CB55C2">
        <w:t>Christine Sharbrough, Christian Fiction, Library Journal; New York</w:t>
      </w:r>
      <w:r w:rsidR="00835190" w:rsidRPr="00CB55C2">
        <w:t xml:space="preserve"> </w:t>
      </w:r>
      <w:r w:rsidRPr="00CB55C2">
        <w:t>Vol. 141, Iss. 10</w:t>
      </w:r>
      <w:r w:rsidR="00835190" w:rsidRPr="00CB55C2">
        <w:t xml:space="preserve"> </w:t>
      </w:r>
      <w:r w:rsidRPr="00CB55C2">
        <w:t>(Jun 01, 2016)</w:t>
      </w:r>
      <w:r w:rsidR="00E51211" w:rsidRPr="00CB55C2">
        <w:t xml:space="preserve"> [Online]. Available at</w:t>
      </w:r>
      <w:bookmarkStart w:id="6" w:name="_Hlk510644383"/>
      <w:r w:rsidR="00E51211" w:rsidRPr="00CB55C2">
        <w:t xml:space="preserve">:  </w:t>
      </w:r>
      <w:hyperlink r:id="rId1" w:history="1">
        <w:r w:rsidR="00E51211" w:rsidRPr="001F3030">
          <w:rPr>
            <w:rStyle w:val="Hyperlink"/>
          </w:rPr>
          <w:t>https://search-proquest-com.ezproxy.uwtsd.ac.uk/docview/2012920156?accountid=130472&amp;rfr_id=info%3Axri%2Fsid%3Aprimo</w:t>
        </w:r>
      </w:hyperlink>
      <w:bookmarkEnd w:id="6"/>
      <w:r w:rsidR="00E51211">
        <w:rPr>
          <w:color w:val="FF0000"/>
        </w:rPr>
        <w:t xml:space="preserve"> </w:t>
      </w:r>
      <w:r w:rsidRPr="00CB55C2">
        <w:t>p</w:t>
      </w:r>
      <w:r w:rsidR="00E51211" w:rsidRPr="00CB55C2">
        <w:t xml:space="preserve">. </w:t>
      </w:r>
      <w:r w:rsidRPr="00CB55C2">
        <w:t>2</w:t>
      </w:r>
      <w:r w:rsidR="00E51211" w:rsidRPr="00CB55C2">
        <w:t xml:space="preserve"> [Accessed 4</w:t>
      </w:r>
      <w:r w:rsidR="00E51211" w:rsidRPr="00CB55C2">
        <w:rPr>
          <w:vertAlign w:val="superscript"/>
        </w:rPr>
        <w:t>th</w:t>
      </w:r>
      <w:r w:rsidR="00E51211" w:rsidRPr="00CB55C2">
        <w:t xml:space="preserve"> April 2018] </w:t>
      </w:r>
    </w:p>
  </w:footnote>
  <w:footnote w:id="17">
    <w:p w14:paraId="0ABF7376" w14:textId="4D7EE83F" w:rsidR="00D10000" w:rsidRDefault="00D10000">
      <w:pPr>
        <w:pStyle w:val="FootnoteText"/>
      </w:pPr>
      <w:r>
        <w:rPr>
          <w:rStyle w:val="FootnoteReference"/>
        </w:rPr>
        <w:footnoteRef/>
      </w:r>
      <w:r>
        <w:t xml:space="preserve"> </w:t>
      </w:r>
      <w:r w:rsidRPr="00D10000">
        <w:t xml:space="preserve">Edith Deen, </w:t>
      </w:r>
      <w:r w:rsidRPr="00E51211">
        <w:rPr>
          <w:i/>
        </w:rPr>
        <w:t>All The Women of The Bible</w:t>
      </w:r>
      <w:r w:rsidRPr="00D10000">
        <w:t xml:space="preserve"> </w:t>
      </w:r>
      <w:r w:rsidR="00E51211">
        <w:t>(</w:t>
      </w:r>
      <w:r w:rsidRPr="00D10000">
        <w:t>London, Independent Press Limited, 1959)</w:t>
      </w:r>
      <w:r>
        <w:t xml:space="preserve"> P80</w:t>
      </w:r>
    </w:p>
  </w:footnote>
  <w:footnote w:id="18">
    <w:p w14:paraId="03E0DC5D" w14:textId="00F1E5FC" w:rsidR="00562129" w:rsidRDefault="00562129">
      <w:pPr>
        <w:pStyle w:val="FootnoteText"/>
      </w:pPr>
      <w:r>
        <w:rPr>
          <w:rStyle w:val="FootnoteReference"/>
        </w:rPr>
        <w:footnoteRef/>
      </w:r>
      <w:r>
        <w:t xml:space="preserve"> </w:t>
      </w:r>
      <w:r w:rsidRPr="00562129">
        <w:t xml:space="preserve">Exum, </w:t>
      </w:r>
      <w:r w:rsidR="00835190">
        <w:t xml:space="preserve">p. </w:t>
      </w:r>
      <w:r w:rsidRPr="00562129">
        <w:t>134</w:t>
      </w:r>
    </w:p>
  </w:footnote>
  <w:footnote w:id="19">
    <w:p w14:paraId="587ECAB2" w14:textId="44D1E31C" w:rsidR="00B36512" w:rsidRDefault="00B36512">
      <w:pPr>
        <w:pStyle w:val="FootnoteText"/>
      </w:pPr>
      <w:r>
        <w:rPr>
          <w:rStyle w:val="FootnoteReference"/>
        </w:rPr>
        <w:footnoteRef/>
      </w:r>
      <w:r>
        <w:t xml:space="preserve"> </w:t>
      </w:r>
      <w:bookmarkStart w:id="7" w:name="_Hlk510528199"/>
      <w:r w:rsidRPr="001241A1">
        <w:t xml:space="preserve">J. Cheryl Exum, </w:t>
      </w:r>
      <w:r w:rsidRPr="001241A1">
        <w:rPr>
          <w:i/>
        </w:rPr>
        <w:t>Women In A Dictionary of Named and Unnamed women In The Hebrew Bible, The Apocryphal/Deuterocanonical Books, And The New Testament Scripture</w:t>
      </w:r>
      <w:r w:rsidRPr="001241A1">
        <w:t xml:space="preserve">, Eds. Carol Meyers et al. </w:t>
      </w:r>
      <w:r w:rsidR="007F2111" w:rsidRPr="001241A1">
        <w:t>(</w:t>
      </w:r>
      <w:r w:rsidRPr="001241A1">
        <w:t>Cambridge, William B. Eerdmans Publishing Company, 2000) P68</w:t>
      </w:r>
      <w:bookmarkEnd w:id="7"/>
    </w:p>
  </w:footnote>
  <w:footnote w:id="20">
    <w:p w14:paraId="2058B732" w14:textId="3F230CEE" w:rsidR="00680E79" w:rsidRDefault="00680E79">
      <w:pPr>
        <w:pStyle w:val="FootnoteText"/>
      </w:pPr>
      <w:r>
        <w:rPr>
          <w:rStyle w:val="FootnoteReference"/>
        </w:rPr>
        <w:footnoteRef/>
      </w:r>
      <w:r>
        <w:t xml:space="preserve"> </w:t>
      </w:r>
      <w:r w:rsidRPr="00680E79">
        <w:t xml:space="preserve">Herbert Lockyer, </w:t>
      </w:r>
      <w:r w:rsidRPr="00E51211">
        <w:rPr>
          <w:i/>
        </w:rPr>
        <w:t xml:space="preserve">The Life and Times of All the Women of the Bible </w:t>
      </w:r>
      <w:r w:rsidR="00E51211">
        <w:rPr>
          <w:i/>
        </w:rPr>
        <w:t>(</w:t>
      </w:r>
      <w:r w:rsidRPr="00E51211">
        <w:t>Michigan</w:t>
      </w:r>
      <w:r w:rsidRPr="00680E79">
        <w:t>,</w:t>
      </w:r>
      <w:r w:rsidR="00E51211">
        <w:t xml:space="preserve"> </w:t>
      </w:r>
      <w:r w:rsidRPr="00680E79">
        <w:t xml:space="preserve">ZondervanPublishingHouse, 1988) </w:t>
      </w:r>
      <w:r w:rsidR="00E51211">
        <w:t xml:space="preserve">p. </w:t>
      </w:r>
      <w:r w:rsidRPr="00680E79">
        <w:t>43</w:t>
      </w:r>
    </w:p>
  </w:footnote>
  <w:footnote w:id="21">
    <w:p w14:paraId="01CE2289" w14:textId="36C68CA2" w:rsidR="002B3F54" w:rsidRDefault="002B3F54">
      <w:pPr>
        <w:pStyle w:val="FootnoteText"/>
      </w:pPr>
      <w:r>
        <w:rPr>
          <w:rStyle w:val="FootnoteReference"/>
        </w:rPr>
        <w:footnoteRef/>
      </w:r>
      <w:r w:rsidRPr="002B3F54">
        <w:t xml:space="preserve"> Morton, </w:t>
      </w:r>
      <w:r w:rsidR="00E51211">
        <w:t>p.</w:t>
      </w:r>
      <w:r w:rsidRPr="002B3F54">
        <w:t>79</w:t>
      </w:r>
    </w:p>
  </w:footnote>
  <w:footnote w:id="22">
    <w:p w14:paraId="26FEF97B" w14:textId="3FF8AD01" w:rsidR="006A7D44" w:rsidRDefault="006A7D44">
      <w:pPr>
        <w:pStyle w:val="FootnoteText"/>
      </w:pPr>
      <w:bookmarkStart w:id="8" w:name="_Hlk510614989"/>
      <w:r>
        <w:rPr>
          <w:rStyle w:val="FootnoteReference"/>
        </w:rPr>
        <w:footnoteRef/>
      </w:r>
      <w:r>
        <w:t xml:space="preserve"> </w:t>
      </w:r>
      <w:r w:rsidRPr="006A7D44">
        <w:t>Morton,</w:t>
      </w:r>
      <w:r>
        <w:t xml:space="preserve"> </w:t>
      </w:r>
      <w:r w:rsidR="00E51211">
        <w:t xml:space="preserve">p. </w:t>
      </w:r>
      <w:r>
        <w:t>8</w:t>
      </w:r>
      <w:bookmarkEnd w:id="8"/>
      <w:r>
        <w:t>4</w:t>
      </w:r>
    </w:p>
  </w:footnote>
  <w:footnote w:id="23">
    <w:p w14:paraId="28F23D26" w14:textId="627F94E2" w:rsidR="00B00656" w:rsidRDefault="00B00656">
      <w:pPr>
        <w:pStyle w:val="FootnoteText"/>
      </w:pPr>
      <w:r>
        <w:rPr>
          <w:rStyle w:val="FootnoteReference"/>
        </w:rPr>
        <w:footnoteRef/>
      </w:r>
      <w:r>
        <w:t xml:space="preserve"> </w:t>
      </w:r>
      <w:r w:rsidRPr="00B00656">
        <w:t xml:space="preserve">Morton, </w:t>
      </w:r>
      <w:r w:rsidR="00E51211">
        <w:t xml:space="preserve">p. </w:t>
      </w:r>
      <w:r w:rsidRPr="00B00656">
        <w:t>8</w:t>
      </w:r>
      <w:r>
        <w:t>2</w:t>
      </w:r>
    </w:p>
  </w:footnote>
  <w:footnote w:id="24">
    <w:p w14:paraId="135866D9" w14:textId="4F5EC34C" w:rsidR="001E4FF4" w:rsidRDefault="001E4FF4">
      <w:pPr>
        <w:pStyle w:val="FootnoteText"/>
      </w:pPr>
      <w:r>
        <w:rPr>
          <w:rStyle w:val="FootnoteReference"/>
        </w:rPr>
        <w:footnoteRef/>
      </w:r>
      <w:r>
        <w:t xml:space="preserve"> </w:t>
      </w:r>
      <w:r w:rsidRPr="001E4FF4">
        <w:t>Lockyer</w:t>
      </w:r>
      <w:r w:rsidR="00E51211">
        <w:t xml:space="preserve">, p. </w:t>
      </w:r>
      <w:r>
        <w:t>43</w:t>
      </w:r>
    </w:p>
  </w:footnote>
  <w:footnote w:id="25">
    <w:p w14:paraId="0D35D135" w14:textId="266DC7CF" w:rsidR="000557D2" w:rsidRDefault="000557D2">
      <w:pPr>
        <w:pStyle w:val="FootnoteText"/>
      </w:pPr>
      <w:r>
        <w:rPr>
          <w:rStyle w:val="FootnoteReference"/>
        </w:rPr>
        <w:footnoteRef/>
      </w:r>
      <w:r>
        <w:t xml:space="preserve"> </w:t>
      </w:r>
      <w:r w:rsidRPr="000557D2">
        <w:t>Kelly J. Murphy, Judges in Recent Research, Currents in Biblical Research 2017, Vol. 15(2) 191 [Online]</w:t>
      </w:r>
      <w:r w:rsidR="00E51211">
        <w:t xml:space="preserve">. </w:t>
      </w:r>
      <w:r w:rsidR="001241A1">
        <w:t>Available at:</w:t>
      </w:r>
      <w:r w:rsidRPr="000557D2">
        <w:t xml:space="preserve"> </w:t>
      </w:r>
      <w:hyperlink r:id="rId2" w:history="1">
        <w:r w:rsidRPr="001F3030">
          <w:rPr>
            <w:rStyle w:val="Hyperlink"/>
          </w:rPr>
          <w:t>http://journals.sagepub.com.ezproxy.uwtsd.ac.uk/doi/pdf/10.1177/1476993X16659798</w:t>
        </w:r>
      </w:hyperlink>
      <w:r>
        <w:t xml:space="preserve"> [Accessed 4th April 2018] </w:t>
      </w:r>
    </w:p>
  </w:footnote>
  <w:footnote w:id="26">
    <w:p w14:paraId="1E7B27A7" w14:textId="3D962CFE" w:rsidR="00D03E3D" w:rsidRDefault="00D03E3D">
      <w:pPr>
        <w:pStyle w:val="FootnoteText"/>
      </w:pPr>
      <w:r>
        <w:rPr>
          <w:rStyle w:val="FootnoteReference"/>
        </w:rPr>
        <w:footnoteRef/>
      </w:r>
      <w:r>
        <w:t xml:space="preserve"> </w:t>
      </w:r>
      <w:r w:rsidRPr="00D03E3D">
        <w:t xml:space="preserve">Gunn, </w:t>
      </w:r>
      <w:r w:rsidR="001241A1">
        <w:t xml:space="preserve">p. </w:t>
      </w:r>
      <w:r>
        <w:t xml:space="preserve">220 </w:t>
      </w:r>
    </w:p>
  </w:footnote>
  <w:footnote w:id="27">
    <w:p w14:paraId="4E8582E9" w14:textId="64CABDE7" w:rsidR="00D03E3D" w:rsidRDefault="00D03E3D">
      <w:pPr>
        <w:pStyle w:val="FootnoteText"/>
      </w:pPr>
      <w:r>
        <w:rPr>
          <w:rStyle w:val="FootnoteReference"/>
        </w:rPr>
        <w:footnoteRef/>
      </w:r>
      <w:r>
        <w:t xml:space="preserve"> </w:t>
      </w:r>
      <w:r w:rsidRPr="00D03E3D">
        <w:t>Gunn,</w:t>
      </w:r>
      <w:r>
        <w:t xml:space="preserve"> </w:t>
      </w:r>
      <w:r w:rsidR="001241A1">
        <w:t xml:space="preserve">p. </w:t>
      </w:r>
      <w:r>
        <w:t>220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4A458A5"/>
    <w:multiLevelType w:val="hybridMultilevel"/>
    <w:tmpl w:val="E88E18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MzM3tDA3NTWwNDEzMbJU0lEKTi0uzszPAymwqAUAzfOwliwAAAA="/>
  </w:docVars>
  <w:rsids>
    <w:rsidRoot w:val="007F4B05"/>
    <w:rsid w:val="00001C04"/>
    <w:rsid w:val="0000425A"/>
    <w:rsid w:val="00027095"/>
    <w:rsid w:val="00036FAD"/>
    <w:rsid w:val="00046265"/>
    <w:rsid w:val="00050145"/>
    <w:rsid w:val="00050A27"/>
    <w:rsid w:val="000557D2"/>
    <w:rsid w:val="000801E3"/>
    <w:rsid w:val="000B5C40"/>
    <w:rsid w:val="000C44A1"/>
    <w:rsid w:val="000E3D2B"/>
    <w:rsid w:val="000E5140"/>
    <w:rsid w:val="000E5EF2"/>
    <w:rsid w:val="000F2690"/>
    <w:rsid w:val="00103661"/>
    <w:rsid w:val="00104C39"/>
    <w:rsid w:val="0011268C"/>
    <w:rsid w:val="00115562"/>
    <w:rsid w:val="001241A1"/>
    <w:rsid w:val="001253EF"/>
    <w:rsid w:val="00130ECB"/>
    <w:rsid w:val="00135B41"/>
    <w:rsid w:val="00135DB6"/>
    <w:rsid w:val="00150141"/>
    <w:rsid w:val="001543AB"/>
    <w:rsid w:val="001641A8"/>
    <w:rsid w:val="001672B2"/>
    <w:rsid w:val="001679F3"/>
    <w:rsid w:val="00184611"/>
    <w:rsid w:val="00191912"/>
    <w:rsid w:val="00194865"/>
    <w:rsid w:val="0019586D"/>
    <w:rsid w:val="001B5E26"/>
    <w:rsid w:val="001B75B4"/>
    <w:rsid w:val="001D0B9F"/>
    <w:rsid w:val="001D1F30"/>
    <w:rsid w:val="001D5E2D"/>
    <w:rsid w:val="001E0444"/>
    <w:rsid w:val="001E3A10"/>
    <w:rsid w:val="001E4FF4"/>
    <w:rsid w:val="001E780B"/>
    <w:rsid w:val="001F1D4D"/>
    <w:rsid w:val="001F2583"/>
    <w:rsid w:val="001F68D3"/>
    <w:rsid w:val="00205D2F"/>
    <w:rsid w:val="002148B7"/>
    <w:rsid w:val="00221A64"/>
    <w:rsid w:val="00233E8E"/>
    <w:rsid w:val="00236BD2"/>
    <w:rsid w:val="00242993"/>
    <w:rsid w:val="00243AD0"/>
    <w:rsid w:val="00243F5E"/>
    <w:rsid w:val="0025118F"/>
    <w:rsid w:val="00252DDA"/>
    <w:rsid w:val="002902FE"/>
    <w:rsid w:val="00294CC2"/>
    <w:rsid w:val="002A44E6"/>
    <w:rsid w:val="002A4E11"/>
    <w:rsid w:val="002B3F54"/>
    <w:rsid w:val="002B59A8"/>
    <w:rsid w:val="002B678D"/>
    <w:rsid w:val="002D0DDA"/>
    <w:rsid w:val="002D7040"/>
    <w:rsid w:val="002E0DE4"/>
    <w:rsid w:val="002E5A07"/>
    <w:rsid w:val="002F32FA"/>
    <w:rsid w:val="002F7ADF"/>
    <w:rsid w:val="00306CC1"/>
    <w:rsid w:val="00307BCA"/>
    <w:rsid w:val="00310EA4"/>
    <w:rsid w:val="003227E8"/>
    <w:rsid w:val="0032638B"/>
    <w:rsid w:val="003270F9"/>
    <w:rsid w:val="00350DC6"/>
    <w:rsid w:val="0035465F"/>
    <w:rsid w:val="003759A2"/>
    <w:rsid w:val="003772C2"/>
    <w:rsid w:val="00380A4A"/>
    <w:rsid w:val="00391CA7"/>
    <w:rsid w:val="003A2A55"/>
    <w:rsid w:val="003A6C9C"/>
    <w:rsid w:val="003A733D"/>
    <w:rsid w:val="003C1BB7"/>
    <w:rsid w:val="003D1AF8"/>
    <w:rsid w:val="003D504F"/>
    <w:rsid w:val="003E032A"/>
    <w:rsid w:val="00414BE4"/>
    <w:rsid w:val="00417E6F"/>
    <w:rsid w:val="004218D7"/>
    <w:rsid w:val="0042749E"/>
    <w:rsid w:val="0044125D"/>
    <w:rsid w:val="004470E7"/>
    <w:rsid w:val="00452E0E"/>
    <w:rsid w:val="00454B9C"/>
    <w:rsid w:val="00465285"/>
    <w:rsid w:val="0047383E"/>
    <w:rsid w:val="00480B71"/>
    <w:rsid w:val="00491237"/>
    <w:rsid w:val="004B053D"/>
    <w:rsid w:val="004B131E"/>
    <w:rsid w:val="004B5F72"/>
    <w:rsid w:val="004C2422"/>
    <w:rsid w:val="004D512E"/>
    <w:rsid w:val="004D78A4"/>
    <w:rsid w:val="004E00ED"/>
    <w:rsid w:val="004E5586"/>
    <w:rsid w:val="004F28EC"/>
    <w:rsid w:val="004F2B1E"/>
    <w:rsid w:val="004F57C3"/>
    <w:rsid w:val="004F7546"/>
    <w:rsid w:val="005253CF"/>
    <w:rsid w:val="00530C4F"/>
    <w:rsid w:val="00540D7E"/>
    <w:rsid w:val="00543A12"/>
    <w:rsid w:val="00554C8D"/>
    <w:rsid w:val="005558A1"/>
    <w:rsid w:val="00560BED"/>
    <w:rsid w:val="00562129"/>
    <w:rsid w:val="00580AAF"/>
    <w:rsid w:val="0058608C"/>
    <w:rsid w:val="00586C35"/>
    <w:rsid w:val="005930B8"/>
    <w:rsid w:val="005C4FFB"/>
    <w:rsid w:val="005D0029"/>
    <w:rsid w:val="005E3114"/>
    <w:rsid w:val="0061146A"/>
    <w:rsid w:val="00615CE2"/>
    <w:rsid w:val="00616DDD"/>
    <w:rsid w:val="006211FE"/>
    <w:rsid w:val="0062123F"/>
    <w:rsid w:val="00621900"/>
    <w:rsid w:val="00621CE8"/>
    <w:rsid w:val="00627237"/>
    <w:rsid w:val="006314A6"/>
    <w:rsid w:val="00633888"/>
    <w:rsid w:val="00666F18"/>
    <w:rsid w:val="0067246F"/>
    <w:rsid w:val="00675043"/>
    <w:rsid w:val="00680E79"/>
    <w:rsid w:val="0068609E"/>
    <w:rsid w:val="006A4177"/>
    <w:rsid w:val="006A58CC"/>
    <w:rsid w:val="006A7D44"/>
    <w:rsid w:val="006B15D7"/>
    <w:rsid w:val="006B1C22"/>
    <w:rsid w:val="006C2E72"/>
    <w:rsid w:val="006C346A"/>
    <w:rsid w:val="006C4786"/>
    <w:rsid w:val="006C5440"/>
    <w:rsid w:val="006C56B5"/>
    <w:rsid w:val="006C5C62"/>
    <w:rsid w:val="006D1533"/>
    <w:rsid w:val="006D7715"/>
    <w:rsid w:val="006F153F"/>
    <w:rsid w:val="00706358"/>
    <w:rsid w:val="0073236F"/>
    <w:rsid w:val="007376C5"/>
    <w:rsid w:val="0074138C"/>
    <w:rsid w:val="00760BD5"/>
    <w:rsid w:val="00772B31"/>
    <w:rsid w:val="00797DB2"/>
    <w:rsid w:val="007C0708"/>
    <w:rsid w:val="007D5EF4"/>
    <w:rsid w:val="007F0828"/>
    <w:rsid w:val="007F2111"/>
    <w:rsid w:val="007F466E"/>
    <w:rsid w:val="007F4B05"/>
    <w:rsid w:val="008039CB"/>
    <w:rsid w:val="00815DF4"/>
    <w:rsid w:val="0082040B"/>
    <w:rsid w:val="008214AD"/>
    <w:rsid w:val="00827CB7"/>
    <w:rsid w:val="00833D29"/>
    <w:rsid w:val="00833E72"/>
    <w:rsid w:val="00834C06"/>
    <w:rsid w:val="00835190"/>
    <w:rsid w:val="00837AAA"/>
    <w:rsid w:val="00861975"/>
    <w:rsid w:val="00872A5B"/>
    <w:rsid w:val="008774D1"/>
    <w:rsid w:val="00881271"/>
    <w:rsid w:val="008873BD"/>
    <w:rsid w:val="008B42A8"/>
    <w:rsid w:val="008C03A6"/>
    <w:rsid w:val="008E6088"/>
    <w:rsid w:val="008F2A23"/>
    <w:rsid w:val="00901E73"/>
    <w:rsid w:val="0091796E"/>
    <w:rsid w:val="009252BA"/>
    <w:rsid w:val="009352C2"/>
    <w:rsid w:val="00945373"/>
    <w:rsid w:val="00947C38"/>
    <w:rsid w:val="00953E60"/>
    <w:rsid w:val="00954227"/>
    <w:rsid w:val="00954DC5"/>
    <w:rsid w:val="00964031"/>
    <w:rsid w:val="00976B67"/>
    <w:rsid w:val="00976C3C"/>
    <w:rsid w:val="009977D7"/>
    <w:rsid w:val="009A63E3"/>
    <w:rsid w:val="009B4089"/>
    <w:rsid w:val="009B7F72"/>
    <w:rsid w:val="009C6BB7"/>
    <w:rsid w:val="009D4BFA"/>
    <w:rsid w:val="009D7990"/>
    <w:rsid w:val="009E39C1"/>
    <w:rsid w:val="009E6490"/>
    <w:rsid w:val="009E704B"/>
    <w:rsid w:val="00A12B88"/>
    <w:rsid w:val="00A35305"/>
    <w:rsid w:val="00A625DD"/>
    <w:rsid w:val="00A770BF"/>
    <w:rsid w:val="00A84893"/>
    <w:rsid w:val="00AA598D"/>
    <w:rsid w:val="00AB3B3A"/>
    <w:rsid w:val="00AE0098"/>
    <w:rsid w:val="00AE45E5"/>
    <w:rsid w:val="00AF2C0D"/>
    <w:rsid w:val="00AF3422"/>
    <w:rsid w:val="00AF3894"/>
    <w:rsid w:val="00B00656"/>
    <w:rsid w:val="00B03FAD"/>
    <w:rsid w:val="00B33E9F"/>
    <w:rsid w:val="00B36512"/>
    <w:rsid w:val="00B57F11"/>
    <w:rsid w:val="00B64E95"/>
    <w:rsid w:val="00B90F94"/>
    <w:rsid w:val="00B94CFE"/>
    <w:rsid w:val="00BA0C4F"/>
    <w:rsid w:val="00BB74D4"/>
    <w:rsid w:val="00BC00DD"/>
    <w:rsid w:val="00BE2118"/>
    <w:rsid w:val="00BF21A3"/>
    <w:rsid w:val="00BF34BE"/>
    <w:rsid w:val="00C17CF6"/>
    <w:rsid w:val="00C22240"/>
    <w:rsid w:val="00C24B58"/>
    <w:rsid w:val="00C40643"/>
    <w:rsid w:val="00C61960"/>
    <w:rsid w:val="00C63E86"/>
    <w:rsid w:val="00C77D63"/>
    <w:rsid w:val="00C8156E"/>
    <w:rsid w:val="00C92944"/>
    <w:rsid w:val="00CA70CA"/>
    <w:rsid w:val="00CB1081"/>
    <w:rsid w:val="00CB55C2"/>
    <w:rsid w:val="00CE0095"/>
    <w:rsid w:val="00CF4BCE"/>
    <w:rsid w:val="00CF6508"/>
    <w:rsid w:val="00D03E3D"/>
    <w:rsid w:val="00D04766"/>
    <w:rsid w:val="00D0655E"/>
    <w:rsid w:val="00D10000"/>
    <w:rsid w:val="00D213DF"/>
    <w:rsid w:val="00D363D5"/>
    <w:rsid w:val="00D61DE1"/>
    <w:rsid w:val="00D64FED"/>
    <w:rsid w:val="00D80325"/>
    <w:rsid w:val="00D82297"/>
    <w:rsid w:val="00D90EFD"/>
    <w:rsid w:val="00D9448C"/>
    <w:rsid w:val="00DA5B86"/>
    <w:rsid w:val="00DB1BE9"/>
    <w:rsid w:val="00DC1B1C"/>
    <w:rsid w:val="00DD224D"/>
    <w:rsid w:val="00DD3AA7"/>
    <w:rsid w:val="00DD6417"/>
    <w:rsid w:val="00DE0E05"/>
    <w:rsid w:val="00DF33A4"/>
    <w:rsid w:val="00E04703"/>
    <w:rsid w:val="00E2472D"/>
    <w:rsid w:val="00E401CA"/>
    <w:rsid w:val="00E51211"/>
    <w:rsid w:val="00E63273"/>
    <w:rsid w:val="00E71447"/>
    <w:rsid w:val="00E717F1"/>
    <w:rsid w:val="00E828CC"/>
    <w:rsid w:val="00E8465A"/>
    <w:rsid w:val="00ED1090"/>
    <w:rsid w:val="00ED412F"/>
    <w:rsid w:val="00EE08FA"/>
    <w:rsid w:val="00EE2AAA"/>
    <w:rsid w:val="00EE7E60"/>
    <w:rsid w:val="00F1484C"/>
    <w:rsid w:val="00F161B4"/>
    <w:rsid w:val="00F17C4E"/>
    <w:rsid w:val="00F257B1"/>
    <w:rsid w:val="00F36A18"/>
    <w:rsid w:val="00F723AC"/>
    <w:rsid w:val="00F72872"/>
    <w:rsid w:val="00F967E0"/>
    <w:rsid w:val="00FC09F1"/>
    <w:rsid w:val="00FC2D8B"/>
    <w:rsid w:val="00FC4E7F"/>
    <w:rsid w:val="00FD255A"/>
    <w:rsid w:val="00FD6732"/>
    <w:rsid w:val="00FE34D1"/>
    <w:rsid w:val="00FE4123"/>
    <w:rsid w:val="00FE4593"/>
    <w:rsid w:val="00FE72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EDC2D3"/>
  <w15:chartTrackingRefBased/>
  <w15:docId w15:val="{8BC88224-5B7F-4133-83A6-578CD614DF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1975"/>
    <w:pPr>
      <w:ind w:left="720"/>
      <w:contextualSpacing/>
    </w:pPr>
  </w:style>
  <w:style w:type="paragraph" w:styleId="FootnoteText">
    <w:name w:val="footnote text"/>
    <w:basedOn w:val="Normal"/>
    <w:link w:val="FootnoteTextChar"/>
    <w:uiPriority w:val="99"/>
    <w:semiHidden/>
    <w:unhideWhenUsed/>
    <w:rsid w:val="0086197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61975"/>
    <w:rPr>
      <w:sz w:val="20"/>
      <w:szCs w:val="20"/>
    </w:rPr>
  </w:style>
  <w:style w:type="character" w:styleId="FootnoteReference">
    <w:name w:val="footnote reference"/>
    <w:basedOn w:val="DefaultParagraphFont"/>
    <w:uiPriority w:val="99"/>
    <w:semiHidden/>
    <w:unhideWhenUsed/>
    <w:rsid w:val="00861975"/>
    <w:rPr>
      <w:vertAlign w:val="superscript"/>
    </w:rPr>
  </w:style>
  <w:style w:type="character" w:styleId="Hyperlink">
    <w:name w:val="Hyperlink"/>
    <w:basedOn w:val="DefaultParagraphFont"/>
    <w:uiPriority w:val="99"/>
    <w:unhideWhenUsed/>
    <w:rsid w:val="000557D2"/>
    <w:rPr>
      <w:color w:val="0563C1" w:themeColor="hyperlink"/>
      <w:u w:val="single"/>
    </w:rPr>
  </w:style>
  <w:style w:type="character" w:styleId="UnresolvedMention">
    <w:name w:val="Unresolved Mention"/>
    <w:basedOn w:val="DefaultParagraphFont"/>
    <w:uiPriority w:val="99"/>
    <w:semiHidden/>
    <w:unhideWhenUsed/>
    <w:rsid w:val="000557D2"/>
    <w:rPr>
      <w:color w:val="808080"/>
      <w:shd w:val="clear" w:color="auto" w:fill="E6E6E6"/>
    </w:rPr>
  </w:style>
  <w:style w:type="character" w:styleId="CommentReference">
    <w:name w:val="annotation reference"/>
    <w:basedOn w:val="DefaultParagraphFont"/>
    <w:uiPriority w:val="99"/>
    <w:semiHidden/>
    <w:unhideWhenUsed/>
    <w:rsid w:val="00417E6F"/>
    <w:rPr>
      <w:sz w:val="16"/>
      <w:szCs w:val="16"/>
    </w:rPr>
  </w:style>
  <w:style w:type="paragraph" w:styleId="CommentText">
    <w:name w:val="annotation text"/>
    <w:basedOn w:val="Normal"/>
    <w:link w:val="CommentTextChar"/>
    <w:uiPriority w:val="99"/>
    <w:semiHidden/>
    <w:unhideWhenUsed/>
    <w:rsid w:val="00417E6F"/>
    <w:pPr>
      <w:spacing w:line="240" w:lineRule="auto"/>
    </w:pPr>
    <w:rPr>
      <w:sz w:val="20"/>
      <w:szCs w:val="20"/>
    </w:rPr>
  </w:style>
  <w:style w:type="character" w:customStyle="1" w:styleId="CommentTextChar">
    <w:name w:val="Comment Text Char"/>
    <w:basedOn w:val="DefaultParagraphFont"/>
    <w:link w:val="CommentText"/>
    <w:uiPriority w:val="99"/>
    <w:semiHidden/>
    <w:rsid w:val="00417E6F"/>
    <w:rPr>
      <w:sz w:val="20"/>
      <w:szCs w:val="20"/>
    </w:rPr>
  </w:style>
  <w:style w:type="paragraph" w:styleId="CommentSubject">
    <w:name w:val="annotation subject"/>
    <w:basedOn w:val="CommentText"/>
    <w:next w:val="CommentText"/>
    <w:link w:val="CommentSubjectChar"/>
    <w:uiPriority w:val="99"/>
    <w:semiHidden/>
    <w:unhideWhenUsed/>
    <w:rsid w:val="00417E6F"/>
    <w:rPr>
      <w:b/>
      <w:bCs/>
    </w:rPr>
  </w:style>
  <w:style w:type="character" w:customStyle="1" w:styleId="CommentSubjectChar">
    <w:name w:val="Comment Subject Char"/>
    <w:basedOn w:val="CommentTextChar"/>
    <w:link w:val="CommentSubject"/>
    <w:uiPriority w:val="99"/>
    <w:semiHidden/>
    <w:rsid w:val="00417E6F"/>
    <w:rPr>
      <w:b/>
      <w:bCs/>
      <w:sz w:val="20"/>
      <w:szCs w:val="20"/>
    </w:rPr>
  </w:style>
  <w:style w:type="paragraph" w:styleId="BalloonText">
    <w:name w:val="Balloon Text"/>
    <w:basedOn w:val="Normal"/>
    <w:link w:val="BalloonTextChar"/>
    <w:uiPriority w:val="99"/>
    <w:semiHidden/>
    <w:unhideWhenUsed/>
    <w:rsid w:val="00417E6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17E6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search-proquest-com.ezproxy.uwtsd.ac.uk/docview/2012920156?accountid=130472&amp;rfr_id=info%3Axri%2Fsid%3Aprimo" TargetMode="External"/><Relationship Id="rId4" Type="http://schemas.openxmlformats.org/officeDocument/2006/relationships/settings" Target="settings.xml"/><Relationship Id="rId9" Type="http://schemas.openxmlformats.org/officeDocument/2006/relationships/hyperlink" Target="http://journals.sagepub.com.ezproxy.uwtsd.ac.uk/doi/pdf/10.1177/1476993X16659798"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journals.sagepub.com.ezproxy.uwtsd.ac.uk/doi/pdf/10.1177/1476993X16659798" TargetMode="External"/><Relationship Id="rId1" Type="http://schemas.openxmlformats.org/officeDocument/2006/relationships/hyperlink" Target="https://search-proquest-com.ezproxy.uwtsd.ac.uk/docview/2012920156?accountid=130472&amp;rfr_id=info%3Axri%2Fsid%3Aprim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896042-EDC7-486C-A681-685ABD808C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3271</TotalTime>
  <Pages>6</Pages>
  <Words>2779</Words>
  <Characters>14177</Characters>
  <Application>Microsoft Office Word</Application>
  <DocSecurity>0</DocSecurity>
  <Lines>205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Timothy Salt (1600456)</dc:creator>
  <cp:keywords/>
  <dc:description/>
  <cp:lastModifiedBy>Timothy Salt (1600456)</cp:lastModifiedBy>
  <cp:revision>20</cp:revision>
  <cp:lastPrinted>2018-04-05T18:51:00Z</cp:lastPrinted>
  <dcterms:created xsi:type="dcterms:W3CDTF">2018-03-26T12:25:00Z</dcterms:created>
  <dcterms:modified xsi:type="dcterms:W3CDTF">2018-04-05T19:25:00Z</dcterms:modified>
</cp:coreProperties>
</file>