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7C9281" w14:textId="77777777" w:rsidR="00FE3CA1" w:rsidRPr="006F130F" w:rsidRDefault="00FE3CA1" w:rsidP="00FE3CA1">
      <w:pPr>
        <w:spacing w:line="720" w:lineRule="auto"/>
        <w:rPr>
          <w:rFonts w:cs="Times New Roman"/>
        </w:rPr>
      </w:pPr>
      <w:r w:rsidRPr="006F130F">
        <w:rPr>
          <w:rFonts w:cs="Times New Roman"/>
          <w:noProof/>
        </w:rPr>
        <w:drawing>
          <wp:inline distT="0" distB="0" distL="0" distR="0" wp14:anchorId="595C8EA1" wp14:editId="4ED89D70">
            <wp:extent cx="2112771" cy="1173480"/>
            <wp:effectExtent l="0" t="0" r="1905" b="7620"/>
            <wp:docPr id="62728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28456" name="Picture 1"/>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15098" cy="1174773"/>
                    </a:xfrm>
                    <a:prstGeom prst="rect">
                      <a:avLst/>
                    </a:prstGeom>
                  </pic:spPr>
                </pic:pic>
              </a:graphicData>
            </a:graphic>
          </wp:inline>
        </w:drawing>
      </w:r>
    </w:p>
    <w:p w14:paraId="680D1808" w14:textId="77777777" w:rsidR="00FE3CA1" w:rsidRPr="006F130F" w:rsidRDefault="00FE3CA1" w:rsidP="00FE3CA1">
      <w:pPr>
        <w:spacing w:line="720" w:lineRule="auto"/>
        <w:rPr>
          <w:rFonts w:cs="Times New Roman"/>
        </w:rPr>
      </w:pPr>
    </w:p>
    <w:p w14:paraId="595FDB73" w14:textId="77777777" w:rsidR="00FE3CA1" w:rsidRPr="00FE3CA1" w:rsidRDefault="00FE3CA1" w:rsidP="00FE3CA1">
      <w:pPr>
        <w:spacing w:line="600" w:lineRule="auto"/>
        <w:jc w:val="left"/>
        <w:rPr>
          <w:rFonts w:cs="Times New Roman"/>
          <w:b/>
          <w:bCs/>
          <w:sz w:val="24"/>
          <w:szCs w:val="24"/>
        </w:rPr>
      </w:pPr>
      <w:r w:rsidRPr="00FE3CA1">
        <w:rPr>
          <w:rFonts w:cs="Times New Roman"/>
          <w:b/>
          <w:bCs/>
          <w:sz w:val="24"/>
          <w:szCs w:val="24"/>
        </w:rPr>
        <w:t xml:space="preserve">Name: </w:t>
      </w:r>
      <w:proofErr w:type="spellStart"/>
      <w:r w:rsidRPr="00FE3CA1">
        <w:rPr>
          <w:rFonts w:cs="Times New Roman"/>
          <w:sz w:val="24"/>
          <w:szCs w:val="24"/>
        </w:rPr>
        <w:t>Zulfiquar</w:t>
      </w:r>
      <w:proofErr w:type="spellEnd"/>
      <w:r w:rsidRPr="00FE3CA1">
        <w:rPr>
          <w:rFonts w:cs="Times New Roman"/>
          <w:sz w:val="24"/>
          <w:szCs w:val="24"/>
        </w:rPr>
        <w:t xml:space="preserve"> Shah</w:t>
      </w:r>
      <w:r w:rsidRPr="00FE3CA1">
        <w:rPr>
          <w:rFonts w:cs="Times New Roman"/>
          <w:sz w:val="24"/>
          <w:szCs w:val="24"/>
        </w:rPr>
        <w:br/>
      </w:r>
      <w:r w:rsidRPr="00FE3CA1">
        <w:rPr>
          <w:rFonts w:cs="Times New Roman"/>
          <w:b/>
          <w:bCs/>
          <w:sz w:val="24"/>
          <w:szCs w:val="24"/>
        </w:rPr>
        <w:t xml:space="preserve">Student ID: </w:t>
      </w:r>
      <w:r w:rsidRPr="00FE3CA1">
        <w:rPr>
          <w:rFonts w:cs="Times New Roman"/>
          <w:sz w:val="24"/>
          <w:szCs w:val="24"/>
        </w:rPr>
        <w:t>2540584</w:t>
      </w:r>
      <w:r w:rsidRPr="00FE3CA1">
        <w:rPr>
          <w:rFonts w:cs="Times New Roman"/>
          <w:sz w:val="24"/>
          <w:szCs w:val="24"/>
        </w:rPr>
        <w:br/>
      </w:r>
      <w:r w:rsidRPr="00FE3CA1">
        <w:rPr>
          <w:rFonts w:cs="Times New Roman"/>
          <w:b/>
          <w:bCs/>
          <w:sz w:val="24"/>
          <w:szCs w:val="24"/>
        </w:rPr>
        <w:t xml:space="preserve">Module Code: </w:t>
      </w:r>
      <w:r w:rsidRPr="00FE3CA1">
        <w:rPr>
          <w:rFonts w:cs="Times New Roman"/>
          <w:sz w:val="24"/>
          <w:szCs w:val="24"/>
        </w:rPr>
        <w:t>LCHS4001</w:t>
      </w:r>
      <w:r w:rsidRPr="00FE3CA1">
        <w:rPr>
          <w:rFonts w:cs="Times New Roman"/>
          <w:sz w:val="24"/>
          <w:szCs w:val="24"/>
        </w:rPr>
        <w:br/>
      </w:r>
      <w:r w:rsidRPr="00FE3CA1">
        <w:rPr>
          <w:rFonts w:cs="Times New Roman"/>
          <w:b/>
          <w:bCs/>
          <w:sz w:val="24"/>
          <w:szCs w:val="24"/>
        </w:rPr>
        <w:t xml:space="preserve">Module: </w:t>
      </w:r>
      <w:r w:rsidRPr="00FE3CA1">
        <w:rPr>
          <w:rFonts w:cs="Times New Roman"/>
          <w:sz w:val="24"/>
          <w:szCs w:val="24"/>
        </w:rPr>
        <w:t>Academic and Employability Skills</w:t>
      </w:r>
      <w:r w:rsidRPr="00FE3CA1">
        <w:rPr>
          <w:rFonts w:cs="Times New Roman"/>
          <w:sz w:val="24"/>
          <w:szCs w:val="24"/>
        </w:rPr>
        <w:br/>
      </w:r>
      <w:r w:rsidRPr="00FE3CA1">
        <w:rPr>
          <w:rFonts w:cs="Times New Roman"/>
          <w:b/>
          <w:bCs/>
          <w:sz w:val="24"/>
          <w:szCs w:val="24"/>
        </w:rPr>
        <w:t xml:space="preserve">Lecturer: </w:t>
      </w:r>
      <w:r w:rsidRPr="00FE3CA1">
        <w:rPr>
          <w:rFonts w:cs="Times New Roman"/>
          <w:sz w:val="24"/>
          <w:szCs w:val="24"/>
        </w:rPr>
        <w:t>Danial Jenkin Smith</w:t>
      </w:r>
      <w:r w:rsidRPr="00FE3CA1">
        <w:rPr>
          <w:rFonts w:cs="Times New Roman"/>
          <w:sz w:val="24"/>
          <w:szCs w:val="24"/>
        </w:rPr>
        <w:br/>
      </w:r>
      <w:r w:rsidRPr="00FE3CA1">
        <w:rPr>
          <w:rFonts w:cs="Times New Roman"/>
          <w:sz w:val="24"/>
          <w:szCs w:val="24"/>
        </w:rPr>
        <w:br/>
      </w:r>
    </w:p>
    <w:p w14:paraId="4D729DDF" w14:textId="77777777" w:rsidR="00FE3CA1" w:rsidRPr="00FE3CA1" w:rsidRDefault="00FE3CA1" w:rsidP="00FE3CA1">
      <w:pPr>
        <w:spacing w:line="720" w:lineRule="auto"/>
        <w:rPr>
          <w:rFonts w:cs="Times New Roman"/>
          <w:b/>
          <w:bCs/>
          <w:sz w:val="24"/>
          <w:szCs w:val="24"/>
        </w:rPr>
      </w:pPr>
    </w:p>
    <w:p w14:paraId="411F5EB6" w14:textId="77777777" w:rsidR="00FE3CA1" w:rsidRPr="00FE3CA1" w:rsidRDefault="00FE3CA1" w:rsidP="00FE3CA1">
      <w:pPr>
        <w:spacing w:line="720" w:lineRule="auto"/>
        <w:rPr>
          <w:rFonts w:cs="Times New Roman"/>
          <w:b/>
          <w:bCs/>
          <w:sz w:val="24"/>
          <w:szCs w:val="24"/>
        </w:rPr>
      </w:pPr>
    </w:p>
    <w:p w14:paraId="6B8138C4" w14:textId="7FDD31A6" w:rsidR="006532B6" w:rsidRDefault="00FE3CA1" w:rsidP="00FE3CA1">
      <w:pPr>
        <w:spacing w:line="720" w:lineRule="auto"/>
        <w:jc w:val="center"/>
        <w:rPr>
          <w:rFonts w:cs="Times New Roman"/>
          <w:sz w:val="24"/>
          <w:szCs w:val="24"/>
        </w:rPr>
      </w:pPr>
      <w:r w:rsidRPr="00FE3CA1">
        <w:rPr>
          <w:rFonts w:cs="Times New Roman"/>
          <w:b/>
          <w:bCs/>
          <w:sz w:val="24"/>
          <w:szCs w:val="24"/>
        </w:rPr>
        <w:t>Submitted on:</w:t>
      </w:r>
      <w:r w:rsidRPr="00FE3CA1">
        <w:rPr>
          <w:rFonts w:cs="Times New Roman"/>
          <w:sz w:val="24"/>
          <w:szCs w:val="24"/>
        </w:rPr>
        <w:t xml:space="preserve"> July 2026</w:t>
      </w:r>
    </w:p>
    <w:p w14:paraId="63C6B36D" w14:textId="77777777" w:rsidR="006532B6" w:rsidRDefault="006532B6">
      <w:pPr>
        <w:jc w:val="left"/>
        <w:rPr>
          <w:rFonts w:cs="Times New Roman"/>
          <w:sz w:val="24"/>
          <w:szCs w:val="24"/>
        </w:rPr>
      </w:pPr>
      <w:r>
        <w:rPr>
          <w:rFonts w:cs="Times New Roman"/>
          <w:sz w:val="24"/>
          <w:szCs w:val="24"/>
        </w:rPr>
        <w:br w:type="page"/>
      </w:r>
    </w:p>
    <w:sdt>
      <w:sdtPr>
        <w:id w:val="-2062850924"/>
        <w:docPartObj>
          <w:docPartGallery w:val="Table of Contents"/>
          <w:docPartUnique/>
        </w:docPartObj>
      </w:sdtPr>
      <w:sdtEndPr>
        <w:rPr>
          <w:rFonts w:eastAsiaTheme="minorEastAsia" w:cstheme="minorBidi"/>
          <w:noProof/>
          <w:sz w:val="22"/>
          <w:szCs w:val="22"/>
        </w:rPr>
      </w:sdtEndPr>
      <w:sdtContent>
        <w:p w14:paraId="60024741" w14:textId="51C9B734" w:rsidR="006532B6" w:rsidRDefault="006532B6" w:rsidP="006532B6">
          <w:pPr>
            <w:pStyle w:val="TOCHeading"/>
            <w:spacing w:line="600" w:lineRule="auto"/>
          </w:pPr>
          <w:r>
            <w:t>Table of Contents</w:t>
          </w:r>
        </w:p>
        <w:p w14:paraId="681CDE30" w14:textId="54E4AD3A" w:rsidR="006532B6" w:rsidRDefault="006532B6">
          <w:pPr>
            <w:pStyle w:val="TOC1"/>
            <w:tabs>
              <w:tab w:val="right" w:leader="dot" w:pos="8630"/>
            </w:tabs>
            <w:rPr>
              <w:rFonts w:asciiTheme="minorHAnsi" w:hAnsiTheme="minorHAnsi"/>
              <w:noProof/>
              <w:color w:val="auto"/>
              <w:kern w:val="2"/>
              <w:sz w:val="24"/>
              <w:szCs w:val="24"/>
              <w14:ligatures w14:val="standardContextual"/>
            </w:rPr>
          </w:pPr>
          <w:r>
            <w:fldChar w:fldCharType="begin"/>
          </w:r>
          <w:r>
            <w:instrText xml:space="preserve"> TOC \o "1-3" \h \z \u </w:instrText>
          </w:r>
          <w:r>
            <w:fldChar w:fldCharType="separate"/>
          </w:r>
          <w:hyperlink w:anchor="_Toc234365238" w:history="1">
            <w:r w:rsidRPr="00272433">
              <w:rPr>
                <w:rStyle w:val="Hyperlink"/>
                <w:noProof/>
              </w:rPr>
              <w:t>1.1 Introduction</w:t>
            </w:r>
            <w:r>
              <w:rPr>
                <w:noProof/>
                <w:webHidden/>
              </w:rPr>
              <w:tab/>
            </w:r>
            <w:r>
              <w:rPr>
                <w:noProof/>
                <w:webHidden/>
              </w:rPr>
              <w:fldChar w:fldCharType="begin"/>
            </w:r>
            <w:r>
              <w:rPr>
                <w:noProof/>
                <w:webHidden/>
              </w:rPr>
              <w:instrText xml:space="preserve"> PAGEREF _Toc234365238 \h </w:instrText>
            </w:r>
            <w:r>
              <w:rPr>
                <w:noProof/>
                <w:webHidden/>
              </w:rPr>
            </w:r>
            <w:r>
              <w:rPr>
                <w:noProof/>
                <w:webHidden/>
              </w:rPr>
              <w:fldChar w:fldCharType="separate"/>
            </w:r>
            <w:r>
              <w:rPr>
                <w:noProof/>
                <w:webHidden/>
              </w:rPr>
              <w:t>3</w:t>
            </w:r>
            <w:r>
              <w:rPr>
                <w:noProof/>
                <w:webHidden/>
              </w:rPr>
              <w:fldChar w:fldCharType="end"/>
            </w:r>
          </w:hyperlink>
        </w:p>
        <w:p w14:paraId="3684B4B9" w14:textId="33816AC8" w:rsidR="006532B6" w:rsidRDefault="006532B6">
          <w:pPr>
            <w:pStyle w:val="TOC1"/>
            <w:tabs>
              <w:tab w:val="right" w:leader="dot" w:pos="8630"/>
            </w:tabs>
            <w:rPr>
              <w:rFonts w:asciiTheme="minorHAnsi" w:hAnsiTheme="minorHAnsi"/>
              <w:noProof/>
              <w:color w:val="auto"/>
              <w:kern w:val="2"/>
              <w:sz w:val="24"/>
              <w:szCs w:val="24"/>
              <w14:ligatures w14:val="standardContextual"/>
            </w:rPr>
          </w:pPr>
          <w:hyperlink w:anchor="_Toc234365239" w:history="1">
            <w:r w:rsidRPr="00272433">
              <w:rPr>
                <w:rStyle w:val="Hyperlink"/>
                <w:noProof/>
              </w:rPr>
              <w:t>1.2 Description of, and background to, Sports Support Worker in healthcare</w:t>
            </w:r>
            <w:r>
              <w:rPr>
                <w:noProof/>
                <w:webHidden/>
              </w:rPr>
              <w:tab/>
            </w:r>
            <w:r>
              <w:rPr>
                <w:noProof/>
                <w:webHidden/>
              </w:rPr>
              <w:fldChar w:fldCharType="begin"/>
            </w:r>
            <w:r>
              <w:rPr>
                <w:noProof/>
                <w:webHidden/>
              </w:rPr>
              <w:instrText xml:space="preserve"> PAGEREF _Toc234365239 \h </w:instrText>
            </w:r>
            <w:r>
              <w:rPr>
                <w:noProof/>
                <w:webHidden/>
              </w:rPr>
            </w:r>
            <w:r>
              <w:rPr>
                <w:noProof/>
                <w:webHidden/>
              </w:rPr>
              <w:fldChar w:fldCharType="separate"/>
            </w:r>
            <w:r>
              <w:rPr>
                <w:noProof/>
                <w:webHidden/>
              </w:rPr>
              <w:t>3</w:t>
            </w:r>
            <w:r>
              <w:rPr>
                <w:noProof/>
                <w:webHidden/>
              </w:rPr>
              <w:fldChar w:fldCharType="end"/>
            </w:r>
          </w:hyperlink>
        </w:p>
        <w:p w14:paraId="1C15FC85" w14:textId="6622E488" w:rsidR="006532B6" w:rsidRDefault="006532B6">
          <w:pPr>
            <w:pStyle w:val="TOC1"/>
            <w:tabs>
              <w:tab w:val="right" w:leader="dot" w:pos="8630"/>
            </w:tabs>
            <w:rPr>
              <w:rFonts w:asciiTheme="minorHAnsi" w:hAnsiTheme="minorHAnsi"/>
              <w:noProof/>
              <w:color w:val="auto"/>
              <w:kern w:val="2"/>
              <w:sz w:val="24"/>
              <w:szCs w:val="24"/>
              <w14:ligatures w14:val="standardContextual"/>
            </w:rPr>
          </w:pPr>
          <w:hyperlink w:anchor="_Toc234365240" w:history="1">
            <w:r w:rsidRPr="00272433">
              <w:rPr>
                <w:rStyle w:val="Hyperlink"/>
                <w:noProof/>
              </w:rPr>
              <w:t>1.3 Evaluation of the skills needed for Sports Support Worker in healthcare</w:t>
            </w:r>
            <w:r>
              <w:rPr>
                <w:noProof/>
                <w:webHidden/>
              </w:rPr>
              <w:tab/>
            </w:r>
            <w:r>
              <w:rPr>
                <w:noProof/>
                <w:webHidden/>
              </w:rPr>
              <w:fldChar w:fldCharType="begin"/>
            </w:r>
            <w:r>
              <w:rPr>
                <w:noProof/>
                <w:webHidden/>
              </w:rPr>
              <w:instrText xml:space="preserve"> PAGEREF _Toc234365240 \h </w:instrText>
            </w:r>
            <w:r>
              <w:rPr>
                <w:noProof/>
                <w:webHidden/>
              </w:rPr>
            </w:r>
            <w:r>
              <w:rPr>
                <w:noProof/>
                <w:webHidden/>
              </w:rPr>
              <w:fldChar w:fldCharType="separate"/>
            </w:r>
            <w:r>
              <w:rPr>
                <w:noProof/>
                <w:webHidden/>
              </w:rPr>
              <w:t>3</w:t>
            </w:r>
            <w:r>
              <w:rPr>
                <w:noProof/>
                <w:webHidden/>
              </w:rPr>
              <w:fldChar w:fldCharType="end"/>
            </w:r>
          </w:hyperlink>
        </w:p>
        <w:p w14:paraId="12852F98" w14:textId="77F0CF89" w:rsidR="006532B6" w:rsidRDefault="006532B6">
          <w:pPr>
            <w:pStyle w:val="TOC1"/>
            <w:tabs>
              <w:tab w:val="right" w:leader="dot" w:pos="8630"/>
            </w:tabs>
            <w:rPr>
              <w:rFonts w:asciiTheme="minorHAnsi" w:hAnsiTheme="minorHAnsi"/>
              <w:noProof/>
              <w:color w:val="auto"/>
              <w:kern w:val="2"/>
              <w:sz w:val="24"/>
              <w:szCs w:val="24"/>
              <w14:ligatures w14:val="standardContextual"/>
            </w:rPr>
          </w:pPr>
          <w:hyperlink w:anchor="_Toc234365241" w:history="1">
            <w:r w:rsidRPr="00272433">
              <w:rPr>
                <w:rStyle w:val="Hyperlink"/>
                <w:noProof/>
              </w:rPr>
              <w:t>1.4 Strategies to improve the skills for Sports Support Worker in healthcare</w:t>
            </w:r>
            <w:r>
              <w:rPr>
                <w:noProof/>
                <w:webHidden/>
              </w:rPr>
              <w:tab/>
            </w:r>
            <w:r>
              <w:rPr>
                <w:noProof/>
                <w:webHidden/>
              </w:rPr>
              <w:fldChar w:fldCharType="begin"/>
            </w:r>
            <w:r>
              <w:rPr>
                <w:noProof/>
                <w:webHidden/>
              </w:rPr>
              <w:instrText xml:space="preserve"> PAGEREF _Toc234365241 \h </w:instrText>
            </w:r>
            <w:r>
              <w:rPr>
                <w:noProof/>
                <w:webHidden/>
              </w:rPr>
            </w:r>
            <w:r>
              <w:rPr>
                <w:noProof/>
                <w:webHidden/>
              </w:rPr>
              <w:fldChar w:fldCharType="separate"/>
            </w:r>
            <w:r>
              <w:rPr>
                <w:noProof/>
                <w:webHidden/>
              </w:rPr>
              <w:t>5</w:t>
            </w:r>
            <w:r>
              <w:rPr>
                <w:noProof/>
                <w:webHidden/>
              </w:rPr>
              <w:fldChar w:fldCharType="end"/>
            </w:r>
          </w:hyperlink>
        </w:p>
        <w:p w14:paraId="1A7F9351" w14:textId="52E5DB85" w:rsidR="006532B6" w:rsidRDefault="006532B6">
          <w:pPr>
            <w:pStyle w:val="TOC1"/>
            <w:tabs>
              <w:tab w:val="right" w:leader="dot" w:pos="8630"/>
            </w:tabs>
            <w:rPr>
              <w:rFonts w:asciiTheme="minorHAnsi" w:hAnsiTheme="minorHAnsi"/>
              <w:noProof/>
              <w:color w:val="auto"/>
              <w:kern w:val="2"/>
              <w:sz w:val="24"/>
              <w:szCs w:val="24"/>
              <w14:ligatures w14:val="standardContextual"/>
            </w:rPr>
          </w:pPr>
          <w:hyperlink w:anchor="_Toc234365242" w:history="1">
            <w:r w:rsidRPr="00272433">
              <w:rPr>
                <w:rStyle w:val="Hyperlink"/>
                <w:noProof/>
              </w:rPr>
              <w:t>1.5 Conclusion</w:t>
            </w:r>
            <w:r>
              <w:rPr>
                <w:noProof/>
                <w:webHidden/>
              </w:rPr>
              <w:tab/>
            </w:r>
            <w:r>
              <w:rPr>
                <w:noProof/>
                <w:webHidden/>
              </w:rPr>
              <w:fldChar w:fldCharType="begin"/>
            </w:r>
            <w:r>
              <w:rPr>
                <w:noProof/>
                <w:webHidden/>
              </w:rPr>
              <w:instrText xml:space="preserve"> PAGEREF _Toc234365242 \h </w:instrText>
            </w:r>
            <w:r>
              <w:rPr>
                <w:noProof/>
                <w:webHidden/>
              </w:rPr>
            </w:r>
            <w:r>
              <w:rPr>
                <w:noProof/>
                <w:webHidden/>
              </w:rPr>
              <w:fldChar w:fldCharType="separate"/>
            </w:r>
            <w:r>
              <w:rPr>
                <w:noProof/>
                <w:webHidden/>
              </w:rPr>
              <w:t>6</w:t>
            </w:r>
            <w:r>
              <w:rPr>
                <w:noProof/>
                <w:webHidden/>
              </w:rPr>
              <w:fldChar w:fldCharType="end"/>
            </w:r>
          </w:hyperlink>
        </w:p>
        <w:p w14:paraId="2B434DA3" w14:textId="00D67697" w:rsidR="006532B6" w:rsidRDefault="006532B6">
          <w:pPr>
            <w:pStyle w:val="TOC1"/>
            <w:tabs>
              <w:tab w:val="right" w:leader="dot" w:pos="8630"/>
            </w:tabs>
            <w:rPr>
              <w:rFonts w:asciiTheme="minorHAnsi" w:hAnsiTheme="minorHAnsi"/>
              <w:noProof/>
              <w:color w:val="auto"/>
              <w:kern w:val="2"/>
              <w:sz w:val="24"/>
              <w:szCs w:val="24"/>
              <w14:ligatures w14:val="standardContextual"/>
            </w:rPr>
          </w:pPr>
          <w:hyperlink w:anchor="_Toc234365243" w:history="1">
            <w:r w:rsidRPr="00272433">
              <w:rPr>
                <w:rStyle w:val="Hyperlink"/>
                <w:noProof/>
              </w:rPr>
              <w:t>1.6 Reference List</w:t>
            </w:r>
            <w:r>
              <w:rPr>
                <w:noProof/>
                <w:webHidden/>
              </w:rPr>
              <w:tab/>
            </w:r>
            <w:r>
              <w:rPr>
                <w:noProof/>
                <w:webHidden/>
              </w:rPr>
              <w:fldChar w:fldCharType="begin"/>
            </w:r>
            <w:r>
              <w:rPr>
                <w:noProof/>
                <w:webHidden/>
              </w:rPr>
              <w:instrText xml:space="preserve"> PAGEREF _Toc234365243 \h </w:instrText>
            </w:r>
            <w:r>
              <w:rPr>
                <w:noProof/>
                <w:webHidden/>
              </w:rPr>
            </w:r>
            <w:r>
              <w:rPr>
                <w:noProof/>
                <w:webHidden/>
              </w:rPr>
              <w:fldChar w:fldCharType="separate"/>
            </w:r>
            <w:r>
              <w:rPr>
                <w:noProof/>
                <w:webHidden/>
              </w:rPr>
              <w:t>6</w:t>
            </w:r>
            <w:r>
              <w:rPr>
                <w:noProof/>
                <w:webHidden/>
              </w:rPr>
              <w:fldChar w:fldCharType="end"/>
            </w:r>
          </w:hyperlink>
        </w:p>
        <w:p w14:paraId="52746560" w14:textId="50063D6E" w:rsidR="006532B6" w:rsidRDefault="006532B6">
          <w:r>
            <w:rPr>
              <w:b/>
              <w:bCs/>
              <w:noProof/>
            </w:rPr>
            <w:fldChar w:fldCharType="end"/>
          </w:r>
        </w:p>
      </w:sdtContent>
    </w:sdt>
    <w:p w14:paraId="47CF8990" w14:textId="77777777" w:rsidR="00FE3CA1" w:rsidRPr="00FE3CA1" w:rsidRDefault="00FE3CA1" w:rsidP="00FE3CA1">
      <w:pPr>
        <w:spacing w:line="720" w:lineRule="auto"/>
        <w:jc w:val="center"/>
        <w:rPr>
          <w:rFonts w:cs="Times New Roman"/>
          <w:sz w:val="24"/>
          <w:szCs w:val="24"/>
        </w:rPr>
      </w:pPr>
    </w:p>
    <w:p w14:paraId="65101397" w14:textId="576BB070" w:rsidR="00CE0646" w:rsidRDefault="00FE3CA1" w:rsidP="00FE3CA1">
      <w:r w:rsidRPr="006F130F">
        <w:rPr>
          <w:rFonts w:cs="Times New Roman"/>
        </w:rPr>
        <w:br w:type="page"/>
      </w:r>
    </w:p>
    <w:p w14:paraId="224DBE80" w14:textId="77777777" w:rsidR="00CE0646" w:rsidRPr="00FE3CA1" w:rsidRDefault="00000000" w:rsidP="006532B6">
      <w:pPr>
        <w:spacing w:line="360" w:lineRule="auto"/>
        <w:jc w:val="center"/>
        <w:rPr>
          <w:sz w:val="28"/>
          <w:szCs w:val="28"/>
        </w:rPr>
      </w:pPr>
      <w:r w:rsidRPr="00FE3CA1">
        <w:rPr>
          <w:b/>
          <w:sz w:val="32"/>
          <w:szCs w:val="28"/>
        </w:rPr>
        <w:lastRenderedPageBreak/>
        <w:t>The Role of Sports Support Worker in Health and Social Care</w:t>
      </w:r>
    </w:p>
    <w:p w14:paraId="47AE114B" w14:textId="77777777" w:rsidR="00CE0646" w:rsidRDefault="00000000" w:rsidP="006532B6">
      <w:pPr>
        <w:pStyle w:val="Heading1"/>
        <w:spacing w:line="360" w:lineRule="auto"/>
      </w:pPr>
      <w:bookmarkStart w:id="0" w:name="_Toc234365238"/>
      <w:r>
        <w:t>1.1 Introduction</w:t>
      </w:r>
      <w:bookmarkEnd w:id="0"/>
    </w:p>
    <w:p w14:paraId="7BDA4A4D" w14:textId="06D35254" w:rsidR="00CE0646" w:rsidRDefault="00FE3CA1" w:rsidP="006532B6">
      <w:pPr>
        <w:spacing w:line="360" w:lineRule="auto"/>
      </w:pPr>
      <w:r w:rsidRPr="00FE3CA1">
        <w:t xml:space="preserve">There exist </w:t>
      </w:r>
      <w:r w:rsidR="006532B6" w:rsidRPr="00FE3CA1">
        <w:t>a few</w:t>
      </w:r>
      <w:r w:rsidRPr="00FE3CA1">
        <w:t xml:space="preserve"> different professionals in the health and social care sectors of the UK that have distinct roles in delivering comprehensive care to their service users (Nursing and Midwifery Council, 2024). One of these professionals is the Sports Support Worker that requires distinct set of skills and professional competences (National Institute for Health and Care Excellence, 2024). The purpose of this report is to analyze the specific professional role </w:t>
      </w:r>
      <w:r w:rsidRPr="00FE3CA1">
        <w:t>to</w:t>
      </w:r>
      <w:r w:rsidRPr="00FE3CA1">
        <w:t xml:space="preserve"> identify three key skills needed for the profession along with the ways in which they can be developed. This report will be useful for the professionals to become competent in the profession </w:t>
      </w:r>
      <w:r w:rsidRPr="00FE3CA1">
        <w:t>and</w:t>
      </w:r>
      <w:r w:rsidRPr="00FE3CA1">
        <w:t xml:space="preserve"> benefit their service users, family and others (Health Education England, 2024).</w:t>
      </w:r>
    </w:p>
    <w:p w14:paraId="006166EF" w14:textId="77777777" w:rsidR="00CE0646" w:rsidRDefault="00000000" w:rsidP="006532B6">
      <w:pPr>
        <w:pStyle w:val="Heading1"/>
        <w:spacing w:line="360" w:lineRule="auto"/>
      </w:pPr>
      <w:bookmarkStart w:id="1" w:name="_Toc234365239"/>
      <w:r>
        <w:t>1.2 Description of, and background to, Sports Support Worker in healthcare</w:t>
      </w:r>
      <w:bookmarkEnd w:id="1"/>
    </w:p>
    <w:p w14:paraId="33B69526" w14:textId="63A314DD" w:rsidR="00CE0646" w:rsidRDefault="00FE3CA1" w:rsidP="006532B6">
      <w:pPr>
        <w:spacing w:line="360" w:lineRule="auto"/>
      </w:pPr>
      <w:r w:rsidRPr="00FE3CA1">
        <w:t xml:space="preserve">The responsibility of the Sports Support Worker in health and social care implies that practitioners should provide certain services that will ensure the safety, efficiency and person centeredness of care provision (Royal College of Nursing, 2024). As a Sports Support Worker practitioner can perform certain activities including direct support, assessment and planning, engagement in activities as part of </w:t>
      </w:r>
      <w:r w:rsidRPr="00FE3CA1">
        <w:t>multi-disciplinary</w:t>
      </w:r>
      <w:r w:rsidRPr="00FE3CA1">
        <w:t xml:space="preserve"> team, documentation, communication with service users and their families and compliance with regulations and standards (British Medical Association, 2023). Certain qualifications and registration as well as some experience in the field of care provision are needed for the job (Health Education England, 2024). This job takes place in </w:t>
      </w:r>
      <w:r w:rsidRPr="00FE3CA1">
        <w:t>a</w:t>
      </w:r>
      <w:r w:rsidRPr="00FE3CA1">
        <w:t xml:space="preserve"> complicated environment when practitioners should </w:t>
      </w:r>
      <w:r w:rsidRPr="00FE3CA1">
        <w:t>consider</w:t>
      </w:r>
      <w:r w:rsidRPr="00FE3CA1">
        <w:t xml:space="preserve"> </w:t>
      </w:r>
      <w:r w:rsidRPr="00FE3CA1">
        <w:t>a few</w:t>
      </w:r>
      <w:r w:rsidRPr="00FE3CA1">
        <w:t xml:space="preserve"> factors </w:t>
      </w:r>
      <w:r w:rsidRPr="00FE3CA1">
        <w:t>regarding</w:t>
      </w:r>
      <w:r w:rsidRPr="00FE3CA1">
        <w:t xml:space="preserve"> the needs of service users. Thus, the job of the Sports Support Worker involves unique qualities.</w:t>
      </w:r>
    </w:p>
    <w:p w14:paraId="7E84A0BA" w14:textId="77777777" w:rsidR="00CE0646" w:rsidRDefault="00000000" w:rsidP="006532B6">
      <w:pPr>
        <w:pStyle w:val="Heading1"/>
        <w:spacing w:line="360" w:lineRule="auto"/>
      </w:pPr>
      <w:bookmarkStart w:id="2" w:name="_Toc234365240"/>
      <w:r>
        <w:t>1.3 Evaluation of the skills needed for Sports Support Worker in healthcare</w:t>
      </w:r>
      <w:bookmarkEnd w:id="2"/>
    </w:p>
    <w:p w14:paraId="64DF872F" w14:textId="16AE5F66" w:rsidR="00FE3CA1" w:rsidRDefault="00FE3CA1" w:rsidP="006532B6">
      <w:pPr>
        <w:spacing w:line="360" w:lineRule="auto"/>
      </w:pPr>
      <w:r w:rsidRPr="00FE3CA1">
        <w:t xml:space="preserve">The competencies that have been pointed out to be of essence in the quest to become successful in one's job as a Sports Support Worker are three main competencies (Nursing and Midwifery Council, 2024). </w:t>
      </w:r>
      <w:r w:rsidR="006532B6" w:rsidRPr="00FE3CA1">
        <w:t>Competence</w:t>
      </w:r>
      <w:r w:rsidRPr="00FE3CA1">
        <w:t xml:space="preserve"> </w:t>
      </w:r>
      <w:r w:rsidR="006532B6" w:rsidRPr="00FE3CA1">
        <w:t>complements</w:t>
      </w:r>
      <w:r w:rsidRPr="00FE3CA1">
        <w:t xml:space="preserve"> each other and </w:t>
      </w:r>
      <w:proofErr w:type="gramStart"/>
      <w:r w:rsidRPr="00FE3CA1">
        <w:t>help</w:t>
      </w:r>
      <w:proofErr w:type="gramEnd"/>
      <w:r w:rsidRPr="00FE3CA1">
        <w:t xml:space="preserve"> the practitioners to render quality service </w:t>
      </w:r>
      <w:r w:rsidR="006532B6" w:rsidRPr="00FE3CA1">
        <w:t>and</w:t>
      </w:r>
      <w:r w:rsidRPr="00FE3CA1">
        <w:t xml:space="preserve"> to overcome the challenges of the job (Health Education England, 2024).</w:t>
      </w:r>
    </w:p>
    <w:p w14:paraId="0A9FA744" w14:textId="45CF88AF" w:rsidR="00FE3CA1" w:rsidRDefault="00FE3CA1" w:rsidP="006532B6">
      <w:pPr>
        <w:spacing w:line="360" w:lineRule="auto"/>
      </w:pPr>
      <w:r w:rsidRPr="00FE3CA1">
        <w:lastRenderedPageBreak/>
        <w:t>The first key competency is being able to communicate, relate to other individuals, and establish relationships. The ability comprises the following: effective communication through speaking and writing; effective listening to various requests; adapting one's communication approach based on the audience and circumstances; reacting empathically in emotionally charged situations; and conveying complex messages (Royal College of Nursing, 2024). It is important to be able to communicate effectively and establish relationships since practitioners interact with service users and their relatives directly (National Institute for Health and Care Excellence, 2024). In this way, it becomes possible to make sure that the service user is appreciated, exchange information between practitioners, and find solutions and build trust (British Medical Association, 2023). Failure to achieve this may result in dissatisfaction with the services offered by practitioners, anxiety of the relatives, misunderstandings leading to mistakes, and inefficient teamwork (Equality and Human Rights Commission, 2023).</w:t>
      </w:r>
    </w:p>
    <w:p w14:paraId="02E09314" w14:textId="778FF942" w:rsidR="00FE3CA1" w:rsidRDefault="006532B6" w:rsidP="006532B6">
      <w:pPr>
        <w:spacing w:line="360" w:lineRule="auto"/>
      </w:pPr>
      <w:r w:rsidRPr="006532B6">
        <w:t>Secondly, an important skill which is vital requires proper organizational skills, proper time management, and proper system management (Health Education England, 2024). The professionals must have the ability to be able to handle multiple priorities such as provision of direct care services, documentation, coordination, assessment, and handling of emergencies. Proper time management will enable one to be able to prioritize and attend to urgent matters immediately. Proper organizational skills will facilitate proper functioning, prevent loss of information, good documentation, and will promote effective teamwork (National Institute for Health and Care Excellence, 2024). Poor organization and poor time management result in poor quality of service provided, stress among the staff, and dissatisfaction among the professionals (Royal College of Nursing, 2024).</w:t>
      </w:r>
    </w:p>
    <w:p w14:paraId="41170A90" w14:textId="52D333FA" w:rsidR="00CE0646" w:rsidRDefault="006532B6" w:rsidP="006532B6">
      <w:pPr>
        <w:spacing w:line="360" w:lineRule="auto"/>
      </w:pPr>
      <w:r w:rsidRPr="006532B6">
        <w:t xml:space="preserve">The third key skill includes professional accountability, safeguarding abilities, and duty of care (General Medical Council, 2024). Practitioners need to establish professional boundaries, maintain confidentiality, be able to identify and address abuse or neglect, understand the rights and vulnerabilities of vulnerable adults, conduct documentation, and operate within the boundaries of law and ethics. The skill is highly important </w:t>
      </w:r>
      <w:r w:rsidRPr="006532B6">
        <w:t>because</w:t>
      </w:r>
      <w:r w:rsidRPr="006532B6">
        <w:t xml:space="preserve"> practitioners interact with vulnerable individuals in need of protection (British Medical Association, 2023). Inability of a practitioner to perform at a proper level results in an increased harm risk for vulnerable service users, organizational failures and damage to reputation, as well as poor professional performance (Nursing and Midwifery Council, 2024).</w:t>
      </w:r>
    </w:p>
    <w:p w14:paraId="2BFD0E0E" w14:textId="77777777" w:rsidR="00CE0646" w:rsidRDefault="00000000" w:rsidP="006532B6">
      <w:pPr>
        <w:pStyle w:val="Heading1"/>
        <w:spacing w:line="360" w:lineRule="auto"/>
      </w:pPr>
      <w:bookmarkStart w:id="3" w:name="_Toc234365241"/>
      <w:r>
        <w:lastRenderedPageBreak/>
        <w:t>1.4 Strategies to improve the skills for Sports Support Worker in healthcare</w:t>
      </w:r>
      <w:bookmarkEnd w:id="3"/>
    </w:p>
    <w:p w14:paraId="342326AF" w14:textId="590F18EA" w:rsidR="00FE3CA1" w:rsidRDefault="006532B6" w:rsidP="006532B6">
      <w:pPr>
        <w:spacing w:line="360" w:lineRule="auto"/>
      </w:pPr>
      <w:r w:rsidRPr="006532B6">
        <w:t xml:space="preserve">Developing skills requires the use of systematic approaches to improving them, based on available evidence and addressing </w:t>
      </w:r>
      <w:r w:rsidRPr="006532B6">
        <w:t>skill</w:t>
      </w:r>
      <w:r w:rsidRPr="006532B6">
        <w:t xml:space="preserve"> areas (National Institute for Health and Care Excellence, 2024). Developing interpersonal and communication skills may be achieved with participation in professional communication training and customer service training developed specifically for health and social care sector (Health Education England, 2024). Training should cover such aspects as communicating with vulnerable people, identification of distress, empathic response, managing difficult communications and interprofessional communication (Royal College of Nursing, 2024). Reflective practice is one of the best ways to reflect on communication situations, analyze good practices and come up with new approaches in the process (Nursing and Midwifery Council, 2024). Another helpful resource for discussing difficult interactions and receiving </w:t>
      </w:r>
      <w:r w:rsidRPr="006532B6">
        <w:t>feedback</w:t>
      </w:r>
      <w:r w:rsidRPr="006532B6">
        <w:t xml:space="preserve"> is mentorship (British Medical Association, 2023). Understanding the needs of service users obtained from literature sources, discussions with care teams and education increases effectiveness of communication (Equality and Human Rights Commission, 2023).</w:t>
      </w:r>
    </w:p>
    <w:p w14:paraId="6B4A38B6" w14:textId="2B00E220" w:rsidR="00FE3CA1" w:rsidRDefault="006532B6" w:rsidP="006532B6">
      <w:pPr>
        <w:spacing w:line="360" w:lineRule="auto"/>
      </w:pPr>
      <w:r w:rsidRPr="006532B6">
        <w:t>To be able to improve one’s organizational skills and manage one’s time effectively, one should apply certain methods, including task management systems, methods of prioritizing between urgent tasks and important tasks, time blocking, and assessment of how well the system works (Health Education England, 2024). Professional development in time management skills allows for learning of prioritization, load balancing, and reduction of stress (National Institute for Health and Care Excellence, 2024). Work systems discussion and identification of bottlenecks and problem solving can lead to improvement of the system (Nursing and Midwifery Council, 2024). In case there are barriers within the system that prevent task accomplishment, then organizational help is needed (Royal College of Nursing, 2024).</w:t>
      </w:r>
    </w:p>
    <w:p w14:paraId="2610FD76" w14:textId="56E22537" w:rsidR="00CE0646" w:rsidRDefault="006532B6" w:rsidP="006532B6">
      <w:pPr>
        <w:spacing w:line="360" w:lineRule="auto"/>
      </w:pPr>
      <w:r w:rsidRPr="006532B6">
        <w:t xml:space="preserve">For proper acquisition of knowledge and skills relating to safeguarding and professional accountability, practitioners need to be trained on all issues pertaining to data protection, safeguarding, abuse awareness, reporting, rights of vulnerable adults, and professional conduct codes (General Medical Council, 2024). Training conducted once or twice a year will enable practitioners to keep </w:t>
      </w:r>
      <w:r w:rsidRPr="006532B6">
        <w:t>up to date</w:t>
      </w:r>
      <w:r w:rsidRPr="006532B6">
        <w:t xml:space="preserve"> (British Medical Association, 2023). Organizations need to have proper systems of confidentiality for keeping the information of their service users, access policy, and audit (Health Education England, 2024). This will be the proof of their commitment to ethics </w:t>
      </w:r>
      <w:r w:rsidRPr="006532B6">
        <w:lastRenderedPageBreak/>
        <w:t>in writing. Issues regarding safeguarding can be discussed during the supervision session (Equality and Human Rights Commission, 2023).</w:t>
      </w:r>
    </w:p>
    <w:p w14:paraId="74D8718E" w14:textId="77777777" w:rsidR="00CE0646" w:rsidRDefault="00000000" w:rsidP="006532B6">
      <w:pPr>
        <w:pStyle w:val="Heading1"/>
        <w:spacing w:line="360" w:lineRule="auto"/>
      </w:pPr>
      <w:bookmarkStart w:id="4" w:name="_Toc234365242"/>
      <w:r>
        <w:t>1.5 Conclusion</w:t>
      </w:r>
      <w:bookmarkEnd w:id="4"/>
    </w:p>
    <w:p w14:paraId="2E893EB0" w14:textId="67B42CD7" w:rsidR="00CE0646" w:rsidRDefault="006532B6" w:rsidP="006532B6">
      <w:pPr>
        <w:spacing w:line="360" w:lineRule="auto"/>
      </w:pPr>
      <w:r w:rsidRPr="006532B6">
        <w:t>The ability to perform effectively in the role of Sport Support Worker relies on acquiring three main skills that complement each other; communication and interpersonal skills, organization and time management skills, and protection and professional responsibility skills. Effective communication makes sure that the service users feel respected</w:t>
      </w:r>
      <w:r>
        <w:t>.</w:t>
      </w:r>
    </w:p>
    <w:p w14:paraId="64D33BBA" w14:textId="77777777" w:rsidR="00CE0646" w:rsidRDefault="00000000" w:rsidP="006532B6">
      <w:pPr>
        <w:pStyle w:val="Heading1"/>
        <w:spacing w:line="360" w:lineRule="auto"/>
      </w:pPr>
      <w:bookmarkStart w:id="5" w:name="_Toc234365243"/>
      <w:r>
        <w:t>1.6 Reference List</w:t>
      </w:r>
      <w:bookmarkEnd w:id="5"/>
    </w:p>
    <w:p w14:paraId="16A747BB" w14:textId="77777777" w:rsidR="00CE0646" w:rsidRDefault="00000000" w:rsidP="006532B6">
      <w:pPr>
        <w:spacing w:line="360" w:lineRule="auto"/>
      </w:pPr>
      <w:r>
        <w:t>British Medical Association (2023) Healthcare professionals and wellbeing support. London: BMA.</w:t>
      </w:r>
    </w:p>
    <w:p w14:paraId="2A779FC3" w14:textId="77777777" w:rsidR="00CE0646" w:rsidRDefault="00000000" w:rsidP="006532B6">
      <w:pPr>
        <w:spacing w:line="360" w:lineRule="auto"/>
      </w:pPr>
      <w:r>
        <w:t>Equality and Human Rights Commission (2023) Safeguarding and professional standards. London: EHRC.</w:t>
      </w:r>
    </w:p>
    <w:p w14:paraId="4A38B29D" w14:textId="77777777" w:rsidR="00CE0646" w:rsidRDefault="00000000" w:rsidP="006532B6">
      <w:pPr>
        <w:spacing w:line="360" w:lineRule="auto"/>
      </w:pPr>
      <w:r>
        <w:t>General Medical Council (2024) Professional practice and accountability standards. London: GMC.</w:t>
      </w:r>
    </w:p>
    <w:p w14:paraId="7C290267" w14:textId="77777777" w:rsidR="00CE0646" w:rsidRDefault="00000000" w:rsidP="006532B6">
      <w:pPr>
        <w:spacing w:line="360" w:lineRule="auto"/>
      </w:pPr>
      <w:r>
        <w:t>Health Education England (2024) Professional development in health and social care. London: HEE.</w:t>
      </w:r>
    </w:p>
    <w:p w14:paraId="4C4E33A9" w14:textId="77777777" w:rsidR="00CE0646" w:rsidRDefault="00000000" w:rsidP="006532B6">
      <w:pPr>
        <w:spacing w:line="360" w:lineRule="auto"/>
      </w:pPr>
      <w:r>
        <w:t>National Institute for Health and Care Excellence (2024) Clinical and care practice guidelines. London: NICE.</w:t>
      </w:r>
    </w:p>
    <w:p w14:paraId="6F20B92D" w14:textId="77777777" w:rsidR="00CE0646" w:rsidRDefault="00000000" w:rsidP="006532B6">
      <w:pPr>
        <w:spacing w:line="360" w:lineRule="auto"/>
      </w:pPr>
      <w:r>
        <w:t>Nursing and Midwifery Council (2024) Standards of professional conduct and practice. London: NMC.</w:t>
      </w:r>
    </w:p>
    <w:p w14:paraId="556CEAEF" w14:textId="77777777" w:rsidR="00CE0646" w:rsidRDefault="00000000" w:rsidP="006532B6">
      <w:pPr>
        <w:spacing w:line="360" w:lineRule="auto"/>
      </w:pPr>
      <w:r>
        <w:t>Royal College of Nursing (2024) Nursing practice and professional development standards. London: RCN.</w:t>
      </w:r>
    </w:p>
    <w:sectPr w:rsidR="00CE0646"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9E8BB2" w14:textId="77777777" w:rsidR="006F27CE" w:rsidRDefault="006F27CE" w:rsidP="006532B6">
      <w:pPr>
        <w:spacing w:after="0" w:line="240" w:lineRule="auto"/>
      </w:pPr>
      <w:r>
        <w:separator/>
      </w:r>
    </w:p>
  </w:endnote>
  <w:endnote w:type="continuationSeparator" w:id="0">
    <w:p w14:paraId="0B0801C6" w14:textId="77777777" w:rsidR="006F27CE" w:rsidRDefault="006F27CE" w:rsidP="006532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3A569F" w14:textId="77777777" w:rsidR="006F27CE" w:rsidRDefault="006F27CE" w:rsidP="006532B6">
      <w:pPr>
        <w:spacing w:after="0" w:line="240" w:lineRule="auto"/>
      </w:pPr>
      <w:r>
        <w:separator/>
      </w:r>
    </w:p>
  </w:footnote>
  <w:footnote w:type="continuationSeparator" w:id="0">
    <w:p w14:paraId="11C680BE" w14:textId="77777777" w:rsidR="006F27CE" w:rsidRDefault="006F27CE" w:rsidP="006532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36623454">
    <w:abstractNumId w:val="8"/>
  </w:num>
  <w:num w:numId="2" w16cid:durableId="203520926">
    <w:abstractNumId w:val="6"/>
  </w:num>
  <w:num w:numId="3" w16cid:durableId="554318243">
    <w:abstractNumId w:val="5"/>
  </w:num>
  <w:num w:numId="4" w16cid:durableId="1214194178">
    <w:abstractNumId w:val="4"/>
  </w:num>
  <w:num w:numId="5" w16cid:durableId="338118061">
    <w:abstractNumId w:val="7"/>
  </w:num>
  <w:num w:numId="6" w16cid:durableId="1721633168">
    <w:abstractNumId w:val="3"/>
  </w:num>
  <w:num w:numId="7" w16cid:durableId="1292901325">
    <w:abstractNumId w:val="2"/>
  </w:num>
  <w:num w:numId="8" w16cid:durableId="1138183660">
    <w:abstractNumId w:val="1"/>
  </w:num>
  <w:num w:numId="9" w16cid:durableId="2009139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41761B"/>
    <w:rsid w:val="006532B6"/>
    <w:rsid w:val="006564D3"/>
    <w:rsid w:val="006F27CE"/>
    <w:rsid w:val="00AA1D8D"/>
    <w:rsid w:val="00B47730"/>
    <w:rsid w:val="00CB0664"/>
    <w:rsid w:val="00CE0646"/>
    <w:rsid w:val="00FC693F"/>
    <w:rsid w:val="00FE3CA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A242061"/>
  <w14:defaultImageDpi w14:val="300"/>
  <w15:docId w15:val="{BCE4D806-99CC-4824-A292-8E928FB93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3CA1"/>
    <w:pPr>
      <w:jc w:val="both"/>
    </w:pPr>
    <w:rPr>
      <w:rFonts w:ascii="Times New Roman" w:hAnsi="Times New Roman"/>
      <w:color w:val="000000" w:themeColor="text1"/>
    </w:rPr>
  </w:style>
  <w:style w:type="paragraph" w:styleId="Heading1">
    <w:name w:val="heading 1"/>
    <w:basedOn w:val="Normal"/>
    <w:next w:val="Normal"/>
    <w:link w:val="Heading1Char"/>
    <w:uiPriority w:val="9"/>
    <w:qFormat/>
    <w:rsid w:val="00FE3CA1"/>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E3CA1"/>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6532B6"/>
    <w:pPr>
      <w:spacing w:after="100"/>
    </w:pPr>
  </w:style>
  <w:style w:type="character" w:styleId="Hyperlink">
    <w:name w:val="Hyperlink"/>
    <w:basedOn w:val="DefaultParagraphFont"/>
    <w:uiPriority w:val="99"/>
    <w:unhideWhenUsed/>
    <w:rsid w:val="006532B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1478</Words>
  <Characters>8425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9884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Abdul Rahman F22-0521</cp:lastModifiedBy>
  <cp:revision>2</cp:revision>
  <dcterms:created xsi:type="dcterms:W3CDTF">2026-07-08T08:07:00Z</dcterms:created>
  <dcterms:modified xsi:type="dcterms:W3CDTF">2026-07-08T08:07:00Z</dcterms:modified>
  <cp:category/>
</cp:coreProperties>
</file>