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4F93AB" w14:textId="77777777" w:rsidR="00052AD4" w:rsidRDefault="00052AD4" w:rsidP="00052AD4">
      <w:pPr>
        <w:spacing w:line="360" w:lineRule="auto"/>
        <w:jc w:val="center"/>
        <w:rPr>
          <w:rFonts w:ascii="Times New Roman" w:hAnsi="Times New Roman" w:cs="Times New Roman"/>
          <w:b/>
          <w:bCs/>
          <w:sz w:val="32"/>
          <w:szCs w:val="32"/>
        </w:rPr>
      </w:pPr>
    </w:p>
    <w:p w14:paraId="4DE0F052" w14:textId="77777777" w:rsidR="00052AD4" w:rsidRDefault="00052AD4" w:rsidP="00052AD4">
      <w:pPr>
        <w:spacing w:line="360" w:lineRule="auto"/>
        <w:jc w:val="center"/>
        <w:rPr>
          <w:rFonts w:ascii="Times New Roman" w:hAnsi="Times New Roman" w:cs="Times New Roman"/>
          <w:b/>
          <w:bCs/>
          <w:sz w:val="32"/>
          <w:szCs w:val="32"/>
        </w:rPr>
      </w:pPr>
    </w:p>
    <w:p w14:paraId="49705487" w14:textId="77777777" w:rsidR="00052AD4" w:rsidRDefault="00052AD4" w:rsidP="00052AD4">
      <w:pPr>
        <w:spacing w:line="360" w:lineRule="auto"/>
        <w:jc w:val="center"/>
        <w:rPr>
          <w:rFonts w:ascii="Times New Roman" w:hAnsi="Times New Roman" w:cs="Times New Roman"/>
          <w:b/>
          <w:bCs/>
          <w:sz w:val="32"/>
          <w:szCs w:val="32"/>
        </w:rPr>
      </w:pPr>
    </w:p>
    <w:p w14:paraId="27FB6841" w14:textId="77777777" w:rsidR="00052AD4" w:rsidRDefault="00052AD4" w:rsidP="00BA69C3">
      <w:pPr>
        <w:spacing w:line="360" w:lineRule="auto"/>
        <w:rPr>
          <w:rFonts w:ascii="Times New Roman" w:hAnsi="Times New Roman" w:cs="Times New Roman"/>
          <w:b/>
          <w:bCs/>
          <w:sz w:val="32"/>
          <w:szCs w:val="32"/>
        </w:rPr>
      </w:pPr>
    </w:p>
    <w:p w14:paraId="634329D2" w14:textId="64AA2C8C" w:rsidR="00052AD4" w:rsidRDefault="00BA69C3" w:rsidP="00BA69C3">
      <w:pPr>
        <w:spacing w:line="360" w:lineRule="auto"/>
        <w:jc w:val="cente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25D7ADE4" wp14:editId="4580450F">
            <wp:extent cx="5194300" cy="2972294"/>
            <wp:effectExtent l="0" t="0" r="0" b="0"/>
            <wp:docPr id="1219345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345160" name="Picture 1219345160"/>
                    <pic:cNvPicPr/>
                  </pic:nvPicPr>
                  <pic:blipFill>
                    <a:blip r:embed="rId8">
                      <a:extLst>
                        <a:ext uri="{28A0092B-C50C-407E-A947-70E740481C1C}">
                          <a14:useLocalDpi xmlns:a14="http://schemas.microsoft.com/office/drawing/2010/main" val="0"/>
                        </a:ext>
                      </a:extLst>
                    </a:blip>
                    <a:stretch>
                      <a:fillRect/>
                    </a:stretch>
                  </pic:blipFill>
                  <pic:spPr>
                    <a:xfrm>
                      <a:off x="0" y="0"/>
                      <a:ext cx="5200075" cy="2975599"/>
                    </a:xfrm>
                    <a:prstGeom prst="rect">
                      <a:avLst/>
                    </a:prstGeom>
                  </pic:spPr>
                </pic:pic>
              </a:graphicData>
            </a:graphic>
          </wp:inline>
        </w:drawing>
      </w:r>
    </w:p>
    <w:p w14:paraId="22A8551A" w14:textId="77777777" w:rsidR="00052AD4" w:rsidRPr="00052AD4" w:rsidRDefault="00052AD4" w:rsidP="00052AD4">
      <w:pPr>
        <w:spacing w:line="360" w:lineRule="auto"/>
        <w:jc w:val="center"/>
        <w:rPr>
          <w:rFonts w:ascii="Times New Roman" w:hAnsi="Times New Roman" w:cs="Times New Roman"/>
          <w:b/>
          <w:bCs/>
          <w:sz w:val="32"/>
          <w:szCs w:val="32"/>
        </w:rPr>
      </w:pPr>
      <w:r w:rsidRPr="00052AD4">
        <w:rPr>
          <w:rFonts w:ascii="Times New Roman" w:hAnsi="Times New Roman" w:cs="Times New Roman"/>
          <w:b/>
          <w:bCs/>
          <w:sz w:val="32"/>
          <w:szCs w:val="32"/>
        </w:rPr>
        <w:t>LCMB7023: Human Capital Management</w:t>
      </w:r>
    </w:p>
    <w:p w14:paraId="2ED58AEE" w14:textId="77777777" w:rsidR="00052AD4" w:rsidRPr="00052AD4" w:rsidRDefault="00052AD4" w:rsidP="00052AD4">
      <w:pPr>
        <w:spacing w:line="360" w:lineRule="auto"/>
        <w:jc w:val="center"/>
        <w:rPr>
          <w:rFonts w:ascii="Times New Roman" w:hAnsi="Times New Roman" w:cs="Times New Roman"/>
          <w:b/>
          <w:bCs/>
          <w:sz w:val="32"/>
          <w:szCs w:val="32"/>
        </w:rPr>
      </w:pPr>
      <w:r w:rsidRPr="00052AD4">
        <w:rPr>
          <w:rFonts w:ascii="Times New Roman" w:hAnsi="Times New Roman" w:cs="Times New Roman"/>
          <w:b/>
          <w:bCs/>
          <w:sz w:val="32"/>
          <w:szCs w:val="32"/>
        </w:rPr>
        <w:t>Assessment Component 1: Individual Report</w:t>
      </w:r>
    </w:p>
    <w:p w14:paraId="569C2656" w14:textId="77777777" w:rsidR="009839AE" w:rsidRDefault="00052AD4" w:rsidP="00052AD4">
      <w:pPr>
        <w:spacing w:line="360" w:lineRule="auto"/>
        <w:jc w:val="center"/>
        <w:rPr>
          <w:rFonts w:ascii="Times New Roman" w:hAnsi="Times New Roman" w:cs="Times New Roman"/>
          <w:b/>
          <w:bCs/>
          <w:sz w:val="32"/>
          <w:szCs w:val="32"/>
        </w:rPr>
      </w:pPr>
      <w:r w:rsidRPr="00052AD4">
        <w:rPr>
          <w:rFonts w:ascii="Times New Roman" w:hAnsi="Times New Roman" w:cs="Times New Roman"/>
          <w:b/>
          <w:bCs/>
          <w:sz w:val="32"/>
          <w:szCs w:val="32"/>
        </w:rPr>
        <w:t xml:space="preserve">Student </w:t>
      </w:r>
      <w:proofErr w:type="gramStart"/>
      <w:r w:rsidRPr="00052AD4">
        <w:rPr>
          <w:rFonts w:ascii="Times New Roman" w:hAnsi="Times New Roman" w:cs="Times New Roman"/>
          <w:b/>
          <w:bCs/>
          <w:sz w:val="32"/>
          <w:szCs w:val="32"/>
        </w:rPr>
        <w:t>name</w:t>
      </w:r>
      <w:r w:rsidR="009740D5">
        <w:rPr>
          <w:rFonts w:ascii="Times New Roman" w:hAnsi="Times New Roman" w:cs="Times New Roman"/>
          <w:b/>
          <w:bCs/>
          <w:sz w:val="32"/>
          <w:szCs w:val="32"/>
        </w:rPr>
        <w:t xml:space="preserve"> :</w:t>
      </w:r>
      <w:proofErr w:type="gramEnd"/>
      <w:r w:rsidR="009740D5">
        <w:rPr>
          <w:rFonts w:ascii="Times New Roman" w:hAnsi="Times New Roman" w:cs="Times New Roman"/>
          <w:b/>
          <w:bCs/>
          <w:sz w:val="32"/>
          <w:szCs w:val="32"/>
        </w:rPr>
        <w:t xml:space="preserve"> Aniket Rajvansh</w:t>
      </w:r>
      <w:r w:rsidRPr="00052AD4">
        <w:rPr>
          <w:rFonts w:ascii="Times New Roman" w:hAnsi="Times New Roman" w:cs="Times New Roman"/>
          <w:b/>
          <w:bCs/>
          <w:sz w:val="32"/>
          <w:szCs w:val="32"/>
        </w:rPr>
        <w:br/>
        <w:t xml:space="preserve">Student </w:t>
      </w:r>
      <w:proofErr w:type="gramStart"/>
      <w:r w:rsidRPr="00052AD4">
        <w:rPr>
          <w:rFonts w:ascii="Times New Roman" w:hAnsi="Times New Roman" w:cs="Times New Roman"/>
          <w:b/>
          <w:bCs/>
          <w:sz w:val="32"/>
          <w:szCs w:val="32"/>
        </w:rPr>
        <w:t>ID</w:t>
      </w:r>
      <w:r w:rsidR="009740D5">
        <w:rPr>
          <w:rFonts w:ascii="Times New Roman" w:hAnsi="Times New Roman" w:cs="Times New Roman"/>
          <w:b/>
          <w:bCs/>
          <w:sz w:val="32"/>
          <w:szCs w:val="32"/>
        </w:rPr>
        <w:t xml:space="preserve"> :</w:t>
      </w:r>
      <w:proofErr w:type="gramEnd"/>
      <w:r w:rsidR="009740D5">
        <w:rPr>
          <w:rFonts w:ascii="Times New Roman" w:hAnsi="Times New Roman" w:cs="Times New Roman"/>
          <w:b/>
          <w:bCs/>
          <w:sz w:val="32"/>
          <w:szCs w:val="32"/>
        </w:rPr>
        <w:t xml:space="preserve"> </w:t>
      </w:r>
      <w:r w:rsidR="006C6F36">
        <w:rPr>
          <w:rFonts w:ascii="Times New Roman" w:hAnsi="Times New Roman" w:cs="Times New Roman"/>
          <w:b/>
          <w:bCs/>
          <w:sz w:val="32"/>
          <w:szCs w:val="32"/>
        </w:rPr>
        <w:t>2505472</w:t>
      </w:r>
    </w:p>
    <w:p w14:paraId="2CF5CC03" w14:textId="53971758" w:rsidR="005D3615" w:rsidRDefault="009252AA" w:rsidP="00052AD4">
      <w:pPr>
        <w:spacing w:line="360" w:lineRule="auto"/>
        <w:jc w:val="center"/>
        <w:rPr>
          <w:rFonts w:ascii="Times New Roman" w:hAnsi="Times New Roman" w:cs="Times New Roman"/>
          <w:b/>
          <w:bCs/>
          <w:sz w:val="32"/>
          <w:szCs w:val="32"/>
        </w:rPr>
      </w:pPr>
      <w:proofErr w:type="gramStart"/>
      <w:r>
        <w:rPr>
          <w:rFonts w:ascii="Times New Roman" w:hAnsi="Times New Roman" w:cs="Times New Roman"/>
          <w:b/>
          <w:bCs/>
          <w:sz w:val="32"/>
          <w:szCs w:val="32"/>
        </w:rPr>
        <w:t xml:space="preserve">Lecture’s </w:t>
      </w:r>
      <w:r w:rsidR="00600D89">
        <w:rPr>
          <w:rFonts w:ascii="Times New Roman" w:hAnsi="Times New Roman" w:cs="Times New Roman"/>
          <w:b/>
          <w:bCs/>
          <w:sz w:val="32"/>
          <w:szCs w:val="32"/>
        </w:rPr>
        <w:t xml:space="preserve"> </w:t>
      </w:r>
      <w:r>
        <w:rPr>
          <w:rFonts w:ascii="Times New Roman" w:hAnsi="Times New Roman" w:cs="Times New Roman"/>
          <w:b/>
          <w:bCs/>
          <w:sz w:val="32"/>
          <w:szCs w:val="32"/>
        </w:rPr>
        <w:t>N</w:t>
      </w:r>
      <w:r w:rsidR="00600D89">
        <w:rPr>
          <w:rFonts w:ascii="Times New Roman" w:hAnsi="Times New Roman" w:cs="Times New Roman"/>
          <w:b/>
          <w:bCs/>
          <w:sz w:val="32"/>
          <w:szCs w:val="32"/>
        </w:rPr>
        <w:t>ame</w:t>
      </w:r>
      <w:proofErr w:type="gramEnd"/>
      <w:r w:rsidR="00600D89">
        <w:rPr>
          <w:rFonts w:ascii="Times New Roman" w:hAnsi="Times New Roman" w:cs="Times New Roman"/>
          <w:b/>
          <w:bCs/>
          <w:sz w:val="32"/>
          <w:szCs w:val="32"/>
        </w:rPr>
        <w:t xml:space="preserve"> :</w:t>
      </w:r>
      <w:r w:rsidR="006C616A">
        <w:rPr>
          <w:rFonts w:ascii="Times New Roman" w:hAnsi="Times New Roman" w:cs="Times New Roman"/>
          <w:b/>
          <w:bCs/>
          <w:sz w:val="32"/>
          <w:szCs w:val="32"/>
        </w:rPr>
        <w:t xml:space="preserve"> Ejike </w:t>
      </w:r>
      <w:proofErr w:type="spellStart"/>
      <w:r w:rsidR="006C616A">
        <w:rPr>
          <w:rFonts w:ascii="Times New Roman" w:hAnsi="Times New Roman" w:cs="Times New Roman"/>
          <w:b/>
          <w:bCs/>
          <w:sz w:val="32"/>
          <w:szCs w:val="32"/>
        </w:rPr>
        <w:t>Udeogu</w:t>
      </w:r>
      <w:proofErr w:type="spellEnd"/>
    </w:p>
    <w:p w14:paraId="513FA70C" w14:textId="1BF4F286" w:rsidR="00052AD4" w:rsidRDefault="005D3615" w:rsidP="00052AD4">
      <w:pPr>
        <w:spacing w:line="360" w:lineRule="auto"/>
        <w:jc w:val="center"/>
        <w:rPr>
          <w:rFonts w:ascii="Times New Roman" w:eastAsiaTheme="majorEastAsia" w:hAnsi="Times New Roman" w:cstheme="majorBidi"/>
          <w:color w:val="2F5496" w:themeColor="accent1" w:themeShade="BF"/>
          <w:sz w:val="32"/>
          <w:szCs w:val="32"/>
          <w:lang w:val="en-IN" w:eastAsia="en-GB"/>
        </w:rPr>
      </w:pPr>
      <w:r>
        <w:rPr>
          <w:rFonts w:ascii="Times New Roman" w:hAnsi="Times New Roman" w:cs="Times New Roman"/>
          <w:b/>
          <w:bCs/>
          <w:sz w:val="32"/>
          <w:szCs w:val="32"/>
        </w:rPr>
        <w:t xml:space="preserve">Word </w:t>
      </w:r>
      <w:proofErr w:type="gramStart"/>
      <w:r>
        <w:rPr>
          <w:rFonts w:ascii="Times New Roman" w:hAnsi="Times New Roman" w:cs="Times New Roman"/>
          <w:b/>
          <w:bCs/>
          <w:sz w:val="32"/>
          <w:szCs w:val="32"/>
        </w:rPr>
        <w:t>count</w:t>
      </w:r>
      <w:r w:rsidR="00187DF1">
        <w:rPr>
          <w:rFonts w:ascii="Times New Roman" w:hAnsi="Times New Roman" w:cs="Times New Roman"/>
          <w:b/>
          <w:bCs/>
          <w:sz w:val="32"/>
          <w:szCs w:val="32"/>
        </w:rPr>
        <w:t xml:space="preserve"> :</w:t>
      </w:r>
      <w:proofErr w:type="gramEnd"/>
      <w:r w:rsidR="00E04944">
        <w:rPr>
          <w:rFonts w:ascii="Times New Roman" w:hAnsi="Times New Roman" w:cs="Times New Roman"/>
          <w:b/>
          <w:bCs/>
          <w:sz w:val="32"/>
          <w:szCs w:val="32"/>
        </w:rPr>
        <w:t xml:space="preserve"> </w:t>
      </w:r>
      <w:r w:rsidR="00486F91">
        <w:rPr>
          <w:rFonts w:ascii="Times New Roman" w:hAnsi="Times New Roman" w:cs="Times New Roman"/>
          <w:b/>
          <w:bCs/>
          <w:sz w:val="32"/>
          <w:szCs w:val="32"/>
        </w:rPr>
        <w:t>2462</w:t>
      </w:r>
      <w:r w:rsidR="00052AD4">
        <w:rPr>
          <w:lang w:val="en-IN" w:eastAsia="en-GB"/>
        </w:rPr>
        <w:br w:type="page"/>
      </w:r>
    </w:p>
    <w:sdt>
      <w:sdtPr>
        <w:rPr>
          <w:rFonts w:asciiTheme="minorHAnsi" w:eastAsiaTheme="minorHAnsi" w:hAnsiTheme="minorHAnsi" w:cstheme="minorBidi"/>
          <w:color w:val="auto"/>
          <w:kern w:val="2"/>
          <w:sz w:val="24"/>
          <w:szCs w:val="24"/>
          <w:lang w:eastAsia="en-US" w:bidi="ar-SA"/>
          <w14:ligatures w14:val="standardContextual"/>
        </w:rPr>
        <w:id w:val="1772126150"/>
        <w:docPartObj>
          <w:docPartGallery w:val="Table of Contents"/>
          <w:docPartUnique/>
        </w:docPartObj>
      </w:sdtPr>
      <w:sdtEndPr>
        <w:rPr>
          <w:b/>
          <w:bCs/>
        </w:rPr>
      </w:sdtEndPr>
      <w:sdtContent>
        <w:p w14:paraId="7E3AD98A" w14:textId="6E909AFD" w:rsidR="00CD4FC7" w:rsidRPr="00AF3743" w:rsidRDefault="00CD4FC7" w:rsidP="00AF3743">
          <w:pPr>
            <w:pStyle w:val="TOCHeading"/>
            <w:spacing w:line="360" w:lineRule="auto"/>
            <w:jc w:val="both"/>
            <w:rPr>
              <w:rFonts w:ascii="Times New Roman" w:hAnsi="Times New Roman" w:cs="Times New Roman"/>
              <w:sz w:val="24"/>
              <w:szCs w:val="24"/>
            </w:rPr>
          </w:pPr>
          <w:r w:rsidRPr="00AF3743">
            <w:rPr>
              <w:rFonts w:ascii="Times New Roman" w:hAnsi="Times New Roman" w:cs="Times New Roman"/>
              <w:sz w:val="24"/>
              <w:szCs w:val="24"/>
            </w:rPr>
            <w:t>Table of Contents</w:t>
          </w:r>
        </w:p>
        <w:p w14:paraId="4F00176B" w14:textId="76816865" w:rsidR="00AF3743" w:rsidRPr="00AF3743" w:rsidRDefault="006C6F36" w:rsidP="00AF3743">
          <w:pPr>
            <w:pStyle w:val="TOC1"/>
            <w:tabs>
              <w:tab w:val="right" w:leader="dot" w:pos="9350"/>
            </w:tabs>
            <w:spacing w:line="360" w:lineRule="auto"/>
            <w:jc w:val="both"/>
            <w:rPr>
              <w:rFonts w:ascii="Times New Roman" w:eastAsiaTheme="minorEastAsia" w:hAnsi="Times New Roman" w:cs="Times New Roman"/>
              <w:noProof/>
              <w:lang w:val="en-IN" w:eastAsia="en-GB"/>
            </w:rPr>
          </w:pPr>
          <w:r>
            <w:rPr>
              <w:rFonts w:ascii="Times New Roman" w:hAnsi="Times New Roman" w:cs="Times New Roman"/>
            </w:rPr>
            <w:t>Q</w:t>
          </w:r>
          <w:r w:rsidR="00CD4FC7" w:rsidRPr="00AF3743">
            <w:rPr>
              <w:rFonts w:ascii="Times New Roman" w:hAnsi="Times New Roman" w:cs="Times New Roman"/>
            </w:rPr>
            <w:fldChar w:fldCharType="begin"/>
          </w:r>
          <w:r w:rsidR="00CD4FC7" w:rsidRPr="00AF3743">
            <w:rPr>
              <w:rFonts w:ascii="Times New Roman" w:hAnsi="Times New Roman" w:cs="Times New Roman"/>
            </w:rPr>
            <w:instrText xml:space="preserve"> TOC \o "1-3" \h \z \u </w:instrText>
          </w:r>
          <w:r w:rsidR="00CD4FC7" w:rsidRPr="00AF3743">
            <w:rPr>
              <w:rFonts w:ascii="Times New Roman" w:hAnsi="Times New Roman" w:cs="Times New Roman"/>
            </w:rPr>
            <w:fldChar w:fldCharType="separate"/>
          </w:r>
          <w:hyperlink w:anchor="_Toc211443938" w:history="1">
            <w:r w:rsidR="00AF3743" w:rsidRPr="00AF3743">
              <w:rPr>
                <w:rStyle w:val="Hyperlink"/>
                <w:rFonts w:ascii="Times New Roman" w:hAnsi="Times New Roman" w:cs="Times New Roman"/>
                <w:noProof/>
              </w:rPr>
              <w:t>1. Technological Advancements and Implications for HRM / IHRM</w:t>
            </w:r>
            <w:r w:rsidR="00AF3743" w:rsidRPr="00AF3743">
              <w:rPr>
                <w:rFonts w:ascii="Times New Roman" w:hAnsi="Times New Roman" w:cs="Times New Roman"/>
                <w:noProof/>
                <w:webHidden/>
              </w:rPr>
              <w:tab/>
            </w:r>
            <w:r w:rsidR="00AF3743" w:rsidRPr="00AF3743">
              <w:rPr>
                <w:rFonts w:ascii="Times New Roman" w:hAnsi="Times New Roman" w:cs="Times New Roman"/>
                <w:noProof/>
                <w:webHidden/>
              </w:rPr>
              <w:fldChar w:fldCharType="begin"/>
            </w:r>
            <w:r w:rsidR="00AF3743" w:rsidRPr="00AF3743">
              <w:rPr>
                <w:rFonts w:ascii="Times New Roman" w:hAnsi="Times New Roman" w:cs="Times New Roman"/>
                <w:noProof/>
                <w:webHidden/>
              </w:rPr>
              <w:instrText xml:space="preserve"> PAGEREF _Toc211443938 \h </w:instrText>
            </w:r>
            <w:r w:rsidR="00AF3743" w:rsidRPr="00AF3743">
              <w:rPr>
                <w:rFonts w:ascii="Times New Roman" w:hAnsi="Times New Roman" w:cs="Times New Roman"/>
                <w:noProof/>
                <w:webHidden/>
              </w:rPr>
            </w:r>
            <w:r w:rsidR="00AF3743" w:rsidRPr="00AF3743">
              <w:rPr>
                <w:rFonts w:ascii="Times New Roman" w:hAnsi="Times New Roman" w:cs="Times New Roman"/>
                <w:noProof/>
                <w:webHidden/>
              </w:rPr>
              <w:fldChar w:fldCharType="separate"/>
            </w:r>
            <w:r w:rsidR="00AF3743" w:rsidRPr="00AF3743">
              <w:rPr>
                <w:rFonts w:ascii="Times New Roman" w:hAnsi="Times New Roman" w:cs="Times New Roman"/>
                <w:noProof/>
                <w:webHidden/>
              </w:rPr>
              <w:t>3</w:t>
            </w:r>
            <w:r w:rsidR="00AF3743" w:rsidRPr="00AF3743">
              <w:rPr>
                <w:rFonts w:ascii="Times New Roman" w:hAnsi="Times New Roman" w:cs="Times New Roman"/>
                <w:noProof/>
                <w:webHidden/>
              </w:rPr>
              <w:fldChar w:fldCharType="end"/>
            </w:r>
          </w:hyperlink>
        </w:p>
        <w:p w14:paraId="518F32C5" w14:textId="182DD261" w:rsidR="00AF3743" w:rsidRPr="00AF3743" w:rsidRDefault="00AF3743"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39" w:history="1">
            <w:r w:rsidRPr="00AF3743">
              <w:rPr>
                <w:rStyle w:val="Hyperlink"/>
                <w:rFonts w:ascii="Times New Roman" w:hAnsi="Times New Roman" w:cs="Times New Roman"/>
                <w:noProof/>
              </w:rPr>
              <w:t>1.1 Overview of Technological Transformation in Labour Markets</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_Toc211443939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4</w:t>
            </w:r>
            <w:r w:rsidRPr="00AF3743">
              <w:rPr>
                <w:rFonts w:ascii="Times New Roman" w:hAnsi="Times New Roman" w:cs="Times New Roman"/>
                <w:noProof/>
                <w:webHidden/>
              </w:rPr>
              <w:fldChar w:fldCharType="end"/>
            </w:r>
          </w:hyperlink>
        </w:p>
        <w:p w14:paraId="7D9B93AB" w14:textId="29199E5A" w:rsidR="00AF3743" w:rsidRPr="00AF3743" w:rsidRDefault="00AF3743"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40" w:history="1">
            <w:r w:rsidRPr="00AF3743">
              <w:rPr>
                <w:rStyle w:val="Hyperlink"/>
                <w:rFonts w:ascii="Times New Roman" w:hAnsi="Times New Roman" w:cs="Times New Roman"/>
                <w:noProof/>
              </w:rPr>
              <w:t>1.2 Theoretical Foundation</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_Toc211443940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4</w:t>
            </w:r>
            <w:r w:rsidRPr="00AF3743">
              <w:rPr>
                <w:rFonts w:ascii="Times New Roman" w:hAnsi="Times New Roman" w:cs="Times New Roman"/>
                <w:noProof/>
                <w:webHidden/>
              </w:rPr>
              <w:fldChar w:fldCharType="end"/>
            </w:r>
          </w:hyperlink>
        </w:p>
        <w:p w14:paraId="547CFABC" w14:textId="74FE747B" w:rsidR="00AF3743" w:rsidRPr="00AF3743" w:rsidRDefault="00AF3743"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41" w:history="1">
            <w:r w:rsidRPr="00AF3743">
              <w:rPr>
                <w:rStyle w:val="Hyperlink"/>
                <w:rFonts w:ascii="Times New Roman" w:hAnsi="Times New Roman" w:cs="Times New Roman"/>
                <w:noProof/>
              </w:rPr>
              <w:t>1.3 Impacts on HR Functions</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_Toc211443941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4</w:t>
            </w:r>
            <w:r w:rsidRPr="00AF3743">
              <w:rPr>
                <w:rFonts w:ascii="Times New Roman" w:hAnsi="Times New Roman" w:cs="Times New Roman"/>
                <w:noProof/>
                <w:webHidden/>
              </w:rPr>
              <w:fldChar w:fldCharType="end"/>
            </w:r>
          </w:hyperlink>
        </w:p>
        <w:p w14:paraId="59ABE2A0" w14:textId="23081B88" w:rsidR="00AF3743" w:rsidRPr="00AF3743" w:rsidRDefault="00AF3743"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42" w:history="1">
            <w:r w:rsidRPr="00AF3743">
              <w:rPr>
                <w:rStyle w:val="Hyperlink"/>
                <w:rFonts w:ascii="Times New Roman" w:hAnsi="Times New Roman" w:cs="Times New Roman"/>
                <w:noProof/>
              </w:rPr>
              <w:t>1.4 Challenges and Opportunities for IHRM</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_Toc211443942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5</w:t>
            </w:r>
            <w:r w:rsidRPr="00AF3743">
              <w:rPr>
                <w:rFonts w:ascii="Times New Roman" w:hAnsi="Times New Roman" w:cs="Times New Roman"/>
                <w:noProof/>
                <w:webHidden/>
              </w:rPr>
              <w:fldChar w:fldCharType="end"/>
            </w:r>
          </w:hyperlink>
        </w:p>
        <w:p w14:paraId="3221F648" w14:textId="413EA01A" w:rsidR="00AF3743" w:rsidRPr="00AF3743" w:rsidRDefault="00AF3743"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43" w:history="1">
            <w:r w:rsidRPr="00AF3743">
              <w:rPr>
                <w:rStyle w:val="Hyperlink"/>
                <w:rFonts w:ascii="Times New Roman" w:hAnsi="Times New Roman" w:cs="Times New Roman"/>
                <w:noProof/>
              </w:rPr>
              <w:t>1.5 Critical Analysis of Adaptation Strategies</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_Toc211443943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6</w:t>
            </w:r>
            <w:r w:rsidRPr="00AF3743">
              <w:rPr>
                <w:rFonts w:ascii="Times New Roman" w:hAnsi="Times New Roman" w:cs="Times New Roman"/>
                <w:noProof/>
                <w:webHidden/>
              </w:rPr>
              <w:fldChar w:fldCharType="end"/>
            </w:r>
          </w:hyperlink>
        </w:p>
        <w:p w14:paraId="5BF2000C" w14:textId="5E081102" w:rsidR="00AF3743" w:rsidRPr="00AF3743" w:rsidRDefault="006C6F36" w:rsidP="00AF3743">
          <w:pPr>
            <w:pStyle w:val="TOC1"/>
            <w:tabs>
              <w:tab w:val="right" w:leader="dot" w:pos="9350"/>
            </w:tabs>
            <w:spacing w:line="360" w:lineRule="auto"/>
            <w:jc w:val="both"/>
            <w:rPr>
              <w:rFonts w:ascii="Times New Roman" w:eastAsiaTheme="minorEastAsia" w:hAnsi="Times New Roman" w:cs="Times New Roman"/>
              <w:noProof/>
              <w:lang w:val="en-IN" w:eastAsia="en-GB"/>
            </w:rPr>
          </w:pPr>
          <w:r>
            <w:t>Q</w:t>
          </w:r>
          <w:hyperlink w:anchor="_Toc211443944" w:history="1">
            <w:r w:rsidR="00AF3743" w:rsidRPr="00AF3743">
              <w:rPr>
                <w:rStyle w:val="Hyperlink"/>
                <w:rFonts w:ascii="Times New Roman" w:hAnsi="Times New Roman" w:cs="Times New Roman"/>
                <w:noProof/>
                <w:lang w:val="en-IN" w:eastAsia="en-GB"/>
              </w:rPr>
              <w:t>2. Demographic and Geopolitical Factors Affecting Employment Markets</w:t>
            </w:r>
            <w:r w:rsidR="00AF3743" w:rsidRPr="00AF3743">
              <w:rPr>
                <w:rFonts w:ascii="Times New Roman" w:hAnsi="Times New Roman" w:cs="Times New Roman"/>
                <w:noProof/>
                <w:webHidden/>
              </w:rPr>
              <w:tab/>
            </w:r>
            <w:r w:rsidR="00AF3743" w:rsidRPr="00AF3743">
              <w:rPr>
                <w:rFonts w:ascii="Times New Roman" w:hAnsi="Times New Roman" w:cs="Times New Roman"/>
                <w:noProof/>
                <w:webHidden/>
              </w:rPr>
              <w:fldChar w:fldCharType="begin"/>
            </w:r>
            <w:r w:rsidR="00AF3743" w:rsidRPr="00AF3743">
              <w:rPr>
                <w:rFonts w:ascii="Times New Roman" w:hAnsi="Times New Roman" w:cs="Times New Roman"/>
                <w:noProof/>
                <w:webHidden/>
              </w:rPr>
              <w:instrText xml:space="preserve"> PAGEREF _Toc211443944 \h </w:instrText>
            </w:r>
            <w:r w:rsidR="00AF3743" w:rsidRPr="00AF3743">
              <w:rPr>
                <w:rFonts w:ascii="Times New Roman" w:hAnsi="Times New Roman" w:cs="Times New Roman"/>
                <w:noProof/>
                <w:webHidden/>
              </w:rPr>
            </w:r>
            <w:r w:rsidR="00AF3743" w:rsidRPr="00AF3743">
              <w:rPr>
                <w:rFonts w:ascii="Times New Roman" w:hAnsi="Times New Roman" w:cs="Times New Roman"/>
                <w:noProof/>
                <w:webHidden/>
              </w:rPr>
              <w:fldChar w:fldCharType="separate"/>
            </w:r>
            <w:r w:rsidR="00AF3743" w:rsidRPr="00AF3743">
              <w:rPr>
                <w:rFonts w:ascii="Times New Roman" w:hAnsi="Times New Roman" w:cs="Times New Roman"/>
                <w:noProof/>
                <w:webHidden/>
              </w:rPr>
              <w:t>7</w:t>
            </w:r>
            <w:r w:rsidR="00AF3743" w:rsidRPr="00AF3743">
              <w:rPr>
                <w:rFonts w:ascii="Times New Roman" w:hAnsi="Times New Roman" w:cs="Times New Roman"/>
                <w:noProof/>
                <w:webHidden/>
              </w:rPr>
              <w:fldChar w:fldCharType="end"/>
            </w:r>
          </w:hyperlink>
        </w:p>
        <w:p w14:paraId="6DF8A8AB" w14:textId="16DC4A93" w:rsidR="00AF3743" w:rsidRPr="00AF3743" w:rsidRDefault="00AF3743"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45" w:history="1">
            <w:r w:rsidRPr="00AF3743">
              <w:rPr>
                <w:rStyle w:val="Hyperlink"/>
                <w:rFonts w:ascii="Times New Roman" w:hAnsi="Times New Roman" w:cs="Times New Roman"/>
                <w:noProof/>
              </w:rPr>
              <w:t>2.1 Demographic Shifts: Aging, Generational Change &amp; Migration</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_Toc211443945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7</w:t>
            </w:r>
            <w:r w:rsidRPr="00AF3743">
              <w:rPr>
                <w:rFonts w:ascii="Times New Roman" w:hAnsi="Times New Roman" w:cs="Times New Roman"/>
                <w:noProof/>
                <w:webHidden/>
              </w:rPr>
              <w:fldChar w:fldCharType="end"/>
            </w:r>
          </w:hyperlink>
        </w:p>
        <w:p w14:paraId="776B9FEE" w14:textId="73CDF970" w:rsidR="00AF3743" w:rsidRPr="00AF3743" w:rsidRDefault="00AF3743"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46" w:history="1">
            <w:r w:rsidRPr="00AF3743">
              <w:rPr>
                <w:rStyle w:val="Hyperlink"/>
                <w:rFonts w:ascii="Times New Roman" w:hAnsi="Times New Roman" w:cs="Times New Roman"/>
                <w:noProof/>
              </w:rPr>
              <w:t>2.2 Geopolitical Influences: Conflicts, Trade Shifts &amp; Mobility Barriers</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_Toc211443946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8</w:t>
            </w:r>
            <w:r w:rsidRPr="00AF3743">
              <w:rPr>
                <w:rFonts w:ascii="Times New Roman" w:hAnsi="Times New Roman" w:cs="Times New Roman"/>
                <w:noProof/>
                <w:webHidden/>
              </w:rPr>
              <w:fldChar w:fldCharType="end"/>
            </w:r>
          </w:hyperlink>
        </w:p>
        <w:p w14:paraId="76E35861" w14:textId="2155CA1D" w:rsidR="00AF3743" w:rsidRPr="00AF3743" w:rsidRDefault="00AF3743"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47" w:history="1">
            <w:r w:rsidRPr="00AF3743">
              <w:rPr>
                <w:rStyle w:val="Hyperlink"/>
                <w:rFonts w:ascii="Times New Roman" w:hAnsi="Times New Roman" w:cs="Times New Roman"/>
                <w:noProof/>
              </w:rPr>
              <w:t>2.3 Theoretical Grounding</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_Toc211443947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8</w:t>
            </w:r>
            <w:r w:rsidRPr="00AF3743">
              <w:rPr>
                <w:rFonts w:ascii="Times New Roman" w:hAnsi="Times New Roman" w:cs="Times New Roman"/>
                <w:noProof/>
                <w:webHidden/>
              </w:rPr>
              <w:fldChar w:fldCharType="end"/>
            </w:r>
          </w:hyperlink>
        </w:p>
        <w:p w14:paraId="0AC2893D" w14:textId="487F6A5E" w:rsidR="00AF3743" w:rsidRPr="00AF3743" w:rsidRDefault="006C6F36" w:rsidP="001B3FA2">
          <w:pPr>
            <w:pStyle w:val="TOC2"/>
            <w:tabs>
              <w:tab w:val="right" w:leader="dot" w:pos="9350"/>
            </w:tabs>
            <w:spacing w:line="360" w:lineRule="auto"/>
            <w:ind w:left="0"/>
            <w:jc w:val="both"/>
            <w:rPr>
              <w:rFonts w:ascii="Times New Roman" w:eastAsiaTheme="minorEastAsia" w:hAnsi="Times New Roman" w:cs="Times New Roman"/>
              <w:noProof/>
              <w:lang w:val="en-IN" w:eastAsia="en-GB"/>
            </w:rPr>
          </w:pPr>
          <w:r>
            <w:t>Q</w:t>
          </w:r>
          <w:hyperlink w:anchor="_Toc211443948" w:history="1">
            <w:r w:rsidR="004C5B0A">
              <w:rPr>
                <w:rStyle w:val="Hyperlink"/>
                <w:rFonts w:ascii="Times New Roman" w:hAnsi="Times New Roman" w:cs="Times New Roman"/>
                <w:noProof/>
              </w:rPr>
              <w:t>3.</w:t>
            </w:r>
            <w:r w:rsidR="00AF3743" w:rsidRPr="00AF3743">
              <w:rPr>
                <w:rStyle w:val="Hyperlink"/>
                <w:rFonts w:ascii="Times New Roman" w:hAnsi="Times New Roman" w:cs="Times New Roman"/>
                <w:noProof/>
              </w:rPr>
              <w:t xml:space="preserve"> Implications for HRM / IHRM</w:t>
            </w:r>
            <w:r w:rsidR="00AF3743" w:rsidRPr="00AF3743">
              <w:rPr>
                <w:rFonts w:ascii="Times New Roman" w:hAnsi="Times New Roman" w:cs="Times New Roman"/>
                <w:noProof/>
                <w:webHidden/>
              </w:rPr>
              <w:tab/>
            </w:r>
            <w:r w:rsidR="00AF3743" w:rsidRPr="00AF3743">
              <w:rPr>
                <w:rFonts w:ascii="Times New Roman" w:hAnsi="Times New Roman" w:cs="Times New Roman"/>
                <w:noProof/>
                <w:webHidden/>
              </w:rPr>
              <w:fldChar w:fldCharType="begin"/>
            </w:r>
            <w:r w:rsidR="00AF3743" w:rsidRPr="00AF3743">
              <w:rPr>
                <w:rFonts w:ascii="Times New Roman" w:hAnsi="Times New Roman" w:cs="Times New Roman"/>
                <w:noProof/>
                <w:webHidden/>
              </w:rPr>
              <w:instrText xml:space="preserve"> PAGEREF _Toc211443948 \h </w:instrText>
            </w:r>
            <w:r w:rsidR="00AF3743" w:rsidRPr="00AF3743">
              <w:rPr>
                <w:rFonts w:ascii="Times New Roman" w:hAnsi="Times New Roman" w:cs="Times New Roman"/>
                <w:noProof/>
                <w:webHidden/>
              </w:rPr>
            </w:r>
            <w:r w:rsidR="00AF3743" w:rsidRPr="00AF3743">
              <w:rPr>
                <w:rFonts w:ascii="Times New Roman" w:hAnsi="Times New Roman" w:cs="Times New Roman"/>
                <w:noProof/>
                <w:webHidden/>
              </w:rPr>
              <w:fldChar w:fldCharType="separate"/>
            </w:r>
            <w:r w:rsidR="00AF3743" w:rsidRPr="00AF3743">
              <w:rPr>
                <w:rFonts w:ascii="Times New Roman" w:hAnsi="Times New Roman" w:cs="Times New Roman"/>
                <w:noProof/>
                <w:webHidden/>
              </w:rPr>
              <w:t>9</w:t>
            </w:r>
            <w:r w:rsidR="00AF3743" w:rsidRPr="00AF3743">
              <w:rPr>
                <w:rFonts w:ascii="Times New Roman" w:hAnsi="Times New Roman" w:cs="Times New Roman"/>
                <w:noProof/>
                <w:webHidden/>
              </w:rPr>
              <w:fldChar w:fldCharType="end"/>
            </w:r>
          </w:hyperlink>
        </w:p>
        <w:p w14:paraId="64179059" w14:textId="6FD7EDC9" w:rsidR="00AF3743" w:rsidRPr="00AF3743" w:rsidRDefault="00AF3743"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49" w:history="1">
            <w:r w:rsidRPr="00AF3743">
              <w:rPr>
                <w:rStyle w:val="Hyperlink"/>
                <w:rFonts w:ascii="Times New Roman" w:hAnsi="Times New Roman" w:cs="Times New Roman"/>
                <w:noProof/>
              </w:rPr>
              <w:t xml:space="preserve"> </w:t>
            </w:r>
            <w:r w:rsidR="00AE4137">
              <w:rPr>
                <w:rStyle w:val="Hyperlink"/>
                <w:rFonts w:ascii="Times New Roman" w:hAnsi="Times New Roman" w:cs="Times New Roman"/>
                <w:noProof/>
              </w:rPr>
              <w:t>3.1</w:t>
            </w:r>
            <w:r w:rsidRPr="00AF3743">
              <w:rPr>
                <w:rStyle w:val="Hyperlink"/>
                <w:rFonts w:ascii="Times New Roman" w:hAnsi="Times New Roman" w:cs="Times New Roman"/>
                <w:noProof/>
              </w:rPr>
              <w:t>Real-World Case: UK Hospitality &amp; Post-Brexit Recruitment</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_Toc211443949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9</w:t>
            </w:r>
            <w:r w:rsidRPr="00AF3743">
              <w:rPr>
                <w:rFonts w:ascii="Times New Roman" w:hAnsi="Times New Roman" w:cs="Times New Roman"/>
                <w:noProof/>
                <w:webHidden/>
              </w:rPr>
              <w:fldChar w:fldCharType="end"/>
            </w:r>
          </w:hyperlink>
        </w:p>
        <w:p w14:paraId="77098018" w14:textId="29588F3B" w:rsidR="00AF3743" w:rsidRPr="00AF3743" w:rsidRDefault="00AF3743" w:rsidP="00AF3743">
          <w:pPr>
            <w:pStyle w:val="TOC2"/>
            <w:tabs>
              <w:tab w:val="right" w:leader="dot" w:pos="9350"/>
            </w:tabs>
            <w:spacing w:line="360" w:lineRule="auto"/>
            <w:jc w:val="both"/>
            <w:rPr>
              <w:rFonts w:ascii="Times New Roman" w:eastAsiaTheme="minorEastAsia" w:hAnsi="Times New Roman" w:cs="Times New Roman"/>
              <w:noProof/>
              <w:lang w:val="en-IN" w:eastAsia="en-GB"/>
            </w:rPr>
          </w:pPr>
          <w:hyperlink w:anchor="_Toc211443950" w:history="1">
            <w:r w:rsidR="00AE4137">
              <w:rPr>
                <w:rStyle w:val="Hyperlink"/>
                <w:rFonts w:ascii="Times New Roman" w:hAnsi="Times New Roman" w:cs="Times New Roman"/>
                <w:noProof/>
              </w:rPr>
              <w:t>3.2</w:t>
            </w:r>
            <w:r w:rsidRPr="00AF3743">
              <w:rPr>
                <w:rStyle w:val="Hyperlink"/>
                <w:rFonts w:ascii="Times New Roman" w:hAnsi="Times New Roman" w:cs="Times New Roman"/>
                <w:noProof/>
              </w:rPr>
              <w:t xml:space="preserve"> Critical Discussion &amp; Balance</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_Toc211443950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10</w:t>
            </w:r>
            <w:r w:rsidRPr="00AF3743">
              <w:rPr>
                <w:rFonts w:ascii="Times New Roman" w:hAnsi="Times New Roman" w:cs="Times New Roman"/>
                <w:noProof/>
                <w:webHidden/>
              </w:rPr>
              <w:fldChar w:fldCharType="end"/>
            </w:r>
          </w:hyperlink>
        </w:p>
        <w:p w14:paraId="428409C9" w14:textId="6C14337C" w:rsidR="00AF3743" w:rsidRPr="00AF3743" w:rsidRDefault="006C6F36" w:rsidP="00AF3743">
          <w:pPr>
            <w:pStyle w:val="TOC1"/>
            <w:tabs>
              <w:tab w:val="right" w:leader="dot" w:pos="9350"/>
            </w:tabs>
            <w:spacing w:line="360" w:lineRule="auto"/>
            <w:jc w:val="both"/>
            <w:rPr>
              <w:rFonts w:ascii="Times New Roman" w:eastAsiaTheme="minorEastAsia" w:hAnsi="Times New Roman" w:cs="Times New Roman"/>
              <w:noProof/>
              <w:lang w:val="en-IN" w:eastAsia="en-GB"/>
            </w:rPr>
          </w:pPr>
          <w:r>
            <w:t>Q</w:t>
          </w:r>
          <w:hyperlink w:anchor="_Toc211443951" w:history="1">
            <w:r w:rsidR="004C5B0A">
              <w:rPr>
                <w:rStyle w:val="Hyperlink"/>
                <w:rFonts w:ascii="Times New Roman" w:hAnsi="Times New Roman" w:cs="Times New Roman"/>
                <w:noProof/>
                <w:lang w:val="en-IN" w:eastAsia="en-GB"/>
              </w:rPr>
              <w:t>4.</w:t>
            </w:r>
            <w:r w:rsidR="00AF3743" w:rsidRPr="00AF3743">
              <w:rPr>
                <w:rStyle w:val="Hyperlink"/>
                <w:rFonts w:ascii="Times New Roman" w:hAnsi="Times New Roman" w:cs="Times New Roman"/>
                <w:noProof/>
                <w:lang w:val="en-IN" w:eastAsia="en-GB"/>
              </w:rPr>
              <w:t xml:space="preserve"> Reflective Section: Personal Capabilities for the Global and Digital Workplace</w:t>
            </w:r>
            <w:r w:rsidR="00AF3743" w:rsidRPr="00AF3743">
              <w:rPr>
                <w:rFonts w:ascii="Times New Roman" w:hAnsi="Times New Roman" w:cs="Times New Roman"/>
                <w:noProof/>
                <w:webHidden/>
              </w:rPr>
              <w:tab/>
            </w:r>
            <w:r w:rsidR="00AF3743" w:rsidRPr="00AF3743">
              <w:rPr>
                <w:rFonts w:ascii="Times New Roman" w:hAnsi="Times New Roman" w:cs="Times New Roman"/>
                <w:noProof/>
                <w:webHidden/>
              </w:rPr>
              <w:fldChar w:fldCharType="begin"/>
            </w:r>
            <w:r w:rsidR="00AF3743" w:rsidRPr="00AF3743">
              <w:rPr>
                <w:rFonts w:ascii="Times New Roman" w:hAnsi="Times New Roman" w:cs="Times New Roman"/>
                <w:noProof/>
                <w:webHidden/>
              </w:rPr>
              <w:instrText xml:space="preserve"> PAGEREF _Toc211443951 \h </w:instrText>
            </w:r>
            <w:r w:rsidR="00AF3743" w:rsidRPr="00AF3743">
              <w:rPr>
                <w:rFonts w:ascii="Times New Roman" w:hAnsi="Times New Roman" w:cs="Times New Roman"/>
                <w:noProof/>
                <w:webHidden/>
              </w:rPr>
            </w:r>
            <w:r w:rsidR="00AF3743" w:rsidRPr="00AF3743">
              <w:rPr>
                <w:rFonts w:ascii="Times New Roman" w:hAnsi="Times New Roman" w:cs="Times New Roman"/>
                <w:noProof/>
                <w:webHidden/>
              </w:rPr>
              <w:fldChar w:fldCharType="separate"/>
            </w:r>
            <w:r w:rsidR="00AF3743" w:rsidRPr="00AF3743">
              <w:rPr>
                <w:rFonts w:ascii="Times New Roman" w:hAnsi="Times New Roman" w:cs="Times New Roman"/>
                <w:noProof/>
                <w:webHidden/>
              </w:rPr>
              <w:t>10</w:t>
            </w:r>
            <w:r w:rsidR="00AF3743" w:rsidRPr="00AF3743">
              <w:rPr>
                <w:rFonts w:ascii="Times New Roman" w:hAnsi="Times New Roman" w:cs="Times New Roman"/>
                <w:noProof/>
                <w:webHidden/>
              </w:rPr>
              <w:fldChar w:fldCharType="end"/>
            </w:r>
          </w:hyperlink>
        </w:p>
        <w:p w14:paraId="5E78419A" w14:textId="2A5805DC" w:rsidR="00AF3743" w:rsidRPr="00AF3743" w:rsidRDefault="00AF3743" w:rsidP="00AF3743">
          <w:pPr>
            <w:pStyle w:val="TOC1"/>
            <w:tabs>
              <w:tab w:val="right" w:leader="dot" w:pos="9350"/>
            </w:tabs>
            <w:spacing w:line="360" w:lineRule="auto"/>
            <w:jc w:val="both"/>
            <w:rPr>
              <w:rFonts w:ascii="Times New Roman" w:eastAsiaTheme="minorEastAsia" w:hAnsi="Times New Roman" w:cs="Times New Roman"/>
              <w:noProof/>
              <w:lang w:val="en-IN" w:eastAsia="en-GB"/>
            </w:rPr>
          </w:pPr>
          <w:hyperlink w:anchor="_Toc211443952" w:history="1">
            <w:r w:rsidRPr="00AF3743">
              <w:rPr>
                <w:rStyle w:val="Hyperlink"/>
                <w:rFonts w:ascii="Times New Roman" w:hAnsi="Times New Roman" w:cs="Times New Roman"/>
                <w:noProof/>
                <w:lang w:val="en-IN" w:eastAsia="en-GB"/>
              </w:rPr>
              <w:t xml:space="preserve"> References</w:t>
            </w:r>
            <w:r w:rsidRPr="00AF3743">
              <w:rPr>
                <w:rFonts w:ascii="Times New Roman" w:hAnsi="Times New Roman" w:cs="Times New Roman"/>
                <w:noProof/>
                <w:webHidden/>
              </w:rPr>
              <w:tab/>
            </w:r>
            <w:r w:rsidRPr="00AF3743">
              <w:rPr>
                <w:rFonts w:ascii="Times New Roman" w:hAnsi="Times New Roman" w:cs="Times New Roman"/>
                <w:noProof/>
                <w:webHidden/>
              </w:rPr>
              <w:fldChar w:fldCharType="begin"/>
            </w:r>
            <w:r w:rsidRPr="00AF3743">
              <w:rPr>
                <w:rFonts w:ascii="Times New Roman" w:hAnsi="Times New Roman" w:cs="Times New Roman"/>
                <w:noProof/>
                <w:webHidden/>
              </w:rPr>
              <w:instrText xml:space="preserve"> PAGEREF _Toc211443952 \h </w:instrText>
            </w:r>
            <w:r w:rsidRPr="00AF3743">
              <w:rPr>
                <w:rFonts w:ascii="Times New Roman" w:hAnsi="Times New Roman" w:cs="Times New Roman"/>
                <w:noProof/>
                <w:webHidden/>
              </w:rPr>
            </w:r>
            <w:r w:rsidRPr="00AF3743">
              <w:rPr>
                <w:rFonts w:ascii="Times New Roman" w:hAnsi="Times New Roman" w:cs="Times New Roman"/>
                <w:noProof/>
                <w:webHidden/>
              </w:rPr>
              <w:fldChar w:fldCharType="separate"/>
            </w:r>
            <w:r w:rsidRPr="00AF3743">
              <w:rPr>
                <w:rFonts w:ascii="Times New Roman" w:hAnsi="Times New Roman" w:cs="Times New Roman"/>
                <w:noProof/>
                <w:webHidden/>
              </w:rPr>
              <w:t>13</w:t>
            </w:r>
            <w:r w:rsidRPr="00AF3743">
              <w:rPr>
                <w:rFonts w:ascii="Times New Roman" w:hAnsi="Times New Roman" w:cs="Times New Roman"/>
                <w:noProof/>
                <w:webHidden/>
              </w:rPr>
              <w:fldChar w:fldCharType="end"/>
            </w:r>
          </w:hyperlink>
        </w:p>
        <w:p w14:paraId="32B86C55" w14:textId="4679AC21" w:rsidR="00CD4FC7" w:rsidRDefault="00CD4FC7" w:rsidP="00AF3743">
          <w:pPr>
            <w:spacing w:line="360" w:lineRule="auto"/>
            <w:jc w:val="both"/>
          </w:pPr>
          <w:r w:rsidRPr="00AF3743">
            <w:rPr>
              <w:rFonts w:ascii="Times New Roman" w:hAnsi="Times New Roman" w:cs="Times New Roman"/>
              <w:b/>
              <w:bCs/>
            </w:rPr>
            <w:fldChar w:fldCharType="end"/>
          </w:r>
        </w:p>
      </w:sdtContent>
    </w:sdt>
    <w:p w14:paraId="11F8685B" w14:textId="77777777" w:rsidR="00052AD4" w:rsidRDefault="00052AD4">
      <w:pPr>
        <w:rPr>
          <w:rFonts w:ascii="Times New Roman" w:eastAsiaTheme="majorEastAsia" w:hAnsi="Times New Roman" w:cstheme="majorBidi"/>
          <w:color w:val="2F5496" w:themeColor="accent1" w:themeShade="BF"/>
          <w:sz w:val="32"/>
          <w:szCs w:val="32"/>
          <w:lang w:val="en-IN" w:eastAsia="en-GB"/>
        </w:rPr>
      </w:pPr>
      <w:r>
        <w:rPr>
          <w:lang w:val="en-IN" w:eastAsia="en-GB"/>
        </w:rPr>
        <w:br w:type="page"/>
      </w:r>
    </w:p>
    <w:p w14:paraId="666BCFAE" w14:textId="450F0040" w:rsidR="00052AD4" w:rsidRPr="00052AD4" w:rsidRDefault="0077410C" w:rsidP="00052AD4">
      <w:pPr>
        <w:pStyle w:val="Heading1"/>
      </w:pPr>
      <w:bookmarkStart w:id="0" w:name="_Toc211443938"/>
      <w:r>
        <w:lastRenderedPageBreak/>
        <w:t xml:space="preserve">Q </w:t>
      </w:r>
      <w:r w:rsidR="00AF3743">
        <w:t>1</w:t>
      </w:r>
      <w:r w:rsidR="00BA69C3">
        <w:t xml:space="preserve">. </w:t>
      </w:r>
      <w:r w:rsidR="00052AD4" w:rsidRPr="00052AD4">
        <w:t>Technological Advancements and Implications for HRM / IHRM</w:t>
      </w:r>
      <w:bookmarkEnd w:id="0"/>
    </w:p>
    <w:p w14:paraId="1E02D2DB" w14:textId="77777777" w:rsidR="00AF3743" w:rsidRDefault="00AF3743" w:rsidP="00AF3743">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In an era defined by globalisation, rapid technological disruption, and demographic transformation, labour markets worldwide are undergoing profound shifts. The International Labour Organization reports that global unemployment is expected to hold near a historic low of about 5 % in 2025, even as forecasts for job creation have been revised downward by up to 7 million positions amid economic uncertainty</w:t>
      </w:r>
      <w:r>
        <w:rPr>
          <w:rFonts w:ascii="Times New Roman" w:hAnsi="Times New Roman" w:cs="Times New Roman"/>
          <w:lang w:val="en-IN" w:eastAsia="en-GB"/>
        </w:rPr>
        <w:t xml:space="preserve"> </w:t>
      </w:r>
      <w:r w:rsidRPr="00CD4FC7">
        <w:rPr>
          <w:rFonts w:ascii="Times New Roman" w:hAnsi="Times New Roman" w:cs="Times New Roman"/>
          <w:lang w:eastAsia="en-GB"/>
        </w:rPr>
        <w:t>(ILO, 2025)</w:t>
      </w:r>
      <w:r w:rsidRPr="00052AD4">
        <w:rPr>
          <w:rFonts w:ascii="Times New Roman" w:hAnsi="Times New Roman" w:cs="Times New Roman"/>
          <w:lang w:val="en-IN" w:eastAsia="en-GB"/>
        </w:rPr>
        <w:t>. Meanwhile, the world labour force is estimated at around 3.63 billion people as of 2023, with labour force growth at 2.1 % annually</w:t>
      </w:r>
      <w:r>
        <w:rPr>
          <w:rFonts w:ascii="Times New Roman" w:hAnsi="Times New Roman" w:cs="Times New Roman"/>
          <w:lang w:val="en-IN" w:eastAsia="en-GB"/>
        </w:rPr>
        <w:t xml:space="preserve"> </w:t>
      </w:r>
      <w:r w:rsidRPr="00CD4FC7">
        <w:rPr>
          <w:rFonts w:ascii="Times New Roman" w:hAnsi="Times New Roman" w:cs="Times New Roman"/>
          <w:lang w:eastAsia="en-GB"/>
        </w:rPr>
        <w:t>(World Employment Confederation, 2024)</w:t>
      </w:r>
      <w:r w:rsidRPr="00052AD4">
        <w:rPr>
          <w:rFonts w:ascii="Times New Roman" w:hAnsi="Times New Roman" w:cs="Times New Roman"/>
          <w:lang w:val="en-IN" w:eastAsia="en-GB"/>
        </w:rPr>
        <w:t xml:space="preserve">. Such macro shifts underscore how global supply of, and demand for, labour </w:t>
      </w:r>
      <w:proofErr w:type="gramStart"/>
      <w:r w:rsidRPr="00052AD4">
        <w:rPr>
          <w:rFonts w:ascii="Times New Roman" w:hAnsi="Times New Roman" w:cs="Times New Roman"/>
          <w:lang w:val="en-IN" w:eastAsia="en-GB"/>
        </w:rPr>
        <w:t>are</w:t>
      </w:r>
      <w:proofErr w:type="gramEnd"/>
      <w:r w:rsidRPr="00052AD4">
        <w:rPr>
          <w:rFonts w:ascii="Times New Roman" w:hAnsi="Times New Roman" w:cs="Times New Roman"/>
          <w:lang w:val="en-IN" w:eastAsia="en-GB"/>
        </w:rPr>
        <w:t xml:space="preserve"> being recalibrated.</w:t>
      </w:r>
    </w:p>
    <w:p w14:paraId="6D5FCC56" w14:textId="77777777" w:rsidR="00AF3743" w:rsidRPr="00CD4FC7" w:rsidRDefault="00AF3743" w:rsidP="00AF3743">
      <w:pPr>
        <w:keepNext/>
        <w:spacing w:line="360" w:lineRule="auto"/>
        <w:jc w:val="center"/>
        <w:rPr>
          <w:rFonts w:ascii="Times New Roman" w:hAnsi="Times New Roman" w:cs="Times New Roman"/>
        </w:rPr>
      </w:pPr>
      <w:r w:rsidRPr="00CD4FC7">
        <w:rPr>
          <w:rFonts w:ascii="Times New Roman" w:hAnsi="Times New Roman" w:cs="Times New Roman"/>
          <w:noProof/>
          <w:lang w:eastAsia="en-GB"/>
        </w:rPr>
        <w:drawing>
          <wp:inline distT="0" distB="0" distL="0" distR="0" wp14:anchorId="546E742F" wp14:editId="2C6C192D">
            <wp:extent cx="5943600" cy="1683385"/>
            <wp:effectExtent l="0" t="0" r="0" b="0"/>
            <wp:docPr id="1552139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348374" name=""/>
                    <pic:cNvPicPr/>
                  </pic:nvPicPr>
                  <pic:blipFill>
                    <a:blip r:embed="rId9"/>
                    <a:stretch>
                      <a:fillRect/>
                    </a:stretch>
                  </pic:blipFill>
                  <pic:spPr>
                    <a:xfrm>
                      <a:off x="0" y="0"/>
                      <a:ext cx="5943600" cy="1683385"/>
                    </a:xfrm>
                    <a:prstGeom prst="rect">
                      <a:avLst/>
                    </a:prstGeom>
                  </pic:spPr>
                </pic:pic>
              </a:graphicData>
            </a:graphic>
          </wp:inline>
        </w:drawing>
      </w:r>
    </w:p>
    <w:p w14:paraId="0F2EE29A" w14:textId="77777777" w:rsidR="00AF3743" w:rsidRPr="00CD4FC7" w:rsidRDefault="00AF3743" w:rsidP="00AF3743">
      <w:pPr>
        <w:pStyle w:val="Caption"/>
        <w:jc w:val="center"/>
        <w:rPr>
          <w:rFonts w:ascii="Times New Roman" w:hAnsi="Times New Roman" w:cs="Times New Roman"/>
          <w:i w:val="0"/>
          <w:iCs w:val="0"/>
          <w:sz w:val="24"/>
          <w:szCs w:val="24"/>
          <w:lang w:val="en-US"/>
        </w:rPr>
      </w:pPr>
      <w:r w:rsidRPr="00CD4FC7">
        <w:rPr>
          <w:rFonts w:ascii="Times New Roman" w:hAnsi="Times New Roman" w:cs="Times New Roman"/>
          <w:i w:val="0"/>
          <w:iCs w:val="0"/>
          <w:sz w:val="24"/>
          <w:szCs w:val="24"/>
        </w:rPr>
        <w:t xml:space="preserve">Figure </w:t>
      </w:r>
      <w:r w:rsidRPr="00CD4FC7">
        <w:rPr>
          <w:rFonts w:ascii="Times New Roman" w:hAnsi="Times New Roman" w:cs="Times New Roman"/>
          <w:i w:val="0"/>
          <w:iCs w:val="0"/>
          <w:sz w:val="24"/>
          <w:szCs w:val="24"/>
        </w:rPr>
        <w:fldChar w:fldCharType="begin"/>
      </w:r>
      <w:r w:rsidRPr="00CD4FC7">
        <w:rPr>
          <w:rFonts w:ascii="Times New Roman" w:hAnsi="Times New Roman" w:cs="Times New Roman"/>
          <w:i w:val="0"/>
          <w:iCs w:val="0"/>
          <w:sz w:val="24"/>
          <w:szCs w:val="24"/>
        </w:rPr>
        <w:instrText xml:space="preserve"> SEQ Figure \* ARABIC </w:instrText>
      </w:r>
      <w:r w:rsidRPr="00CD4FC7">
        <w:rPr>
          <w:rFonts w:ascii="Times New Roman" w:hAnsi="Times New Roman" w:cs="Times New Roman"/>
          <w:i w:val="0"/>
          <w:iCs w:val="0"/>
          <w:sz w:val="24"/>
          <w:szCs w:val="24"/>
        </w:rPr>
        <w:fldChar w:fldCharType="separate"/>
      </w:r>
      <w:r>
        <w:rPr>
          <w:rFonts w:ascii="Times New Roman" w:hAnsi="Times New Roman" w:cs="Times New Roman"/>
          <w:i w:val="0"/>
          <w:iCs w:val="0"/>
          <w:noProof/>
          <w:sz w:val="24"/>
          <w:szCs w:val="24"/>
        </w:rPr>
        <w:t>1</w:t>
      </w:r>
      <w:r w:rsidRPr="00CD4FC7">
        <w:rPr>
          <w:rFonts w:ascii="Times New Roman" w:hAnsi="Times New Roman" w:cs="Times New Roman"/>
          <w:i w:val="0"/>
          <w:iCs w:val="0"/>
          <w:sz w:val="24"/>
          <w:szCs w:val="24"/>
        </w:rPr>
        <w:fldChar w:fldCharType="end"/>
      </w:r>
      <w:r w:rsidRPr="00CD4FC7">
        <w:rPr>
          <w:rFonts w:ascii="Times New Roman" w:hAnsi="Times New Roman" w:cs="Times New Roman"/>
          <w:i w:val="0"/>
          <w:iCs w:val="0"/>
          <w:sz w:val="24"/>
          <w:szCs w:val="24"/>
          <w:lang w:val="en-US"/>
        </w:rPr>
        <w:t xml:space="preserve"> Employment Stats</w:t>
      </w:r>
    </w:p>
    <w:p w14:paraId="14B7DC07" w14:textId="77777777" w:rsidR="00AF3743" w:rsidRPr="00CD4FC7" w:rsidRDefault="00AF3743" w:rsidP="00AF3743">
      <w:pPr>
        <w:spacing w:line="360" w:lineRule="auto"/>
        <w:jc w:val="center"/>
        <w:rPr>
          <w:rFonts w:ascii="Times New Roman" w:hAnsi="Times New Roman" w:cs="Times New Roman"/>
          <w:lang w:val="en-US"/>
        </w:rPr>
      </w:pPr>
      <w:r w:rsidRPr="00CD4FC7">
        <w:rPr>
          <w:rFonts w:ascii="Times New Roman" w:hAnsi="Times New Roman" w:cs="Times New Roman"/>
          <w:lang w:eastAsia="en-GB"/>
        </w:rPr>
        <w:t>(Source: World Employment Confederation, 2024)</w:t>
      </w:r>
    </w:p>
    <w:p w14:paraId="6C80C737" w14:textId="77777777" w:rsidR="00AF3743" w:rsidRPr="00052AD4" w:rsidRDefault="00AF3743" w:rsidP="00AF3743">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These labour-market upheavals carry deep implications for HRM (Human Resource Management) and IHRM (International Human Resource Management). Organisations must respond to skill mismatches, a rising war for talent, the integration of AI and digital tools into HR processes, and mobility constraints across borders. Analysing how national and international labour markets influence HRM/IHRM strategies is crucial for future‐ready decision making, aligning with module learning outcomes on strategy, adaptation, and critical analysis.</w:t>
      </w:r>
    </w:p>
    <w:p w14:paraId="08F79B05" w14:textId="4A0E8E9E" w:rsidR="00AF3743" w:rsidRPr="00AF3743" w:rsidRDefault="00AF3743" w:rsidP="00AF3743">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This report proceeds in four analytical sections. First, technological advancements and their implications for HRM/IHRM; second, demographic and geopolitical factors shaping employment markets; third, strategies to address skills gaps and talent shortages via strategic HRM; and fourth, a reflective self-assessment of capabilities in a global, digital workplace. Throughout, a research-informed and critical lens will be applied: drawing on academic theory, empirical data, and real-world examples to evaluate both opportunities and challenges.</w:t>
      </w:r>
    </w:p>
    <w:p w14:paraId="510B3242" w14:textId="2BA6C456" w:rsidR="00052AD4" w:rsidRPr="00052AD4" w:rsidRDefault="00AF3743" w:rsidP="00052AD4">
      <w:pPr>
        <w:pStyle w:val="Heading2"/>
      </w:pPr>
      <w:bookmarkStart w:id="1" w:name="_Toc211443939"/>
      <w:r>
        <w:lastRenderedPageBreak/>
        <w:t>1</w:t>
      </w:r>
      <w:r w:rsidR="00BA69C3">
        <w:t xml:space="preserve">.1 </w:t>
      </w:r>
      <w:r w:rsidR="00052AD4" w:rsidRPr="00052AD4">
        <w:t>Overview of Technological Transformation in Labour Markets</w:t>
      </w:r>
      <w:bookmarkEnd w:id="1"/>
    </w:p>
    <w:p w14:paraId="3593E4F8" w14:textId="3B9418B2" w:rsidR="00052AD4" w:rsidRPr="00CD4FC7"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 xml:space="preserve">The rise of automation, artificial intelligence (AI), robotics, and digital platforms is reshaping the nature of work, tasks, and required skills. </w:t>
      </w:r>
      <w:r w:rsidR="00CD4FC7" w:rsidRPr="00CD4FC7">
        <w:rPr>
          <w:rFonts w:ascii="Times New Roman" w:hAnsi="Times New Roman" w:cs="Times New Roman"/>
          <w:lang w:eastAsia="en-GB"/>
        </w:rPr>
        <w:t>Manyika (2018)</w:t>
      </w:r>
      <w:r w:rsidR="00CD4FC7">
        <w:rPr>
          <w:rFonts w:ascii="Times New Roman" w:hAnsi="Times New Roman" w:cs="Times New Roman"/>
          <w:lang w:eastAsia="en-GB"/>
        </w:rPr>
        <w:t xml:space="preserve">, </w:t>
      </w:r>
      <w:r w:rsidRPr="00052AD4">
        <w:rPr>
          <w:rFonts w:ascii="Times New Roman" w:hAnsi="Times New Roman" w:cs="Times New Roman"/>
          <w:lang w:val="en-IN" w:eastAsia="en-GB"/>
        </w:rPr>
        <w:t>estimate</w:t>
      </w:r>
      <w:r w:rsidR="00CD4FC7">
        <w:rPr>
          <w:rFonts w:ascii="Times New Roman" w:hAnsi="Times New Roman" w:cs="Times New Roman"/>
          <w:lang w:val="en-IN" w:eastAsia="en-GB"/>
        </w:rPr>
        <w:t>d</w:t>
      </w:r>
      <w:r w:rsidRPr="00052AD4">
        <w:rPr>
          <w:rFonts w:ascii="Times New Roman" w:hAnsi="Times New Roman" w:cs="Times New Roman"/>
          <w:lang w:val="en-IN" w:eastAsia="en-GB"/>
        </w:rPr>
        <w:t xml:space="preserve"> that by 2030, between 400 million and 800 million workers globally may be displaced or need to transition to new roles due to automation’s effects on tasks and occupations. Some forecasts predict that between 75 and 375 million jobs might be lost to automation across industries by 2030, although new jobs will also emerge</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(Tina, 2021)</w:t>
      </w:r>
      <w:r w:rsidRPr="00052AD4">
        <w:rPr>
          <w:rFonts w:ascii="Times New Roman" w:hAnsi="Times New Roman" w:cs="Times New Roman"/>
          <w:lang w:val="en-IN" w:eastAsia="en-GB"/>
        </w:rPr>
        <w:t>.</w:t>
      </w:r>
      <w:r w:rsidRPr="00D620B9">
        <w:rPr>
          <w:rFonts w:ascii="Times New Roman" w:hAnsi="Times New Roman" w:cs="Times New Roman"/>
          <w:lang w:val="en-IN" w:eastAsia="en-GB"/>
        </w:rPr>
        <w:t xml:space="preserve"> </w:t>
      </w:r>
      <w:r w:rsidRPr="00052AD4">
        <w:rPr>
          <w:rFonts w:ascii="Times New Roman" w:hAnsi="Times New Roman" w:cs="Times New Roman"/>
          <w:lang w:val="en-IN" w:eastAsia="en-GB"/>
        </w:rPr>
        <w:t xml:space="preserve"> In parallel, 44 % of workers are expected to require reskilling or upskilling within five years to meet changing task demands</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(Guan, 2025)</w:t>
      </w:r>
      <w:r w:rsidRPr="00052AD4">
        <w:rPr>
          <w:rFonts w:ascii="Times New Roman" w:hAnsi="Times New Roman" w:cs="Times New Roman"/>
          <w:lang w:val="en-IN" w:eastAsia="en-GB"/>
        </w:rPr>
        <w:t>. A recent analysis</w:t>
      </w:r>
      <w:r w:rsidR="00D620B9">
        <w:rPr>
          <w:rFonts w:ascii="Times New Roman" w:hAnsi="Times New Roman" w:cs="Times New Roman"/>
          <w:lang w:val="en-IN" w:eastAsia="en-GB"/>
        </w:rPr>
        <w:t xml:space="preserve"> by </w:t>
      </w:r>
      <w:r w:rsidR="00D620B9" w:rsidRPr="00D620B9">
        <w:rPr>
          <w:rFonts w:ascii="Times New Roman" w:hAnsi="Times New Roman" w:cs="Times New Roman"/>
          <w:lang w:eastAsia="en-GB"/>
        </w:rPr>
        <w:t>MIT Sloan (2025)</w:t>
      </w:r>
      <w:r w:rsidR="00D620B9">
        <w:rPr>
          <w:rFonts w:ascii="Times New Roman" w:hAnsi="Times New Roman" w:cs="Times New Roman"/>
          <w:lang w:eastAsia="en-GB"/>
        </w:rPr>
        <w:t>,</w:t>
      </w:r>
      <w:r w:rsidRPr="00052AD4">
        <w:rPr>
          <w:rFonts w:ascii="Times New Roman" w:hAnsi="Times New Roman" w:cs="Times New Roman"/>
          <w:lang w:val="en-IN" w:eastAsia="en-GB"/>
        </w:rPr>
        <w:t xml:space="preserve"> </w:t>
      </w:r>
      <w:proofErr w:type="spellStart"/>
      <w:r w:rsidRPr="00052AD4">
        <w:rPr>
          <w:rFonts w:ascii="Times New Roman" w:hAnsi="Times New Roman" w:cs="Times New Roman"/>
          <w:lang w:val="en-IN" w:eastAsia="en-GB"/>
        </w:rPr>
        <w:t>observe</w:t>
      </w:r>
      <w:r w:rsidR="00D620B9">
        <w:rPr>
          <w:rFonts w:ascii="Times New Roman" w:hAnsi="Times New Roman" w:cs="Times New Roman"/>
          <w:lang w:val="en-IN" w:eastAsia="en-GB"/>
        </w:rPr>
        <w:t>c</w:t>
      </w:r>
      <w:proofErr w:type="spellEnd"/>
      <w:r w:rsidRPr="00052AD4">
        <w:rPr>
          <w:rFonts w:ascii="Times New Roman" w:hAnsi="Times New Roman" w:cs="Times New Roman"/>
          <w:lang w:val="en-IN" w:eastAsia="en-GB"/>
        </w:rPr>
        <w:t xml:space="preserve"> that automation may “replace experts in some occupations while augmenting expertise in others,” emphasizing that technology shifts are uneven across tasks and skills.</w:t>
      </w:r>
      <w:r w:rsidR="00D620B9" w:rsidRPr="00CD4FC7">
        <w:rPr>
          <w:rFonts w:ascii="Times New Roman" w:hAnsi="Times New Roman" w:cs="Times New Roman"/>
          <w:lang w:eastAsia="en-GB"/>
        </w:rPr>
        <w:t xml:space="preserve"> </w:t>
      </w:r>
    </w:p>
    <w:p w14:paraId="05C3D384"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Thus, technological transformation is not just about displacement; it also reframes how organisations extract value, augment human capability, and rethink HR strategy.</w:t>
      </w:r>
    </w:p>
    <w:p w14:paraId="44962520" w14:textId="64D992C9" w:rsidR="00052AD4" w:rsidRPr="00052AD4" w:rsidRDefault="00AF3743" w:rsidP="00052AD4">
      <w:pPr>
        <w:pStyle w:val="Heading2"/>
      </w:pPr>
      <w:bookmarkStart w:id="2" w:name="_Toc211443940"/>
      <w:r>
        <w:t>1</w:t>
      </w:r>
      <w:r w:rsidR="00BA69C3">
        <w:t xml:space="preserve">.2 </w:t>
      </w:r>
      <w:r w:rsidR="00052AD4" w:rsidRPr="00052AD4">
        <w:t>Theoretical Foundation</w:t>
      </w:r>
      <w:bookmarkEnd w:id="2"/>
    </w:p>
    <w:p w14:paraId="4F1B22FA" w14:textId="22A7C1FB" w:rsidR="00052AD4" w:rsidRPr="00D620B9"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A useful lens is socio-technical systems theory, which posits that effective organizational design must align social (people, culture, structure) and technical (tools, processes) subsystems. In HR contexts, it means technology adoption cannot be isolated from people, job design, and work systems</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(Sony and Naik, 2020)</w:t>
      </w:r>
      <w:r w:rsidRPr="00052AD4">
        <w:rPr>
          <w:rFonts w:ascii="Times New Roman" w:hAnsi="Times New Roman" w:cs="Times New Roman"/>
          <w:lang w:val="en-IN" w:eastAsia="en-GB"/>
        </w:rPr>
        <w:t>. Coupled with this is the digital HR transformation framework, which suggests stages of maturity: from digitalizing HR processes, automating transactional tasks, to finally re-imagining HR strategy (predictive analytics, AI) as a strategic partner.</w:t>
      </w:r>
    </w:p>
    <w:p w14:paraId="5F19AF4E" w14:textId="6DE4CD58" w:rsidR="00052AD4" w:rsidRPr="00D620B9"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Also relevant is the task-based model of labour economics: technologies substitute for or augment specific tasks rather than entire jobs. In a recent study</w:t>
      </w:r>
      <w:r w:rsidR="00D620B9">
        <w:rPr>
          <w:rFonts w:ascii="Times New Roman" w:hAnsi="Times New Roman" w:cs="Times New Roman"/>
          <w:lang w:val="en-IN" w:eastAsia="en-GB"/>
        </w:rPr>
        <w:t xml:space="preserve"> by </w:t>
      </w:r>
      <w:r w:rsidR="00D620B9" w:rsidRPr="00D620B9">
        <w:rPr>
          <w:rFonts w:ascii="Times New Roman" w:hAnsi="Times New Roman" w:cs="Times New Roman"/>
          <w:lang w:eastAsia="en-GB"/>
        </w:rPr>
        <w:t>Marguerit (2025)</w:t>
      </w:r>
      <w:r w:rsidRPr="00052AD4">
        <w:rPr>
          <w:rFonts w:ascii="Times New Roman" w:hAnsi="Times New Roman" w:cs="Times New Roman"/>
          <w:lang w:val="en-IN" w:eastAsia="en-GB"/>
        </w:rPr>
        <w:t>, “automation AI” had negative effects on employment and wages in low-skill occupations, while “augmentation AI” fostered new job creation and wage growth in high-skill roles. These theories help explain the differentiated impact of technology across skills, sectors, and roles.</w:t>
      </w:r>
    </w:p>
    <w:p w14:paraId="77671F0C" w14:textId="1854424E" w:rsidR="00052AD4" w:rsidRPr="00052AD4" w:rsidRDefault="00AF3743" w:rsidP="00052AD4">
      <w:pPr>
        <w:pStyle w:val="Heading2"/>
      </w:pPr>
      <w:bookmarkStart w:id="3" w:name="_Toc211443941"/>
      <w:r>
        <w:t>1</w:t>
      </w:r>
      <w:r w:rsidR="00BA69C3">
        <w:t xml:space="preserve">.3 </w:t>
      </w:r>
      <w:r w:rsidR="00052AD4" w:rsidRPr="00052AD4">
        <w:t>Impacts on HR Functions</w:t>
      </w:r>
      <w:bookmarkEnd w:id="3"/>
    </w:p>
    <w:p w14:paraId="4A1EF5C9"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Recruitment &amp; Selection</w:t>
      </w:r>
    </w:p>
    <w:p w14:paraId="20C8058D" w14:textId="4F292401" w:rsidR="00052AD4" w:rsidRPr="00D620B9"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AI and machine learning tools are increasingly used to screen resumes, perform candidate matching, and even conduct video interview analytics (assessing tone, word usage). For example, Amazon employs AI/ML tools to guide applicants and filter candidates in early recruiting stages</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lastRenderedPageBreak/>
        <w:t>(</w:t>
      </w:r>
      <w:proofErr w:type="gramStart"/>
      <w:r w:rsidR="00D620B9" w:rsidRPr="00D620B9">
        <w:rPr>
          <w:rFonts w:ascii="Times New Roman" w:hAnsi="Times New Roman" w:cs="Times New Roman"/>
          <w:lang w:eastAsia="en-GB"/>
        </w:rPr>
        <w:t>Amazon ,</w:t>
      </w:r>
      <w:proofErr w:type="gramEnd"/>
      <w:r w:rsidR="00D620B9" w:rsidRPr="00D620B9">
        <w:rPr>
          <w:rFonts w:ascii="Times New Roman" w:hAnsi="Times New Roman" w:cs="Times New Roman"/>
          <w:lang w:eastAsia="en-GB"/>
        </w:rPr>
        <w:t xml:space="preserve"> 2023)</w:t>
      </w:r>
      <w:r w:rsidRPr="00052AD4">
        <w:rPr>
          <w:rFonts w:ascii="Times New Roman" w:hAnsi="Times New Roman" w:cs="Times New Roman"/>
          <w:lang w:val="en-IN" w:eastAsia="en-GB"/>
        </w:rPr>
        <w:t>. Unilever uses an AI-powered recruitment tool to assess video interviews, leading to a 25 % reduction in recruiter workload and improvements in candidate handling</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(Hendrickson, 2024)</w:t>
      </w:r>
      <w:r w:rsidRPr="00052AD4">
        <w:rPr>
          <w:rFonts w:ascii="Times New Roman" w:hAnsi="Times New Roman" w:cs="Times New Roman"/>
          <w:lang w:val="en-IN" w:eastAsia="en-GB"/>
        </w:rPr>
        <w:t>. However, such systems have been criticized: Amazon’s earlier AI recruiting tool developed gender bias because it was trained on historical data skewed toward male candidates</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w:t>
      </w:r>
      <w:proofErr w:type="spellStart"/>
      <w:r w:rsidR="00D620B9" w:rsidRPr="00D620B9">
        <w:rPr>
          <w:rFonts w:ascii="Times New Roman" w:hAnsi="Times New Roman" w:cs="Times New Roman"/>
          <w:lang w:eastAsia="en-GB"/>
        </w:rPr>
        <w:t>Parsani</w:t>
      </w:r>
      <w:proofErr w:type="spellEnd"/>
      <w:r w:rsidR="00D620B9" w:rsidRPr="00D620B9">
        <w:rPr>
          <w:rFonts w:ascii="Times New Roman" w:hAnsi="Times New Roman" w:cs="Times New Roman"/>
          <w:lang w:eastAsia="en-GB"/>
        </w:rPr>
        <w:t>, 2024)</w:t>
      </w:r>
      <w:r w:rsidRPr="00052AD4">
        <w:rPr>
          <w:rFonts w:ascii="Times New Roman" w:hAnsi="Times New Roman" w:cs="Times New Roman"/>
          <w:lang w:val="en-IN" w:eastAsia="en-GB"/>
        </w:rPr>
        <w:t>.</w:t>
      </w:r>
      <w:r w:rsidRPr="00D620B9">
        <w:rPr>
          <w:rFonts w:ascii="Times New Roman" w:hAnsi="Times New Roman" w:cs="Times New Roman"/>
          <w:lang w:val="en-IN" w:eastAsia="en-GB"/>
        </w:rPr>
        <w:t xml:space="preserve"> </w:t>
      </w:r>
    </w:p>
    <w:p w14:paraId="3489AA6B"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Performance Management &amp; Predictive Analytics</w:t>
      </w:r>
    </w:p>
    <w:p w14:paraId="205BAD8E" w14:textId="5A3212EA" w:rsidR="00052AD4" w:rsidRPr="00D620B9"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 xml:space="preserve">AI can </w:t>
      </w:r>
      <w:proofErr w:type="spellStart"/>
      <w:r w:rsidRPr="00052AD4">
        <w:rPr>
          <w:rFonts w:ascii="Times New Roman" w:hAnsi="Times New Roman" w:cs="Times New Roman"/>
          <w:lang w:val="en-IN" w:eastAsia="en-GB"/>
        </w:rPr>
        <w:t>analyze</w:t>
      </w:r>
      <w:proofErr w:type="spellEnd"/>
      <w:r w:rsidRPr="00052AD4">
        <w:rPr>
          <w:rFonts w:ascii="Times New Roman" w:hAnsi="Times New Roman" w:cs="Times New Roman"/>
          <w:lang w:val="en-IN" w:eastAsia="en-GB"/>
        </w:rPr>
        <w:t xml:space="preserve"> performance data, flag risk of turnover, and support personalized development. A study on AI-driven predictive analytics shows that organizations can forecast turnover risk and implement targeted interventions, improving retention and reducing cost</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(Basnet, 2024)</w:t>
      </w:r>
      <w:r w:rsidRPr="00052AD4">
        <w:rPr>
          <w:rFonts w:ascii="Times New Roman" w:hAnsi="Times New Roman" w:cs="Times New Roman"/>
          <w:lang w:val="en-IN" w:eastAsia="en-GB"/>
        </w:rPr>
        <w:t>.</w:t>
      </w:r>
      <w:hyperlink r:id="rId10" w:history="1">
        <w:r w:rsidRPr="00052AD4">
          <w:rPr>
            <w:rStyle w:val="Hyperlink"/>
            <w:rFonts w:ascii="Times New Roman" w:hAnsi="Times New Roman" w:cs="Times New Roman"/>
            <w:lang w:val="en-IN" w:eastAsia="en-GB"/>
          </w:rPr>
          <w:t xml:space="preserve"> </w:t>
        </w:r>
      </w:hyperlink>
    </w:p>
    <w:p w14:paraId="781DDC87"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Training &amp; Learning</w:t>
      </w:r>
    </w:p>
    <w:p w14:paraId="2CA20CDF"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Digital platforms, microlearning, virtual reality (VR), and adaptive learning systems allow on-demand, personalized upskilling. AI can recommend content based on learner gaps. Such systems can address dynamic skill needs created by technological change.</w:t>
      </w:r>
    </w:p>
    <w:p w14:paraId="5FD49B28"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Remote Work &amp; Employee Experience</w:t>
      </w:r>
    </w:p>
    <w:p w14:paraId="7A5126B1" w14:textId="540D6E8F" w:rsidR="00052AD4" w:rsidRPr="00D620B9"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Chatbots and AI assistants (e.g. generative AI) can handle routine HR queries, scheduling, and service requests, enhancing responsiveness. AWS notes that generative AI assistants reshape employee experience by reducing response time and streamlining processes</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(Amazon, 2023)</w:t>
      </w:r>
      <w:r w:rsidRPr="00052AD4">
        <w:rPr>
          <w:rFonts w:ascii="Times New Roman" w:hAnsi="Times New Roman" w:cs="Times New Roman"/>
          <w:lang w:val="en-IN" w:eastAsia="en-GB"/>
        </w:rPr>
        <w:t>. HR departments reportedly can save up to 40 % of administrative time via AI systems</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(O’Sullivan, 2024)</w:t>
      </w:r>
      <w:r w:rsidRPr="00052AD4">
        <w:rPr>
          <w:rFonts w:ascii="Times New Roman" w:hAnsi="Times New Roman" w:cs="Times New Roman"/>
          <w:lang w:val="en-IN" w:eastAsia="en-GB"/>
        </w:rPr>
        <w:t>.</w:t>
      </w:r>
      <w:r w:rsidR="00D620B9" w:rsidRPr="00D620B9">
        <w:rPr>
          <w:rFonts w:ascii="Times New Roman" w:hAnsi="Times New Roman" w:cs="Times New Roman"/>
          <w:lang w:eastAsia="en-GB"/>
        </w:rPr>
        <w:t xml:space="preserve"> </w:t>
      </w:r>
    </w:p>
    <w:p w14:paraId="16465A5A" w14:textId="1E1D4BED" w:rsidR="00052AD4" w:rsidRDefault="00AF3743" w:rsidP="00052AD4">
      <w:pPr>
        <w:pStyle w:val="Heading2"/>
      </w:pPr>
      <w:bookmarkStart w:id="4" w:name="_Toc211443942"/>
      <w:r>
        <w:t>1</w:t>
      </w:r>
      <w:r w:rsidR="00BA69C3">
        <w:t xml:space="preserve">.4 </w:t>
      </w:r>
      <w:r w:rsidR="00052AD4" w:rsidRPr="00052AD4">
        <w:t>Challenges and Opportunities for IHRM</w:t>
      </w:r>
      <w:bookmarkEnd w:id="4"/>
    </w:p>
    <w:p w14:paraId="2404E086"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Global Digital Workforce &amp; Distributed Teams</w:t>
      </w:r>
    </w:p>
    <w:p w14:paraId="6A264680"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Technology enables geographically dispersed teams, remote work, and cross-border virtual collaboration. IHRM must manage digital infrastructure, virtual leadership, cultural adaptation, and global performance systems.</w:t>
      </w:r>
    </w:p>
    <w:p w14:paraId="596B83D3"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Ethics, Bias &amp; Transparency</w:t>
      </w:r>
    </w:p>
    <w:p w14:paraId="0CAD2201" w14:textId="2349FD02" w:rsidR="00052AD4" w:rsidRPr="00D620B9"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Automated decision systems risk replicating historical biases. The Amazon case is a cautionary tale. Ensuring transparency, fairness, and explainability of AI decisions is critical, especially across diverse cultural and regulatory contexts</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(Johnson, 2019)</w:t>
      </w:r>
      <w:r w:rsidRPr="00052AD4">
        <w:rPr>
          <w:rFonts w:ascii="Times New Roman" w:hAnsi="Times New Roman" w:cs="Times New Roman"/>
          <w:lang w:val="en-IN" w:eastAsia="en-GB"/>
        </w:rPr>
        <w:t>.</w:t>
      </w:r>
    </w:p>
    <w:p w14:paraId="68FE2680"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Reskilling and Talent Pipeline Management</w:t>
      </w:r>
    </w:p>
    <w:p w14:paraId="7917E7CB"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lastRenderedPageBreak/>
        <w:t>IHRM must orchestrate global reskilling and continuous learning, aligning with local education systems and regulations. Talent mobility will likely focus less on physical relocation and more on skills and virtual mobility.</w:t>
      </w:r>
    </w:p>
    <w:p w14:paraId="25245B25"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Data Governance &amp; Privacy</w:t>
      </w:r>
    </w:p>
    <w:p w14:paraId="7EC972C7"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Cross-border data flows, employee privacy, and compliance (GDPR, local laws) pose challenges in IHRM technology deployment.</w:t>
      </w:r>
    </w:p>
    <w:p w14:paraId="1145426B"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Case Example: IBM’s HR AI Transformation</w:t>
      </w:r>
    </w:p>
    <w:p w14:paraId="2911BBBE" w14:textId="4B5A5A7E" w:rsidR="00052AD4" w:rsidRPr="00D620B9"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IBM’s HR function was an early adopter of AI in HR. Its digital AI agent now handles 11 million interactions annually with a 94 % resolution rate, allowing HR professionals to focus on high-value work such as strategy, coaching, and leadership development</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(Berkeley, 2025)</w:t>
      </w:r>
      <w:r w:rsidRPr="00052AD4">
        <w:rPr>
          <w:rFonts w:ascii="Times New Roman" w:hAnsi="Times New Roman" w:cs="Times New Roman"/>
          <w:lang w:val="en-IN" w:eastAsia="en-GB"/>
        </w:rPr>
        <w:t>.</w:t>
      </w:r>
      <w:r w:rsidR="00D620B9">
        <w:t xml:space="preserve"> </w:t>
      </w:r>
      <w:r w:rsidRPr="00052AD4">
        <w:rPr>
          <w:rFonts w:ascii="Times New Roman" w:hAnsi="Times New Roman" w:cs="Times New Roman"/>
          <w:lang w:val="en-IN" w:eastAsia="en-GB"/>
        </w:rPr>
        <w:t xml:space="preserve"> The adoption of AI has reportedly boosted employee satisfaction and process efficiency</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w:t>
      </w:r>
      <w:proofErr w:type="spellStart"/>
      <w:r w:rsidR="00D620B9" w:rsidRPr="00D620B9">
        <w:rPr>
          <w:rFonts w:ascii="Times New Roman" w:hAnsi="Times New Roman" w:cs="Times New Roman"/>
          <w:lang w:eastAsia="en-GB"/>
        </w:rPr>
        <w:t>Guenole</w:t>
      </w:r>
      <w:proofErr w:type="spellEnd"/>
      <w:r w:rsidR="00D620B9" w:rsidRPr="00D620B9">
        <w:rPr>
          <w:rFonts w:ascii="Times New Roman" w:hAnsi="Times New Roman" w:cs="Times New Roman"/>
          <w:lang w:eastAsia="en-GB"/>
        </w:rPr>
        <w:t xml:space="preserve"> and </w:t>
      </w:r>
      <w:proofErr w:type="spellStart"/>
      <w:r w:rsidR="00D620B9" w:rsidRPr="00D620B9">
        <w:rPr>
          <w:rFonts w:ascii="Times New Roman" w:hAnsi="Times New Roman" w:cs="Times New Roman"/>
          <w:lang w:eastAsia="en-GB"/>
        </w:rPr>
        <w:t>Feinzig</w:t>
      </w:r>
      <w:proofErr w:type="spellEnd"/>
      <w:r w:rsidR="00D620B9" w:rsidRPr="00D620B9">
        <w:rPr>
          <w:rFonts w:ascii="Times New Roman" w:hAnsi="Times New Roman" w:cs="Times New Roman"/>
          <w:lang w:eastAsia="en-GB"/>
        </w:rPr>
        <w:t>, 2019)</w:t>
      </w:r>
      <w:r w:rsidRPr="00052AD4">
        <w:rPr>
          <w:rFonts w:ascii="Times New Roman" w:hAnsi="Times New Roman" w:cs="Times New Roman"/>
          <w:lang w:val="en-IN" w:eastAsia="en-GB"/>
        </w:rPr>
        <w:t>.</w:t>
      </w:r>
      <w:hyperlink r:id="rId11" w:history="1">
        <w:r w:rsidRPr="00052AD4">
          <w:rPr>
            <w:rStyle w:val="Hyperlink"/>
            <w:rFonts w:ascii="Times New Roman" w:hAnsi="Times New Roman" w:cs="Times New Roman"/>
            <w:lang w:val="en-IN" w:eastAsia="en-GB"/>
          </w:rPr>
          <w:t xml:space="preserve"> </w:t>
        </w:r>
      </w:hyperlink>
    </w:p>
    <w:p w14:paraId="285C3CB2" w14:textId="4FBD4734" w:rsidR="00052AD4" w:rsidRPr="00D620B9"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IBM documents a “business case for AI in HR,” showcasing reductions in cycle times for recruiting, onboarding, and HR service delivery</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w:t>
      </w:r>
      <w:proofErr w:type="spellStart"/>
      <w:r w:rsidR="00D620B9" w:rsidRPr="00D620B9">
        <w:rPr>
          <w:rFonts w:ascii="Times New Roman" w:hAnsi="Times New Roman" w:cs="Times New Roman"/>
          <w:lang w:eastAsia="en-GB"/>
        </w:rPr>
        <w:t>Guenole</w:t>
      </w:r>
      <w:proofErr w:type="spellEnd"/>
      <w:r w:rsidR="00D620B9" w:rsidRPr="00D620B9">
        <w:rPr>
          <w:rFonts w:ascii="Times New Roman" w:hAnsi="Times New Roman" w:cs="Times New Roman"/>
          <w:lang w:eastAsia="en-GB"/>
        </w:rPr>
        <w:t xml:space="preserve"> and </w:t>
      </w:r>
      <w:proofErr w:type="spellStart"/>
      <w:r w:rsidR="00D620B9" w:rsidRPr="00D620B9">
        <w:rPr>
          <w:rFonts w:ascii="Times New Roman" w:hAnsi="Times New Roman" w:cs="Times New Roman"/>
          <w:lang w:eastAsia="en-GB"/>
        </w:rPr>
        <w:t>Feinzig</w:t>
      </w:r>
      <w:proofErr w:type="spellEnd"/>
      <w:r w:rsidR="00D620B9" w:rsidRPr="00D620B9">
        <w:rPr>
          <w:rFonts w:ascii="Times New Roman" w:hAnsi="Times New Roman" w:cs="Times New Roman"/>
          <w:lang w:eastAsia="en-GB"/>
        </w:rPr>
        <w:t>, 2019)</w:t>
      </w:r>
      <w:r w:rsidRPr="00052AD4">
        <w:rPr>
          <w:rFonts w:ascii="Times New Roman" w:hAnsi="Times New Roman" w:cs="Times New Roman"/>
          <w:lang w:val="en-IN" w:eastAsia="en-GB"/>
        </w:rPr>
        <w:t>. The AI implementation aligns with the socio-technical approach: they have invested in change management, user training, governance, and alignment of HR and technical systems.</w:t>
      </w:r>
    </w:p>
    <w:p w14:paraId="759135E1" w14:textId="6251877B" w:rsidR="00052AD4" w:rsidRPr="00052AD4" w:rsidRDefault="00AF3743" w:rsidP="00052AD4">
      <w:pPr>
        <w:pStyle w:val="Heading2"/>
      </w:pPr>
      <w:bookmarkStart w:id="5" w:name="_Toc211443943"/>
      <w:r>
        <w:t>1</w:t>
      </w:r>
      <w:r w:rsidR="00BA69C3">
        <w:t xml:space="preserve">.5 </w:t>
      </w:r>
      <w:r w:rsidR="00052AD4" w:rsidRPr="00052AD4">
        <w:t>Critical Analysis of Adaptation Strategies</w:t>
      </w:r>
      <w:bookmarkEnd w:id="5"/>
    </w:p>
    <w:p w14:paraId="5ECCE1F0"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While AI-enabled HR offers immense potential, adaptation is not guaranteed to succeed. Some pitfalls include:</w:t>
      </w:r>
    </w:p>
    <w:p w14:paraId="75048EEC" w14:textId="77777777" w:rsidR="00052AD4" w:rsidRPr="00052AD4" w:rsidRDefault="00052AD4" w:rsidP="00052AD4">
      <w:pPr>
        <w:pStyle w:val="ListParagraph"/>
        <w:numPr>
          <w:ilvl w:val="0"/>
          <w:numId w:val="3"/>
        </w:num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Overreliance on automation: treating technology as a silver bullet can neglect human judgement, nuance, and context.</w:t>
      </w:r>
    </w:p>
    <w:p w14:paraId="4AFB8E6A" w14:textId="77777777" w:rsidR="00D620B9" w:rsidRDefault="00052AD4" w:rsidP="00D620B9">
      <w:pPr>
        <w:pStyle w:val="ListParagraph"/>
        <w:numPr>
          <w:ilvl w:val="0"/>
          <w:numId w:val="3"/>
        </w:num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Resistance and trust issues: employees may resist “black box” systems if they perceive bias, unfairness, or lack of control. Employee well-being concerns and transparency are crucial. A study on AI and employee well-being notes that perceptions of fairness, clarity, and inclusion influence acceptance</w:t>
      </w:r>
      <w:r w:rsidR="00D620B9">
        <w:rPr>
          <w:rFonts w:ascii="Times New Roman" w:hAnsi="Times New Roman" w:cs="Times New Roman"/>
          <w:lang w:val="en-IN" w:eastAsia="en-GB"/>
        </w:rPr>
        <w:t xml:space="preserve"> </w:t>
      </w:r>
      <w:r w:rsidR="00D620B9" w:rsidRPr="00D620B9">
        <w:rPr>
          <w:rFonts w:ascii="Times New Roman" w:hAnsi="Times New Roman" w:cs="Times New Roman"/>
          <w:lang w:eastAsia="en-GB"/>
        </w:rPr>
        <w:t>(Sadeghi, 2024)</w:t>
      </w:r>
      <w:r w:rsidR="00D620B9">
        <w:rPr>
          <w:rFonts w:ascii="Times New Roman" w:hAnsi="Times New Roman" w:cs="Times New Roman"/>
          <w:lang w:eastAsia="en-GB"/>
        </w:rPr>
        <w:t>.</w:t>
      </w:r>
    </w:p>
    <w:p w14:paraId="72B88719" w14:textId="77777777" w:rsidR="00D620B9" w:rsidRPr="00D620B9" w:rsidRDefault="00052AD4" w:rsidP="00D620B9">
      <w:pPr>
        <w:pStyle w:val="ListParagraph"/>
        <w:numPr>
          <w:ilvl w:val="0"/>
          <w:numId w:val="3"/>
        </w:numPr>
        <w:spacing w:line="360" w:lineRule="auto"/>
        <w:jc w:val="both"/>
        <w:rPr>
          <w:rFonts w:ascii="Times New Roman" w:hAnsi="Times New Roman" w:cs="Times New Roman"/>
          <w:lang w:eastAsia="en-GB"/>
        </w:rPr>
      </w:pPr>
      <w:r w:rsidRPr="00D620B9">
        <w:rPr>
          <w:rFonts w:ascii="Times New Roman" w:hAnsi="Times New Roman" w:cs="Times New Roman"/>
          <w:lang w:val="en-IN" w:eastAsia="en-GB"/>
        </w:rPr>
        <w:t>Uneven distribution of benefits: low-skill workers may suffer displacement, whereas high-skill roles benefit – increasing wage and inequality gaps.</w:t>
      </w:r>
    </w:p>
    <w:p w14:paraId="4AEBF2AA" w14:textId="5FD9319E" w:rsidR="00052AD4" w:rsidRPr="00D620B9" w:rsidRDefault="00D620B9" w:rsidP="00D620B9">
      <w:pPr>
        <w:pStyle w:val="ListParagraph"/>
        <w:numPr>
          <w:ilvl w:val="0"/>
          <w:numId w:val="3"/>
        </w:numPr>
        <w:spacing w:line="360" w:lineRule="auto"/>
        <w:jc w:val="both"/>
        <w:rPr>
          <w:rFonts w:ascii="Times New Roman" w:hAnsi="Times New Roman" w:cs="Times New Roman"/>
          <w:lang w:eastAsia="en-GB"/>
        </w:rPr>
      </w:pPr>
      <w:r w:rsidRPr="00D620B9">
        <w:rPr>
          <w:rFonts w:ascii="Times New Roman" w:hAnsi="Times New Roman" w:cs="Times New Roman"/>
          <w:lang w:val="en-IN" w:eastAsia="en-GB"/>
        </w:rPr>
        <w:t xml:space="preserve"> </w:t>
      </w:r>
      <w:r w:rsidR="00052AD4" w:rsidRPr="00D620B9">
        <w:rPr>
          <w:rFonts w:ascii="Times New Roman" w:hAnsi="Times New Roman" w:cs="Times New Roman"/>
          <w:lang w:val="en-IN" w:eastAsia="en-GB"/>
        </w:rPr>
        <w:t>Capability gap: HR functions may lack the technical skills or data literacy to design, govern, and interpret AI systems</w:t>
      </w:r>
      <w:r>
        <w:rPr>
          <w:rFonts w:ascii="Times New Roman" w:hAnsi="Times New Roman" w:cs="Times New Roman"/>
          <w:lang w:val="en-IN" w:eastAsia="en-GB"/>
        </w:rPr>
        <w:t xml:space="preserve"> </w:t>
      </w:r>
      <w:r w:rsidRPr="00D620B9">
        <w:rPr>
          <w:rFonts w:ascii="Times New Roman" w:hAnsi="Times New Roman" w:cs="Times New Roman"/>
          <w:lang w:eastAsia="en-GB"/>
        </w:rPr>
        <w:t>(Marguerit, 2025)</w:t>
      </w:r>
      <w:r w:rsidR="00052AD4" w:rsidRPr="00D620B9">
        <w:rPr>
          <w:rFonts w:ascii="Times New Roman" w:hAnsi="Times New Roman" w:cs="Times New Roman"/>
          <w:lang w:val="en-IN" w:eastAsia="en-GB"/>
        </w:rPr>
        <w:t>.</w:t>
      </w:r>
    </w:p>
    <w:p w14:paraId="58C93235" w14:textId="77777777" w:rsidR="00052AD4" w:rsidRPr="00D620B9" w:rsidRDefault="00052AD4" w:rsidP="00D620B9">
      <w:pPr>
        <w:spacing w:line="360" w:lineRule="auto"/>
        <w:jc w:val="both"/>
        <w:rPr>
          <w:rFonts w:ascii="Times New Roman" w:hAnsi="Times New Roman" w:cs="Times New Roman"/>
          <w:lang w:val="en-IN" w:eastAsia="en-GB"/>
        </w:rPr>
      </w:pPr>
      <w:r w:rsidRPr="00D620B9">
        <w:rPr>
          <w:rFonts w:ascii="Times New Roman" w:hAnsi="Times New Roman" w:cs="Times New Roman"/>
          <w:lang w:val="en-IN" w:eastAsia="en-GB"/>
        </w:rPr>
        <w:lastRenderedPageBreak/>
        <w:t>Thus, adaptation strategies should be incremental and phased — start with piloting smart tools in transactional HR, build data capabilities, embed ethics &amp; governance, and gradually shift toward predictive HR and business partnering.</w:t>
      </w:r>
    </w:p>
    <w:p w14:paraId="3997FBEA" w14:textId="2EF5A905" w:rsidR="00052AD4" w:rsidRPr="00052AD4" w:rsidRDefault="001B5260" w:rsidP="00052AD4">
      <w:pPr>
        <w:pStyle w:val="Heading1"/>
        <w:rPr>
          <w:lang w:val="en-IN" w:eastAsia="en-GB"/>
        </w:rPr>
      </w:pPr>
      <w:bookmarkStart w:id="6" w:name="_Toc211443944"/>
      <w:r>
        <w:rPr>
          <w:lang w:val="en-IN" w:eastAsia="en-GB"/>
        </w:rPr>
        <w:t>Q</w:t>
      </w:r>
      <w:r w:rsidR="0077410C">
        <w:rPr>
          <w:lang w:val="en-IN" w:eastAsia="en-GB"/>
        </w:rPr>
        <w:t xml:space="preserve"> </w:t>
      </w:r>
      <w:r w:rsidR="00AF3743">
        <w:rPr>
          <w:lang w:val="en-IN" w:eastAsia="en-GB"/>
        </w:rPr>
        <w:t>2</w:t>
      </w:r>
      <w:r w:rsidR="00BA69C3">
        <w:rPr>
          <w:lang w:val="en-IN" w:eastAsia="en-GB"/>
        </w:rPr>
        <w:t xml:space="preserve">. </w:t>
      </w:r>
      <w:r w:rsidR="00052AD4" w:rsidRPr="00052AD4">
        <w:rPr>
          <w:lang w:val="en-IN" w:eastAsia="en-GB"/>
        </w:rPr>
        <w:t>Demographic and Geopolitical Factors Affecting Employment Markets</w:t>
      </w:r>
      <w:bookmarkEnd w:id="6"/>
    </w:p>
    <w:p w14:paraId="16A7FFA0" w14:textId="5285DCAA" w:rsidR="00052AD4" w:rsidRPr="00052AD4" w:rsidRDefault="00AF3743" w:rsidP="00052AD4">
      <w:pPr>
        <w:pStyle w:val="Heading2"/>
      </w:pPr>
      <w:bookmarkStart w:id="7" w:name="_Toc211443945"/>
      <w:r>
        <w:t>2</w:t>
      </w:r>
      <w:r w:rsidR="00BA69C3">
        <w:t xml:space="preserve">.1 </w:t>
      </w:r>
      <w:r w:rsidR="00052AD4" w:rsidRPr="00052AD4">
        <w:t>Demographic Shifts: Aging, Generational Change &amp; Migration</w:t>
      </w:r>
      <w:bookmarkEnd w:id="7"/>
    </w:p>
    <w:p w14:paraId="460658C5" w14:textId="10AE9BFD" w:rsidR="00052AD4"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Global populations are aging rapidly. By 2030, 1 in 6 people globally will be aged 60 or over, up from about 1.1 billion in 2023 to 1.4 billion</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(World Health Organization, 2025)</w:t>
      </w:r>
      <w:r w:rsidRPr="00052AD4">
        <w:rPr>
          <w:rFonts w:ascii="Times New Roman" w:hAnsi="Times New Roman" w:cs="Times New Roman"/>
          <w:lang w:val="en-IN" w:eastAsia="en-GB"/>
        </w:rPr>
        <w:t>.</w:t>
      </w:r>
      <w:r w:rsidR="004305EB" w:rsidRPr="00052AD4">
        <w:rPr>
          <w:rFonts w:ascii="Times New Roman" w:hAnsi="Times New Roman" w:cs="Times New Roman"/>
          <w:lang w:val="en-IN" w:eastAsia="en-GB"/>
        </w:rPr>
        <w:t xml:space="preserve"> </w:t>
      </w:r>
      <w:r w:rsidR="004305EB">
        <w:rPr>
          <w:rFonts w:ascii="Times New Roman" w:hAnsi="Times New Roman" w:cs="Times New Roman"/>
          <w:lang w:val="en-IN" w:eastAsia="en-GB"/>
        </w:rPr>
        <w:t>I</w:t>
      </w:r>
      <w:r w:rsidRPr="00052AD4">
        <w:rPr>
          <w:rFonts w:ascii="Times New Roman" w:hAnsi="Times New Roman" w:cs="Times New Roman"/>
          <w:lang w:val="en-IN" w:eastAsia="en-GB"/>
        </w:rPr>
        <w:t>n many advanced economies, the working-age population is shrinking, placing pressure on labour supply and public finances. The IMF describes this “silver economy” effect: while aging presents burdens, healthier older populations offer opportunities if they remain economically active</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w:t>
      </w:r>
      <w:proofErr w:type="spellStart"/>
      <w:r w:rsidR="004305EB" w:rsidRPr="004305EB">
        <w:rPr>
          <w:rFonts w:ascii="Times New Roman" w:hAnsi="Times New Roman" w:cs="Times New Roman"/>
          <w:lang w:eastAsia="en-GB"/>
        </w:rPr>
        <w:t>Gölçek</w:t>
      </w:r>
      <w:proofErr w:type="spellEnd"/>
      <w:r w:rsidR="004305EB" w:rsidRPr="004305EB">
        <w:rPr>
          <w:rFonts w:ascii="Times New Roman" w:hAnsi="Times New Roman" w:cs="Times New Roman"/>
          <w:lang w:eastAsia="en-GB"/>
        </w:rPr>
        <w:t>, 2024)</w:t>
      </w:r>
      <w:r w:rsidRPr="00052AD4">
        <w:rPr>
          <w:rFonts w:ascii="Times New Roman" w:hAnsi="Times New Roman" w:cs="Times New Roman"/>
          <w:lang w:val="en-IN" w:eastAsia="en-GB"/>
        </w:rPr>
        <w:t>. In the U.S., the employment of workers aged 65+ has more than doubled over 20 years, with full-time roles becoming more common</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(CDC, 2024)</w:t>
      </w:r>
      <w:r w:rsidRPr="00052AD4">
        <w:rPr>
          <w:rFonts w:ascii="Times New Roman" w:hAnsi="Times New Roman" w:cs="Times New Roman"/>
          <w:lang w:val="en-IN" w:eastAsia="en-GB"/>
        </w:rPr>
        <w:t>. Further, among those age 75 or older, labour force participation is projected to grow by nearly 96.5 % by 2030 in the U.S</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(BLS, 2021)</w:t>
      </w:r>
      <w:r w:rsidRPr="00052AD4">
        <w:rPr>
          <w:rFonts w:ascii="Times New Roman" w:hAnsi="Times New Roman" w:cs="Times New Roman"/>
          <w:lang w:val="en-IN" w:eastAsia="en-GB"/>
        </w:rPr>
        <w:t>.</w:t>
      </w:r>
      <w:r w:rsidR="004305EB" w:rsidRPr="004305EB">
        <w:rPr>
          <w:rFonts w:ascii="Times New Roman" w:hAnsi="Times New Roman" w:cs="Times New Roman"/>
          <w:lang w:eastAsia="en-GB"/>
        </w:rPr>
        <w:t xml:space="preserve"> </w:t>
      </w:r>
    </w:p>
    <w:p w14:paraId="316A8FE7" w14:textId="77777777" w:rsidR="004305EB" w:rsidRPr="004305EB" w:rsidRDefault="004305EB" w:rsidP="004305EB">
      <w:pPr>
        <w:keepNext/>
        <w:spacing w:line="360" w:lineRule="auto"/>
        <w:jc w:val="center"/>
        <w:rPr>
          <w:rFonts w:ascii="Times New Roman" w:hAnsi="Times New Roman" w:cs="Times New Roman"/>
        </w:rPr>
      </w:pPr>
      <w:r w:rsidRPr="004305EB">
        <w:rPr>
          <w:rFonts w:ascii="Times New Roman" w:hAnsi="Times New Roman" w:cs="Times New Roman"/>
          <w:noProof/>
          <w:lang w:eastAsia="en-GB"/>
        </w:rPr>
        <w:drawing>
          <wp:inline distT="0" distB="0" distL="0" distR="0" wp14:anchorId="5C046FDB" wp14:editId="785F8301">
            <wp:extent cx="4632960" cy="3273760"/>
            <wp:effectExtent l="0" t="0" r="0" b="3175"/>
            <wp:docPr id="18178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8999" name=""/>
                    <pic:cNvPicPr/>
                  </pic:nvPicPr>
                  <pic:blipFill>
                    <a:blip r:embed="rId12"/>
                    <a:stretch>
                      <a:fillRect/>
                    </a:stretch>
                  </pic:blipFill>
                  <pic:spPr>
                    <a:xfrm>
                      <a:off x="0" y="0"/>
                      <a:ext cx="4637454" cy="3276935"/>
                    </a:xfrm>
                    <a:prstGeom prst="rect">
                      <a:avLst/>
                    </a:prstGeom>
                  </pic:spPr>
                </pic:pic>
              </a:graphicData>
            </a:graphic>
          </wp:inline>
        </w:drawing>
      </w:r>
    </w:p>
    <w:p w14:paraId="291683D3" w14:textId="58FA4253" w:rsidR="004305EB" w:rsidRPr="004305EB" w:rsidRDefault="004305EB" w:rsidP="004305EB">
      <w:pPr>
        <w:pStyle w:val="Caption"/>
        <w:jc w:val="center"/>
        <w:rPr>
          <w:rFonts w:ascii="Times New Roman" w:hAnsi="Times New Roman" w:cs="Times New Roman"/>
          <w:i w:val="0"/>
          <w:iCs w:val="0"/>
          <w:sz w:val="24"/>
          <w:szCs w:val="24"/>
          <w:lang w:val="en-US"/>
        </w:rPr>
      </w:pPr>
      <w:r w:rsidRPr="004305EB">
        <w:rPr>
          <w:rFonts w:ascii="Times New Roman" w:hAnsi="Times New Roman" w:cs="Times New Roman"/>
          <w:i w:val="0"/>
          <w:iCs w:val="0"/>
          <w:sz w:val="24"/>
          <w:szCs w:val="24"/>
        </w:rPr>
        <w:t xml:space="preserve">Figure </w:t>
      </w:r>
      <w:r w:rsidRPr="004305EB">
        <w:rPr>
          <w:rFonts w:ascii="Times New Roman" w:hAnsi="Times New Roman" w:cs="Times New Roman"/>
          <w:i w:val="0"/>
          <w:iCs w:val="0"/>
          <w:sz w:val="24"/>
          <w:szCs w:val="24"/>
        </w:rPr>
        <w:fldChar w:fldCharType="begin"/>
      </w:r>
      <w:r w:rsidRPr="004305EB">
        <w:rPr>
          <w:rFonts w:ascii="Times New Roman" w:hAnsi="Times New Roman" w:cs="Times New Roman"/>
          <w:i w:val="0"/>
          <w:iCs w:val="0"/>
          <w:sz w:val="24"/>
          <w:szCs w:val="24"/>
        </w:rPr>
        <w:instrText xml:space="preserve"> SEQ Figure \* ARABIC </w:instrText>
      </w:r>
      <w:r w:rsidRPr="004305EB">
        <w:rPr>
          <w:rFonts w:ascii="Times New Roman" w:hAnsi="Times New Roman" w:cs="Times New Roman"/>
          <w:i w:val="0"/>
          <w:iCs w:val="0"/>
          <w:sz w:val="24"/>
          <w:szCs w:val="24"/>
        </w:rPr>
        <w:fldChar w:fldCharType="separate"/>
      </w:r>
      <w:r w:rsidR="00BA031E">
        <w:rPr>
          <w:rFonts w:ascii="Times New Roman" w:hAnsi="Times New Roman" w:cs="Times New Roman"/>
          <w:i w:val="0"/>
          <w:iCs w:val="0"/>
          <w:noProof/>
          <w:sz w:val="24"/>
          <w:szCs w:val="24"/>
        </w:rPr>
        <w:t>2</w:t>
      </w:r>
      <w:r w:rsidRPr="004305EB">
        <w:rPr>
          <w:rFonts w:ascii="Times New Roman" w:hAnsi="Times New Roman" w:cs="Times New Roman"/>
          <w:i w:val="0"/>
          <w:iCs w:val="0"/>
          <w:sz w:val="24"/>
          <w:szCs w:val="24"/>
        </w:rPr>
        <w:fldChar w:fldCharType="end"/>
      </w:r>
      <w:r w:rsidRPr="004305EB">
        <w:rPr>
          <w:rFonts w:ascii="Times New Roman" w:hAnsi="Times New Roman" w:cs="Times New Roman"/>
          <w:i w:val="0"/>
          <w:iCs w:val="0"/>
          <w:sz w:val="24"/>
          <w:szCs w:val="24"/>
          <w:lang w:val="en-US"/>
        </w:rPr>
        <w:t xml:space="preserve"> labor force is expected to grow 96.5 percent by 2030</w:t>
      </w:r>
    </w:p>
    <w:p w14:paraId="64B872CE" w14:textId="389C0B48" w:rsidR="004305EB" w:rsidRPr="004305EB" w:rsidRDefault="004305EB" w:rsidP="004305EB">
      <w:pPr>
        <w:jc w:val="center"/>
        <w:rPr>
          <w:rFonts w:ascii="Times New Roman" w:hAnsi="Times New Roman" w:cs="Times New Roman"/>
        </w:rPr>
      </w:pPr>
      <w:r w:rsidRPr="004305EB">
        <w:rPr>
          <w:rFonts w:ascii="Times New Roman" w:hAnsi="Times New Roman" w:cs="Times New Roman"/>
        </w:rPr>
        <w:t>(Source: BLS, 2021)</w:t>
      </w:r>
    </w:p>
    <w:p w14:paraId="4A784107" w14:textId="77777777" w:rsidR="004305EB" w:rsidRPr="004305EB" w:rsidRDefault="004305EB" w:rsidP="004305EB">
      <w:pPr>
        <w:rPr>
          <w:lang w:val="en-US"/>
        </w:rPr>
      </w:pPr>
    </w:p>
    <w:p w14:paraId="7C884784"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This aging trend coexists with generational transformations: Gen Z and Millennials have different work expectations—flexibility, purpose, digital fluency, constant learning—compared to older cohorts. HR must manage a multigenerational workforce with divergent priorities (e.g. stability vs experimentation).</w:t>
      </w:r>
    </w:p>
    <w:p w14:paraId="132C9DE0"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Migration and labour mobility are also reshaping national labour markets. As fertility rates decline in many developed countries and aging accelerates, migration becomes a critical lever to replenish the workforce. Some regions with net outflows see “brain drain” challenges; in others, immigration policies, refugee flows, and bilateral agreements dynamically affect available talent pools.</w:t>
      </w:r>
    </w:p>
    <w:p w14:paraId="31B144DC" w14:textId="6BC7D82A" w:rsidR="00052AD4" w:rsidRPr="00052AD4" w:rsidRDefault="00AF3743" w:rsidP="00052AD4">
      <w:pPr>
        <w:pStyle w:val="Heading2"/>
      </w:pPr>
      <w:bookmarkStart w:id="8" w:name="_Toc211443946"/>
      <w:r>
        <w:t>2</w:t>
      </w:r>
      <w:r w:rsidR="00BA69C3">
        <w:t xml:space="preserve">.2 </w:t>
      </w:r>
      <w:r w:rsidR="00052AD4" w:rsidRPr="00052AD4">
        <w:t>Geopolitical Influences: Conflicts, Trade Shifts &amp; Mobility Barriers</w:t>
      </w:r>
      <w:bookmarkEnd w:id="8"/>
    </w:p>
    <w:p w14:paraId="78AB8562"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 xml:space="preserve">Geopolitical events—wars, trade wars, sanctions, regional instability—create disruptions in labour flows and economic relationships. For instance, the Russia–Ukraine war has displaced millions, </w:t>
      </w:r>
      <w:proofErr w:type="gramStart"/>
      <w:r w:rsidRPr="00052AD4">
        <w:rPr>
          <w:rFonts w:ascii="Times New Roman" w:hAnsi="Times New Roman" w:cs="Times New Roman"/>
          <w:lang w:val="en-IN" w:eastAsia="en-GB"/>
        </w:rPr>
        <w:t>altering</w:t>
      </w:r>
      <w:proofErr w:type="gramEnd"/>
      <w:r w:rsidRPr="00052AD4">
        <w:rPr>
          <w:rFonts w:ascii="Times New Roman" w:hAnsi="Times New Roman" w:cs="Times New Roman"/>
          <w:lang w:val="en-IN" w:eastAsia="en-GB"/>
        </w:rPr>
        <w:t xml:space="preserve"> labour availability and creating migrant labour pressures in neighbouring EU states. Similarly, supply-chain shocks from trade tensions (U.S.–China, Brexit) shift where industries locate and thus where jobs emerge.</w:t>
      </w:r>
    </w:p>
    <w:p w14:paraId="6728FC28" w14:textId="6CBCB479" w:rsidR="00052AD4" w:rsidRPr="004305EB"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 xml:space="preserve">A prominent example is Brexit. The UK’s exit from the EU ended free movement, reducing access to EU labour. </w:t>
      </w:r>
      <w:r w:rsidR="004305EB" w:rsidRPr="004305EB">
        <w:rPr>
          <w:rFonts w:ascii="Times New Roman" w:hAnsi="Times New Roman" w:cs="Times New Roman"/>
          <w:lang w:eastAsia="en-GB"/>
        </w:rPr>
        <w:t>McKinsey (2019)</w:t>
      </w:r>
      <w:r w:rsidR="004305EB">
        <w:rPr>
          <w:rFonts w:ascii="Times New Roman" w:hAnsi="Times New Roman" w:cs="Times New Roman"/>
          <w:lang w:eastAsia="en-GB"/>
        </w:rPr>
        <w:t xml:space="preserve">, </w:t>
      </w:r>
      <w:r w:rsidRPr="00052AD4">
        <w:rPr>
          <w:rFonts w:ascii="Times New Roman" w:hAnsi="Times New Roman" w:cs="Times New Roman"/>
          <w:lang w:val="en-IN" w:eastAsia="en-GB"/>
        </w:rPr>
        <w:t>note</w:t>
      </w:r>
      <w:r w:rsidR="004305EB">
        <w:rPr>
          <w:rFonts w:ascii="Times New Roman" w:hAnsi="Times New Roman" w:cs="Times New Roman"/>
          <w:lang w:val="en-IN" w:eastAsia="en-GB"/>
        </w:rPr>
        <w:t>d</w:t>
      </w:r>
      <w:r w:rsidRPr="00052AD4">
        <w:rPr>
          <w:rFonts w:ascii="Times New Roman" w:hAnsi="Times New Roman" w:cs="Times New Roman"/>
          <w:lang w:val="en-IN" w:eastAsia="en-GB"/>
        </w:rPr>
        <w:t xml:space="preserve"> net migration from the EU to the UK has fallen significantly, exacerbating talent shortages in key sectors. The decline in EU workers has raised concerns of labour scarcity, especially in health, logistics, agriculture, hospitality, and social care</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(IES, 2019)</w:t>
      </w:r>
      <w:r w:rsidRPr="00052AD4">
        <w:rPr>
          <w:rFonts w:ascii="Times New Roman" w:hAnsi="Times New Roman" w:cs="Times New Roman"/>
          <w:lang w:val="en-IN" w:eastAsia="en-GB"/>
        </w:rPr>
        <w:t>. Employers now must engage with skilled visa routes, immigration compliance, and more rigorous selection criteria</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(ADP, 2024)</w:t>
      </w:r>
      <w:r w:rsidRPr="00052AD4">
        <w:rPr>
          <w:rFonts w:ascii="Times New Roman" w:hAnsi="Times New Roman" w:cs="Times New Roman"/>
          <w:lang w:val="en-IN" w:eastAsia="en-GB"/>
        </w:rPr>
        <w:t>. In academia, some studies</w:t>
      </w:r>
      <w:r w:rsidR="004305EB">
        <w:rPr>
          <w:rFonts w:ascii="Times New Roman" w:hAnsi="Times New Roman" w:cs="Times New Roman"/>
          <w:lang w:val="en-IN" w:eastAsia="en-GB"/>
        </w:rPr>
        <w:t xml:space="preserve"> like </w:t>
      </w:r>
      <w:r w:rsidR="004305EB" w:rsidRPr="004305EB">
        <w:rPr>
          <w:rFonts w:ascii="Times New Roman" w:hAnsi="Times New Roman" w:cs="Times New Roman"/>
          <w:lang w:eastAsia="en-GB"/>
        </w:rPr>
        <w:t>Marini (2024)</w:t>
      </w:r>
      <w:r w:rsidR="004305EB">
        <w:rPr>
          <w:rFonts w:ascii="Times New Roman" w:hAnsi="Times New Roman" w:cs="Times New Roman"/>
          <w:lang w:eastAsia="en-GB"/>
        </w:rPr>
        <w:t>,</w:t>
      </w:r>
      <w:r w:rsidRPr="00052AD4">
        <w:rPr>
          <w:rFonts w:ascii="Times New Roman" w:hAnsi="Times New Roman" w:cs="Times New Roman"/>
          <w:lang w:val="en-IN" w:eastAsia="en-GB"/>
        </w:rPr>
        <w:t xml:space="preserve"> suggest</w:t>
      </w:r>
      <w:r w:rsidR="004305EB">
        <w:rPr>
          <w:rFonts w:ascii="Times New Roman" w:hAnsi="Times New Roman" w:cs="Times New Roman"/>
          <w:lang w:val="en-IN" w:eastAsia="en-GB"/>
        </w:rPr>
        <w:t>ed</w:t>
      </w:r>
      <w:r w:rsidRPr="00052AD4">
        <w:rPr>
          <w:rFonts w:ascii="Times New Roman" w:hAnsi="Times New Roman" w:cs="Times New Roman"/>
          <w:lang w:val="en-IN" w:eastAsia="en-GB"/>
        </w:rPr>
        <w:t xml:space="preserve"> post-Brexit recruitment has drawn more from non-EU, lower-reputation sources, altering the quality composition of hires.</w:t>
      </w:r>
      <w:r w:rsidR="004305EB" w:rsidRPr="004305EB">
        <w:rPr>
          <w:rFonts w:ascii="Times New Roman" w:hAnsi="Times New Roman" w:cs="Times New Roman"/>
          <w:lang w:eastAsia="en-GB"/>
        </w:rPr>
        <w:t xml:space="preserve"> </w:t>
      </w:r>
    </w:p>
    <w:p w14:paraId="2A5E789A" w14:textId="0C1C3B4E" w:rsidR="00052AD4" w:rsidRPr="00052AD4" w:rsidRDefault="00AF3743" w:rsidP="00052AD4">
      <w:pPr>
        <w:pStyle w:val="Heading2"/>
      </w:pPr>
      <w:bookmarkStart w:id="9" w:name="_Toc211443947"/>
      <w:r>
        <w:t>2</w:t>
      </w:r>
      <w:r w:rsidR="00BA69C3">
        <w:t xml:space="preserve">.3 </w:t>
      </w:r>
      <w:r w:rsidR="00052AD4" w:rsidRPr="00052AD4">
        <w:t>Theoretical Grounding</w:t>
      </w:r>
      <w:bookmarkEnd w:id="9"/>
    </w:p>
    <w:p w14:paraId="05457F45" w14:textId="61E9F543" w:rsidR="00052AD4" w:rsidRPr="004305EB"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b/>
          <w:bCs/>
          <w:i/>
          <w:iCs/>
          <w:lang w:val="en-IN" w:eastAsia="en-GB"/>
        </w:rPr>
        <w:t>Labour Market Segmentation Theory</w:t>
      </w:r>
      <w:r w:rsidRPr="00052AD4">
        <w:rPr>
          <w:rFonts w:ascii="Times New Roman" w:hAnsi="Times New Roman" w:cs="Times New Roman"/>
          <w:lang w:val="en-IN" w:eastAsia="en-GB"/>
        </w:rPr>
        <w:t xml:space="preserve"> helps explain how demographic and geopolitical forces contribute to dual or segmented labour markets—core vs peripheral, stable vs precarious. Older workers may cluster in stable senior roles, while migrants or younger cohorts take more peripheral, flexible jobs</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(Rubbers, 2019)</w:t>
      </w:r>
      <w:r w:rsidRPr="00052AD4">
        <w:rPr>
          <w:rFonts w:ascii="Times New Roman" w:hAnsi="Times New Roman" w:cs="Times New Roman"/>
          <w:lang w:val="en-IN" w:eastAsia="en-GB"/>
        </w:rPr>
        <w:t>.</w:t>
      </w:r>
    </w:p>
    <w:p w14:paraId="56302CF1" w14:textId="18D7DFA4" w:rsidR="00052AD4" w:rsidRPr="004305EB"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b/>
          <w:bCs/>
          <w:i/>
          <w:iCs/>
          <w:lang w:val="en-IN" w:eastAsia="en-GB"/>
        </w:rPr>
        <w:lastRenderedPageBreak/>
        <w:t>Hofstede’s Cultural Dimensions</w:t>
      </w:r>
      <w:r w:rsidRPr="00052AD4">
        <w:rPr>
          <w:rFonts w:ascii="Times New Roman" w:hAnsi="Times New Roman" w:cs="Times New Roman"/>
          <w:lang w:val="en-IN" w:eastAsia="en-GB"/>
        </w:rPr>
        <w:t xml:space="preserve"> (e.g., uncertainty avoidance, individualism vs collectivism) become salient when integrating migrant or international employees, requiring HR to manage cross-cultural alignment, training, and inclusion</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(Liu et al., 2021)</w:t>
      </w:r>
      <w:r w:rsidRPr="00052AD4">
        <w:rPr>
          <w:rFonts w:ascii="Times New Roman" w:hAnsi="Times New Roman" w:cs="Times New Roman"/>
          <w:lang w:val="en-IN" w:eastAsia="en-GB"/>
        </w:rPr>
        <w:t>.</w:t>
      </w:r>
    </w:p>
    <w:p w14:paraId="11390035"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b/>
          <w:bCs/>
          <w:i/>
          <w:iCs/>
          <w:lang w:val="en-IN" w:eastAsia="en-GB"/>
        </w:rPr>
        <w:t>Global Talent Mobility Frameworks</w:t>
      </w:r>
      <w:r w:rsidRPr="00052AD4">
        <w:rPr>
          <w:rFonts w:ascii="Times New Roman" w:hAnsi="Times New Roman" w:cs="Times New Roman"/>
          <w:lang w:val="en-IN" w:eastAsia="en-GB"/>
        </w:rPr>
        <w:t xml:space="preserve"> (e.g. the IHRM model of global staffing modes: ethnocentric, polycentric, </w:t>
      </w:r>
      <w:proofErr w:type="spellStart"/>
      <w:r w:rsidRPr="00052AD4">
        <w:rPr>
          <w:rFonts w:ascii="Times New Roman" w:hAnsi="Times New Roman" w:cs="Times New Roman"/>
          <w:lang w:val="en-IN" w:eastAsia="en-GB"/>
        </w:rPr>
        <w:t>regiocentric</w:t>
      </w:r>
      <w:proofErr w:type="spellEnd"/>
      <w:r w:rsidRPr="00052AD4">
        <w:rPr>
          <w:rFonts w:ascii="Times New Roman" w:hAnsi="Times New Roman" w:cs="Times New Roman"/>
          <w:lang w:val="en-IN" w:eastAsia="en-GB"/>
        </w:rPr>
        <w:t>, geocentric) are influenced by geopolitical constraints and demographic supply. The choice of staffing approach must adapt to mobility barriers, visa regimes, and demographic realities.</w:t>
      </w:r>
    </w:p>
    <w:p w14:paraId="52C99EE2" w14:textId="364E9111" w:rsidR="00052AD4" w:rsidRPr="00052AD4" w:rsidRDefault="00DA4CDA" w:rsidP="00052AD4">
      <w:pPr>
        <w:pStyle w:val="Heading2"/>
      </w:pPr>
      <w:bookmarkStart w:id="10" w:name="_Toc211443948"/>
      <w:r>
        <w:t>Q 3.</w:t>
      </w:r>
      <w:r w:rsidR="00BA69C3">
        <w:t xml:space="preserve"> </w:t>
      </w:r>
      <w:r w:rsidR="00052AD4" w:rsidRPr="00052AD4">
        <w:t>Implications for HRM / IHRM</w:t>
      </w:r>
      <w:bookmarkEnd w:id="10"/>
    </w:p>
    <w:p w14:paraId="1BE135B2" w14:textId="77777777" w:rsid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Workforce diversity &amp; inclusion: Demographic change invites more age diversity, gender balance, and cultural mix. HR must ensure inclusive practices, knowledge transfer across cohorts, mentorship, and mitigate age biases.</w:t>
      </w:r>
    </w:p>
    <w:p w14:paraId="29D5AF3A" w14:textId="41AD6E62" w:rsidR="00052AD4" w:rsidRPr="004305EB" w:rsidRDefault="00052AD4" w:rsidP="004305EB">
      <w:pPr>
        <w:pStyle w:val="ListParagraph"/>
        <w:numPr>
          <w:ilvl w:val="0"/>
          <w:numId w:val="4"/>
        </w:num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Talent shortages: Shrinking local labour supply can force reliance on international recruitment, contract labour, gig workers, or remote work. HR must plan pipelines, build employer branding in global talent markets, and cultivate flexible employment models</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(Kirton, 2020)</w:t>
      </w:r>
    </w:p>
    <w:p w14:paraId="05B01B71" w14:textId="77777777" w:rsidR="00052AD4" w:rsidRPr="00052AD4" w:rsidRDefault="00052AD4" w:rsidP="00052AD4">
      <w:pPr>
        <w:pStyle w:val="ListParagraph"/>
        <w:numPr>
          <w:ilvl w:val="0"/>
          <w:numId w:val="4"/>
        </w:num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Flexible policies &amp; work design: To accommodate older workers or multi-generational needs, HR may offer part-time roles, phased retirement, job sharing, ergonomics, reskilling programs, and lifelong learning support.</w:t>
      </w:r>
    </w:p>
    <w:p w14:paraId="50196995" w14:textId="5B361DE2" w:rsidR="00052AD4" w:rsidRPr="004305EB" w:rsidRDefault="00052AD4" w:rsidP="004305EB">
      <w:pPr>
        <w:pStyle w:val="ListParagraph"/>
        <w:numPr>
          <w:ilvl w:val="0"/>
          <w:numId w:val="4"/>
        </w:num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Mobility compliance &amp; localization: In IHRM, navigating visa, regulatory, tax and relocation challenges is critical. HR must develop global mobility policies aligned with demographic and geopolitical constraints, balancing global standardization with local adaptation</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(Kirton, 2020)</w:t>
      </w:r>
      <w:r w:rsidRPr="004305EB">
        <w:rPr>
          <w:rFonts w:ascii="Times New Roman" w:hAnsi="Times New Roman" w:cs="Times New Roman"/>
          <w:lang w:val="en-IN" w:eastAsia="en-GB"/>
        </w:rPr>
        <w:t>.</w:t>
      </w:r>
    </w:p>
    <w:p w14:paraId="79F4676C" w14:textId="23ED341A" w:rsidR="00052AD4" w:rsidRPr="00052AD4" w:rsidRDefault="00DA4CDA" w:rsidP="00052AD4">
      <w:pPr>
        <w:pStyle w:val="Heading2"/>
      </w:pPr>
      <w:bookmarkStart w:id="11" w:name="_Toc211443949"/>
      <w:r>
        <w:t>3.1</w:t>
      </w:r>
      <w:r w:rsidR="00BA69C3">
        <w:t xml:space="preserve"> </w:t>
      </w:r>
      <w:r w:rsidR="00052AD4" w:rsidRPr="00052AD4">
        <w:t>Real-World Case: UK Hospitality &amp; Post-Brexit Recruitment</w:t>
      </w:r>
      <w:bookmarkEnd w:id="11"/>
    </w:p>
    <w:p w14:paraId="30308276" w14:textId="7A1AE8DE" w:rsidR="00052AD4" w:rsidRPr="004305EB"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The UK hospitality sector illustrates demographic and geopolitical pressure. Post-Brexit, many EU nationals left the UK workforce, reducing the labour pool in hotels, restaurants, and catering. Recruitment difficulties ensued, with rising wage demands, staff shortages, and increased turnover. Employers shifted to recruiting from non-EU countries, tightening visa sponsorship, raising wages, and automating roles (self-service kiosks)</w:t>
      </w:r>
      <w:r w:rsidR="004305EB">
        <w:rPr>
          <w:rFonts w:ascii="Times New Roman" w:hAnsi="Times New Roman" w:cs="Times New Roman"/>
          <w:lang w:val="en-IN" w:eastAsia="en-GB"/>
        </w:rPr>
        <w:t xml:space="preserve"> </w:t>
      </w:r>
      <w:r w:rsidR="004305EB" w:rsidRPr="004305EB">
        <w:rPr>
          <w:rFonts w:ascii="Times New Roman" w:hAnsi="Times New Roman" w:cs="Times New Roman"/>
          <w:lang w:eastAsia="en-GB"/>
        </w:rPr>
        <w:t>(Talent CRM, 2024)</w:t>
      </w:r>
      <w:r w:rsidRPr="00052AD4">
        <w:rPr>
          <w:rFonts w:ascii="Times New Roman" w:hAnsi="Times New Roman" w:cs="Times New Roman"/>
          <w:lang w:val="en-IN" w:eastAsia="en-GB"/>
        </w:rPr>
        <w:t>. HR had to redesign attraction strategies, invest in training of new recruits unfamiliar with UK standards, and negotiate immigration compliance.</w:t>
      </w:r>
    </w:p>
    <w:p w14:paraId="5009B5D1"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lastRenderedPageBreak/>
        <w:t>While such strategies help, they bring risks: increased costs, regulatory burden, cultural integration, and dependence on external mobility.</w:t>
      </w:r>
    </w:p>
    <w:p w14:paraId="1F9101AC" w14:textId="12C796CC" w:rsidR="00052AD4" w:rsidRPr="00052AD4" w:rsidRDefault="00DA4CDA" w:rsidP="00052AD4">
      <w:pPr>
        <w:pStyle w:val="Heading2"/>
      </w:pPr>
      <w:bookmarkStart w:id="12" w:name="_Toc211443950"/>
      <w:r>
        <w:t>3.2</w:t>
      </w:r>
      <w:r w:rsidR="00BA69C3">
        <w:t xml:space="preserve"> </w:t>
      </w:r>
      <w:r w:rsidR="00052AD4" w:rsidRPr="00052AD4">
        <w:t>Critical Discussion &amp; Balance</w:t>
      </w:r>
      <w:bookmarkEnd w:id="12"/>
    </w:p>
    <w:p w14:paraId="18F9E8CC" w14:textId="0DA114DE" w:rsidR="00052AD4" w:rsidRPr="00BA031E" w:rsidRDefault="00052AD4" w:rsidP="00052AD4">
      <w:pPr>
        <w:spacing w:line="360" w:lineRule="auto"/>
        <w:jc w:val="both"/>
        <w:rPr>
          <w:rFonts w:ascii="Times New Roman" w:hAnsi="Times New Roman" w:cs="Times New Roman"/>
          <w:lang w:eastAsia="en-GB"/>
        </w:rPr>
      </w:pPr>
      <w:r w:rsidRPr="00052AD4">
        <w:rPr>
          <w:rFonts w:ascii="Times New Roman" w:hAnsi="Times New Roman" w:cs="Times New Roman"/>
          <w:lang w:val="en-IN" w:eastAsia="en-GB"/>
        </w:rPr>
        <w:t>Although demographic aging is often framed as a burden, it also holds potential value. Older workers bring institutional memory, reliability, and mentorship capacity. With healthy aging and appropriate policies, many can contribute productively beyond traditional retirement ages (as the IMF suggests)</w:t>
      </w:r>
      <w:r w:rsidR="00BA031E">
        <w:rPr>
          <w:rFonts w:ascii="Times New Roman" w:hAnsi="Times New Roman" w:cs="Times New Roman"/>
          <w:lang w:val="en-IN" w:eastAsia="en-GB"/>
        </w:rPr>
        <w:t xml:space="preserve"> </w:t>
      </w:r>
      <w:r w:rsidR="00BA031E" w:rsidRPr="00BA031E">
        <w:rPr>
          <w:rFonts w:ascii="Times New Roman" w:hAnsi="Times New Roman" w:cs="Times New Roman"/>
          <w:lang w:eastAsia="en-GB"/>
        </w:rPr>
        <w:t>(Reuters , 2025)</w:t>
      </w:r>
      <w:r w:rsidRPr="00052AD4">
        <w:rPr>
          <w:rFonts w:ascii="Times New Roman" w:hAnsi="Times New Roman" w:cs="Times New Roman"/>
          <w:lang w:val="en-IN" w:eastAsia="en-GB"/>
        </w:rPr>
        <w:t>.</w:t>
      </w:r>
      <w:hyperlink r:id="rId13" w:history="1">
        <w:r w:rsidRPr="00052AD4">
          <w:rPr>
            <w:rStyle w:val="Hyperlink"/>
            <w:rFonts w:ascii="Times New Roman" w:hAnsi="Times New Roman" w:cs="Times New Roman"/>
            <w:lang w:val="en-IN" w:eastAsia="en-GB"/>
          </w:rPr>
          <w:t xml:space="preserve"> </w:t>
        </w:r>
      </w:hyperlink>
    </w:p>
    <w:p w14:paraId="46648E42"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Yet, the volatility of geopolitics means HR must operate in uncertainty—long visa delays, shifting bilateral relations, and sudden mobility bans (e.g. pandemic responses) make global HR planning precarious. The segmentation of labour markets means some groups (e.g. migrants, contract workers) may remain excluded from core roles and benefits, exacerbating inequality.</w:t>
      </w:r>
    </w:p>
    <w:p w14:paraId="1AB26401"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In sum, demographic shifts and geopolitics irrevocably alter national and international labour supply dynamics. HRM and IHRM must develop agility, inclusivity, and context-sensitive strategies that balance risks and opportunities across age, cultural, and mobility divides.</w:t>
      </w:r>
    </w:p>
    <w:p w14:paraId="48B32EAA" w14:textId="7469C545" w:rsidR="00052AD4" w:rsidRDefault="001B5260" w:rsidP="00052AD4">
      <w:pPr>
        <w:pStyle w:val="Heading1"/>
        <w:rPr>
          <w:lang w:val="en-IN" w:eastAsia="en-GB"/>
        </w:rPr>
      </w:pPr>
      <w:bookmarkStart w:id="13" w:name="_Toc211443951"/>
      <w:r>
        <w:rPr>
          <w:lang w:val="en-IN" w:eastAsia="en-GB"/>
        </w:rPr>
        <w:t xml:space="preserve">Q </w:t>
      </w:r>
      <w:r w:rsidR="00BA63D5">
        <w:rPr>
          <w:lang w:val="en-IN" w:eastAsia="en-GB"/>
        </w:rPr>
        <w:t xml:space="preserve">4. </w:t>
      </w:r>
      <w:r w:rsidR="00052AD4" w:rsidRPr="00052AD4">
        <w:rPr>
          <w:lang w:val="en-IN" w:eastAsia="en-GB"/>
        </w:rPr>
        <w:t>Reflective Section: Personal Capabilities for the Global and Digital Workplace</w:t>
      </w:r>
      <w:bookmarkEnd w:id="13"/>
    </w:p>
    <w:p w14:paraId="252568A3" w14:textId="77777777" w:rsidR="00BA031E" w:rsidRPr="00BA031E" w:rsidRDefault="00BA031E" w:rsidP="00BA031E">
      <w:pPr>
        <w:keepNext/>
        <w:jc w:val="center"/>
        <w:rPr>
          <w:rFonts w:ascii="Times New Roman" w:hAnsi="Times New Roman" w:cs="Times New Roman"/>
        </w:rPr>
      </w:pPr>
      <w:r w:rsidRPr="00BA031E">
        <w:rPr>
          <w:rFonts w:ascii="Times New Roman" w:hAnsi="Times New Roman" w:cs="Times New Roman"/>
          <w:noProof/>
        </w:rPr>
        <w:drawing>
          <wp:inline distT="0" distB="0" distL="0" distR="0" wp14:anchorId="7DB01136" wp14:editId="71B9FDB4">
            <wp:extent cx="2034540" cy="2034540"/>
            <wp:effectExtent l="0" t="0" r="3810" b="3810"/>
            <wp:docPr id="1848361961"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34540" cy="2034540"/>
                    </a:xfrm>
                    <a:prstGeom prst="rect">
                      <a:avLst/>
                    </a:prstGeom>
                    <a:noFill/>
                    <a:ln>
                      <a:noFill/>
                    </a:ln>
                  </pic:spPr>
                </pic:pic>
              </a:graphicData>
            </a:graphic>
          </wp:inline>
        </w:drawing>
      </w:r>
    </w:p>
    <w:p w14:paraId="5772B913" w14:textId="0D362DD0" w:rsidR="00BA031E" w:rsidRPr="00BA031E" w:rsidRDefault="00BA031E" w:rsidP="00BA031E">
      <w:pPr>
        <w:pStyle w:val="Caption"/>
        <w:jc w:val="center"/>
        <w:rPr>
          <w:rFonts w:ascii="Times New Roman" w:hAnsi="Times New Roman" w:cs="Times New Roman"/>
          <w:i w:val="0"/>
          <w:iCs w:val="0"/>
          <w:sz w:val="24"/>
          <w:szCs w:val="24"/>
          <w:lang w:val="en-US"/>
        </w:rPr>
      </w:pPr>
      <w:r w:rsidRPr="00BA031E">
        <w:rPr>
          <w:rFonts w:ascii="Times New Roman" w:hAnsi="Times New Roman" w:cs="Times New Roman"/>
          <w:i w:val="0"/>
          <w:iCs w:val="0"/>
          <w:sz w:val="24"/>
          <w:szCs w:val="24"/>
        </w:rPr>
        <w:t xml:space="preserve">Figure </w:t>
      </w:r>
      <w:r w:rsidRPr="00BA031E">
        <w:rPr>
          <w:rFonts w:ascii="Times New Roman" w:hAnsi="Times New Roman" w:cs="Times New Roman"/>
          <w:i w:val="0"/>
          <w:iCs w:val="0"/>
          <w:sz w:val="24"/>
          <w:szCs w:val="24"/>
        </w:rPr>
        <w:fldChar w:fldCharType="begin"/>
      </w:r>
      <w:r w:rsidRPr="00BA031E">
        <w:rPr>
          <w:rFonts w:ascii="Times New Roman" w:hAnsi="Times New Roman" w:cs="Times New Roman"/>
          <w:i w:val="0"/>
          <w:iCs w:val="0"/>
          <w:sz w:val="24"/>
          <w:szCs w:val="24"/>
        </w:rPr>
        <w:instrText xml:space="preserve"> SEQ Figure \* ARABIC </w:instrText>
      </w:r>
      <w:r w:rsidRPr="00BA031E">
        <w:rPr>
          <w:rFonts w:ascii="Times New Roman" w:hAnsi="Times New Roman" w:cs="Times New Roman"/>
          <w:i w:val="0"/>
          <w:iCs w:val="0"/>
          <w:sz w:val="24"/>
          <w:szCs w:val="24"/>
        </w:rPr>
        <w:fldChar w:fldCharType="separate"/>
      </w:r>
      <w:r w:rsidRPr="00BA031E">
        <w:rPr>
          <w:rFonts w:ascii="Times New Roman" w:hAnsi="Times New Roman" w:cs="Times New Roman"/>
          <w:i w:val="0"/>
          <w:iCs w:val="0"/>
          <w:noProof/>
          <w:sz w:val="24"/>
          <w:szCs w:val="24"/>
        </w:rPr>
        <w:t>3</w:t>
      </w:r>
      <w:r w:rsidRPr="00BA031E">
        <w:rPr>
          <w:rFonts w:ascii="Times New Roman" w:hAnsi="Times New Roman" w:cs="Times New Roman"/>
          <w:i w:val="0"/>
          <w:iCs w:val="0"/>
          <w:sz w:val="24"/>
          <w:szCs w:val="24"/>
        </w:rPr>
        <w:fldChar w:fldCharType="end"/>
      </w:r>
      <w:r w:rsidRPr="00BA031E">
        <w:rPr>
          <w:rFonts w:ascii="Times New Roman" w:hAnsi="Times New Roman" w:cs="Times New Roman"/>
          <w:i w:val="0"/>
          <w:iCs w:val="0"/>
          <w:sz w:val="24"/>
          <w:szCs w:val="24"/>
          <w:lang w:val="en-US"/>
        </w:rPr>
        <w:t xml:space="preserve"> Gibbs Reflective Cycle</w:t>
      </w:r>
    </w:p>
    <w:p w14:paraId="71844517" w14:textId="2615CAF9" w:rsidR="00BA031E" w:rsidRPr="00BA031E" w:rsidRDefault="00BA031E" w:rsidP="00BA031E">
      <w:pPr>
        <w:jc w:val="center"/>
        <w:rPr>
          <w:lang w:eastAsia="en-GB"/>
        </w:rPr>
      </w:pPr>
      <w:r w:rsidRPr="00BA031E">
        <w:rPr>
          <w:rFonts w:ascii="Times New Roman" w:hAnsi="Times New Roman" w:cs="Times New Roman"/>
          <w:lang w:eastAsia="en-GB"/>
        </w:rPr>
        <w:t xml:space="preserve">(Source: </w:t>
      </w:r>
      <w:proofErr w:type="spellStart"/>
      <w:r w:rsidRPr="00BA031E">
        <w:rPr>
          <w:rFonts w:ascii="Times New Roman" w:hAnsi="Times New Roman" w:cs="Times New Roman"/>
          <w:lang w:eastAsia="en-GB"/>
        </w:rPr>
        <w:t>Adeani</w:t>
      </w:r>
      <w:proofErr w:type="spellEnd"/>
      <w:r w:rsidRPr="00BA031E">
        <w:rPr>
          <w:rFonts w:ascii="Times New Roman" w:hAnsi="Times New Roman" w:cs="Times New Roman"/>
          <w:lang w:eastAsia="en-GB"/>
        </w:rPr>
        <w:t xml:space="preserve">, </w:t>
      </w:r>
      <w:proofErr w:type="spellStart"/>
      <w:r w:rsidRPr="00BA031E">
        <w:rPr>
          <w:rFonts w:ascii="Times New Roman" w:hAnsi="Times New Roman" w:cs="Times New Roman"/>
          <w:lang w:eastAsia="en-GB"/>
        </w:rPr>
        <w:t>Febriani</w:t>
      </w:r>
      <w:proofErr w:type="spellEnd"/>
      <w:r w:rsidRPr="00BA031E">
        <w:rPr>
          <w:rFonts w:ascii="Times New Roman" w:hAnsi="Times New Roman" w:cs="Times New Roman"/>
          <w:lang w:eastAsia="en-GB"/>
        </w:rPr>
        <w:t xml:space="preserve"> and Syafryadin, 2020</w:t>
      </w:r>
      <w:r w:rsidRPr="00BA031E">
        <w:rPr>
          <w:lang w:eastAsia="en-GB"/>
        </w:rPr>
        <w:t>)</w:t>
      </w:r>
    </w:p>
    <w:p w14:paraId="7172AB6D" w14:textId="77777777" w:rsidR="00BA031E" w:rsidRPr="00BA031E" w:rsidRDefault="00BA031E" w:rsidP="00BA031E">
      <w:pPr>
        <w:rPr>
          <w:lang w:val="en-US" w:eastAsia="en-GB"/>
        </w:rPr>
      </w:pPr>
    </w:p>
    <w:p w14:paraId="1D12015B"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Description</w:t>
      </w:r>
    </w:p>
    <w:p w14:paraId="56CAD27B"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 xml:space="preserve">Throughout my MBA studies and group projects, I have engaged in international teamwork, used digital collaboration tools, and participated in strategy simulations. These experiences exposed me </w:t>
      </w:r>
      <w:r w:rsidRPr="00052AD4">
        <w:rPr>
          <w:rFonts w:ascii="Times New Roman" w:hAnsi="Times New Roman" w:cs="Times New Roman"/>
          <w:lang w:val="en-IN" w:eastAsia="en-GB"/>
        </w:rPr>
        <w:lastRenderedPageBreak/>
        <w:t>to diverse perspectives and the growing importance of technology and adaptability in global business.</w:t>
      </w:r>
    </w:p>
    <w:p w14:paraId="3DF98B08"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Feelings</w:t>
      </w:r>
    </w:p>
    <w:p w14:paraId="29577D49"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Initially, I felt confident in learning new technologies but less assured in leading diverse teams across cultures. Working remotely often made it difficult to gauge others’ engagement or manage collaboration effectively.</w:t>
      </w:r>
    </w:p>
    <w:p w14:paraId="1C6E2905"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Evaluation</w:t>
      </w:r>
    </w:p>
    <w:p w14:paraId="492873F1"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My key strengths include technological competence, communication, and teamwork. I quickly adapt to tools such as Teams, Excel, and Miro, and communicate ideas clearly. However, I recognise weaknesses in strategic leadership and limited experience in data-driven decision-making and AI ethics, which are increasingly critical for HR and management roles.</w:t>
      </w:r>
    </w:p>
    <w:p w14:paraId="2FF4B733"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Analysis</w:t>
      </w:r>
    </w:p>
    <w:p w14:paraId="5A24E06A"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This reflection revealed that global and digital workplaces require both technical fluency and cross-cultural intelligence. Success depends not only on mastering technology but also on emotional intelligence, inclusivity, and ethical awareness. Applying Kolb’s Experiential Learning Model, I see that learning from action, reflection, and experimentation can help bridge my leadership and analytical skill gaps.</w:t>
      </w:r>
    </w:p>
    <w:p w14:paraId="53C227E3"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Conclusion</w:t>
      </w:r>
    </w:p>
    <w:p w14:paraId="5A810016"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I am well-prepared for collaborative, technology-enhanced environments but must enhance my leadership confidence and data literacy to manage future global challenges effectively.</w:t>
      </w:r>
    </w:p>
    <w:p w14:paraId="21ED36EB" w14:textId="77777777" w:rsidR="00052AD4" w:rsidRPr="00052AD4" w:rsidRDefault="00052AD4" w:rsidP="00052AD4">
      <w:pPr>
        <w:spacing w:line="360" w:lineRule="auto"/>
        <w:jc w:val="both"/>
        <w:rPr>
          <w:rFonts w:ascii="Times New Roman" w:hAnsi="Times New Roman" w:cs="Times New Roman"/>
          <w:b/>
          <w:bCs/>
          <w:lang w:val="en-IN" w:eastAsia="en-GB"/>
        </w:rPr>
      </w:pPr>
      <w:r w:rsidRPr="00052AD4">
        <w:rPr>
          <w:rFonts w:ascii="Times New Roman" w:hAnsi="Times New Roman" w:cs="Times New Roman"/>
          <w:b/>
          <w:bCs/>
          <w:lang w:val="en-IN" w:eastAsia="en-GB"/>
        </w:rPr>
        <w:t>Action Plan</w:t>
      </w:r>
    </w:p>
    <w:tbl>
      <w:tblPr>
        <w:tblStyle w:val="PlainTable1"/>
        <w:tblW w:w="0" w:type="auto"/>
        <w:tblLook w:val="04A0" w:firstRow="1" w:lastRow="0" w:firstColumn="1" w:lastColumn="0" w:noHBand="0" w:noVBand="1"/>
      </w:tblPr>
      <w:tblGrid>
        <w:gridCol w:w="1573"/>
        <w:gridCol w:w="2080"/>
        <w:gridCol w:w="1481"/>
        <w:gridCol w:w="1667"/>
        <w:gridCol w:w="1627"/>
        <w:gridCol w:w="922"/>
      </w:tblGrid>
      <w:tr w:rsidR="00052AD4" w:rsidRPr="00052AD4" w14:paraId="32870559" w14:textId="77777777" w:rsidTr="00052AD4">
        <w:trPr>
          <w:cnfStyle w:val="100000000000" w:firstRow="1" w:lastRow="0" w:firstColumn="0" w:lastColumn="0" w:oddVBand="0" w:evenVBand="0" w:oddHBand="0"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24609091"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Goal</w:t>
            </w:r>
          </w:p>
        </w:tc>
        <w:tc>
          <w:tcPr>
            <w:tcW w:w="0" w:type="auto"/>
            <w:hideMark/>
          </w:tcPr>
          <w:p w14:paraId="2796D12F" w14:textId="77777777" w:rsidR="00052AD4" w:rsidRPr="00052AD4" w:rsidRDefault="00052AD4" w:rsidP="00052AD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Specific</w:t>
            </w:r>
          </w:p>
        </w:tc>
        <w:tc>
          <w:tcPr>
            <w:tcW w:w="0" w:type="auto"/>
            <w:hideMark/>
          </w:tcPr>
          <w:p w14:paraId="5FE3CEFD" w14:textId="77777777" w:rsidR="00052AD4" w:rsidRPr="00052AD4" w:rsidRDefault="00052AD4" w:rsidP="00052AD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Measurable</w:t>
            </w:r>
          </w:p>
        </w:tc>
        <w:tc>
          <w:tcPr>
            <w:tcW w:w="0" w:type="auto"/>
            <w:hideMark/>
          </w:tcPr>
          <w:p w14:paraId="4188B4B9" w14:textId="77777777" w:rsidR="00052AD4" w:rsidRPr="00052AD4" w:rsidRDefault="00052AD4" w:rsidP="00052AD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Achievable</w:t>
            </w:r>
          </w:p>
        </w:tc>
        <w:tc>
          <w:tcPr>
            <w:tcW w:w="0" w:type="auto"/>
            <w:hideMark/>
          </w:tcPr>
          <w:p w14:paraId="3489FDDE" w14:textId="77777777" w:rsidR="00052AD4" w:rsidRPr="00052AD4" w:rsidRDefault="00052AD4" w:rsidP="00052AD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Relevant</w:t>
            </w:r>
          </w:p>
        </w:tc>
        <w:tc>
          <w:tcPr>
            <w:tcW w:w="0" w:type="auto"/>
            <w:hideMark/>
          </w:tcPr>
          <w:p w14:paraId="2CDCED44" w14:textId="77777777" w:rsidR="00052AD4" w:rsidRPr="00052AD4" w:rsidRDefault="00052AD4" w:rsidP="00052AD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Time-bound</w:t>
            </w:r>
          </w:p>
        </w:tc>
      </w:tr>
      <w:tr w:rsidR="00052AD4" w:rsidRPr="00052AD4" w14:paraId="0A6CB3D3" w14:textId="77777777" w:rsidTr="00052AD4">
        <w:trPr>
          <w:cnfStyle w:val="000000100000" w:firstRow="0" w:lastRow="0" w:firstColumn="0" w:lastColumn="0" w:oddVBand="0" w:evenVBand="0" w:oddHBand="1" w:evenHBand="0" w:firstRowFirstColumn="0" w:firstRowLastColumn="0" w:lastRowFirstColumn="0" w:lastRowLastColumn="0"/>
          <w:trHeight w:val="1325"/>
        </w:trPr>
        <w:tc>
          <w:tcPr>
            <w:cnfStyle w:val="001000000000" w:firstRow="0" w:lastRow="0" w:firstColumn="1" w:lastColumn="0" w:oddVBand="0" w:evenVBand="0" w:oddHBand="0" w:evenHBand="0" w:firstRowFirstColumn="0" w:firstRowLastColumn="0" w:lastRowFirstColumn="0" w:lastRowLastColumn="0"/>
            <w:tcW w:w="0" w:type="auto"/>
            <w:hideMark/>
          </w:tcPr>
          <w:p w14:paraId="00E4F14A"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1. Develop data science skills</w:t>
            </w:r>
          </w:p>
        </w:tc>
        <w:tc>
          <w:tcPr>
            <w:tcW w:w="0" w:type="auto"/>
            <w:hideMark/>
          </w:tcPr>
          <w:p w14:paraId="6A096212"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Complete a data science specialization with projects</w:t>
            </w:r>
          </w:p>
        </w:tc>
        <w:tc>
          <w:tcPr>
            <w:tcW w:w="0" w:type="auto"/>
            <w:hideMark/>
          </w:tcPr>
          <w:p w14:paraId="0504439B"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2 projects completed, certificate obtained</w:t>
            </w:r>
          </w:p>
        </w:tc>
        <w:tc>
          <w:tcPr>
            <w:tcW w:w="0" w:type="auto"/>
            <w:hideMark/>
          </w:tcPr>
          <w:p w14:paraId="0FA241F1"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Feasible with current time/resources</w:t>
            </w:r>
          </w:p>
        </w:tc>
        <w:tc>
          <w:tcPr>
            <w:tcW w:w="0" w:type="auto"/>
            <w:hideMark/>
          </w:tcPr>
          <w:p w14:paraId="5EC8699B"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Relevant for digital transformation roles</w:t>
            </w:r>
          </w:p>
        </w:tc>
        <w:tc>
          <w:tcPr>
            <w:tcW w:w="0" w:type="auto"/>
            <w:hideMark/>
          </w:tcPr>
          <w:p w14:paraId="49883BD8"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Within 9 months</w:t>
            </w:r>
          </w:p>
        </w:tc>
      </w:tr>
      <w:tr w:rsidR="00052AD4" w:rsidRPr="00052AD4" w14:paraId="0235160C" w14:textId="77777777" w:rsidTr="00052AD4">
        <w:trPr>
          <w:trHeight w:val="1595"/>
        </w:trPr>
        <w:tc>
          <w:tcPr>
            <w:cnfStyle w:val="001000000000" w:firstRow="0" w:lastRow="0" w:firstColumn="1" w:lastColumn="0" w:oddVBand="0" w:evenVBand="0" w:oddHBand="0" w:evenHBand="0" w:firstRowFirstColumn="0" w:firstRowLastColumn="0" w:lastRowFirstColumn="0" w:lastRowLastColumn="0"/>
            <w:tcW w:w="0" w:type="auto"/>
            <w:hideMark/>
          </w:tcPr>
          <w:p w14:paraId="073B5DC7"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 xml:space="preserve">2. Gain experience in leading </w:t>
            </w:r>
            <w:r w:rsidRPr="00052AD4">
              <w:rPr>
                <w:rFonts w:ascii="Times New Roman" w:hAnsi="Times New Roman" w:cs="Times New Roman"/>
                <w:lang w:val="en-IN" w:eastAsia="en-GB"/>
              </w:rPr>
              <w:lastRenderedPageBreak/>
              <w:t>multicultural teams</w:t>
            </w:r>
          </w:p>
        </w:tc>
        <w:tc>
          <w:tcPr>
            <w:tcW w:w="0" w:type="auto"/>
            <w:hideMark/>
          </w:tcPr>
          <w:p w14:paraId="0B8950A5"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lastRenderedPageBreak/>
              <w:t>Volunteer or join international/multi-locational projects</w:t>
            </w:r>
          </w:p>
        </w:tc>
        <w:tc>
          <w:tcPr>
            <w:tcW w:w="0" w:type="auto"/>
            <w:hideMark/>
          </w:tcPr>
          <w:p w14:paraId="2DE78A02"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At least 2 experiences</w:t>
            </w:r>
          </w:p>
        </w:tc>
        <w:tc>
          <w:tcPr>
            <w:tcW w:w="0" w:type="auto"/>
            <w:hideMark/>
          </w:tcPr>
          <w:p w14:paraId="26A62DD1"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Accessible via MBA network/online</w:t>
            </w:r>
          </w:p>
        </w:tc>
        <w:tc>
          <w:tcPr>
            <w:tcW w:w="0" w:type="auto"/>
            <w:hideMark/>
          </w:tcPr>
          <w:p w14:paraId="50388284"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Relevant for IHRM leadership</w:t>
            </w:r>
          </w:p>
        </w:tc>
        <w:tc>
          <w:tcPr>
            <w:tcW w:w="0" w:type="auto"/>
            <w:hideMark/>
          </w:tcPr>
          <w:p w14:paraId="22F3E8C2"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Within 6 months</w:t>
            </w:r>
          </w:p>
        </w:tc>
      </w:tr>
      <w:tr w:rsidR="00052AD4" w:rsidRPr="00052AD4" w14:paraId="1664289B" w14:textId="77777777" w:rsidTr="00052AD4">
        <w:trPr>
          <w:cnfStyle w:val="000000100000" w:firstRow="0" w:lastRow="0" w:firstColumn="0" w:lastColumn="0" w:oddVBand="0" w:evenVBand="0" w:oddHBand="1" w:evenHBand="0" w:firstRowFirstColumn="0" w:firstRowLastColumn="0" w:lastRowFirstColumn="0" w:lastRowLastColumn="0"/>
          <w:trHeight w:val="1595"/>
        </w:trPr>
        <w:tc>
          <w:tcPr>
            <w:cnfStyle w:val="001000000000" w:firstRow="0" w:lastRow="0" w:firstColumn="1" w:lastColumn="0" w:oddVBand="0" w:evenVBand="0" w:oddHBand="0" w:evenHBand="0" w:firstRowFirstColumn="0" w:firstRowLastColumn="0" w:lastRowFirstColumn="0" w:lastRowLastColumn="0"/>
            <w:tcW w:w="0" w:type="auto"/>
            <w:hideMark/>
          </w:tcPr>
          <w:p w14:paraId="499B8D58"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3. Improve tech ethics &amp; global regulation knowledge</w:t>
            </w:r>
          </w:p>
        </w:tc>
        <w:tc>
          <w:tcPr>
            <w:tcW w:w="0" w:type="auto"/>
            <w:hideMark/>
          </w:tcPr>
          <w:p w14:paraId="6F8A51A5"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Take short courses/seminars in AI ethics, GDPR, webinars</w:t>
            </w:r>
          </w:p>
        </w:tc>
        <w:tc>
          <w:tcPr>
            <w:tcW w:w="0" w:type="auto"/>
            <w:hideMark/>
          </w:tcPr>
          <w:p w14:paraId="286B0E45"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Complete 1 course + reflection report</w:t>
            </w:r>
          </w:p>
        </w:tc>
        <w:tc>
          <w:tcPr>
            <w:tcW w:w="0" w:type="auto"/>
            <w:hideMark/>
          </w:tcPr>
          <w:p w14:paraId="2E0F3320"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Many online options</w:t>
            </w:r>
          </w:p>
        </w:tc>
        <w:tc>
          <w:tcPr>
            <w:tcW w:w="0" w:type="auto"/>
            <w:hideMark/>
          </w:tcPr>
          <w:p w14:paraId="18292619"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Critical for international HR roles</w:t>
            </w:r>
          </w:p>
        </w:tc>
        <w:tc>
          <w:tcPr>
            <w:tcW w:w="0" w:type="auto"/>
            <w:hideMark/>
          </w:tcPr>
          <w:p w14:paraId="7DA74DE4" w14:textId="77777777" w:rsidR="00052AD4" w:rsidRPr="00052AD4" w:rsidRDefault="00052AD4" w:rsidP="00052A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Within 4 months</w:t>
            </w:r>
          </w:p>
        </w:tc>
      </w:tr>
      <w:tr w:rsidR="00052AD4" w:rsidRPr="00052AD4" w14:paraId="4601CE5F" w14:textId="77777777" w:rsidTr="00052AD4">
        <w:trPr>
          <w:trHeight w:val="1325"/>
        </w:trPr>
        <w:tc>
          <w:tcPr>
            <w:cnfStyle w:val="001000000000" w:firstRow="0" w:lastRow="0" w:firstColumn="1" w:lastColumn="0" w:oddVBand="0" w:evenVBand="0" w:oddHBand="0" w:evenHBand="0" w:firstRowFirstColumn="0" w:firstRowLastColumn="0" w:lastRowFirstColumn="0" w:lastRowLastColumn="0"/>
            <w:tcW w:w="0" w:type="auto"/>
            <w:hideMark/>
          </w:tcPr>
          <w:p w14:paraId="1B7670B1" w14:textId="77777777" w:rsidR="00052AD4" w:rsidRPr="00052AD4" w:rsidRDefault="00052AD4" w:rsidP="00052AD4">
            <w:pPr>
              <w:spacing w:line="360" w:lineRule="auto"/>
              <w:jc w:val="both"/>
              <w:rPr>
                <w:rFonts w:ascii="Times New Roman" w:hAnsi="Times New Roman" w:cs="Times New Roman"/>
                <w:lang w:val="en-IN" w:eastAsia="en-GB"/>
              </w:rPr>
            </w:pPr>
            <w:r w:rsidRPr="00052AD4">
              <w:rPr>
                <w:rFonts w:ascii="Times New Roman" w:hAnsi="Times New Roman" w:cs="Times New Roman"/>
                <w:lang w:val="en-IN" w:eastAsia="en-GB"/>
              </w:rPr>
              <w:t>4. Strengthen cross-cultural public speaking</w:t>
            </w:r>
          </w:p>
        </w:tc>
        <w:tc>
          <w:tcPr>
            <w:tcW w:w="0" w:type="auto"/>
            <w:hideMark/>
          </w:tcPr>
          <w:p w14:paraId="29CDFA7D"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Present in international webinars or varied audience settings</w:t>
            </w:r>
          </w:p>
        </w:tc>
        <w:tc>
          <w:tcPr>
            <w:tcW w:w="0" w:type="auto"/>
            <w:hideMark/>
          </w:tcPr>
          <w:p w14:paraId="5E0F4C20"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2 presentations with feedback</w:t>
            </w:r>
          </w:p>
        </w:tc>
        <w:tc>
          <w:tcPr>
            <w:tcW w:w="0" w:type="auto"/>
            <w:hideMark/>
          </w:tcPr>
          <w:p w14:paraId="0BE842BE"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Feasible via university/club activities</w:t>
            </w:r>
          </w:p>
        </w:tc>
        <w:tc>
          <w:tcPr>
            <w:tcW w:w="0" w:type="auto"/>
            <w:hideMark/>
          </w:tcPr>
          <w:p w14:paraId="685521B4"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Key for global digital workplace</w:t>
            </w:r>
          </w:p>
        </w:tc>
        <w:tc>
          <w:tcPr>
            <w:tcW w:w="0" w:type="auto"/>
            <w:hideMark/>
          </w:tcPr>
          <w:p w14:paraId="24FAD673" w14:textId="77777777" w:rsidR="00052AD4" w:rsidRPr="00052AD4" w:rsidRDefault="00052AD4" w:rsidP="00052A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052AD4">
              <w:rPr>
                <w:rFonts w:ascii="Times New Roman" w:hAnsi="Times New Roman" w:cs="Times New Roman"/>
                <w:lang w:val="en-IN" w:eastAsia="en-GB"/>
              </w:rPr>
              <w:t>Within 5 months</w:t>
            </w:r>
          </w:p>
        </w:tc>
      </w:tr>
    </w:tbl>
    <w:p w14:paraId="4E56EF1F" w14:textId="77777777" w:rsidR="00052AD4" w:rsidRDefault="00052AD4" w:rsidP="00052AD4">
      <w:pPr>
        <w:spacing w:line="360" w:lineRule="auto"/>
        <w:jc w:val="both"/>
        <w:rPr>
          <w:rFonts w:ascii="Times New Roman" w:hAnsi="Times New Roman" w:cs="Times New Roman"/>
          <w:lang w:val="en-IN" w:eastAsia="en-GB"/>
        </w:rPr>
      </w:pPr>
    </w:p>
    <w:p w14:paraId="46BBC103" w14:textId="77777777" w:rsidR="00052AD4" w:rsidRDefault="00052AD4">
      <w:pPr>
        <w:rPr>
          <w:rFonts w:ascii="Times New Roman" w:hAnsi="Times New Roman" w:cs="Times New Roman"/>
          <w:lang w:val="en-IN" w:eastAsia="en-GB"/>
        </w:rPr>
      </w:pPr>
      <w:r>
        <w:rPr>
          <w:rFonts w:ascii="Times New Roman" w:hAnsi="Times New Roman" w:cs="Times New Roman"/>
          <w:lang w:val="en-IN" w:eastAsia="en-GB"/>
        </w:rPr>
        <w:br w:type="page"/>
      </w:r>
    </w:p>
    <w:p w14:paraId="2BE85A92" w14:textId="327781C2" w:rsidR="00052AD4" w:rsidRDefault="00052AD4" w:rsidP="00052AD4">
      <w:pPr>
        <w:pStyle w:val="Heading1"/>
        <w:rPr>
          <w:lang w:val="en-IN" w:eastAsia="en-GB"/>
        </w:rPr>
      </w:pPr>
      <w:bookmarkStart w:id="14" w:name="_Toc211443952"/>
      <w:r>
        <w:rPr>
          <w:lang w:val="en-IN" w:eastAsia="en-GB"/>
        </w:rPr>
        <w:lastRenderedPageBreak/>
        <w:t>References</w:t>
      </w:r>
      <w:bookmarkEnd w:id="14"/>
    </w:p>
    <w:p w14:paraId="56428DBC" w14:textId="7DDC8EB6" w:rsidR="00BA031E" w:rsidRDefault="00BA031E" w:rsidP="00BA031E">
      <w:pPr>
        <w:pStyle w:val="NormalWeb"/>
        <w:spacing w:before="0" w:beforeAutospacing="0" w:after="240" w:afterAutospacing="0" w:line="360" w:lineRule="auto"/>
      </w:pPr>
      <w:r>
        <w:t xml:space="preserve">Adeani, I.S., </w:t>
      </w:r>
      <w:proofErr w:type="spellStart"/>
      <w:r>
        <w:t>Febriani</w:t>
      </w:r>
      <w:proofErr w:type="spellEnd"/>
      <w:r>
        <w:t xml:space="preserve">, R.B. and Syafryadin, S. (2020). Using Gibbs’ Reflective Cycle in Making Reflections of Literary Analysis. </w:t>
      </w:r>
      <w:r>
        <w:rPr>
          <w:i/>
          <w:iCs/>
        </w:rPr>
        <w:t>Indonesian EFL Journal</w:t>
      </w:r>
      <w:r>
        <w:t xml:space="preserve">, 6(2), pp.139–148. </w:t>
      </w:r>
      <w:proofErr w:type="spellStart"/>
      <w:r>
        <w:t>doi</w:t>
      </w:r>
      <w:proofErr w:type="spellEnd"/>
      <w:r>
        <w:t>:</w:t>
      </w:r>
      <w:r w:rsidR="00A953EF">
        <w:t xml:space="preserve"> </w:t>
      </w:r>
      <w:hyperlink r:id="rId15" w:history="1">
        <w:r w:rsidR="00A953EF" w:rsidRPr="00CA5DEC">
          <w:rPr>
            <w:rStyle w:val="Hyperlink"/>
          </w:rPr>
          <w:t>https://doi.org/10.25134/ieflj.v6i2.3382</w:t>
        </w:r>
      </w:hyperlink>
    </w:p>
    <w:p w14:paraId="52443D56" w14:textId="320821EE" w:rsidR="00BA031E" w:rsidRDefault="00BA031E" w:rsidP="00BA031E">
      <w:pPr>
        <w:pStyle w:val="NormalWeb"/>
        <w:spacing w:before="0" w:beforeAutospacing="0" w:after="240" w:afterAutospacing="0" w:line="360" w:lineRule="auto"/>
      </w:pPr>
      <w:r>
        <w:t xml:space="preserve">ADP (2024). </w:t>
      </w:r>
      <w:r>
        <w:rPr>
          <w:i/>
          <w:iCs/>
        </w:rPr>
        <w:t>The Impact of Brexit on Payroll Compliance for UK Employers 4 years later</w:t>
      </w:r>
      <w:r>
        <w:t xml:space="preserve">. [online] Adp.com. Available at: </w:t>
      </w:r>
      <w:hyperlink r:id="rId16" w:history="1">
        <w:r w:rsidR="00A953EF" w:rsidRPr="00CA5DEC">
          <w:rPr>
            <w:rStyle w:val="Hyperlink"/>
          </w:rPr>
          <w:t>https://uk.adp.com/resources/adp-articles-and-insights/articles/t/the-impact-of-brexit-on-payroll-compliance.aspx</w:t>
        </w:r>
      </w:hyperlink>
      <w:r>
        <w:t xml:space="preserve"> [Accessed 11 Oct. 2025].</w:t>
      </w:r>
    </w:p>
    <w:p w14:paraId="1EF1F67E" w14:textId="0721137B" w:rsidR="00BA031E" w:rsidRDefault="00BA031E" w:rsidP="00BA031E">
      <w:pPr>
        <w:pStyle w:val="NormalWeb"/>
        <w:spacing w:before="0" w:beforeAutospacing="0" w:after="240" w:afterAutospacing="0" w:line="360" w:lineRule="auto"/>
      </w:pPr>
      <w:r>
        <w:t xml:space="preserve">Amazon (2023). </w:t>
      </w:r>
      <w:r>
        <w:rPr>
          <w:i/>
          <w:iCs/>
        </w:rPr>
        <w:t>Generative AI Assistants Enhance Productivity and Personalize the Self-Service Employee Experience | AWS Partner Network (APN) Blog</w:t>
      </w:r>
      <w:r>
        <w:t xml:space="preserve">. [online] aws.amazon.com. Available at: </w:t>
      </w:r>
      <w:hyperlink r:id="rId17" w:history="1">
        <w:r w:rsidR="00A953EF" w:rsidRPr="00CA5DEC">
          <w:rPr>
            <w:rStyle w:val="Hyperlink"/>
          </w:rPr>
          <w:t>https://aws.amazon.com/blogs/apn/generative-ai-assistants-enhance-productivity-and-personalize-the-self-service-employee-experience/</w:t>
        </w:r>
      </w:hyperlink>
      <w:r>
        <w:t xml:space="preserve"> [Accessed 11 Oct. 2025].</w:t>
      </w:r>
    </w:p>
    <w:p w14:paraId="438A08FA" w14:textId="53DAD4E0" w:rsidR="00BA031E" w:rsidRDefault="00BA031E" w:rsidP="00BA031E">
      <w:pPr>
        <w:pStyle w:val="NormalWeb"/>
        <w:spacing w:before="0" w:beforeAutospacing="0" w:after="240" w:afterAutospacing="0" w:line="360" w:lineRule="auto"/>
      </w:pPr>
      <w:r>
        <w:t xml:space="preserve">Amazon (2023). </w:t>
      </w:r>
      <w:r>
        <w:rPr>
          <w:i/>
          <w:iCs/>
        </w:rPr>
        <w:t>How Amazon Leverages AI and ML to Enhance the Hiring Experience for Candidates</w:t>
      </w:r>
      <w:r>
        <w:t xml:space="preserve">. [online] US about Amazon. Available at: </w:t>
      </w:r>
      <w:hyperlink r:id="rId18" w:history="1">
        <w:r w:rsidR="00A953EF" w:rsidRPr="00CA5DEC">
          <w:rPr>
            <w:rStyle w:val="Hyperlink"/>
          </w:rPr>
          <w:t>https://www.aboutamazon.com/news/workplace/how-amazon-leverages-ai-and-ml-to-enhance-the-hiring-experience-for-candidates</w:t>
        </w:r>
      </w:hyperlink>
      <w:r>
        <w:t xml:space="preserve"> [Accessed 11 Oct. 2025].</w:t>
      </w:r>
    </w:p>
    <w:p w14:paraId="5EAB3CD9" w14:textId="77777777" w:rsidR="00A953EF" w:rsidRDefault="00BA031E" w:rsidP="00BA031E">
      <w:pPr>
        <w:pStyle w:val="NormalWeb"/>
        <w:spacing w:before="0" w:beforeAutospacing="0" w:after="240" w:afterAutospacing="0" w:line="360" w:lineRule="auto"/>
      </w:pPr>
      <w:r>
        <w:t xml:space="preserve">Basnet, S. (2024). The Impact of AI-Driven Predictive Analytics on Employee Retention Strategies. </w:t>
      </w:r>
      <w:r>
        <w:rPr>
          <w:i/>
          <w:iCs/>
        </w:rPr>
        <w:t>International Journal of Research and Review</w:t>
      </w:r>
      <w:r>
        <w:t xml:space="preserve">, [online] 11(9), pp.50–65. </w:t>
      </w:r>
      <w:proofErr w:type="spellStart"/>
      <w:r>
        <w:t>doi</w:t>
      </w:r>
      <w:proofErr w:type="spellEnd"/>
      <w:r>
        <w:t>:</w:t>
      </w:r>
      <w:r w:rsidR="00A953EF">
        <w:t xml:space="preserve"> </w:t>
      </w:r>
      <w:hyperlink r:id="rId19" w:history="1">
        <w:r w:rsidR="00A953EF" w:rsidRPr="00CA5DEC">
          <w:rPr>
            <w:rStyle w:val="Hyperlink"/>
          </w:rPr>
          <w:t>https://doi.org/10.52403/ijrr.20240906</w:t>
        </w:r>
      </w:hyperlink>
    </w:p>
    <w:p w14:paraId="5E3EBE6A" w14:textId="17C62565" w:rsidR="00BA031E" w:rsidRDefault="00BA031E" w:rsidP="00BA031E">
      <w:pPr>
        <w:pStyle w:val="NormalWeb"/>
        <w:spacing w:before="0" w:beforeAutospacing="0" w:after="240" w:afterAutospacing="0" w:line="360" w:lineRule="auto"/>
      </w:pPr>
      <w:r>
        <w:t xml:space="preserve">Berkeley (2025). </w:t>
      </w:r>
      <w:r>
        <w:rPr>
          <w:i/>
          <w:iCs/>
        </w:rPr>
        <w:t xml:space="preserve">IBM’s Nickle </w:t>
      </w:r>
      <w:proofErr w:type="spellStart"/>
      <w:r>
        <w:rPr>
          <w:i/>
          <w:iCs/>
        </w:rPr>
        <w:t>LaMoreaux</w:t>
      </w:r>
      <w:proofErr w:type="spellEnd"/>
      <w:r>
        <w:rPr>
          <w:i/>
          <w:iCs/>
        </w:rPr>
        <w:t xml:space="preserve"> on how AI helped HR put people first - Berkeley Haas</w:t>
      </w:r>
      <w:r>
        <w:t xml:space="preserve">. [online] Berkeley Haas. Available at: </w:t>
      </w:r>
      <w:hyperlink r:id="rId20" w:history="1">
        <w:r w:rsidR="00A953EF" w:rsidRPr="00CA5DEC">
          <w:rPr>
            <w:rStyle w:val="Hyperlink"/>
          </w:rPr>
          <w:t>https://haas.berkeley.edu/culture/culture-kit-podcast/posts/s3-e2-ibms-nickle-lamoreaux-on-how-ai-helped-hr-put-people-first</w:t>
        </w:r>
      </w:hyperlink>
      <w:r>
        <w:t xml:space="preserve"> [Accessed 11 Oct. 2025].</w:t>
      </w:r>
    </w:p>
    <w:p w14:paraId="281BD6A7" w14:textId="431E0895" w:rsidR="00BA031E" w:rsidRDefault="00BA031E" w:rsidP="00BA031E">
      <w:pPr>
        <w:pStyle w:val="NormalWeb"/>
        <w:spacing w:before="0" w:beforeAutospacing="0" w:after="240" w:afterAutospacing="0" w:line="360" w:lineRule="auto"/>
      </w:pPr>
      <w:r>
        <w:t xml:space="preserve">BLS (2021). </w:t>
      </w:r>
      <w:r>
        <w:rPr>
          <w:i/>
          <w:iCs/>
        </w:rPr>
        <w:t xml:space="preserve">Number of people 75 and older in the </w:t>
      </w:r>
      <w:proofErr w:type="spellStart"/>
      <w:r>
        <w:rPr>
          <w:i/>
          <w:iCs/>
        </w:rPr>
        <w:t>labor</w:t>
      </w:r>
      <w:proofErr w:type="spellEnd"/>
      <w:r>
        <w:rPr>
          <w:i/>
          <w:iCs/>
        </w:rPr>
        <w:t xml:space="preserve"> force is expected to grow 96.5 percent by </w:t>
      </w:r>
      <w:proofErr w:type="gramStart"/>
      <w:r>
        <w:rPr>
          <w:i/>
          <w:iCs/>
        </w:rPr>
        <w:t>2030 :</w:t>
      </w:r>
      <w:proofErr w:type="gramEnd"/>
      <w:r>
        <w:rPr>
          <w:i/>
          <w:iCs/>
        </w:rPr>
        <w:t xml:space="preserve"> The Economics Daily: U.S. Bureau of Labor Statistics</w:t>
      </w:r>
      <w:r>
        <w:t xml:space="preserve">. [online] www.bls.gov. Available at: </w:t>
      </w:r>
      <w:hyperlink r:id="rId21" w:history="1">
        <w:r w:rsidR="00A953EF" w:rsidRPr="00CA5DEC">
          <w:rPr>
            <w:rStyle w:val="Hyperlink"/>
          </w:rPr>
          <w:t>https://www.bls.gov/opub/ted/2021/number-of-people-75-and-older-in-the-labor-force-is-expected-to-grow-96-5-percent-by-2030.htm</w:t>
        </w:r>
      </w:hyperlink>
      <w:r>
        <w:t xml:space="preserve"> [Accessed 11 Oct. 2025].</w:t>
      </w:r>
    </w:p>
    <w:p w14:paraId="4F069EF5" w14:textId="1E8A092E" w:rsidR="00BA031E" w:rsidRDefault="00BA031E" w:rsidP="00BA031E">
      <w:pPr>
        <w:pStyle w:val="NormalWeb"/>
        <w:spacing w:before="0" w:beforeAutospacing="0" w:after="240" w:afterAutospacing="0" w:line="360" w:lineRule="auto"/>
      </w:pPr>
      <w:r>
        <w:lastRenderedPageBreak/>
        <w:t xml:space="preserve">CDC (2024). </w:t>
      </w:r>
      <w:r>
        <w:rPr>
          <w:i/>
          <w:iCs/>
        </w:rPr>
        <w:t>Data and Statistics on Aging Workers</w:t>
      </w:r>
      <w:r>
        <w:t xml:space="preserve">. [online] Aging. Available at: </w:t>
      </w:r>
      <w:hyperlink r:id="rId22" w:history="1">
        <w:r w:rsidR="00A953EF" w:rsidRPr="00CA5DEC">
          <w:rPr>
            <w:rStyle w:val="Hyperlink"/>
          </w:rPr>
          <w:t>https://www.cdc.gov/niosh/aging/data-research/index.html</w:t>
        </w:r>
      </w:hyperlink>
      <w:r>
        <w:t xml:space="preserve"> [Accessed 11 Oct. 2025].</w:t>
      </w:r>
    </w:p>
    <w:p w14:paraId="00FB5386" w14:textId="113C83F7" w:rsidR="00A953EF" w:rsidRDefault="00BA031E" w:rsidP="00BA031E">
      <w:pPr>
        <w:pStyle w:val="NormalWeb"/>
        <w:spacing w:before="0" w:beforeAutospacing="0" w:after="240" w:afterAutospacing="0" w:line="360" w:lineRule="auto"/>
      </w:pPr>
      <w:proofErr w:type="spellStart"/>
      <w:r>
        <w:t>Gölçek</w:t>
      </w:r>
      <w:proofErr w:type="spellEnd"/>
      <w:r>
        <w:t xml:space="preserve">, A.G. (2024). The Economics of Aging. </w:t>
      </w:r>
      <w:r>
        <w:rPr>
          <w:i/>
          <w:iCs/>
        </w:rPr>
        <w:t>Advances in finance, accounting, and economics book series</w:t>
      </w:r>
      <w:r>
        <w:t xml:space="preserve">, [online] pp.1–20. </w:t>
      </w:r>
      <w:proofErr w:type="spellStart"/>
      <w:r>
        <w:t>doi</w:t>
      </w:r>
      <w:proofErr w:type="spellEnd"/>
      <w:r>
        <w:t>:</w:t>
      </w:r>
      <w:r w:rsidR="00A953EF">
        <w:t xml:space="preserve"> </w:t>
      </w:r>
      <w:hyperlink r:id="rId23" w:history="1">
        <w:r w:rsidR="00A953EF" w:rsidRPr="00CA5DEC">
          <w:rPr>
            <w:rStyle w:val="Hyperlink"/>
          </w:rPr>
          <w:t>https://doi.org/10.4018/979-8-3693-7753-6.ch001</w:t>
        </w:r>
      </w:hyperlink>
    </w:p>
    <w:p w14:paraId="27B1764A" w14:textId="3BB54291" w:rsidR="00BA031E" w:rsidRDefault="00BA031E" w:rsidP="00BA031E">
      <w:pPr>
        <w:pStyle w:val="NormalWeb"/>
        <w:spacing w:before="0" w:beforeAutospacing="0" w:after="240" w:afterAutospacing="0" w:line="360" w:lineRule="auto"/>
      </w:pPr>
      <w:r>
        <w:t xml:space="preserve">Guan, S. (2025). </w:t>
      </w:r>
      <w:r>
        <w:rPr>
          <w:i/>
          <w:iCs/>
        </w:rPr>
        <w:t xml:space="preserve">Automation Statistics 2025: Comprehensive Industry Data and Market Insights | </w:t>
      </w:r>
      <w:proofErr w:type="spellStart"/>
      <w:r>
        <w:rPr>
          <w:i/>
          <w:iCs/>
        </w:rPr>
        <w:t>Thunderbit</w:t>
      </w:r>
      <w:proofErr w:type="spellEnd"/>
      <w:r>
        <w:t xml:space="preserve">. [online] Thunderbit.com. Available at: </w:t>
      </w:r>
      <w:hyperlink r:id="rId24" w:history="1">
        <w:r w:rsidR="00A953EF" w:rsidRPr="00CA5DEC">
          <w:rPr>
            <w:rStyle w:val="Hyperlink"/>
          </w:rPr>
          <w:t>https://thunderbit.com/blog/automation-statistics-industry-data-insights</w:t>
        </w:r>
      </w:hyperlink>
      <w:r>
        <w:t xml:space="preserve"> [Accessed 11 Oct. 2025].</w:t>
      </w:r>
    </w:p>
    <w:p w14:paraId="5E13C55B" w14:textId="7EFA73F9" w:rsidR="00BA031E" w:rsidRDefault="00BA031E" w:rsidP="00BA031E">
      <w:pPr>
        <w:pStyle w:val="NormalWeb"/>
        <w:spacing w:before="0" w:beforeAutospacing="0" w:after="240" w:afterAutospacing="0" w:line="360" w:lineRule="auto"/>
      </w:pPr>
      <w:proofErr w:type="spellStart"/>
      <w:r>
        <w:t>Guenole</w:t>
      </w:r>
      <w:proofErr w:type="spellEnd"/>
      <w:r>
        <w:t xml:space="preserve">, N. and </w:t>
      </w:r>
      <w:proofErr w:type="spellStart"/>
      <w:r>
        <w:t>Feinzig</w:t>
      </w:r>
      <w:proofErr w:type="spellEnd"/>
      <w:r>
        <w:t xml:space="preserve">, S. (2019). </w:t>
      </w:r>
      <w:r>
        <w:rPr>
          <w:i/>
          <w:iCs/>
        </w:rPr>
        <w:t>The Business Case for AI in HR With Insights and Tips on Getting Started</w:t>
      </w:r>
      <w:r>
        <w:t xml:space="preserve">. [online] Available at: </w:t>
      </w:r>
      <w:hyperlink r:id="rId25" w:history="1">
        <w:r w:rsidR="00A953EF" w:rsidRPr="00CA5DEC">
          <w:rPr>
            <w:rStyle w:val="Hyperlink"/>
          </w:rPr>
          <w:t>https://forms.workday.com/content/dam/web/en-us/documents/case-studies/ibm-business-case-ai-in-hr.pdf</w:t>
        </w:r>
      </w:hyperlink>
    </w:p>
    <w:p w14:paraId="3787110C" w14:textId="2E45F576" w:rsidR="00BA031E" w:rsidRDefault="00BA031E" w:rsidP="00BA031E">
      <w:pPr>
        <w:pStyle w:val="NormalWeb"/>
        <w:spacing w:before="0" w:beforeAutospacing="0" w:after="240" w:afterAutospacing="0" w:line="360" w:lineRule="auto"/>
      </w:pPr>
      <w:r>
        <w:t xml:space="preserve">Hendrickson, D. (2024). </w:t>
      </w:r>
      <w:r>
        <w:rPr>
          <w:i/>
          <w:iCs/>
        </w:rPr>
        <w:t>AI in HR: Transforming Talent Management and Employee Engagement</w:t>
      </w:r>
      <w:r>
        <w:t xml:space="preserve">. [online] C-Suite Strategy. Available at: </w:t>
      </w:r>
      <w:hyperlink r:id="rId26" w:history="1">
        <w:r w:rsidR="00A953EF" w:rsidRPr="00CA5DEC">
          <w:rPr>
            <w:rStyle w:val="Hyperlink"/>
          </w:rPr>
          <w:t>https://www.c-suite-strategy.com/blog/ai-in-hr-transforming-talent-management-and-employee-engagement</w:t>
        </w:r>
      </w:hyperlink>
      <w:r>
        <w:t xml:space="preserve"> [Accessed 11 Oct. 2025].</w:t>
      </w:r>
    </w:p>
    <w:p w14:paraId="53A5BCCB" w14:textId="384E139C" w:rsidR="00BA031E" w:rsidRDefault="00BA031E" w:rsidP="00BA031E">
      <w:pPr>
        <w:pStyle w:val="NormalWeb"/>
        <w:spacing w:before="0" w:beforeAutospacing="0" w:after="240" w:afterAutospacing="0" w:line="360" w:lineRule="auto"/>
      </w:pPr>
      <w:r>
        <w:t xml:space="preserve">IES (2019). </w:t>
      </w:r>
      <w:r>
        <w:rPr>
          <w:i/>
          <w:iCs/>
        </w:rPr>
        <w:t>Brexit Observatory: Labour market | Institute for Employment Studies (IES)</w:t>
      </w:r>
      <w:r>
        <w:t xml:space="preserve">. [online] Brexit Observatory: Labour market | Institute for Employment Studies (IES). Available at: </w:t>
      </w:r>
      <w:hyperlink r:id="rId27" w:history="1">
        <w:r w:rsidR="00A953EF" w:rsidRPr="00CA5DEC">
          <w:rPr>
            <w:rStyle w:val="Hyperlink"/>
          </w:rPr>
          <w:t>https://www.employment-studies.co.uk/brexit-impact-workforce/brexit-observatory-labour-market</w:t>
        </w:r>
      </w:hyperlink>
      <w:r>
        <w:t xml:space="preserve"> [Accessed 11 Oct. 2025].</w:t>
      </w:r>
    </w:p>
    <w:p w14:paraId="1848A3DF" w14:textId="17C8895B" w:rsidR="00BA031E" w:rsidRDefault="00BA031E" w:rsidP="00BA031E">
      <w:pPr>
        <w:pStyle w:val="NormalWeb"/>
        <w:spacing w:before="0" w:beforeAutospacing="0" w:after="240" w:afterAutospacing="0" w:line="360" w:lineRule="auto"/>
      </w:pPr>
      <w:r>
        <w:t xml:space="preserve">ILO (2025). </w:t>
      </w:r>
      <w:r>
        <w:rPr>
          <w:i/>
          <w:iCs/>
        </w:rPr>
        <w:t>World Employment and Social Outlook: May 2025 Update</w:t>
      </w:r>
      <w:r>
        <w:t xml:space="preserve">. [online] International Labour Organization. Available at: </w:t>
      </w:r>
      <w:hyperlink r:id="rId28" w:history="1">
        <w:r w:rsidR="00A953EF" w:rsidRPr="00CA5DEC">
          <w:rPr>
            <w:rStyle w:val="Hyperlink"/>
          </w:rPr>
          <w:t>https://www.ilo.org/publications/flagship-reports/world-employment-and-social-outlook-may-2025-update</w:t>
        </w:r>
      </w:hyperlink>
      <w:r>
        <w:t xml:space="preserve"> [Accessed 11 Oct. 2025].</w:t>
      </w:r>
    </w:p>
    <w:p w14:paraId="4E5119F5" w14:textId="5CAF4AB6" w:rsidR="00A953EF" w:rsidRDefault="00BA031E" w:rsidP="00BA031E">
      <w:pPr>
        <w:pStyle w:val="NormalWeb"/>
        <w:spacing w:before="0" w:beforeAutospacing="0" w:after="240" w:afterAutospacing="0" w:line="360" w:lineRule="auto"/>
      </w:pPr>
      <w:r>
        <w:t xml:space="preserve">Johnson, K.N. (2019). Automating the Risk of Bias. </w:t>
      </w:r>
      <w:r>
        <w:rPr>
          <w:i/>
          <w:iCs/>
        </w:rPr>
        <w:t>George Washington Law Review</w:t>
      </w:r>
      <w:r>
        <w:t xml:space="preserve">, [online] 87, p.1214. Available at: </w:t>
      </w:r>
      <w:hyperlink r:id="rId29" w:history="1">
        <w:r w:rsidR="00A953EF" w:rsidRPr="00CA5DEC">
          <w:rPr>
            <w:rStyle w:val="Hyperlink"/>
          </w:rPr>
          <w:t>https://heinonline.org/HOL/LandingPage?handle=hein.journals/gwlr87&amp;div=38&amp;id=&amp;page=</w:t>
        </w:r>
      </w:hyperlink>
    </w:p>
    <w:p w14:paraId="5FEE4350" w14:textId="51BA36CC" w:rsidR="00A953EF" w:rsidRDefault="00BA031E" w:rsidP="00BA031E">
      <w:pPr>
        <w:pStyle w:val="NormalWeb"/>
        <w:spacing w:before="0" w:beforeAutospacing="0" w:after="240" w:afterAutospacing="0" w:line="360" w:lineRule="auto"/>
      </w:pPr>
      <w:r>
        <w:t xml:space="preserve">Kirton, G. (2020). Diversity and inclusion in a changing world of work. </w:t>
      </w:r>
      <w:r>
        <w:rPr>
          <w:i/>
          <w:iCs/>
        </w:rPr>
        <w:t>The Future of Work and Employment</w:t>
      </w:r>
      <w:r>
        <w:t xml:space="preserve">, [online] pp.49–64. Available at: </w:t>
      </w:r>
      <w:hyperlink r:id="rId30" w:history="1">
        <w:r w:rsidR="00A953EF" w:rsidRPr="00CA5DEC">
          <w:rPr>
            <w:rStyle w:val="Hyperlink"/>
          </w:rPr>
          <w:t>https://www.elgaronline.com/abstract/edcoll/9781786438249/9781786438249.00011.xml</w:t>
        </w:r>
      </w:hyperlink>
    </w:p>
    <w:p w14:paraId="216B22D0" w14:textId="3644E094" w:rsidR="00A953EF" w:rsidRDefault="00BA031E" w:rsidP="00BA031E">
      <w:pPr>
        <w:pStyle w:val="NormalWeb"/>
        <w:spacing w:before="0" w:beforeAutospacing="0" w:after="240" w:afterAutospacing="0" w:line="360" w:lineRule="auto"/>
      </w:pPr>
      <w:r>
        <w:lastRenderedPageBreak/>
        <w:t xml:space="preserve">Liu, S., Tan, J., Mao, H. and Gong, Y. (2021). Does national culture matter? Understanding the impact of supply chain integration in multiple countries. </w:t>
      </w:r>
      <w:r>
        <w:rPr>
          <w:i/>
          <w:iCs/>
        </w:rPr>
        <w:t>Supply Chain Management: An International Journal</w:t>
      </w:r>
      <w:r>
        <w:t xml:space="preserve">, ahead-of-print(ahead-of-print). </w:t>
      </w:r>
      <w:proofErr w:type="spellStart"/>
      <w:r>
        <w:t>doi</w:t>
      </w:r>
      <w:proofErr w:type="spellEnd"/>
      <w:r>
        <w:t>:</w:t>
      </w:r>
      <w:r w:rsidR="00A953EF">
        <w:t xml:space="preserve"> </w:t>
      </w:r>
      <w:hyperlink r:id="rId31" w:history="1">
        <w:r w:rsidR="00A953EF" w:rsidRPr="00CA5DEC">
          <w:rPr>
            <w:rStyle w:val="Hyperlink"/>
          </w:rPr>
          <w:t>https://doi.org/10.1108/scm-03-2020-0099</w:t>
        </w:r>
      </w:hyperlink>
    </w:p>
    <w:p w14:paraId="0533CA33" w14:textId="406B30E1" w:rsidR="00BA031E" w:rsidRDefault="00BA031E" w:rsidP="00BA031E">
      <w:pPr>
        <w:pStyle w:val="NormalWeb"/>
        <w:spacing w:before="0" w:beforeAutospacing="0" w:after="240" w:afterAutospacing="0" w:line="360" w:lineRule="auto"/>
      </w:pPr>
      <w:r>
        <w:t xml:space="preserve">Manyika, J. (2018). </w:t>
      </w:r>
      <w:r>
        <w:rPr>
          <w:i/>
          <w:iCs/>
        </w:rPr>
        <w:t>Jobs lost, jobs gained: What the future of work will mean for jobs, skills, and wages</w:t>
      </w:r>
      <w:r>
        <w:t xml:space="preserve">. [online] McKinsey &amp; Company. Available at: </w:t>
      </w:r>
      <w:hyperlink r:id="rId32" w:history="1">
        <w:r w:rsidR="00A953EF" w:rsidRPr="00CA5DEC">
          <w:rPr>
            <w:rStyle w:val="Hyperlink"/>
          </w:rPr>
          <w:t>https://www.mckinsey.com/featured-insights/future-of-work/jobs-lost-jobs-gained-what-the-future-of-work-will-mean-for-jobs-skills-and-wages</w:t>
        </w:r>
      </w:hyperlink>
      <w:r>
        <w:t xml:space="preserve"> [Accessed 11 Oct. 2025].</w:t>
      </w:r>
    </w:p>
    <w:p w14:paraId="6133D781" w14:textId="5FBBCC5F" w:rsidR="00A953EF" w:rsidRDefault="00BA031E" w:rsidP="00BA031E">
      <w:pPr>
        <w:pStyle w:val="NormalWeb"/>
        <w:spacing w:before="0" w:beforeAutospacing="0" w:after="240" w:afterAutospacing="0" w:line="360" w:lineRule="auto"/>
      </w:pPr>
      <w:r>
        <w:t xml:space="preserve">Marguerit, D. (2025). </w:t>
      </w:r>
      <w:r>
        <w:rPr>
          <w:i/>
          <w:iCs/>
        </w:rPr>
        <w:t>Augmenting or Automating Labor? The Effect of AI Development on New Work, Employment, and Wages</w:t>
      </w:r>
      <w:r>
        <w:t xml:space="preserve">. [online] arXiv.org. Available at: </w:t>
      </w:r>
      <w:hyperlink r:id="rId33" w:history="1">
        <w:r w:rsidR="00A953EF" w:rsidRPr="00CA5DEC">
          <w:rPr>
            <w:rStyle w:val="Hyperlink"/>
          </w:rPr>
          <w:t>https://arxiv.org/abs/2503.19159</w:t>
        </w:r>
      </w:hyperlink>
    </w:p>
    <w:p w14:paraId="7BE84594" w14:textId="197FC189" w:rsidR="00BA031E" w:rsidRDefault="00BA031E" w:rsidP="00BA031E">
      <w:pPr>
        <w:pStyle w:val="NormalWeb"/>
        <w:spacing w:before="0" w:beforeAutospacing="0" w:after="240" w:afterAutospacing="0" w:line="360" w:lineRule="auto"/>
      </w:pPr>
      <w:r>
        <w:t xml:space="preserve">Marini, G. (2024). Brexit and the War for Talents: Push &amp; pull evidence about competitiveness. </w:t>
      </w:r>
      <w:r>
        <w:rPr>
          <w:i/>
          <w:iCs/>
        </w:rPr>
        <w:t>Higher Education</w:t>
      </w:r>
      <w:r>
        <w:t xml:space="preserve">, 88. </w:t>
      </w:r>
      <w:proofErr w:type="spellStart"/>
      <w:r>
        <w:t>doi</w:t>
      </w:r>
      <w:proofErr w:type="spellEnd"/>
      <w:r>
        <w:t>:</w:t>
      </w:r>
      <w:r w:rsidR="00A953EF">
        <w:t xml:space="preserve"> </w:t>
      </w:r>
      <w:hyperlink r:id="rId34" w:history="1">
        <w:r w:rsidR="00A953EF" w:rsidRPr="00CA5DEC">
          <w:rPr>
            <w:rStyle w:val="Hyperlink"/>
          </w:rPr>
          <w:t>https://doi.org/10.1007/s10734-024-01186-1</w:t>
        </w:r>
      </w:hyperlink>
    </w:p>
    <w:p w14:paraId="18C239F3" w14:textId="07DEDF66" w:rsidR="00BA031E" w:rsidRDefault="00BA031E" w:rsidP="00BA031E">
      <w:pPr>
        <w:pStyle w:val="NormalWeb"/>
        <w:spacing w:before="0" w:beforeAutospacing="0" w:after="240" w:afterAutospacing="0" w:line="360" w:lineRule="auto"/>
      </w:pPr>
      <w:r>
        <w:t xml:space="preserve">McKinsey (2019). </w:t>
      </w:r>
      <w:r>
        <w:rPr>
          <w:i/>
          <w:iCs/>
        </w:rPr>
        <w:t>Rethinking talent for the long term</w:t>
      </w:r>
      <w:r>
        <w:t xml:space="preserve">. [online] Available at: </w:t>
      </w:r>
      <w:hyperlink r:id="rId35" w:history="1">
        <w:r w:rsidR="00A953EF" w:rsidRPr="00CA5DEC">
          <w:rPr>
            <w:rStyle w:val="Hyperlink"/>
          </w:rPr>
          <w:t>https://www.mckinsey.com/~/media/McKinsey/Featured%20Insights/Europe/Brexit%20The%20bigger%20picture%20Rethinking%20talent%20for%20the%20long%20term/Brexit-The-bigger-picture-Rethinking-talent-for-the-long-term.pdf</w:t>
        </w:r>
      </w:hyperlink>
      <w:r>
        <w:t xml:space="preserve"> [Accessed 11 Oct. 2025].</w:t>
      </w:r>
    </w:p>
    <w:p w14:paraId="6E35EA6E" w14:textId="5BD1A056" w:rsidR="00BA031E" w:rsidRDefault="00BA031E" w:rsidP="00BA031E">
      <w:pPr>
        <w:pStyle w:val="NormalWeb"/>
        <w:spacing w:before="0" w:beforeAutospacing="0" w:after="240" w:afterAutospacing="0" w:line="360" w:lineRule="auto"/>
      </w:pPr>
      <w:r>
        <w:t xml:space="preserve">MIT Sloan (2025). </w:t>
      </w:r>
      <w:r>
        <w:rPr>
          <w:i/>
          <w:iCs/>
        </w:rPr>
        <w:t xml:space="preserve">A new look at how automation changes the value of </w:t>
      </w:r>
      <w:proofErr w:type="spellStart"/>
      <w:r>
        <w:rPr>
          <w:i/>
          <w:iCs/>
        </w:rPr>
        <w:t>labor</w:t>
      </w:r>
      <w:proofErr w:type="spellEnd"/>
      <w:r>
        <w:rPr>
          <w:i/>
          <w:iCs/>
        </w:rPr>
        <w:t xml:space="preserve"> | MIT Sloan</w:t>
      </w:r>
      <w:r>
        <w:t xml:space="preserve">. [online] MIT Sloan. Available at: </w:t>
      </w:r>
      <w:hyperlink r:id="rId36" w:history="1">
        <w:r w:rsidR="00A953EF" w:rsidRPr="00CA5DEC">
          <w:rPr>
            <w:rStyle w:val="Hyperlink"/>
          </w:rPr>
          <w:t>https://mitsloan.mit.edu/ideas-made-to-matter/a-new-look-how-automation-changes-value-labor</w:t>
        </w:r>
      </w:hyperlink>
      <w:r>
        <w:t xml:space="preserve"> [Accessed 11 Oct. 2025].</w:t>
      </w:r>
    </w:p>
    <w:p w14:paraId="256F5EEC" w14:textId="7B4B78FF" w:rsidR="00BA031E" w:rsidRDefault="00BA031E" w:rsidP="00BA031E">
      <w:pPr>
        <w:pStyle w:val="NormalWeb"/>
        <w:spacing w:before="0" w:beforeAutospacing="0" w:after="240" w:afterAutospacing="0" w:line="360" w:lineRule="auto"/>
      </w:pPr>
      <w:r>
        <w:t xml:space="preserve">O’Sullivan, L. (2024). </w:t>
      </w:r>
      <w:r>
        <w:rPr>
          <w:i/>
          <w:iCs/>
        </w:rPr>
        <w:t>Artificial intelligence in human resources: how ai is transforming talent acquisition and employee engagement</w:t>
      </w:r>
      <w:r>
        <w:t xml:space="preserve">. [online] HR analytics trends. Available at: </w:t>
      </w:r>
      <w:hyperlink r:id="rId37" w:history="1">
        <w:r w:rsidR="00A953EF" w:rsidRPr="00CA5DEC">
          <w:rPr>
            <w:rStyle w:val="Hyperlink"/>
          </w:rPr>
          <w:t>https://www.hr-analytics-trends.com/blog/artificial-intelligence-in-human-resources-how-ai-is-transforming-talent-acquisition-and-employee-engagement</w:t>
        </w:r>
      </w:hyperlink>
      <w:r>
        <w:t xml:space="preserve"> [Accessed 10 Oct. 2025].</w:t>
      </w:r>
    </w:p>
    <w:p w14:paraId="3C993902" w14:textId="7251BF9B" w:rsidR="00BA031E" w:rsidRDefault="00BA031E" w:rsidP="00BA031E">
      <w:pPr>
        <w:pStyle w:val="NormalWeb"/>
        <w:spacing w:before="0" w:beforeAutospacing="0" w:after="240" w:afterAutospacing="0" w:line="360" w:lineRule="auto"/>
      </w:pPr>
      <w:proofErr w:type="spellStart"/>
      <w:r>
        <w:t>Parsani</w:t>
      </w:r>
      <w:proofErr w:type="spellEnd"/>
      <w:r>
        <w:t xml:space="preserve">, P. (2024). </w:t>
      </w:r>
      <w:r>
        <w:rPr>
          <w:i/>
          <w:iCs/>
        </w:rPr>
        <w:t>Case Study: How Amazon’s AI Recruiting Tool ‘Learnt’ Gender Bias</w:t>
      </w:r>
      <w:r>
        <w:t xml:space="preserve">. [online] Cut-the-saas.com. Available at: </w:t>
      </w:r>
      <w:hyperlink r:id="rId38" w:history="1">
        <w:r w:rsidR="00A953EF" w:rsidRPr="00CA5DEC">
          <w:rPr>
            <w:rStyle w:val="Hyperlink"/>
          </w:rPr>
          <w:t>https://www.cut-the-saas.com/ai/case-study-how-amazons-ai-recruiting-tool-learnt-gender-bias</w:t>
        </w:r>
      </w:hyperlink>
      <w:r>
        <w:t xml:space="preserve"> [Accessed 11 Oct. 2025].</w:t>
      </w:r>
    </w:p>
    <w:p w14:paraId="5D2CE12F" w14:textId="1DE1FC4A" w:rsidR="00BA031E" w:rsidRDefault="00BA031E" w:rsidP="00BA031E">
      <w:pPr>
        <w:pStyle w:val="NormalWeb"/>
        <w:spacing w:before="0" w:beforeAutospacing="0" w:after="240" w:afterAutospacing="0" w:line="360" w:lineRule="auto"/>
      </w:pPr>
      <w:r>
        <w:lastRenderedPageBreak/>
        <w:t xml:space="preserve">Reuters (2025). Age-burdened ‘silver economy’ comes with silver linings, IMF finds. </w:t>
      </w:r>
      <w:r>
        <w:rPr>
          <w:i/>
          <w:iCs/>
        </w:rPr>
        <w:t>Reuters</w:t>
      </w:r>
      <w:r>
        <w:t xml:space="preserve">. [online] 22 Apr. Available at: </w:t>
      </w:r>
      <w:hyperlink r:id="rId39" w:history="1">
        <w:r w:rsidR="00A953EF" w:rsidRPr="00CA5DEC">
          <w:rPr>
            <w:rStyle w:val="Hyperlink"/>
          </w:rPr>
          <w:t>https://www.reuters.com/en/age-burdened-silver-economy-comes-with-silver-linings-imf-finds-2025-04-22/</w:t>
        </w:r>
      </w:hyperlink>
    </w:p>
    <w:p w14:paraId="3FAE2366" w14:textId="62069A35" w:rsidR="00A953EF" w:rsidRDefault="00BA031E" w:rsidP="00A953EF">
      <w:pPr>
        <w:pStyle w:val="NormalWeb"/>
        <w:spacing w:before="0" w:beforeAutospacing="0" w:after="240" w:afterAutospacing="0" w:line="360" w:lineRule="auto"/>
      </w:pPr>
      <w:r>
        <w:t xml:space="preserve">Rubbers, B. (2019). Mining Boom, Labour Market Segmentation and Social Inequality in the Congolese Copperbelt. </w:t>
      </w:r>
      <w:r>
        <w:rPr>
          <w:i/>
          <w:iCs/>
        </w:rPr>
        <w:t>Development and Change</w:t>
      </w:r>
      <w:r>
        <w:t xml:space="preserve">, 51(6), pp.1555–1578. </w:t>
      </w:r>
      <w:proofErr w:type="spellStart"/>
      <w:r>
        <w:t>doi</w:t>
      </w:r>
      <w:proofErr w:type="spellEnd"/>
      <w:r>
        <w:t>:</w:t>
      </w:r>
      <w:r w:rsidR="00A953EF">
        <w:t xml:space="preserve"> </w:t>
      </w:r>
      <w:hyperlink r:id="rId40" w:history="1">
        <w:r w:rsidR="00A953EF" w:rsidRPr="00CA5DEC">
          <w:rPr>
            <w:rStyle w:val="Hyperlink"/>
          </w:rPr>
          <w:t>https://doi.org/10.1111/dech.12531</w:t>
        </w:r>
      </w:hyperlink>
    </w:p>
    <w:p w14:paraId="10F70486" w14:textId="4AC340DD" w:rsidR="00BA031E" w:rsidRDefault="00BA031E" w:rsidP="00BA031E">
      <w:pPr>
        <w:pStyle w:val="NormalWeb"/>
        <w:spacing w:before="0" w:beforeAutospacing="0" w:after="240" w:afterAutospacing="0" w:line="360" w:lineRule="auto"/>
      </w:pPr>
      <w:r>
        <w:t xml:space="preserve">Sadeghi, S. (2024). </w:t>
      </w:r>
      <w:r>
        <w:rPr>
          <w:i/>
          <w:iCs/>
        </w:rPr>
        <w:t xml:space="preserve">Employee Well-being in the Age of AI: Perceptions, Concerns, </w:t>
      </w:r>
      <w:proofErr w:type="spellStart"/>
      <w:r>
        <w:rPr>
          <w:i/>
          <w:iCs/>
        </w:rPr>
        <w:t>Behaviors</w:t>
      </w:r>
      <w:proofErr w:type="spellEnd"/>
      <w:r>
        <w:rPr>
          <w:i/>
          <w:iCs/>
        </w:rPr>
        <w:t>, and Outcomes</w:t>
      </w:r>
      <w:r>
        <w:t xml:space="preserve">. [online] arXiv.org. Available at: </w:t>
      </w:r>
      <w:hyperlink r:id="rId41" w:history="1">
        <w:r w:rsidR="00A953EF" w:rsidRPr="00CA5DEC">
          <w:rPr>
            <w:rStyle w:val="Hyperlink"/>
          </w:rPr>
          <w:t>https://arxiv.org/abs/2412.04796</w:t>
        </w:r>
      </w:hyperlink>
      <w:r>
        <w:t xml:space="preserve"> [Accessed 11 Oct. 2025].</w:t>
      </w:r>
    </w:p>
    <w:p w14:paraId="6F754CA3" w14:textId="2544025A" w:rsidR="00BA031E" w:rsidRDefault="00BA031E" w:rsidP="00BA031E">
      <w:pPr>
        <w:pStyle w:val="NormalWeb"/>
        <w:spacing w:before="0" w:beforeAutospacing="0" w:after="240" w:afterAutospacing="0" w:line="360" w:lineRule="auto"/>
      </w:pPr>
      <w:r>
        <w:t xml:space="preserve">Sony, M. and Naik, S. (2020). Industry 4.0 Integration with socio-technical Systems theory: a Systematic Review and Proposed Theoretical Model. </w:t>
      </w:r>
      <w:r>
        <w:rPr>
          <w:i/>
          <w:iCs/>
        </w:rPr>
        <w:t>Technology in Society</w:t>
      </w:r>
      <w:r>
        <w:t xml:space="preserve">, 61(1), pp.1–11. </w:t>
      </w:r>
      <w:proofErr w:type="spellStart"/>
      <w:r>
        <w:t>doi</w:t>
      </w:r>
      <w:proofErr w:type="spellEnd"/>
      <w:r>
        <w:t>:</w:t>
      </w:r>
      <w:r w:rsidR="00A953EF">
        <w:t xml:space="preserve"> </w:t>
      </w:r>
      <w:hyperlink r:id="rId42" w:history="1">
        <w:r w:rsidR="00A953EF" w:rsidRPr="00CA5DEC">
          <w:rPr>
            <w:rStyle w:val="Hyperlink"/>
          </w:rPr>
          <w:t>https://doi.org/10.1016/j.techsoc.2020.101248</w:t>
        </w:r>
      </w:hyperlink>
    </w:p>
    <w:p w14:paraId="0209FFC1" w14:textId="51130379" w:rsidR="00BA031E" w:rsidRDefault="00BA031E" w:rsidP="00BA031E">
      <w:pPr>
        <w:pStyle w:val="NormalWeb"/>
        <w:spacing w:before="0" w:beforeAutospacing="0" w:after="240" w:afterAutospacing="0" w:line="360" w:lineRule="auto"/>
      </w:pPr>
      <w:r>
        <w:t xml:space="preserve">Talent CRM (2024). </w:t>
      </w:r>
      <w:r>
        <w:rPr>
          <w:i/>
          <w:iCs/>
        </w:rPr>
        <w:t>The Impact of Brexit on UK Recruitment: Challenges and Opportunities - My Talent CRM</w:t>
      </w:r>
      <w:r>
        <w:t xml:space="preserve">. [online] My Talent CRM. Available at: </w:t>
      </w:r>
      <w:hyperlink r:id="rId43" w:history="1">
        <w:r w:rsidR="00A953EF" w:rsidRPr="00CA5DEC">
          <w:rPr>
            <w:rStyle w:val="Hyperlink"/>
          </w:rPr>
          <w:t>https://mytalentcrm.com/the-impact-of-brexit-on-uk-recruitment-challenges-and-opportunities</w:t>
        </w:r>
      </w:hyperlink>
      <w:r>
        <w:t xml:space="preserve"> [Accessed 10 Oct. 2025].</w:t>
      </w:r>
    </w:p>
    <w:p w14:paraId="54A55060" w14:textId="44A15729" w:rsidR="00BA031E" w:rsidRDefault="00BA031E" w:rsidP="00BA031E">
      <w:pPr>
        <w:pStyle w:val="NormalWeb"/>
        <w:spacing w:before="0" w:beforeAutospacing="0" w:after="240" w:afterAutospacing="0" w:line="360" w:lineRule="auto"/>
      </w:pPr>
      <w:r>
        <w:t xml:space="preserve">Tina (2021). </w:t>
      </w:r>
      <w:r>
        <w:rPr>
          <w:i/>
          <w:iCs/>
        </w:rPr>
        <w:t>Jobs Lost to Automation Statistics in 2022</w:t>
      </w:r>
      <w:r>
        <w:t xml:space="preserve">. [online] </w:t>
      </w:r>
      <w:proofErr w:type="spellStart"/>
      <w:r>
        <w:t>TeamStage</w:t>
      </w:r>
      <w:proofErr w:type="spellEnd"/>
      <w:r>
        <w:t xml:space="preserve">. Available at: </w:t>
      </w:r>
      <w:hyperlink r:id="rId44" w:history="1">
        <w:r w:rsidR="00A953EF" w:rsidRPr="00CA5DEC">
          <w:rPr>
            <w:rStyle w:val="Hyperlink"/>
          </w:rPr>
          <w:t>https://teamstage.io/jobs-lost-to-automation-statistics</w:t>
        </w:r>
      </w:hyperlink>
      <w:r>
        <w:t xml:space="preserve"> [Accessed 11 Oct. 2025].</w:t>
      </w:r>
    </w:p>
    <w:p w14:paraId="650954BB" w14:textId="035A8C14" w:rsidR="00BA031E" w:rsidRDefault="00BA031E" w:rsidP="00BA031E">
      <w:pPr>
        <w:pStyle w:val="NormalWeb"/>
        <w:spacing w:before="0" w:beforeAutospacing="0" w:after="240" w:afterAutospacing="0" w:line="360" w:lineRule="auto"/>
      </w:pPr>
      <w:r>
        <w:t xml:space="preserve">World Employment Confederation (2024). </w:t>
      </w:r>
      <w:r>
        <w:rPr>
          <w:i/>
          <w:iCs/>
        </w:rPr>
        <w:t>World Employment Confederation-World of Work</w:t>
      </w:r>
      <w:r>
        <w:t xml:space="preserve">. [online] World Employment Confederation. Available at: </w:t>
      </w:r>
      <w:hyperlink r:id="rId45" w:history="1">
        <w:r w:rsidR="00A953EF" w:rsidRPr="00CA5DEC">
          <w:rPr>
            <w:rStyle w:val="Hyperlink"/>
          </w:rPr>
          <w:t>https://www.weceurope.org/world-of-work</w:t>
        </w:r>
      </w:hyperlink>
      <w:r>
        <w:t xml:space="preserve"> [Accessed 10 Oct. 2025].</w:t>
      </w:r>
    </w:p>
    <w:p w14:paraId="32048352" w14:textId="052CF38E" w:rsidR="00BA031E" w:rsidRDefault="00BA031E" w:rsidP="00BA031E">
      <w:pPr>
        <w:pStyle w:val="NormalWeb"/>
        <w:spacing w:before="0" w:beforeAutospacing="0" w:after="240" w:afterAutospacing="0" w:line="360" w:lineRule="auto"/>
      </w:pPr>
      <w:r>
        <w:t xml:space="preserve">World Health Organization (2025). </w:t>
      </w:r>
      <w:r>
        <w:rPr>
          <w:i/>
          <w:iCs/>
        </w:rPr>
        <w:t>Ageing: Global population</w:t>
      </w:r>
      <w:r>
        <w:t xml:space="preserve">. [online] World Health Organization. Available at: </w:t>
      </w:r>
      <w:hyperlink r:id="rId46" w:history="1">
        <w:r w:rsidR="00A953EF" w:rsidRPr="00CA5DEC">
          <w:rPr>
            <w:rStyle w:val="Hyperlink"/>
          </w:rPr>
          <w:t>https://www.who.int/news-room/questions-and-answers/item/population-ageing</w:t>
        </w:r>
      </w:hyperlink>
      <w:r>
        <w:t xml:space="preserve"> [Accessed 11 Oct. 2025].</w:t>
      </w:r>
    </w:p>
    <w:p w14:paraId="0BE75BA6" w14:textId="77777777" w:rsidR="00052AD4" w:rsidRPr="00052AD4" w:rsidRDefault="00052AD4" w:rsidP="00052AD4">
      <w:pPr>
        <w:spacing w:line="360" w:lineRule="auto"/>
        <w:jc w:val="both"/>
        <w:rPr>
          <w:rFonts w:ascii="Times New Roman" w:hAnsi="Times New Roman" w:cs="Times New Roman"/>
          <w:lang w:val="en-IN" w:eastAsia="en-GB"/>
        </w:rPr>
      </w:pPr>
    </w:p>
    <w:p w14:paraId="45B3A328" w14:textId="77777777" w:rsidR="00052AD4" w:rsidRPr="00052AD4" w:rsidRDefault="00052AD4" w:rsidP="00052AD4">
      <w:pPr>
        <w:spacing w:line="360" w:lineRule="auto"/>
        <w:jc w:val="both"/>
        <w:rPr>
          <w:rFonts w:ascii="Times New Roman" w:hAnsi="Times New Roman" w:cs="Times New Roman"/>
          <w:lang w:val="en-IN" w:eastAsia="en-GB"/>
        </w:rPr>
      </w:pPr>
    </w:p>
    <w:p w14:paraId="178703AF" w14:textId="77777777" w:rsidR="00183E7C" w:rsidRPr="00052AD4" w:rsidRDefault="00183E7C" w:rsidP="00052AD4">
      <w:pPr>
        <w:spacing w:line="360" w:lineRule="auto"/>
        <w:jc w:val="both"/>
        <w:rPr>
          <w:rFonts w:ascii="Times New Roman" w:hAnsi="Times New Roman" w:cs="Times New Roman"/>
        </w:rPr>
      </w:pPr>
    </w:p>
    <w:sectPr w:rsidR="00183E7C" w:rsidRPr="00052AD4" w:rsidSect="00052AD4">
      <w:footerReference w:type="even" r:id="rId47"/>
      <w:footerReference w:type="default" r:id="rId4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B9D3A" w14:textId="77777777" w:rsidR="00815E84" w:rsidRDefault="00815E84" w:rsidP="00052AD4">
      <w:r>
        <w:separator/>
      </w:r>
    </w:p>
  </w:endnote>
  <w:endnote w:type="continuationSeparator" w:id="0">
    <w:p w14:paraId="5AA96AC2" w14:textId="77777777" w:rsidR="00815E84" w:rsidRDefault="00815E84" w:rsidP="00052A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0928832"/>
      <w:docPartObj>
        <w:docPartGallery w:val="Page Numbers (Bottom of Page)"/>
        <w:docPartUnique/>
      </w:docPartObj>
    </w:sdtPr>
    <w:sdtEndPr>
      <w:rPr>
        <w:rStyle w:val="PageNumber"/>
      </w:rPr>
    </w:sdtEndPr>
    <w:sdtContent>
      <w:p w14:paraId="2523CBC0" w14:textId="77777777" w:rsidR="00052AD4" w:rsidRDefault="00052AD4" w:rsidP="002B7D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4C5BBD" w14:textId="77777777" w:rsidR="00052AD4" w:rsidRDefault="00052AD4" w:rsidP="00052AD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7078511"/>
      <w:docPartObj>
        <w:docPartGallery w:val="Page Numbers (Bottom of Page)"/>
        <w:docPartUnique/>
      </w:docPartObj>
    </w:sdtPr>
    <w:sdtEndPr>
      <w:rPr>
        <w:rStyle w:val="PageNumber"/>
      </w:rPr>
    </w:sdtEndPr>
    <w:sdtContent>
      <w:p w14:paraId="0BD59497" w14:textId="77777777" w:rsidR="00052AD4" w:rsidRDefault="00052AD4" w:rsidP="002B7D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1BB224D9" w14:textId="77777777" w:rsidR="00052AD4" w:rsidRDefault="00052AD4" w:rsidP="00052AD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68D6ED" w14:textId="77777777" w:rsidR="00815E84" w:rsidRDefault="00815E84" w:rsidP="00052AD4">
      <w:r>
        <w:separator/>
      </w:r>
    </w:p>
  </w:footnote>
  <w:footnote w:type="continuationSeparator" w:id="0">
    <w:p w14:paraId="6E4EDE53" w14:textId="77777777" w:rsidR="00815E84" w:rsidRDefault="00815E84" w:rsidP="00052A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9B68EB"/>
    <w:multiLevelType w:val="multilevel"/>
    <w:tmpl w:val="BD76E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7523BD"/>
    <w:multiLevelType w:val="multilevel"/>
    <w:tmpl w:val="83D02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B879CC"/>
    <w:multiLevelType w:val="hybridMultilevel"/>
    <w:tmpl w:val="9F0CF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F864F8"/>
    <w:multiLevelType w:val="hybridMultilevel"/>
    <w:tmpl w:val="92D2E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9789973">
    <w:abstractNumId w:val="1"/>
  </w:num>
  <w:num w:numId="2" w16cid:durableId="1095251696">
    <w:abstractNumId w:val="0"/>
  </w:num>
  <w:num w:numId="3" w16cid:durableId="2093118300">
    <w:abstractNumId w:val="3"/>
  </w:num>
  <w:num w:numId="4" w16cid:durableId="18718017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AD4"/>
    <w:rsid w:val="00052AD4"/>
    <w:rsid w:val="00183E7C"/>
    <w:rsid w:val="00187DF1"/>
    <w:rsid w:val="001B3FA2"/>
    <w:rsid w:val="001B5260"/>
    <w:rsid w:val="002E4750"/>
    <w:rsid w:val="003A1519"/>
    <w:rsid w:val="003F30B6"/>
    <w:rsid w:val="004272AC"/>
    <w:rsid w:val="004305EB"/>
    <w:rsid w:val="00486F91"/>
    <w:rsid w:val="004C5B0A"/>
    <w:rsid w:val="005D3615"/>
    <w:rsid w:val="00600D89"/>
    <w:rsid w:val="006C616A"/>
    <w:rsid w:val="006C6F36"/>
    <w:rsid w:val="006D59F7"/>
    <w:rsid w:val="0077410C"/>
    <w:rsid w:val="007E5215"/>
    <w:rsid w:val="00815E84"/>
    <w:rsid w:val="008A4924"/>
    <w:rsid w:val="009252AA"/>
    <w:rsid w:val="009740D5"/>
    <w:rsid w:val="009839AE"/>
    <w:rsid w:val="00A07096"/>
    <w:rsid w:val="00A60365"/>
    <w:rsid w:val="00A9142D"/>
    <w:rsid w:val="00A953EF"/>
    <w:rsid w:val="00AE4137"/>
    <w:rsid w:val="00AF3743"/>
    <w:rsid w:val="00B230F0"/>
    <w:rsid w:val="00BA031E"/>
    <w:rsid w:val="00BA63D5"/>
    <w:rsid w:val="00BA69C3"/>
    <w:rsid w:val="00C22A1D"/>
    <w:rsid w:val="00C84D89"/>
    <w:rsid w:val="00CD4FC7"/>
    <w:rsid w:val="00D620B9"/>
    <w:rsid w:val="00DA4CDA"/>
    <w:rsid w:val="00E04944"/>
    <w:rsid w:val="00E225E6"/>
    <w:rsid w:val="00E325D4"/>
    <w:rsid w:val="00ED3C75"/>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0DDB6"/>
  <w15:chartTrackingRefBased/>
  <w15:docId w15:val="{0DB4A47D-B79E-7C47-8A44-1B6CC5E40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52AD4"/>
    <w:pPr>
      <w:keepNext/>
      <w:keepLines/>
      <w:spacing w:before="240" w:line="360" w:lineRule="auto"/>
      <w:jc w:val="both"/>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Heading1"/>
    <w:link w:val="Heading2Char"/>
    <w:uiPriority w:val="9"/>
    <w:qFormat/>
    <w:rsid w:val="00052AD4"/>
    <w:pPr>
      <w:outlineLvl w:val="1"/>
    </w:pPr>
    <w:rPr>
      <w:sz w:val="28"/>
      <w:lang w:val="en-IN" w:eastAsia="en-GB"/>
    </w:rPr>
  </w:style>
  <w:style w:type="paragraph" w:styleId="Heading3">
    <w:name w:val="heading 3"/>
    <w:basedOn w:val="Normal"/>
    <w:link w:val="Heading3Char"/>
    <w:uiPriority w:val="9"/>
    <w:qFormat/>
    <w:rsid w:val="00052AD4"/>
    <w:pPr>
      <w:spacing w:before="100" w:beforeAutospacing="1" w:after="100" w:afterAutospacing="1"/>
      <w:outlineLvl w:val="2"/>
    </w:pPr>
    <w:rPr>
      <w:rFonts w:ascii="Times New Roman" w:eastAsia="Times New Roman" w:hAnsi="Times New Roman" w:cs="Times New Roman"/>
      <w:b/>
      <w:bCs/>
      <w:kern w:val="0"/>
      <w:sz w:val="27"/>
      <w:szCs w:val="27"/>
      <w:lang w:val="en-IN"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52AD4"/>
    <w:rPr>
      <w:rFonts w:ascii="Times New Roman" w:eastAsiaTheme="majorEastAsia" w:hAnsi="Times New Roman" w:cstheme="majorBidi"/>
      <w:color w:val="2F5496" w:themeColor="accent1" w:themeShade="BF"/>
      <w:sz w:val="28"/>
      <w:szCs w:val="32"/>
      <w:lang w:eastAsia="en-GB"/>
    </w:rPr>
  </w:style>
  <w:style w:type="character" w:customStyle="1" w:styleId="Heading3Char">
    <w:name w:val="Heading 3 Char"/>
    <w:basedOn w:val="DefaultParagraphFont"/>
    <w:link w:val="Heading3"/>
    <w:uiPriority w:val="9"/>
    <w:rsid w:val="00052AD4"/>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052AD4"/>
    <w:pPr>
      <w:spacing w:before="100" w:beforeAutospacing="1" w:after="100" w:afterAutospacing="1"/>
    </w:pPr>
    <w:rPr>
      <w:rFonts w:ascii="Times New Roman" w:eastAsia="Times New Roman" w:hAnsi="Times New Roman" w:cs="Times New Roman"/>
      <w:kern w:val="0"/>
      <w:lang w:val="en-IN" w:eastAsia="en-GB"/>
      <w14:ligatures w14:val="none"/>
    </w:rPr>
  </w:style>
  <w:style w:type="character" w:styleId="Hyperlink">
    <w:name w:val="Hyperlink"/>
    <w:basedOn w:val="DefaultParagraphFont"/>
    <w:uiPriority w:val="99"/>
    <w:unhideWhenUsed/>
    <w:rsid w:val="00052AD4"/>
    <w:rPr>
      <w:color w:val="0000FF"/>
      <w:u w:val="single"/>
    </w:rPr>
  </w:style>
  <w:style w:type="character" w:customStyle="1" w:styleId="Heading1Char">
    <w:name w:val="Heading 1 Char"/>
    <w:basedOn w:val="DefaultParagraphFont"/>
    <w:link w:val="Heading1"/>
    <w:uiPriority w:val="9"/>
    <w:rsid w:val="00052AD4"/>
    <w:rPr>
      <w:rFonts w:ascii="Times New Roman" w:eastAsiaTheme="majorEastAsia" w:hAnsi="Times New Roman" w:cstheme="majorBidi"/>
      <w:color w:val="2F5496" w:themeColor="accent1" w:themeShade="BF"/>
      <w:sz w:val="32"/>
      <w:szCs w:val="32"/>
      <w:lang w:val="en-GB"/>
    </w:rPr>
  </w:style>
  <w:style w:type="paragraph" w:styleId="ListParagraph">
    <w:name w:val="List Paragraph"/>
    <w:basedOn w:val="Normal"/>
    <w:uiPriority w:val="34"/>
    <w:qFormat/>
    <w:rsid w:val="00052AD4"/>
    <w:pPr>
      <w:ind w:left="720"/>
      <w:contextualSpacing/>
    </w:pPr>
  </w:style>
  <w:style w:type="table" w:styleId="PlainTable1">
    <w:name w:val="Plain Table 1"/>
    <w:basedOn w:val="TableNormal"/>
    <w:uiPriority w:val="41"/>
    <w:rsid w:val="00052AD4"/>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052AD4"/>
    <w:pPr>
      <w:tabs>
        <w:tab w:val="center" w:pos="4680"/>
        <w:tab w:val="right" w:pos="9360"/>
      </w:tabs>
    </w:pPr>
  </w:style>
  <w:style w:type="character" w:customStyle="1" w:styleId="HeaderChar">
    <w:name w:val="Header Char"/>
    <w:basedOn w:val="DefaultParagraphFont"/>
    <w:link w:val="Header"/>
    <w:uiPriority w:val="99"/>
    <w:rsid w:val="00052AD4"/>
    <w:rPr>
      <w:lang w:val="en-GB"/>
    </w:rPr>
  </w:style>
  <w:style w:type="paragraph" w:styleId="Footer">
    <w:name w:val="footer"/>
    <w:basedOn w:val="Normal"/>
    <w:link w:val="FooterChar"/>
    <w:uiPriority w:val="99"/>
    <w:unhideWhenUsed/>
    <w:rsid w:val="00052AD4"/>
    <w:pPr>
      <w:tabs>
        <w:tab w:val="center" w:pos="4680"/>
        <w:tab w:val="right" w:pos="9360"/>
      </w:tabs>
    </w:pPr>
  </w:style>
  <w:style w:type="character" w:customStyle="1" w:styleId="FooterChar">
    <w:name w:val="Footer Char"/>
    <w:basedOn w:val="DefaultParagraphFont"/>
    <w:link w:val="Footer"/>
    <w:uiPriority w:val="99"/>
    <w:rsid w:val="00052AD4"/>
    <w:rPr>
      <w:lang w:val="en-GB"/>
    </w:rPr>
  </w:style>
  <w:style w:type="character" w:styleId="PageNumber">
    <w:name w:val="page number"/>
    <w:basedOn w:val="DefaultParagraphFont"/>
    <w:uiPriority w:val="99"/>
    <w:semiHidden/>
    <w:unhideWhenUsed/>
    <w:rsid w:val="00052AD4"/>
  </w:style>
  <w:style w:type="paragraph" w:styleId="TOCHeading">
    <w:name w:val="TOC Heading"/>
    <w:basedOn w:val="Heading1"/>
    <w:next w:val="Normal"/>
    <w:uiPriority w:val="39"/>
    <w:unhideWhenUsed/>
    <w:qFormat/>
    <w:rsid w:val="00CD4FC7"/>
    <w:pPr>
      <w:spacing w:line="259" w:lineRule="auto"/>
      <w:jc w:val="left"/>
      <w:outlineLvl w:val="9"/>
    </w:pPr>
    <w:rPr>
      <w:rFonts w:asciiTheme="majorHAnsi" w:hAnsiTheme="majorHAnsi"/>
      <w:kern w:val="0"/>
      <w:lang w:eastAsia="en-GB" w:bidi="hi-IN"/>
      <w14:ligatures w14:val="none"/>
    </w:rPr>
  </w:style>
  <w:style w:type="paragraph" w:styleId="TOC1">
    <w:name w:val="toc 1"/>
    <w:basedOn w:val="Normal"/>
    <w:next w:val="Normal"/>
    <w:autoRedefine/>
    <w:uiPriority w:val="39"/>
    <w:unhideWhenUsed/>
    <w:rsid w:val="00CD4FC7"/>
    <w:pPr>
      <w:spacing w:after="100"/>
    </w:pPr>
  </w:style>
  <w:style w:type="paragraph" w:styleId="TOC2">
    <w:name w:val="toc 2"/>
    <w:basedOn w:val="Normal"/>
    <w:next w:val="Normal"/>
    <w:autoRedefine/>
    <w:uiPriority w:val="39"/>
    <w:unhideWhenUsed/>
    <w:rsid w:val="00CD4FC7"/>
    <w:pPr>
      <w:spacing w:after="100"/>
      <w:ind w:left="240"/>
    </w:pPr>
  </w:style>
  <w:style w:type="paragraph" w:styleId="Caption">
    <w:name w:val="caption"/>
    <w:basedOn w:val="Normal"/>
    <w:next w:val="Normal"/>
    <w:uiPriority w:val="35"/>
    <w:unhideWhenUsed/>
    <w:qFormat/>
    <w:rsid w:val="00CD4FC7"/>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A953EF"/>
    <w:rPr>
      <w:color w:val="605E5C"/>
      <w:shd w:val="clear" w:color="auto" w:fill="E1DFDD"/>
    </w:rPr>
  </w:style>
  <w:style w:type="character" w:styleId="FollowedHyperlink">
    <w:name w:val="FollowedHyperlink"/>
    <w:basedOn w:val="DefaultParagraphFont"/>
    <w:uiPriority w:val="99"/>
    <w:semiHidden/>
    <w:unhideWhenUsed/>
    <w:rsid w:val="00A953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8793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uters.com/en/age-burdened-silver-economy-comes-with-silver-linings-imf-finds-2025-04-22/?utm_source=chatgpt.com" TargetMode="External"/><Relationship Id="rId18" Type="http://schemas.openxmlformats.org/officeDocument/2006/relationships/hyperlink" Target="https://www.aboutamazon.com/news/workplace/how-amazon-leverages-ai-and-ml-to-enhance-the-hiring-experience-for-candidates" TargetMode="External"/><Relationship Id="rId26" Type="http://schemas.openxmlformats.org/officeDocument/2006/relationships/hyperlink" Target="https://www.c-suite-strategy.com/blog/ai-in-hr-transforming-talent-management-and-employee-engagement" TargetMode="External"/><Relationship Id="rId39" Type="http://schemas.openxmlformats.org/officeDocument/2006/relationships/hyperlink" Target="https://www.reuters.com/en/age-burdened-silver-economy-comes-with-silver-linings-imf-finds-2025-04-22/" TargetMode="External"/><Relationship Id="rId21" Type="http://schemas.openxmlformats.org/officeDocument/2006/relationships/hyperlink" Target="https://www.bls.gov/opub/ted/2021/number-of-people-75-and-older-in-the-labor-force-is-expected-to-grow-96-5-percent-by-2030.htm" TargetMode="External"/><Relationship Id="rId34" Type="http://schemas.openxmlformats.org/officeDocument/2006/relationships/hyperlink" Target="https://doi.org/10.1007/s10734-024-01186-1" TargetMode="External"/><Relationship Id="rId42" Type="http://schemas.openxmlformats.org/officeDocument/2006/relationships/hyperlink" Target="https://doi.org/10.1016/j.techsoc.2020.101248"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uk.adp.com/resources/adp-articles-and-insights/articles/t/the-impact-of-brexit-on-payroll-compliance.aspx" TargetMode="External"/><Relationship Id="rId29" Type="http://schemas.openxmlformats.org/officeDocument/2006/relationships/hyperlink" Target="https://heinonline.org/HOL/LandingPage?handle=hein.journals/gwlr87&amp;div=38&amp;id=&amp;page=" TargetMode="External"/><Relationship Id="rId11" Type="http://schemas.openxmlformats.org/officeDocument/2006/relationships/hyperlink" Target="https://forms.workday.com/content/dam/web/en-us/documents/case-studies/ibm-business-case-ai-in-hr.pdf?utm_source=chatgpt.com" TargetMode="External"/><Relationship Id="rId24" Type="http://schemas.openxmlformats.org/officeDocument/2006/relationships/hyperlink" Target="https://thunderbit.com/blog/automation-statistics-industry-data-insights" TargetMode="External"/><Relationship Id="rId32" Type="http://schemas.openxmlformats.org/officeDocument/2006/relationships/hyperlink" Target="https://www.mckinsey.com/featured-insights/future-of-work/jobs-lost-jobs-gained-what-the-future-of-work-will-mean-for-jobs-skills-and-wages" TargetMode="External"/><Relationship Id="rId37" Type="http://schemas.openxmlformats.org/officeDocument/2006/relationships/hyperlink" Target="https://www.hr-analytics-trends.com/blog/artificial-intelligence-in-human-resources-how-ai-is-transforming-talent-acquisition-and-employee-engagement" TargetMode="External"/><Relationship Id="rId40" Type="http://schemas.openxmlformats.org/officeDocument/2006/relationships/hyperlink" Target="https://doi.org/10.1111/dech.12531" TargetMode="External"/><Relationship Id="rId45" Type="http://schemas.openxmlformats.org/officeDocument/2006/relationships/hyperlink" Target="https://www.weceurope.org/world-of-work" TargetMode="External"/><Relationship Id="rId5" Type="http://schemas.openxmlformats.org/officeDocument/2006/relationships/webSettings" Target="webSettings.xml"/><Relationship Id="rId15" Type="http://schemas.openxmlformats.org/officeDocument/2006/relationships/hyperlink" Target="https://doi.org/10.25134/ieflj.v6i2.3382" TargetMode="External"/><Relationship Id="rId23" Type="http://schemas.openxmlformats.org/officeDocument/2006/relationships/hyperlink" Target="https://doi.org/10.4018/979-8-3693-7753-6.ch001" TargetMode="External"/><Relationship Id="rId28" Type="http://schemas.openxmlformats.org/officeDocument/2006/relationships/hyperlink" Target="https://www.ilo.org/publications/flagship-reports/world-employment-and-social-outlook-may-2025-update" TargetMode="External"/><Relationship Id="rId36" Type="http://schemas.openxmlformats.org/officeDocument/2006/relationships/hyperlink" Target="https://mitsloan.mit.edu/ideas-made-to-matter/a-new-look-how-automation-changes-value-labor" TargetMode="External"/><Relationship Id="rId49" Type="http://schemas.openxmlformats.org/officeDocument/2006/relationships/fontTable" Target="fontTable.xml"/><Relationship Id="rId10" Type="http://schemas.openxmlformats.org/officeDocument/2006/relationships/hyperlink" Target="https://www.researchgate.net/publication/383791091_The_Impact_of_AI-Driven_Predictive_Analytics_on_Employee_Retention_Strategies?utm_source=chatgpt.com" TargetMode="External"/><Relationship Id="rId19" Type="http://schemas.openxmlformats.org/officeDocument/2006/relationships/hyperlink" Target="https://doi.org/10.52403/ijrr.20240906" TargetMode="External"/><Relationship Id="rId31" Type="http://schemas.openxmlformats.org/officeDocument/2006/relationships/hyperlink" Target="https://doi.org/10.1108/scm-03-2020-0099" TargetMode="External"/><Relationship Id="rId44" Type="http://schemas.openxmlformats.org/officeDocument/2006/relationships/hyperlink" Target="https://teamstage.io/jobs-lost-to-automation-statist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eg"/><Relationship Id="rId22" Type="http://schemas.openxmlformats.org/officeDocument/2006/relationships/hyperlink" Target="https://www.cdc.gov/niosh/aging/data-research/index.html" TargetMode="External"/><Relationship Id="rId27" Type="http://schemas.openxmlformats.org/officeDocument/2006/relationships/hyperlink" Target="https://www.employment-studies.co.uk/brexit-impact-workforce/brexit-observatory-labour-market" TargetMode="External"/><Relationship Id="rId30" Type="http://schemas.openxmlformats.org/officeDocument/2006/relationships/hyperlink" Target="https://www.elgaronline.com/abstract/edcoll/9781786438249/9781786438249.00011.xml" TargetMode="External"/><Relationship Id="rId35" Type="http://schemas.openxmlformats.org/officeDocument/2006/relationships/hyperlink" Target="https://www.mckinsey.com/~/media/McKinsey/Featured%20Insights/Europe/Brexit%20The%20bigger%20picture%20Rethinking%20talent%20for%20the%20long%20term/Brexit-The-bigger-picture-Rethinking-talent-for-the-long-term.pdf" TargetMode="External"/><Relationship Id="rId43" Type="http://schemas.openxmlformats.org/officeDocument/2006/relationships/hyperlink" Target="https://mytalentcrm.com/the-impact-of-brexit-on-uk-recruitment-challenges-and-opportunities" TargetMode="External"/><Relationship Id="rId48" Type="http://schemas.openxmlformats.org/officeDocument/2006/relationships/footer" Target="footer2.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aws.amazon.com/blogs/apn/generative-ai-assistants-enhance-productivity-and-personalize-the-self-service-employee-experience/" TargetMode="External"/><Relationship Id="rId25" Type="http://schemas.openxmlformats.org/officeDocument/2006/relationships/hyperlink" Target="https://forms.workday.com/content/dam/web/en-us/documents/case-studies/ibm-business-case-ai-in-hr.pdf" TargetMode="External"/><Relationship Id="rId33" Type="http://schemas.openxmlformats.org/officeDocument/2006/relationships/hyperlink" Target="https://arxiv.org/abs/2503.19159" TargetMode="External"/><Relationship Id="rId38" Type="http://schemas.openxmlformats.org/officeDocument/2006/relationships/hyperlink" Target="https://www.cut-the-saas.com/ai/case-study-how-amazons-ai-recruiting-tool-learnt-gender-bias" TargetMode="External"/><Relationship Id="rId46" Type="http://schemas.openxmlformats.org/officeDocument/2006/relationships/hyperlink" Target="https://www.who.int/news-room/questions-and-answers/item/population-ageing" TargetMode="External"/><Relationship Id="rId20" Type="http://schemas.openxmlformats.org/officeDocument/2006/relationships/hyperlink" Target="https://haas.berkeley.edu/culture/culture-kit-podcast/posts/s3-e2-ibms-nickle-lamoreaux-on-how-ai-helped-hr-put-people-first" TargetMode="External"/><Relationship Id="rId41" Type="http://schemas.openxmlformats.org/officeDocument/2006/relationships/hyperlink" Target="https://arxiv.org/abs/2412.04796"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72EC3E-8C14-498E-BF6B-C2E5CB5CF4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4685</Words>
  <Characters>26709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Aniket Rajvansh</cp:lastModifiedBy>
  <cp:revision>2</cp:revision>
  <dcterms:created xsi:type="dcterms:W3CDTF">2025-10-15T14:00:00Z</dcterms:created>
  <dcterms:modified xsi:type="dcterms:W3CDTF">2025-10-15T14:00:00Z</dcterms:modified>
</cp:coreProperties>
</file>