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7BBC" w14:textId="77777777" w:rsidR="000A2FAE" w:rsidRDefault="000A2FAE">
      <w:pPr>
        <w:spacing w:line="360" w:lineRule="auto"/>
        <w:jc w:val="center"/>
        <w:rPr>
          <w:rFonts w:ascii="Times New Roman" w:eastAsia="Times New Roman" w:hAnsi="Times New Roman" w:cs="Times New Roman"/>
          <w:b/>
          <w:sz w:val="32"/>
          <w:szCs w:val="32"/>
          <w:lang w:val="en-GB"/>
        </w:rPr>
      </w:pPr>
    </w:p>
    <w:p w14:paraId="5A2ACE3A" w14:textId="77777777" w:rsidR="000A2FAE" w:rsidRDefault="000A2FAE">
      <w:pPr>
        <w:spacing w:line="360" w:lineRule="auto"/>
        <w:jc w:val="center"/>
        <w:rPr>
          <w:rFonts w:ascii="Times New Roman" w:eastAsia="Times New Roman" w:hAnsi="Times New Roman" w:cs="Times New Roman"/>
          <w:b/>
          <w:sz w:val="32"/>
          <w:szCs w:val="32"/>
          <w:lang w:val="en-GB"/>
        </w:rPr>
      </w:pPr>
    </w:p>
    <w:p w14:paraId="3BDD4011" w14:textId="77777777" w:rsidR="000A2FAE" w:rsidRDefault="000A2FAE">
      <w:pPr>
        <w:spacing w:line="360" w:lineRule="auto"/>
        <w:jc w:val="center"/>
        <w:rPr>
          <w:rFonts w:ascii="Times New Roman" w:eastAsia="Times New Roman" w:hAnsi="Times New Roman" w:cs="Times New Roman"/>
          <w:b/>
          <w:sz w:val="32"/>
          <w:szCs w:val="32"/>
          <w:lang w:val="en-GB"/>
        </w:rPr>
      </w:pPr>
    </w:p>
    <w:p w14:paraId="52591245" w14:textId="77777777" w:rsidR="000A2FAE" w:rsidRDefault="000A2FAE">
      <w:pPr>
        <w:spacing w:line="360" w:lineRule="auto"/>
        <w:jc w:val="center"/>
        <w:rPr>
          <w:rFonts w:ascii="Times New Roman" w:eastAsia="Times New Roman" w:hAnsi="Times New Roman" w:cs="Times New Roman"/>
          <w:b/>
          <w:sz w:val="32"/>
          <w:szCs w:val="32"/>
          <w:lang w:val="en-GB"/>
        </w:rPr>
      </w:pPr>
    </w:p>
    <w:p w14:paraId="3DA7346D" w14:textId="77777777" w:rsidR="000A2FAE" w:rsidRDefault="000A2FAE">
      <w:pPr>
        <w:spacing w:line="360" w:lineRule="auto"/>
        <w:jc w:val="center"/>
        <w:rPr>
          <w:rFonts w:ascii="Times New Roman" w:eastAsia="Times New Roman" w:hAnsi="Times New Roman" w:cs="Times New Roman"/>
          <w:b/>
          <w:sz w:val="32"/>
          <w:szCs w:val="32"/>
          <w:lang w:val="en-GB"/>
        </w:rPr>
      </w:pPr>
    </w:p>
    <w:p w14:paraId="6E0770BF" w14:textId="77777777" w:rsidR="000A2FAE" w:rsidRDefault="000A2FAE">
      <w:pPr>
        <w:spacing w:line="360" w:lineRule="auto"/>
        <w:jc w:val="center"/>
        <w:rPr>
          <w:rFonts w:ascii="Times New Roman" w:eastAsia="Times New Roman" w:hAnsi="Times New Roman" w:cs="Times New Roman"/>
          <w:b/>
          <w:sz w:val="32"/>
          <w:szCs w:val="32"/>
          <w:lang w:val="en-GB"/>
        </w:rPr>
      </w:pPr>
    </w:p>
    <w:p w14:paraId="1712D4D0" w14:textId="77777777" w:rsidR="000A2FAE" w:rsidRDefault="000A2FAE">
      <w:pPr>
        <w:spacing w:line="360" w:lineRule="auto"/>
        <w:jc w:val="center"/>
        <w:rPr>
          <w:rFonts w:ascii="Times New Roman" w:eastAsia="Times New Roman" w:hAnsi="Times New Roman" w:cs="Times New Roman"/>
          <w:b/>
          <w:sz w:val="32"/>
          <w:szCs w:val="32"/>
          <w:lang w:val="en-GB"/>
        </w:rPr>
      </w:pPr>
    </w:p>
    <w:p w14:paraId="2CEEED9C" w14:textId="77777777" w:rsidR="000A2FAE" w:rsidRDefault="000A2FAE">
      <w:pPr>
        <w:spacing w:line="360" w:lineRule="auto"/>
        <w:jc w:val="center"/>
        <w:rPr>
          <w:rFonts w:ascii="Times New Roman" w:eastAsia="Times New Roman" w:hAnsi="Times New Roman" w:cs="Times New Roman"/>
          <w:b/>
          <w:sz w:val="32"/>
          <w:szCs w:val="32"/>
          <w:lang w:val="en-GB"/>
        </w:rPr>
      </w:pPr>
    </w:p>
    <w:p w14:paraId="53F8A27B" w14:textId="77777777" w:rsidR="000A2FAE" w:rsidRDefault="000A2FAE">
      <w:pPr>
        <w:spacing w:line="360" w:lineRule="auto"/>
        <w:jc w:val="center"/>
        <w:rPr>
          <w:rFonts w:ascii="Times New Roman" w:eastAsia="Times New Roman" w:hAnsi="Times New Roman" w:cs="Times New Roman"/>
          <w:b/>
          <w:sz w:val="32"/>
          <w:szCs w:val="32"/>
          <w:lang w:val="en-GB"/>
        </w:rPr>
      </w:pPr>
    </w:p>
    <w:p w14:paraId="00000001" w14:textId="487B5F98" w:rsidR="00174EE5" w:rsidRDefault="008F2800">
      <w:pPr>
        <w:spacing w:line="360" w:lineRule="auto"/>
        <w:jc w:val="center"/>
        <w:rPr>
          <w:rFonts w:ascii="Times New Roman" w:eastAsia="Times New Roman" w:hAnsi="Times New Roman" w:cs="Times New Roman"/>
          <w:b/>
          <w:sz w:val="32"/>
          <w:szCs w:val="32"/>
          <w:lang w:val="en-GB"/>
        </w:rPr>
      </w:pPr>
      <w:r w:rsidRPr="00074428">
        <w:rPr>
          <w:rFonts w:ascii="Times New Roman" w:eastAsia="Times New Roman" w:hAnsi="Times New Roman" w:cs="Times New Roman"/>
          <w:b/>
          <w:sz w:val="32"/>
          <w:szCs w:val="32"/>
          <w:lang w:val="en-GB"/>
        </w:rPr>
        <w:t>CRIMINAL LAW</w:t>
      </w:r>
      <w:r w:rsidR="00274709">
        <w:rPr>
          <w:rFonts w:ascii="Times New Roman" w:eastAsia="Times New Roman" w:hAnsi="Times New Roman" w:cs="Times New Roman"/>
          <w:b/>
          <w:sz w:val="32"/>
          <w:szCs w:val="32"/>
          <w:lang w:val="en-GB"/>
        </w:rPr>
        <w:t xml:space="preserve"> </w:t>
      </w:r>
    </w:p>
    <w:p w14:paraId="1E7FD54A" w14:textId="29263B52" w:rsidR="00274709" w:rsidRDefault="00274709" w:rsidP="00274709">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39099ED2" w14:textId="3C47A35A" w:rsidR="00274709" w:rsidRDefault="00721AB1" w:rsidP="00274709">
      <w:pPr>
        <w:spacing w:line="360" w:lineRule="auto"/>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Name:Lavinia</w:t>
      </w:r>
      <w:proofErr w:type="spellEnd"/>
      <w:r>
        <w:rPr>
          <w:rFonts w:ascii="Times New Roman" w:eastAsia="Times New Roman" w:hAnsi="Times New Roman" w:cs="Times New Roman"/>
          <w:b/>
          <w:sz w:val="32"/>
          <w:szCs w:val="32"/>
          <w:lang w:val="en-GB"/>
        </w:rPr>
        <w:t xml:space="preserve"> Ghisoiu</w:t>
      </w:r>
    </w:p>
    <w:p w14:paraId="2F4C269E" w14:textId="6B5C17B6" w:rsidR="00721AB1" w:rsidRPr="00074428" w:rsidRDefault="00721AB1" w:rsidP="00274709">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Date:13/01/2023</w:t>
      </w:r>
    </w:p>
    <w:p w14:paraId="00000002" w14:textId="77777777" w:rsidR="00174EE5" w:rsidRPr="00074428" w:rsidRDefault="008F2800">
      <w:pPr>
        <w:spacing w:line="360" w:lineRule="auto"/>
        <w:jc w:val="center"/>
        <w:rPr>
          <w:rFonts w:ascii="Times New Roman" w:eastAsia="Times New Roman" w:hAnsi="Times New Roman" w:cs="Times New Roman"/>
          <w:b/>
          <w:sz w:val="32"/>
          <w:szCs w:val="32"/>
          <w:lang w:val="en-GB"/>
        </w:rPr>
      </w:pPr>
      <w:r w:rsidRPr="00074428">
        <w:rPr>
          <w:lang w:val="en-GB"/>
        </w:rPr>
        <w:br w:type="page"/>
      </w:r>
    </w:p>
    <w:bookmarkStart w:id="0" w:name="_ctdf66i62u1o" w:colFirst="0" w:colLast="0" w:displacedByCustomXml="next"/>
    <w:bookmarkEnd w:id="0" w:displacedByCustomXml="next"/>
    <w:sdt>
      <w:sdtPr>
        <w:rPr>
          <w:rFonts w:ascii="Arial" w:eastAsia="Arial" w:hAnsi="Arial" w:cs="Arial"/>
          <w:color w:val="auto"/>
          <w:sz w:val="22"/>
          <w:szCs w:val="22"/>
          <w:lang w:val="en-GB" w:eastAsia="en-IN"/>
        </w:rPr>
        <w:id w:val="-291435533"/>
        <w:docPartObj>
          <w:docPartGallery w:val="Table of Contents"/>
          <w:docPartUnique/>
        </w:docPartObj>
      </w:sdtPr>
      <w:sdtEndPr>
        <w:rPr>
          <w:b/>
          <w:bCs/>
          <w:noProof/>
        </w:rPr>
      </w:sdtEndPr>
      <w:sdtContent>
        <w:p w14:paraId="1FEE27BE" w14:textId="6432436B" w:rsidR="00376DDB" w:rsidRPr="00074428" w:rsidRDefault="00376DDB" w:rsidP="00376DDB">
          <w:pPr>
            <w:pStyle w:val="TOCHeading"/>
            <w:spacing w:line="360" w:lineRule="auto"/>
            <w:jc w:val="center"/>
            <w:rPr>
              <w:rFonts w:ascii="Times New Roman" w:hAnsi="Times New Roman" w:cs="Times New Roman"/>
              <w:b/>
              <w:color w:val="auto"/>
              <w:sz w:val="24"/>
              <w:szCs w:val="24"/>
              <w:lang w:val="en-GB"/>
            </w:rPr>
          </w:pPr>
          <w:r w:rsidRPr="00074428">
            <w:rPr>
              <w:rFonts w:ascii="Times New Roman" w:hAnsi="Times New Roman" w:cs="Times New Roman"/>
              <w:b/>
              <w:color w:val="auto"/>
              <w:sz w:val="24"/>
              <w:szCs w:val="24"/>
              <w:lang w:val="en-GB"/>
            </w:rPr>
            <w:t>Table of Contents</w:t>
          </w:r>
        </w:p>
        <w:p w14:paraId="5E7237B6" w14:textId="7A1C24E3" w:rsidR="00376DDB" w:rsidRPr="00074428" w:rsidRDefault="00376DDB" w:rsidP="00376DDB">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074428">
            <w:rPr>
              <w:rFonts w:ascii="Times New Roman" w:hAnsi="Times New Roman" w:cs="Times New Roman"/>
              <w:sz w:val="24"/>
              <w:szCs w:val="24"/>
              <w:lang w:val="en-GB"/>
            </w:rPr>
            <w:fldChar w:fldCharType="begin"/>
          </w:r>
          <w:r w:rsidRPr="00074428">
            <w:rPr>
              <w:rFonts w:ascii="Times New Roman" w:hAnsi="Times New Roman" w:cs="Times New Roman"/>
              <w:sz w:val="24"/>
              <w:szCs w:val="24"/>
              <w:lang w:val="en-GB"/>
            </w:rPr>
            <w:instrText xml:space="preserve"> TOC \o "1-3" \h \z \u </w:instrText>
          </w:r>
          <w:r w:rsidRPr="00074428">
            <w:rPr>
              <w:rFonts w:ascii="Times New Roman" w:hAnsi="Times New Roman" w:cs="Times New Roman"/>
              <w:sz w:val="24"/>
              <w:szCs w:val="24"/>
              <w:lang w:val="en-GB"/>
            </w:rPr>
            <w:fldChar w:fldCharType="separate"/>
          </w:r>
          <w:hyperlink w:anchor="_Toc123658585" w:history="1">
            <w:r w:rsidRPr="00074428">
              <w:rPr>
                <w:rStyle w:val="Hyperlink"/>
                <w:rFonts w:ascii="Times New Roman" w:hAnsi="Times New Roman" w:cs="Times New Roman"/>
                <w:noProof/>
                <w:color w:val="auto"/>
                <w:sz w:val="24"/>
                <w:szCs w:val="24"/>
                <w:lang w:val="en-GB"/>
              </w:rPr>
              <w:t>PART A</w:t>
            </w:r>
            <w:r w:rsidRPr="00074428">
              <w:rPr>
                <w:rFonts w:ascii="Times New Roman" w:hAnsi="Times New Roman" w:cs="Times New Roman"/>
                <w:noProof/>
                <w:webHidden/>
                <w:sz w:val="24"/>
                <w:szCs w:val="24"/>
                <w:lang w:val="en-GB"/>
              </w:rPr>
              <w:tab/>
            </w:r>
            <w:r w:rsidRPr="00074428">
              <w:rPr>
                <w:rFonts w:ascii="Times New Roman" w:hAnsi="Times New Roman" w:cs="Times New Roman"/>
                <w:noProof/>
                <w:webHidden/>
                <w:sz w:val="24"/>
                <w:szCs w:val="24"/>
                <w:lang w:val="en-GB"/>
              </w:rPr>
              <w:fldChar w:fldCharType="begin"/>
            </w:r>
            <w:r w:rsidRPr="00074428">
              <w:rPr>
                <w:rFonts w:ascii="Times New Roman" w:hAnsi="Times New Roman" w:cs="Times New Roman"/>
                <w:noProof/>
                <w:webHidden/>
                <w:sz w:val="24"/>
                <w:szCs w:val="24"/>
                <w:lang w:val="en-GB"/>
              </w:rPr>
              <w:instrText xml:space="preserve"> PAGEREF _Toc123658585 \h </w:instrText>
            </w:r>
            <w:r w:rsidRPr="00074428">
              <w:rPr>
                <w:rFonts w:ascii="Times New Roman" w:hAnsi="Times New Roman" w:cs="Times New Roman"/>
                <w:noProof/>
                <w:webHidden/>
                <w:sz w:val="24"/>
                <w:szCs w:val="24"/>
                <w:lang w:val="en-GB"/>
              </w:rPr>
            </w:r>
            <w:r w:rsidRPr="00074428">
              <w:rPr>
                <w:rFonts w:ascii="Times New Roman" w:hAnsi="Times New Roman" w:cs="Times New Roman"/>
                <w:noProof/>
                <w:webHidden/>
                <w:sz w:val="24"/>
                <w:szCs w:val="24"/>
                <w:lang w:val="en-GB"/>
              </w:rPr>
              <w:fldChar w:fldCharType="separate"/>
            </w:r>
            <w:r w:rsidRPr="00074428">
              <w:rPr>
                <w:rFonts w:ascii="Times New Roman" w:hAnsi="Times New Roman" w:cs="Times New Roman"/>
                <w:noProof/>
                <w:webHidden/>
                <w:sz w:val="24"/>
                <w:szCs w:val="24"/>
                <w:lang w:val="en-GB"/>
              </w:rPr>
              <w:t>3</w:t>
            </w:r>
            <w:r w:rsidRPr="00074428">
              <w:rPr>
                <w:rFonts w:ascii="Times New Roman" w:hAnsi="Times New Roman" w:cs="Times New Roman"/>
                <w:noProof/>
                <w:webHidden/>
                <w:sz w:val="24"/>
                <w:szCs w:val="24"/>
                <w:lang w:val="en-GB"/>
              </w:rPr>
              <w:fldChar w:fldCharType="end"/>
            </w:r>
          </w:hyperlink>
        </w:p>
        <w:p w14:paraId="5ED03A20" w14:textId="0D4500E6"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86" w:history="1">
            <w:r w:rsidR="00376DDB" w:rsidRPr="00074428">
              <w:rPr>
                <w:rStyle w:val="Hyperlink"/>
                <w:rFonts w:ascii="Times New Roman" w:hAnsi="Times New Roman" w:cs="Times New Roman"/>
                <w:noProof/>
                <w:color w:val="auto"/>
                <w:sz w:val="24"/>
                <w:szCs w:val="24"/>
                <w:lang w:val="en-GB"/>
              </w:rPr>
              <w:t>Introduction</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_Toc123658586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3</w:t>
            </w:r>
            <w:r w:rsidR="00376DDB" w:rsidRPr="00074428">
              <w:rPr>
                <w:rFonts w:ascii="Times New Roman" w:hAnsi="Times New Roman" w:cs="Times New Roman"/>
                <w:noProof/>
                <w:webHidden/>
                <w:sz w:val="24"/>
                <w:szCs w:val="24"/>
                <w:lang w:val="en-GB"/>
              </w:rPr>
              <w:fldChar w:fldCharType="end"/>
            </w:r>
          </w:hyperlink>
        </w:p>
        <w:p w14:paraId="7552C4E0" w14:textId="61060972"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87" w:history="1">
            <w:r w:rsidR="00376DDB" w:rsidRPr="00074428">
              <w:rPr>
                <w:rStyle w:val="Hyperlink"/>
                <w:rFonts w:ascii="Times New Roman" w:hAnsi="Times New Roman" w:cs="Times New Roman"/>
                <w:noProof/>
                <w:color w:val="auto"/>
                <w:sz w:val="24"/>
                <w:szCs w:val="24"/>
                <w:lang w:val="en-GB"/>
              </w:rPr>
              <w:t>Main Body</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_Toc123658587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3</w:t>
            </w:r>
            <w:r w:rsidR="00376DDB" w:rsidRPr="00074428">
              <w:rPr>
                <w:rFonts w:ascii="Times New Roman" w:hAnsi="Times New Roman" w:cs="Times New Roman"/>
                <w:noProof/>
                <w:webHidden/>
                <w:sz w:val="24"/>
                <w:szCs w:val="24"/>
                <w:lang w:val="en-GB"/>
              </w:rPr>
              <w:fldChar w:fldCharType="end"/>
            </w:r>
          </w:hyperlink>
        </w:p>
        <w:p w14:paraId="0357AAC2" w14:textId="605FCA80"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88" w:history="1">
            <w:r w:rsidR="00376DDB" w:rsidRPr="00074428">
              <w:rPr>
                <w:rStyle w:val="Hyperlink"/>
                <w:rFonts w:ascii="Times New Roman" w:hAnsi="Times New Roman" w:cs="Times New Roman"/>
                <w:noProof/>
                <w:color w:val="auto"/>
                <w:sz w:val="24"/>
                <w:szCs w:val="24"/>
                <w:lang w:val="en-GB"/>
              </w:rPr>
              <w:t>Conclusion</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_Toc123658588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4</w:t>
            </w:r>
            <w:r w:rsidR="00376DDB" w:rsidRPr="00074428">
              <w:rPr>
                <w:rFonts w:ascii="Times New Roman" w:hAnsi="Times New Roman" w:cs="Times New Roman"/>
                <w:noProof/>
                <w:webHidden/>
                <w:sz w:val="24"/>
                <w:szCs w:val="24"/>
                <w:lang w:val="en-GB"/>
              </w:rPr>
              <w:fldChar w:fldCharType="end"/>
            </w:r>
          </w:hyperlink>
        </w:p>
        <w:p w14:paraId="553E7ECF" w14:textId="7EBF7E33" w:rsidR="00376DDB" w:rsidRPr="00074428" w:rsidRDefault="00000000" w:rsidP="00376DD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89" w:history="1">
            <w:r w:rsidR="00376DDB" w:rsidRPr="00074428">
              <w:rPr>
                <w:rStyle w:val="Hyperlink"/>
                <w:rFonts w:ascii="Times New Roman" w:hAnsi="Times New Roman" w:cs="Times New Roman"/>
                <w:noProof/>
                <w:color w:val="auto"/>
                <w:sz w:val="24"/>
                <w:szCs w:val="24"/>
                <w:lang w:val="en-GB"/>
              </w:rPr>
              <w:t>PART B</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_Toc123658589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6</w:t>
            </w:r>
            <w:r w:rsidR="00376DDB" w:rsidRPr="00074428">
              <w:rPr>
                <w:rFonts w:ascii="Times New Roman" w:hAnsi="Times New Roman" w:cs="Times New Roman"/>
                <w:noProof/>
                <w:webHidden/>
                <w:sz w:val="24"/>
                <w:szCs w:val="24"/>
                <w:lang w:val="en-GB"/>
              </w:rPr>
              <w:fldChar w:fldCharType="end"/>
            </w:r>
          </w:hyperlink>
        </w:p>
        <w:p w14:paraId="5993BD17" w14:textId="67C2BB76"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90" w:history="1">
            <w:r w:rsidR="00376DDB" w:rsidRPr="00074428">
              <w:rPr>
                <w:rStyle w:val="Hyperlink"/>
                <w:rFonts w:ascii="Times New Roman" w:hAnsi="Times New Roman" w:cs="Times New Roman"/>
                <w:noProof/>
                <w:color w:val="auto"/>
                <w:sz w:val="24"/>
                <w:szCs w:val="24"/>
                <w:lang w:val="en-GB"/>
              </w:rPr>
              <w:t>Introduction</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_Toc123658590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6</w:t>
            </w:r>
            <w:r w:rsidR="00376DDB" w:rsidRPr="00074428">
              <w:rPr>
                <w:rFonts w:ascii="Times New Roman" w:hAnsi="Times New Roman" w:cs="Times New Roman"/>
                <w:noProof/>
                <w:webHidden/>
                <w:sz w:val="24"/>
                <w:szCs w:val="24"/>
                <w:lang w:val="en-GB"/>
              </w:rPr>
              <w:fldChar w:fldCharType="end"/>
            </w:r>
          </w:hyperlink>
        </w:p>
        <w:p w14:paraId="13C9F8CB" w14:textId="1F11CD80"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91" w:history="1">
            <w:r w:rsidR="00376DDB" w:rsidRPr="00074428">
              <w:rPr>
                <w:rStyle w:val="Hyperlink"/>
                <w:rFonts w:ascii="Times New Roman" w:hAnsi="Times New Roman" w:cs="Times New Roman"/>
                <w:noProof/>
                <w:color w:val="auto"/>
                <w:sz w:val="24"/>
                <w:szCs w:val="24"/>
                <w:lang w:val="en-GB"/>
              </w:rPr>
              <w:t>Main Body</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_Toc123658591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6</w:t>
            </w:r>
            <w:r w:rsidR="00376DDB" w:rsidRPr="00074428">
              <w:rPr>
                <w:rFonts w:ascii="Times New Roman" w:hAnsi="Times New Roman" w:cs="Times New Roman"/>
                <w:noProof/>
                <w:webHidden/>
                <w:sz w:val="24"/>
                <w:szCs w:val="24"/>
                <w:lang w:val="en-GB"/>
              </w:rPr>
              <w:fldChar w:fldCharType="end"/>
            </w:r>
          </w:hyperlink>
        </w:p>
        <w:p w14:paraId="465A4AA1" w14:textId="21B73BFE"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92" w:history="1">
            <w:r w:rsidR="00376DDB" w:rsidRPr="00074428">
              <w:rPr>
                <w:rStyle w:val="Hyperlink"/>
                <w:rFonts w:ascii="Times New Roman" w:hAnsi="Times New Roman" w:cs="Times New Roman"/>
                <w:noProof/>
                <w:color w:val="auto"/>
                <w:sz w:val="24"/>
                <w:szCs w:val="24"/>
                <w:lang w:val="en-GB"/>
              </w:rPr>
              <w:t>Conclusion</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_Toc123658592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7</w:t>
            </w:r>
            <w:r w:rsidR="00376DDB" w:rsidRPr="00074428">
              <w:rPr>
                <w:rFonts w:ascii="Times New Roman" w:hAnsi="Times New Roman" w:cs="Times New Roman"/>
                <w:noProof/>
                <w:webHidden/>
                <w:sz w:val="24"/>
                <w:szCs w:val="24"/>
                <w:lang w:val="en-GB"/>
              </w:rPr>
              <w:fldChar w:fldCharType="end"/>
            </w:r>
          </w:hyperlink>
        </w:p>
        <w:p w14:paraId="10EDD5E3" w14:textId="1973C51C" w:rsidR="00376DDB" w:rsidRPr="00074428" w:rsidRDefault="00000000" w:rsidP="00376DDB">
          <w:pPr>
            <w:pStyle w:val="TOC2"/>
            <w:tabs>
              <w:tab w:val="right" w:leader="dot" w:pos="9350"/>
            </w:tabs>
            <w:spacing w:line="360" w:lineRule="auto"/>
            <w:jc w:val="both"/>
            <w:rPr>
              <w:rFonts w:ascii="Times New Roman" w:eastAsiaTheme="minorEastAsia" w:hAnsi="Times New Roman" w:cs="Times New Roman"/>
              <w:noProof/>
              <w:sz w:val="24"/>
              <w:szCs w:val="24"/>
              <w:lang w:val="en-GB"/>
            </w:rPr>
          </w:pPr>
          <w:hyperlink w:anchor="_Toc123658593" w:history="1">
            <w:r w:rsidR="00376DDB" w:rsidRPr="00074428">
              <w:rPr>
                <w:rStyle w:val="Hyperlink"/>
                <w:rFonts w:ascii="Times New Roman" w:hAnsi="Times New Roman" w:cs="Times New Roman"/>
                <w:noProof/>
                <w:color w:val="auto"/>
                <w:sz w:val="24"/>
                <w:szCs w:val="24"/>
                <w:lang w:val="en-GB"/>
              </w:rPr>
              <w:t>Reference List</w:t>
            </w:r>
            <w:r w:rsidR="00376DDB" w:rsidRPr="00074428">
              <w:rPr>
                <w:rFonts w:ascii="Times New Roman" w:hAnsi="Times New Roman" w:cs="Times New Roman"/>
                <w:noProof/>
                <w:webHidden/>
                <w:sz w:val="24"/>
                <w:szCs w:val="24"/>
                <w:lang w:val="en-GB"/>
              </w:rPr>
              <w:tab/>
            </w:r>
            <w:r w:rsidR="00376DDB" w:rsidRPr="00074428">
              <w:rPr>
                <w:rFonts w:ascii="Times New Roman" w:hAnsi="Times New Roman" w:cs="Times New Roman"/>
                <w:noProof/>
                <w:webHidden/>
                <w:sz w:val="24"/>
                <w:szCs w:val="24"/>
                <w:lang w:val="en-GB"/>
              </w:rPr>
              <w:fldChar w:fldCharType="begin"/>
            </w:r>
            <w:r w:rsidR="00376DDB" w:rsidRPr="00074428">
              <w:rPr>
                <w:rFonts w:ascii="Times New Roman" w:hAnsi="Times New Roman" w:cs="Times New Roman"/>
                <w:noProof/>
                <w:webHidden/>
                <w:sz w:val="24"/>
                <w:szCs w:val="24"/>
                <w:lang w:val="en-GB"/>
              </w:rPr>
              <w:instrText xml:space="preserve"> PAGEREF _Toc123658593 \h </w:instrText>
            </w:r>
            <w:r w:rsidR="00376DDB" w:rsidRPr="00074428">
              <w:rPr>
                <w:rFonts w:ascii="Times New Roman" w:hAnsi="Times New Roman" w:cs="Times New Roman"/>
                <w:noProof/>
                <w:webHidden/>
                <w:sz w:val="24"/>
                <w:szCs w:val="24"/>
                <w:lang w:val="en-GB"/>
              </w:rPr>
            </w:r>
            <w:r w:rsidR="00376DDB" w:rsidRPr="00074428">
              <w:rPr>
                <w:rFonts w:ascii="Times New Roman" w:hAnsi="Times New Roman" w:cs="Times New Roman"/>
                <w:noProof/>
                <w:webHidden/>
                <w:sz w:val="24"/>
                <w:szCs w:val="24"/>
                <w:lang w:val="en-GB"/>
              </w:rPr>
              <w:fldChar w:fldCharType="separate"/>
            </w:r>
            <w:r w:rsidR="00376DDB" w:rsidRPr="00074428">
              <w:rPr>
                <w:rFonts w:ascii="Times New Roman" w:hAnsi="Times New Roman" w:cs="Times New Roman"/>
                <w:noProof/>
                <w:webHidden/>
                <w:sz w:val="24"/>
                <w:szCs w:val="24"/>
                <w:lang w:val="en-GB"/>
              </w:rPr>
              <w:t>8</w:t>
            </w:r>
            <w:r w:rsidR="00376DDB" w:rsidRPr="00074428">
              <w:rPr>
                <w:rFonts w:ascii="Times New Roman" w:hAnsi="Times New Roman" w:cs="Times New Roman"/>
                <w:noProof/>
                <w:webHidden/>
                <w:sz w:val="24"/>
                <w:szCs w:val="24"/>
                <w:lang w:val="en-GB"/>
              </w:rPr>
              <w:fldChar w:fldCharType="end"/>
            </w:r>
          </w:hyperlink>
        </w:p>
        <w:p w14:paraId="0E77599A" w14:textId="6D0E7382" w:rsidR="00376DDB" w:rsidRPr="00074428" w:rsidRDefault="00376DDB" w:rsidP="00376DDB">
          <w:pPr>
            <w:spacing w:line="360" w:lineRule="auto"/>
            <w:jc w:val="both"/>
            <w:rPr>
              <w:lang w:val="en-GB"/>
            </w:rPr>
          </w:pPr>
          <w:r w:rsidRPr="00074428">
            <w:rPr>
              <w:rFonts w:ascii="Times New Roman" w:hAnsi="Times New Roman" w:cs="Times New Roman"/>
              <w:b/>
              <w:bCs/>
              <w:noProof/>
              <w:sz w:val="24"/>
              <w:szCs w:val="24"/>
              <w:lang w:val="en-GB"/>
            </w:rPr>
            <w:fldChar w:fldCharType="end"/>
          </w:r>
        </w:p>
      </w:sdtContent>
    </w:sdt>
    <w:p w14:paraId="038A788A" w14:textId="77777777" w:rsidR="00376DDB" w:rsidRPr="00074428" w:rsidRDefault="00376DDB">
      <w:pPr>
        <w:rPr>
          <w:rFonts w:ascii="Times New Roman" w:eastAsia="Times New Roman" w:hAnsi="Times New Roman" w:cs="Times New Roman"/>
          <w:b/>
          <w:sz w:val="24"/>
          <w:szCs w:val="24"/>
          <w:lang w:val="en-GB"/>
        </w:rPr>
      </w:pPr>
      <w:r w:rsidRPr="00074428">
        <w:rPr>
          <w:lang w:val="en-GB"/>
        </w:rPr>
        <w:br w:type="page"/>
      </w:r>
    </w:p>
    <w:p w14:paraId="00000003" w14:textId="3BB400AB" w:rsidR="00174EE5" w:rsidRPr="00074428" w:rsidRDefault="008F2800">
      <w:pPr>
        <w:pStyle w:val="Heading1"/>
        <w:rPr>
          <w:lang w:val="en-GB"/>
        </w:rPr>
      </w:pPr>
      <w:bookmarkStart w:id="1" w:name="_Toc123658585"/>
      <w:r w:rsidRPr="00074428">
        <w:rPr>
          <w:lang w:val="en-GB"/>
        </w:rPr>
        <w:lastRenderedPageBreak/>
        <w:t>PART A</w:t>
      </w:r>
      <w:bookmarkEnd w:id="1"/>
    </w:p>
    <w:p w14:paraId="00000004" w14:textId="77777777" w:rsidR="00174EE5" w:rsidRPr="00074428" w:rsidRDefault="008F2800">
      <w:pPr>
        <w:pStyle w:val="Heading2"/>
        <w:rPr>
          <w:lang w:val="en-GB"/>
        </w:rPr>
      </w:pPr>
      <w:bookmarkStart w:id="2" w:name="_yuwjsjo46br7" w:colFirst="0" w:colLast="0"/>
      <w:bookmarkStart w:id="3" w:name="_Toc123658586"/>
      <w:bookmarkEnd w:id="2"/>
      <w:r w:rsidRPr="00074428">
        <w:rPr>
          <w:lang w:val="en-GB"/>
        </w:rPr>
        <w:t>Introduction</w:t>
      </w:r>
      <w:bookmarkEnd w:id="3"/>
    </w:p>
    <w:p w14:paraId="00000005"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Criminal Law is referred to as the body of law that is related to crime and defines criminal offences which are perceived as harmful and threatening in terms of endangering property (Pratt and Miao, 2019). One of the main objectives of the criminal law of the UK is associated with identifying, acknowledging, punishing, and educating the greater community in accordance with the consequences of the criminal offences that have occurred under the actions of the “Criminal Justice System” (CJS). In this context, three main purposes of criminal law have been recognised which include “Retribution, Deterrence, Incapacitation” (Legislation, 2023). The aim of this present assignment is to focus on the different criminal offences in accordance with the given scenario in order to understand the actions of the CJS on criminal offences.      </w:t>
      </w:r>
    </w:p>
    <w:p w14:paraId="00000006" w14:textId="77777777" w:rsidR="00174EE5" w:rsidRPr="00074428" w:rsidRDefault="008F2800">
      <w:pPr>
        <w:pStyle w:val="Heading2"/>
        <w:rPr>
          <w:lang w:val="en-GB"/>
        </w:rPr>
      </w:pPr>
      <w:bookmarkStart w:id="4" w:name="_7o10rzqqgcdg" w:colFirst="0" w:colLast="0"/>
      <w:bookmarkStart w:id="5" w:name="_Toc123658587"/>
      <w:bookmarkEnd w:id="4"/>
      <w:r w:rsidRPr="00074428">
        <w:rPr>
          <w:lang w:val="en-GB"/>
        </w:rPr>
        <w:t>Main Body</w:t>
      </w:r>
      <w:bookmarkEnd w:id="5"/>
    </w:p>
    <w:p w14:paraId="00000007"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“Theft Act 1986” is referred to as an “Act of the Parliament” of the UK that has been introduced in order to identify the intention of obtaining property by deception as a criminal offence (Legislation, 2023). In this context, Section 1(1) of the “Theft Act 1986” states that if a person is guilty of deception, then it has been identified as a criminal offence with the actual intention of permanently depriving others of obtaining the property (CPS, 2022). In accordance with the given scenario, it has been observed that Ronan being a successful business owner, flaunts his expensive clothes and jewellery in front of others. In this context, Ronan has bought a new pair of “Bucci Trainers” that has caught the eyes of Hadley who had an intention of stealing the trainers in order to teach Ronan a lesson. However, upon entering the house of Ronan, Hadley could not find the trainers and instead, stole the “</w:t>
      </w:r>
      <w:proofErr w:type="spellStart"/>
      <w:r w:rsidRPr="00074428">
        <w:rPr>
          <w:rFonts w:ascii="Times New Roman" w:eastAsia="Times New Roman" w:hAnsi="Times New Roman" w:cs="Times New Roman"/>
          <w:sz w:val="24"/>
          <w:szCs w:val="24"/>
          <w:lang w:val="en-GB"/>
        </w:rPr>
        <w:t>Kolex</w:t>
      </w:r>
      <w:proofErr w:type="spellEnd"/>
      <w:r w:rsidRPr="00074428">
        <w:rPr>
          <w:rFonts w:ascii="Times New Roman" w:eastAsia="Times New Roman" w:hAnsi="Times New Roman" w:cs="Times New Roman"/>
          <w:sz w:val="24"/>
          <w:szCs w:val="24"/>
          <w:lang w:val="en-GB"/>
        </w:rPr>
        <w:t xml:space="preserve"> Watch”. This act has been considered one of the criminal offences that are categorised under Section 9 (1)(b) of the “Theft Act 1986” (Sentencing Council, 2023). According to this section, an individual with the intention of entering any building as a trespasser with an attempt of stealing is identified as a criminal offence. </w:t>
      </w:r>
    </w:p>
    <w:p w14:paraId="00000008"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Furthermore, Hadley also tried to damage the dressing room of Ronan by setting it on fire in order to teach him a lesson about flaunting his over-expensive clothes and trainers. In this context, the act of Hadley has been considered under the “Criminal Damage Act 1971” as the criminal offence of damaging property which belongs to another individual. Section 1(1) of the “Criminal Damage Act 1971” states that a person is liable to face the consequences of a criminal offence if the particular person damages any property without lawful excuse that belongs to another and is thus, </w:t>
      </w:r>
      <w:r w:rsidRPr="00074428">
        <w:rPr>
          <w:rFonts w:ascii="Times New Roman" w:eastAsia="Times New Roman" w:hAnsi="Times New Roman" w:cs="Times New Roman"/>
          <w:sz w:val="24"/>
          <w:szCs w:val="24"/>
          <w:lang w:val="en-GB"/>
        </w:rPr>
        <w:lastRenderedPageBreak/>
        <w:t xml:space="preserve">identifies to be guilty of the criminal offence of damaging property (Legislation, 2023). Moreover, </w:t>
      </w:r>
      <w:proofErr w:type="spellStart"/>
      <w:r w:rsidRPr="00074428">
        <w:rPr>
          <w:rFonts w:ascii="Times New Roman" w:eastAsia="Times New Roman" w:hAnsi="Times New Roman" w:cs="Times New Roman"/>
          <w:sz w:val="24"/>
          <w:szCs w:val="24"/>
          <w:lang w:val="en-GB"/>
        </w:rPr>
        <w:t>Mens</w:t>
      </w:r>
      <w:proofErr w:type="spellEnd"/>
      <w:r w:rsidRPr="00074428">
        <w:rPr>
          <w:rFonts w:ascii="Times New Roman" w:eastAsia="Times New Roman" w:hAnsi="Times New Roman" w:cs="Times New Roman"/>
          <w:sz w:val="24"/>
          <w:szCs w:val="24"/>
          <w:lang w:val="en-GB"/>
        </w:rPr>
        <w:t xml:space="preserve"> Rea of Section 1(1) of the “Criminal Damage Act 1971” states that the reckless intention of damaging property can be both direct and oblique (CPS, 2022). However, a person is not found to be guilty of the criminal offence of damaging property pertaining to the fact that the damage has occurred under the “mistaken belief” of possessing the property as their own. </w:t>
      </w:r>
    </w:p>
    <w:p w14:paraId="00000009"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The case law that is related to both “Theft Act 1986” and “Criminal Damage Act 1971” is “Moir v Williams [1892]”. According to the respective case law, inadequate damages caused to an individual should be either refused or granted on the basis of the verdicts as well as the sound judicial decision of the trial court. In accordance with the particular case law, it has been observed that during the operation the defendant surgeon, without the consent of the patient operated on the left ear instead of the right ear. In this context, the patient sued the surgeon in accordance with the “Tort of Assault” and lack of consent. In this context, the trial court awarded “damage to the patient” and also claimed that the damage that has been caused to the patient is excessive under the influence of prejudice and passion. </w:t>
      </w:r>
    </w:p>
    <w:p w14:paraId="0000000A"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Therefore, in this context, Hadley is more likely to face the criminal offence of both the “Theft Act” and “Criminal Damage Act” pertaining to the fact that the accused has both the intentions of stealing the limited edition pairs of “Bucci Trainers” of Ronan as well as tried to damage the dressing room of Ronan in an attempt to set the room on fire.  This can be attributed to the fact that Ronan had a habit of flaunting his over-expensive clothes and jewellery in order to flaunt his success in his business. However, Hadley attempted to steal the unlimited edition pairs of “</w:t>
      </w:r>
      <w:proofErr w:type="spellStart"/>
      <w:r w:rsidRPr="00074428">
        <w:rPr>
          <w:rFonts w:ascii="Times New Roman" w:eastAsia="Times New Roman" w:hAnsi="Times New Roman" w:cs="Times New Roman"/>
          <w:sz w:val="24"/>
          <w:szCs w:val="24"/>
          <w:lang w:val="en-GB"/>
        </w:rPr>
        <w:t>Buccin</w:t>
      </w:r>
      <w:proofErr w:type="spellEnd"/>
      <w:r w:rsidRPr="00074428">
        <w:rPr>
          <w:rFonts w:ascii="Times New Roman" w:eastAsia="Times New Roman" w:hAnsi="Times New Roman" w:cs="Times New Roman"/>
          <w:sz w:val="24"/>
          <w:szCs w:val="24"/>
          <w:lang w:val="en-GB"/>
        </w:rPr>
        <w:t xml:space="preserve"> trainers” from Ronan in order to teach him a lesson about being a poser. Thus, Hadley entered his property without permission and tried to steal the trainers. However, he was unable to find the trainers and instead, stole the “</w:t>
      </w:r>
      <w:proofErr w:type="spellStart"/>
      <w:r w:rsidRPr="00074428">
        <w:rPr>
          <w:rFonts w:ascii="Times New Roman" w:eastAsia="Times New Roman" w:hAnsi="Times New Roman" w:cs="Times New Roman"/>
          <w:sz w:val="24"/>
          <w:szCs w:val="24"/>
          <w:lang w:val="en-GB"/>
        </w:rPr>
        <w:t>Kolex</w:t>
      </w:r>
      <w:proofErr w:type="spellEnd"/>
      <w:r w:rsidRPr="00074428">
        <w:rPr>
          <w:rFonts w:ascii="Times New Roman" w:eastAsia="Times New Roman" w:hAnsi="Times New Roman" w:cs="Times New Roman"/>
          <w:sz w:val="24"/>
          <w:szCs w:val="24"/>
          <w:lang w:val="en-GB"/>
        </w:rPr>
        <w:t xml:space="preserve"> Watch”. This indicates the fact that Hadley can be criminally liable for the criminal offence of Theft under the “Theft Act 1986”. In addition, Hadley also set Ronan’s dressing room on fire which has been categorised to be another criminal offence and thus, Hadley is also criminally liable for causing damage to another’s property under the “Criminal Damage Act 1971”.</w:t>
      </w:r>
      <w:r w:rsidRPr="00074428">
        <w:rPr>
          <w:rFonts w:ascii="Times New Roman" w:eastAsia="Times New Roman" w:hAnsi="Times New Roman" w:cs="Times New Roman"/>
          <w:sz w:val="24"/>
          <w:szCs w:val="24"/>
          <w:highlight w:val="yellow"/>
          <w:lang w:val="en-GB"/>
        </w:rPr>
        <w:t xml:space="preserve">    </w:t>
      </w:r>
      <w:r w:rsidRPr="00074428">
        <w:rPr>
          <w:rFonts w:ascii="Times New Roman" w:eastAsia="Times New Roman" w:hAnsi="Times New Roman" w:cs="Times New Roman"/>
          <w:sz w:val="24"/>
          <w:szCs w:val="24"/>
          <w:lang w:val="en-GB"/>
        </w:rPr>
        <w:t xml:space="preserve">                         </w:t>
      </w:r>
    </w:p>
    <w:p w14:paraId="0000000B" w14:textId="77777777" w:rsidR="00174EE5" w:rsidRPr="00074428" w:rsidRDefault="008F2800">
      <w:pPr>
        <w:pStyle w:val="Heading2"/>
        <w:rPr>
          <w:lang w:val="en-GB"/>
        </w:rPr>
      </w:pPr>
      <w:bookmarkStart w:id="6" w:name="_8bzkwj1kydb5" w:colFirst="0" w:colLast="0"/>
      <w:bookmarkStart w:id="7" w:name="_Toc123658588"/>
      <w:bookmarkEnd w:id="6"/>
      <w:r w:rsidRPr="00074428">
        <w:rPr>
          <w:lang w:val="en-GB"/>
        </w:rPr>
        <w:t>Conclusion</w:t>
      </w:r>
      <w:bookmarkEnd w:id="7"/>
    </w:p>
    <w:p w14:paraId="0000000C"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It can be concluded from the above findings that criminal law is an act of the parliament that is associated with addressing criminal offences that are perceived as threatening as well as harmful. In accordance with the given scenario between Ronan and Hadley, it has been observed that </w:t>
      </w:r>
      <w:r w:rsidRPr="00074428">
        <w:rPr>
          <w:rFonts w:ascii="Times New Roman" w:eastAsia="Times New Roman" w:hAnsi="Times New Roman" w:cs="Times New Roman"/>
          <w:sz w:val="24"/>
          <w:szCs w:val="24"/>
          <w:lang w:val="en-GB"/>
        </w:rPr>
        <w:lastRenderedPageBreak/>
        <w:t xml:space="preserve">Hadley, who is the main accused is liable to be held on the basis of both “Theft Act 1986” and “Criminal Damage Act 1971” pertaining to the fact that the accused not only had an intention of stealing the pairs of “Bucci Trainers” but also tried to damage the dressing room of Ronan by setting it on fire. This indicates the fact that Hadley will have to face the consequences of the criminal offence of both theft and damage on the basis of the actions of the “Criminal Justice System”.     </w:t>
      </w:r>
    </w:p>
    <w:p w14:paraId="0000000F" w14:textId="0796AD51" w:rsidR="00174EE5" w:rsidRPr="00074428" w:rsidRDefault="008F2800">
      <w:pPr>
        <w:spacing w:line="360" w:lineRule="auto"/>
        <w:jc w:val="both"/>
        <w:rPr>
          <w:rFonts w:ascii="Times New Roman" w:eastAsia="Times New Roman" w:hAnsi="Times New Roman" w:cs="Times New Roman"/>
          <w:b/>
          <w:sz w:val="24"/>
          <w:szCs w:val="24"/>
          <w:lang w:val="en-GB"/>
        </w:rPr>
      </w:pPr>
      <w:bookmarkStart w:id="8" w:name="_g6fqk4y4so5t" w:colFirst="0" w:colLast="0"/>
      <w:bookmarkEnd w:id="8"/>
      <w:r w:rsidRPr="00074428">
        <w:rPr>
          <w:lang w:val="en-GB"/>
        </w:rPr>
        <w:br w:type="page"/>
      </w:r>
    </w:p>
    <w:p w14:paraId="00000010" w14:textId="77777777" w:rsidR="00174EE5" w:rsidRPr="00074428" w:rsidRDefault="008F2800">
      <w:pPr>
        <w:pStyle w:val="Heading1"/>
        <w:rPr>
          <w:lang w:val="en-GB"/>
        </w:rPr>
      </w:pPr>
      <w:bookmarkStart w:id="9" w:name="_rp05qoalp74" w:colFirst="0" w:colLast="0"/>
      <w:bookmarkStart w:id="10" w:name="_Toc123658589"/>
      <w:bookmarkEnd w:id="9"/>
      <w:r w:rsidRPr="00074428">
        <w:rPr>
          <w:lang w:val="en-GB"/>
        </w:rPr>
        <w:lastRenderedPageBreak/>
        <w:t>PART B</w:t>
      </w:r>
      <w:bookmarkEnd w:id="10"/>
    </w:p>
    <w:p w14:paraId="00000011" w14:textId="77777777" w:rsidR="00174EE5" w:rsidRPr="00074428" w:rsidRDefault="008F2800">
      <w:pPr>
        <w:pStyle w:val="Heading2"/>
        <w:rPr>
          <w:lang w:val="en-GB"/>
        </w:rPr>
      </w:pPr>
      <w:bookmarkStart w:id="11" w:name="_9jyxryuzm97l" w:colFirst="0" w:colLast="0"/>
      <w:bookmarkStart w:id="12" w:name="_Toc123658590"/>
      <w:bookmarkEnd w:id="11"/>
      <w:r w:rsidRPr="00074428">
        <w:rPr>
          <w:lang w:val="en-GB"/>
        </w:rPr>
        <w:t>Introduction</w:t>
      </w:r>
      <w:bookmarkEnd w:id="12"/>
    </w:p>
    <w:p w14:paraId="00000012" w14:textId="0D926895"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Automatism can be referred to as a part of criminal law that is defined as an involuntary act by a person. In this context, automatism which is associated with the involuntary act states that when a person commits an act without being aware of the nature of the situation, the state is known as sane automatism (</w:t>
      </w:r>
      <w:proofErr w:type="spellStart"/>
      <w:r w:rsidRPr="00074428">
        <w:rPr>
          <w:rFonts w:ascii="Times New Roman" w:eastAsia="Times New Roman" w:hAnsi="Times New Roman" w:cs="Times New Roman"/>
          <w:sz w:val="24"/>
          <w:szCs w:val="24"/>
          <w:lang w:val="en-GB"/>
        </w:rPr>
        <w:t>Beran</w:t>
      </w:r>
      <w:proofErr w:type="spellEnd"/>
      <w:r w:rsidRPr="00074428">
        <w:rPr>
          <w:rFonts w:ascii="Times New Roman" w:eastAsia="Times New Roman" w:hAnsi="Times New Roman" w:cs="Times New Roman"/>
          <w:sz w:val="24"/>
          <w:szCs w:val="24"/>
          <w:lang w:val="en-GB"/>
        </w:rPr>
        <w:t>, 2020). On the other hand, intoxication is considered to be not self-induced and thus, can be used in accordance with defence related to sane automatism. Thus, under sectio</w:t>
      </w:r>
      <w:r w:rsidR="00074428">
        <w:rPr>
          <w:rFonts w:ascii="Times New Roman" w:eastAsia="Times New Roman" w:hAnsi="Times New Roman" w:cs="Times New Roman"/>
          <w:sz w:val="24"/>
          <w:szCs w:val="24"/>
          <w:lang w:val="en-GB"/>
        </w:rPr>
        <w:t xml:space="preserve">n 428 (G) of the “Crimes Act”, </w:t>
      </w:r>
      <w:r w:rsidRPr="00074428">
        <w:rPr>
          <w:rFonts w:ascii="Times New Roman" w:eastAsia="Times New Roman" w:hAnsi="Times New Roman" w:cs="Times New Roman"/>
          <w:sz w:val="24"/>
          <w:szCs w:val="24"/>
          <w:lang w:val="en-GB"/>
        </w:rPr>
        <w:t xml:space="preserve">the defendant who has used sane automatism as self-defence, will not be criminally responsible for the defence that has occurred in order to protect oneself (Sullivan, 2020). The aim of this assignment is to focus on the aspects of intoxication and automatism in order to understand the different aspects of the Person Act 1861.   </w:t>
      </w:r>
    </w:p>
    <w:p w14:paraId="00000013" w14:textId="77777777" w:rsidR="00174EE5" w:rsidRPr="00074428" w:rsidRDefault="008F2800">
      <w:pPr>
        <w:pStyle w:val="Heading2"/>
        <w:rPr>
          <w:lang w:val="en-GB"/>
        </w:rPr>
      </w:pPr>
      <w:bookmarkStart w:id="13" w:name="_6oredi3fjq1f" w:colFirst="0" w:colLast="0"/>
      <w:bookmarkStart w:id="14" w:name="_Toc123658591"/>
      <w:bookmarkEnd w:id="13"/>
      <w:r w:rsidRPr="00074428">
        <w:rPr>
          <w:lang w:val="en-GB"/>
        </w:rPr>
        <w:t>Main Body</w:t>
      </w:r>
      <w:bookmarkEnd w:id="14"/>
    </w:p>
    <w:p w14:paraId="00000014"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Automatism is defined as a part of the criminal law which states that a person’s actions are considered to be involuntary when the particular person is in a state of impaired consciousness or consciousness. According to the comments of </w:t>
      </w:r>
      <w:proofErr w:type="spellStart"/>
      <w:r w:rsidRPr="00074428">
        <w:rPr>
          <w:rFonts w:ascii="Times New Roman" w:eastAsia="Times New Roman" w:hAnsi="Times New Roman" w:cs="Times New Roman"/>
          <w:sz w:val="24"/>
          <w:szCs w:val="24"/>
          <w:lang w:val="en-GB"/>
        </w:rPr>
        <w:t>Sgrò</w:t>
      </w:r>
      <w:proofErr w:type="spellEnd"/>
      <w:r w:rsidRPr="00074428">
        <w:rPr>
          <w:rFonts w:ascii="Times New Roman" w:eastAsia="Times New Roman" w:hAnsi="Times New Roman" w:cs="Times New Roman"/>
          <w:sz w:val="24"/>
          <w:szCs w:val="24"/>
          <w:lang w:val="en-GB"/>
        </w:rPr>
        <w:t xml:space="preserve"> </w:t>
      </w:r>
      <w:r w:rsidRPr="00074428">
        <w:rPr>
          <w:rFonts w:ascii="Times New Roman" w:eastAsia="Times New Roman" w:hAnsi="Times New Roman" w:cs="Times New Roman"/>
          <w:i/>
          <w:sz w:val="24"/>
          <w:szCs w:val="24"/>
          <w:lang w:val="en-GB"/>
        </w:rPr>
        <w:t>et al.</w:t>
      </w:r>
      <w:r w:rsidRPr="00074428">
        <w:rPr>
          <w:rFonts w:ascii="Times New Roman" w:eastAsia="Times New Roman" w:hAnsi="Times New Roman" w:cs="Times New Roman"/>
          <w:sz w:val="24"/>
          <w:szCs w:val="24"/>
          <w:lang w:val="en-GB"/>
        </w:rPr>
        <w:t xml:space="preserve">, (2019), the movement of the limbs of the person is also considered to be involuntary when the person is in a state of unconsciousness. In accordance with the given scenario, it has been observed that Freya has been diagnosed with epilepsy but has not experienced any seizures for the past ten years. Thus, Freya and Nicky drank alcohol at a nightclub. However, after the party, Freya started vomiting and also started to experience a seizure. During the same time, Mike, who tried to help Freya, experienced a punch from Freya that caused him to have a black eye. This is known as Automatism pertaining to the fact that the defendant wanted to protect oneself from a stranger while in a state of unconsciousness. Moreover, this act of Freya is also considered self-induced intoxication which states that the defendant lacks </w:t>
      </w:r>
      <w:proofErr w:type="spellStart"/>
      <w:r w:rsidRPr="00074428">
        <w:rPr>
          <w:rFonts w:ascii="Times New Roman" w:eastAsia="Times New Roman" w:hAnsi="Times New Roman" w:cs="Times New Roman"/>
          <w:sz w:val="24"/>
          <w:szCs w:val="24"/>
          <w:lang w:val="en-GB"/>
        </w:rPr>
        <w:t>mens</w:t>
      </w:r>
      <w:proofErr w:type="spellEnd"/>
      <w:r w:rsidRPr="00074428">
        <w:rPr>
          <w:rFonts w:ascii="Times New Roman" w:eastAsia="Times New Roman" w:hAnsi="Times New Roman" w:cs="Times New Roman"/>
          <w:sz w:val="24"/>
          <w:szCs w:val="24"/>
          <w:lang w:val="en-GB"/>
        </w:rPr>
        <w:t xml:space="preserve"> rea and thus, the intention of punching Mike is not associated with the actual intention of hurting a stranger. In addition, the state of self-induced intoxication is associated with “Sane Automatism”. </w:t>
      </w:r>
    </w:p>
    <w:p w14:paraId="00000015"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Furthermore, in the context of the criminal responsibility of the defendant in terms of attacking a stranger, it has been observed that persons with self-induced intoxication are not criminally responsible pertaining to the fact that the movement of the limbs of the persons in an intoxicated state is considered to be involuntary. This indicates the fact that “A Drunken intent is still an intent”. However, as per the statements of R Yacoub and Briggs (2021), there is no separate </w:t>
      </w:r>
      <w:r w:rsidRPr="00074428">
        <w:rPr>
          <w:rFonts w:ascii="Times New Roman" w:eastAsia="Times New Roman" w:hAnsi="Times New Roman" w:cs="Times New Roman"/>
          <w:sz w:val="24"/>
          <w:szCs w:val="24"/>
          <w:lang w:val="en-GB"/>
        </w:rPr>
        <w:lastRenderedPageBreak/>
        <w:t xml:space="preserve">defence for the actions that are committed in an intoxicated state along with the involuntary movements of the limbs. In accordance with the states of intoxication and automatism, the case law of “Watmore v Jenkins [1962] 2 QB 572” is considered to be a criminal case law that is concerned with the defence of automatism. According to the case law, it has been observed that the trial court has given the verdict that a diabetic motorist is not criminally responsible for dangerous driving pertaining to the fact that the diabetic patient was forced to do so during a “hypo-glycaemic episode”. This indicates the fact that the patient should be acquitted on the grounds of sane automatism and the involuntary control of the limbs.  </w:t>
      </w:r>
    </w:p>
    <w:p w14:paraId="00000016"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In accordance with the given scenario of intoxication and automatism, it has been observed that Freya who is the main defendant will be able to rely on the defences of automatism and intoxication. Moreover, in terms of punching Mike, Freya has been charged under section 47 of the “Offences Against the Person Act 1861”. According to section 47 of “Offences Against the Person Act 1861” states that it must be proved that the assault that has been committed by the defendant has been done internationally as well as recklessly and thus, has caused bodily harm to the victim (Legislation, 2023). In line with this context, Freya will be able to rely on the defences of intoxication and automatism pertaining to the fact that due to her epileptic issues and frequent episodes of seizures, the movement of the limbs was involuntary and thus, could not be controlled. This indicates the fact that although Freya was intoxicated with a high dosage of alcohol, considering the epileptic seizures it can be estimated that the punching action was involuntary through which the defendant had no control over the limbs. This action is known as “Sane Automatism”.                  </w:t>
      </w:r>
    </w:p>
    <w:p w14:paraId="00000017" w14:textId="77777777" w:rsidR="00174EE5" w:rsidRPr="00074428" w:rsidRDefault="008F2800">
      <w:pPr>
        <w:pStyle w:val="Heading2"/>
        <w:rPr>
          <w:lang w:val="en-GB"/>
        </w:rPr>
      </w:pPr>
      <w:bookmarkStart w:id="15" w:name="_jofbj8m63drz" w:colFirst="0" w:colLast="0"/>
      <w:bookmarkStart w:id="16" w:name="_Toc123658592"/>
      <w:bookmarkEnd w:id="15"/>
      <w:r w:rsidRPr="00074428">
        <w:rPr>
          <w:lang w:val="en-GB"/>
        </w:rPr>
        <w:t>Conclusion</w:t>
      </w:r>
      <w:bookmarkEnd w:id="16"/>
    </w:p>
    <w:p w14:paraId="00000018" w14:textId="77777777" w:rsidR="00174EE5" w:rsidRPr="00074428" w:rsidRDefault="008F2800">
      <w:pPr>
        <w:spacing w:line="360" w:lineRule="auto"/>
        <w:jc w:val="both"/>
        <w:rPr>
          <w:rFonts w:ascii="Times New Roman" w:eastAsia="Times New Roman" w:hAnsi="Times New Roman" w:cs="Times New Roman"/>
          <w:sz w:val="24"/>
          <w:szCs w:val="24"/>
          <w:lang w:val="en-GB"/>
        </w:rPr>
      </w:pPr>
      <w:r w:rsidRPr="00074428">
        <w:rPr>
          <w:rFonts w:ascii="Times New Roman" w:eastAsia="Times New Roman" w:hAnsi="Times New Roman" w:cs="Times New Roman"/>
          <w:sz w:val="24"/>
          <w:szCs w:val="24"/>
          <w:lang w:val="en-GB"/>
        </w:rPr>
        <w:t xml:space="preserve">It can be concluded from the above findings that intoxication and automatism are two closely related aspects of criminal law according to which the actions of the defendants are not considered to be criminally responsible due to the fact that they are involuntary in action. This state is also known as “Sane Automatism”. In accordance with the given scenario, it has been observed that Freya in an intoxicated state, punched Mike and thus, has been charged under Section 47 of the “Offences Against the Person Act 1861”. In this context, it has been observed that Freya will be able to rely on the defences against intoxication and automatism stating the fact that her actions were not in control due to the epileptic seizures.  </w:t>
      </w:r>
    </w:p>
    <w:p w14:paraId="00000019" w14:textId="77777777" w:rsidR="00174EE5" w:rsidRPr="00074428" w:rsidRDefault="008F2800">
      <w:pPr>
        <w:spacing w:line="360" w:lineRule="auto"/>
        <w:jc w:val="both"/>
        <w:rPr>
          <w:rFonts w:ascii="Times New Roman" w:eastAsia="Times New Roman" w:hAnsi="Times New Roman" w:cs="Times New Roman"/>
          <w:b/>
          <w:sz w:val="24"/>
          <w:szCs w:val="24"/>
          <w:lang w:val="en-GB"/>
        </w:rPr>
      </w:pPr>
      <w:r w:rsidRPr="00074428">
        <w:rPr>
          <w:lang w:val="en-GB"/>
        </w:rPr>
        <w:br w:type="page"/>
      </w:r>
    </w:p>
    <w:p w14:paraId="0000001A" w14:textId="20ACC0AF" w:rsidR="00174EE5" w:rsidRDefault="008F2800">
      <w:pPr>
        <w:pStyle w:val="Heading2"/>
        <w:rPr>
          <w:lang w:val="en-GB"/>
        </w:rPr>
      </w:pPr>
      <w:bookmarkStart w:id="17" w:name="_y12tddu1pp3u" w:colFirst="0" w:colLast="0"/>
      <w:bookmarkStart w:id="18" w:name="_Toc123658593"/>
      <w:bookmarkEnd w:id="17"/>
      <w:r w:rsidRPr="00074428">
        <w:rPr>
          <w:lang w:val="en-GB"/>
        </w:rPr>
        <w:lastRenderedPageBreak/>
        <w:t>Reference List</w:t>
      </w:r>
      <w:bookmarkEnd w:id="18"/>
    </w:p>
    <w:p w14:paraId="33729E7D" w14:textId="77777777" w:rsidR="00435B23" w:rsidRPr="00D910B3" w:rsidRDefault="00435B23" w:rsidP="00435B23">
      <w:pPr>
        <w:spacing w:before="240" w:line="360" w:lineRule="auto"/>
        <w:jc w:val="both"/>
        <w:rPr>
          <w:rFonts w:ascii="Times New Roman" w:hAnsi="Times New Roman" w:cs="Times New Roman"/>
          <w:sz w:val="24"/>
          <w:lang w:val="en-US"/>
        </w:rPr>
      </w:pPr>
      <w:proofErr w:type="spellStart"/>
      <w:r w:rsidRPr="00D910B3">
        <w:rPr>
          <w:rFonts w:ascii="Times New Roman" w:hAnsi="Times New Roman" w:cs="Times New Roman"/>
          <w:sz w:val="24"/>
          <w:lang w:val="en-US"/>
        </w:rPr>
        <w:t>Beran</w:t>
      </w:r>
      <w:proofErr w:type="spellEnd"/>
      <w:r w:rsidRPr="00D910B3">
        <w:rPr>
          <w:rFonts w:ascii="Times New Roman" w:hAnsi="Times New Roman" w:cs="Times New Roman"/>
          <w:sz w:val="24"/>
          <w:lang w:val="en-US"/>
        </w:rPr>
        <w:t xml:space="preserve">, R.G., 2020. Automatism–A case of reality testing. Forensic Science International: Mind and Law, 1, p.100019. </w:t>
      </w:r>
    </w:p>
    <w:p w14:paraId="4F36E0F3"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CPS, 2022. </w:t>
      </w:r>
      <w:r w:rsidRPr="00D910B3">
        <w:rPr>
          <w:rFonts w:ascii="Times New Roman" w:hAnsi="Times New Roman" w:cs="Times New Roman"/>
          <w:i/>
          <w:sz w:val="24"/>
          <w:lang w:val="en-US"/>
        </w:rPr>
        <w:t>Criminal Damage</w:t>
      </w:r>
      <w:r w:rsidRPr="00D910B3">
        <w:rPr>
          <w:rFonts w:ascii="Times New Roman" w:hAnsi="Times New Roman" w:cs="Times New Roman"/>
          <w:sz w:val="24"/>
          <w:lang w:val="en-US"/>
        </w:rPr>
        <w:t xml:space="preserve">. Available at: </w:t>
      </w:r>
      <w:hyperlink r:id="rId7" w:anchor=":~:text=Section%201(1)%20CDA%201971,be%20guilty%20of%20an%20offence" w:history="1">
        <w:r w:rsidRPr="00D910B3">
          <w:rPr>
            <w:rStyle w:val="Hyperlink"/>
            <w:rFonts w:ascii="Times New Roman" w:hAnsi="Times New Roman" w:cs="Times New Roman"/>
            <w:color w:val="auto"/>
            <w:sz w:val="24"/>
            <w:u w:val="none"/>
            <w:lang w:val="en-US"/>
          </w:rPr>
          <w:t>https://www.cps.gov.uk/legal-guidance/criminal-damage#:~:text=Section%201(1)%20CDA%201971,be%20guilty%20of%20an%20offence</w:t>
        </w:r>
      </w:hyperlink>
      <w:r w:rsidRPr="00D910B3">
        <w:rPr>
          <w:rFonts w:ascii="Times New Roman" w:hAnsi="Times New Roman" w:cs="Times New Roman"/>
          <w:sz w:val="24"/>
          <w:lang w:val="en-US"/>
        </w:rPr>
        <w:t>.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0760A552"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CPS, 2022. </w:t>
      </w:r>
      <w:r w:rsidRPr="00D910B3">
        <w:rPr>
          <w:rFonts w:ascii="Times New Roman" w:hAnsi="Times New Roman" w:cs="Times New Roman"/>
          <w:i/>
          <w:sz w:val="24"/>
          <w:lang w:val="en-US"/>
        </w:rPr>
        <w:t>Theft Act Offences</w:t>
      </w:r>
      <w:r w:rsidRPr="00D910B3">
        <w:rPr>
          <w:rFonts w:ascii="Times New Roman" w:hAnsi="Times New Roman" w:cs="Times New Roman"/>
          <w:sz w:val="24"/>
          <w:lang w:val="en-US"/>
        </w:rPr>
        <w:t xml:space="preserve">. Available at: </w:t>
      </w:r>
      <w:hyperlink r:id="rId8" w:history="1">
        <w:r w:rsidRPr="00D910B3">
          <w:rPr>
            <w:rStyle w:val="Hyperlink"/>
            <w:rFonts w:ascii="Times New Roman" w:hAnsi="Times New Roman" w:cs="Times New Roman"/>
            <w:color w:val="auto"/>
            <w:sz w:val="24"/>
            <w:u w:val="none"/>
            <w:lang w:val="en-US"/>
          </w:rPr>
          <w:t>https://www.cps.gov.uk/legal-guidance/theft-act-offences</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21B2E281"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Legislation, 2023. </w:t>
      </w:r>
      <w:r w:rsidRPr="00D910B3">
        <w:rPr>
          <w:rFonts w:ascii="Times New Roman" w:hAnsi="Times New Roman" w:cs="Times New Roman"/>
          <w:i/>
          <w:sz w:val="24"/>
          <w:lang w:val="en-US"/>
        </w:rPr>
        <w:t>Criminal Damage Act 1971</w:t>
      </w:r>
      <w:r w:rsidRPr="00D910B3">
        <w:rPr>
          <w:rFonts w:ascii="Times New Roman" w:hAnsi="Times New Roman" w:cs="Times New Roman"/>
          <w:sz w:val="24"/>
          <w:lang w:val="en-US"/>
        </w:rPr>
        <w:t xml:space="preserve">. Available at: </w:t>
      </w:r>
      <w:hyperlink r:id="rId9" w:history="1">
        <w:r w:rsidRPr="00D910B3">
          <w:rPr>
            <w:rStyle w:val="Hyperlink"/>
            <w:rFonts w:ascii="Times New Roman" w:hAnsi="Times New Roman" w:cs="Times New Roman"/>
            <w:color w:val="auto"/>
            <w:sz w:val="24"/>
            <w:u w:val="none"/>
            <w:lang w:val="en-US"/>
          </w:rPr>
          <w:t>https://www.legislation.gov.uk/ukpga/1971/48/section/1</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66A82CAD"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Legislation, 2023. </w:t>
      </w:r>
      <w:r w:rsidRPr="00D910B3">
        <w:rPr>
          <w:rFonts w:ascii="Times New Roman" w:hAnsi="Times New Roman" w:cs="Times New Roman"/>
          <w:i/>
          <w:sz w:val="24"/>
          <w:lang w:val="en-US"/>
        </w:rPr>
        <w:t>Criminal Law Act 1977</w:t>
      </w:r>
      <w:r w:rsidRPr="00D910B3">
        <w:rPr>
          <w:rFonts w:ascii="Times New Roman" w:hAnsi="Times New Roman" w:cs="Times New Roman"/>
          <w:sz w:val="24"/>
          <w:lang w:val="en-US"/>
        </w:rPr>
        <w:t xml:space="preserve">. Available at: </w:t>
      </w:r>
      <w:hyperlink r:id="rId10" w:history="1">
        <w:r w:rsidRPr="00D910B3">
          <w:rPr>
            <w:rStyle w:val="Hyperlink"/>
            <w:rFonts w:ascii="Times New Roman" w:hAnsi="Times New Roman" w:cs="Times New Roman"/>
            <w:color w:val="auto"/>
            <w:sz w:val="24"/>
            <w:u w:val="none"/>
            <w:lang w:val="en-US"/>
          </w:rPr>
          <w:t>https://www.legislation.gov.uk/ukpga/1977/45</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5CC6E36E"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Legislation, 2023. </w:t>
      </w:r>
      <w:r w:rsidRPr="00D910B3">
        <w:rPr>
          <w:rFonts w:ascii="Times New Roman" w:hAnsi="Times New Roman" w:cs="Times New Roman"/>
          <w:i/>
          <w:sz w:val="24"/>
          <w:lang w:val="en-US"/>
        </w:rPr>
        <w:t>Offences against the Person Act 1861</w:t>
      </w:r>
      <w:r w:rsidRPr="00D910B3">
        <w:rPr>
          <w:rFonts w:ascii="Times New Roman" w:hAnsi="Times New Roman" w:cs="Times New Roman"/>
          <w:sz w:val="24"/>
          <w:lang w:val="en-US"/>
        </w:rPr>
        <w:t xml:space="preserve">. Available at: </w:t>
      </w:r>
      <w:hyperlink r:id="rId11" w:history="1">
        <w:r w:rsidRPr="00D910B3">
          <w:rPr>
            <w:rStyle w:val="Hyperlink"/>
            <w:rFonts w:ascii="Times New Roman" w:hAnsi="Times New Roman" w:cs="Times New Roman"/>
            <w:color w:val="auto"/>
            <w:sz w:val="24"/>
            <w:u w:val="none"/>
            <w:lang w:val="en-US"/>
          </w:rPr>
          <w:t>https://www.legislation.gov.uk/ukpga/Vict/24-25/100/contents</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550FD318"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Legislation, 2023. </w:t>
      </w:r>
      <w:r w:rsidRPr="00D910B3">
        <w:rPr>
          <w:rFonts w:ascii="Times New Roman" w:hAnsi="Times New Roman" w:cs="Times New Roman"/>
          <w:i/>
          <w:sz w:val="24"/>
          <w:lang w:val="en-US"/>
        </w:rPr>
        <w:t>Theft Act 1968</w:t>
      </w:r>
      <w:r w:rsidRPr="00D910B3">
        <w:rPr>
          <w:rFonts w:ascii="Times New Roman" w:hAnsi="Times New Roman" w:cs="Times New Roman"/>
          <w:sz w:val="24"/>
          <w:lang w:val="en-US"/>
        </w:rPr>
        <w:t xml:space="preserve">. Available at: </w:t>
      </w:r>
      <w:hyperlink r:id="rId12" w:history="1">
        <w:r w:rsidRPr="00D910B3">
          <w:rPr>
            <w:rStyle w:val="Hyperlink"/>
            <w:rFonts w:ascii="Times New Roman" w:hAnsi="Times New Roman" w:cs="Times New Roman"/>
            <w:color w:val="auto"/>
            <w:sz w:val="24"/>
            <w:u w:val="none"/>
            <w:lang w:val="en-US"/>
          </w:rPr>
          <w:t>https://www.legislation.gov.uk/ukpga/1968/60</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5B221B48"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Moir v Williams [1892] 261 N.W. 12 [1892] 104</w:t>
      </w:r>
    </w:p>
    <w:p w14:paraId="467D71A6"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Pratt, J. and Miao, M., 2019. Risk, populism, and criminal Law. New Criminal law review, 22(4), pp.391-433. </w:t>
      </w:r>
    </w:p>
    <w:p w14:paraId="557DB4A3"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R Yacoub, A. and Briggs, B., 2021. Posttraumatic Stress Disorder (“PTSD”) Effect on a Defendant’s Action and State of Mind: The Future of Criminal Culpability. Becky, Posttraumatic Stress Disorder (“PTSD”) Effect on a Defendant’s Action and State of Mind: The Future of Criminal Culpability (December 23, 2021). </w:t>
      </w:r>
    </w:p>
    <w:p w14:paraId="5287A80E"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lastRenderedPageBreak/>
        <w:t xml:space="preserve">Sentencing Council, 2023. </w:t>
      </w:r>
      <w:r w:rsidRPr="00D910B3">
        <w:rPr>
          <w:rFonts w:ascii="Times New Roman" w:hAnsi="Times New Roman" w:cs="Times New Roman"/>
          <w:i/>
          <w:sz w:val="24"/>
          <w:lang w:val="en-US"/>
        </w:rPr>
        <w:t>Burglary Offences - Definitive Guideline</w:t>
      </w:r>
      <w:r w:rsidRPr="00D910B3">
        <w:rPr>
          <w:rFonts w:ascii="Times New Roman" w:hAnsi="Times New Roman" w:cs="Times New Roman"/>
          <w:sz w:val="24"/>
          <w:lang w:val="en-US"/>
        </w:rPr>
        <w:t xml:space="preserve">. Available at: </w:t>
      </w:r>
      <w:hyperlink r:id="rId13" w:history="1">
        <w:r w:rsidRPr="00D910B3">
          <w:rPr>
            <w:rStyle w:val="Hyperlink"/>
            <w:rFonts w:ascii="Times New Roman" w:hAnsi="Times New Roman" w:cs="Times New Roman"/>
            <w:color w:val="auto"/>
            <w:sz w:val="24"/>
            <w:u w:val="none"/>
            <w:lang w:val="en-US"/>
          </w:rPr>
          <w:t>https://www.sentencingcouncil.org.uk/wp-content/uploads/Burglary-definitive-guideline-Web.pdf</w:t>
        </w:r>
      </w:hyperlink>
      <w:r w:rsidRPr="00D910B3">
        <w:rPr>
          <w:rFonts w:ascii="Times New Roman" w:hAnsi="Times New Roman" w:cs="Times New Roman"/>
          <w:sz w:val="24"/>
          <w:lang w:val="en-US"/>
        </w:rPr>
        <w:t xml:space="preserve"> [Accessed on: 3</w:t>
      </w:r>
      <w:r w:rsidRPr="00D910B3">
        <w:rPr>
          <w:rFonts w:ascii="Times New Roman" w:hAnsi="Times New Roman" w:cs="Times New Roman"/>
          <w:sz w:val="24"/>
          <w:vertAlign w:val="superscript"/>
          <w:lang w:val="en-US"/>
        </w:rPr>
        <w:t>rd</w:t>
      </w:r>
      <w:r w:rsidRPr="00D910B3">
        <w:rPr>
          <w:rFonts w:ascii="Times New Roman" w:hAnsi="Times New Roman" w:cs="Times New Roman"/>
          <w:sz w:val="24"/>
          <w:lang w:val="en-US"/>
        </w:rPr>
        <w:t xml:space="preserve"> January 2023]</w:t>
      </w:r>
    </w:p>
    <w:p w14:paraId="39470EEE" w14:textId="77777777" w:rsidR="00435B23" w:rsidRPr="00D910B3" w:rsidRDefault="00435B23" w:rsidP="00435B23">
      <w:pPr>
        <w:spacing w:before="240" w:line="360" w:lineRule="auto"/>
        <w:jc w:val="both"/>
        <w:rPr>
          <w:rFonts w:ascii="Times New Roman" w:hAnsi="Times New Roman" w:cs="Times New Roman"/>
          <w:sz w:val="24"/>
          <w:lang w:val="en-US"/>
        </w:rPr>
      </w:pPr>
      <w:proofErr w:type="spellStart"/>
      <w:r w:rsidRPr="00D910B3">
        <w:rPr>
          <w:rFonts w:ascii="Times New Roman" w:hAnsi="Times New Roman" w:cs="Times New Roman"/>
          <w:sz w:val="24"/>
          <w:lang w:val="en-US"/>
        </w:rPr>
        <w:t>Sgrò</w:t>
      </w:r>
      <w:proofErr w:type="spellEnd"/>
      <w:r w:rsidRPr="00D910B3">
        <w:rPr>
          <w:rFonts w:ascii="Times New Roman" w:hAnsi="Times New Roman" w:cs="Times New Roman"/>
          <w:sz w:val="24"/>
          <w:lang w:val="en-US"/>
        </w:rPr>
        <w:t xml:space="preserve">, F., </w:t>
      </w:r>
      <w:proofErr w:type="spellStart"/>
      <w:r w:rsidRPr="00D910B3">
        <w:rPr>
          <w:rFonts w:ascii="Times New Roman" w:hAnsi="Times New Roman" w:cs="Times New Roman"/>
          <w:sz w:val="24"/>
          <w:lang w:val="en-US"/>
        </w:rPr>
        <w:t>Olmo</w:t>
      </w:r>
      <w:proofErr w:type="spellEnd"/>
      <w:r w:rsidRPr="00D910B3">
        <w:rPr>
          <w:rFonts w:ascii="Times New Roman" w:hAnsi="Times New Roman" w:cs="Times New Roman"/>
          <w:sz w:val="24"/>
          <w:lang w:val="en-US"/>
        </w:rPr>
        <w:t xml:space="preserve">, G. and De </w:t>
      </w:r>
      <w:proofErr w:type="spellStart"/>
      <w:r w:rsidRPr="00D910B3">
        <w:rPr>
          <w:rFonts w:ascii="Times New Roman" w:hAnsi="Times New Roman" w:cs="Times New Roman"/>
          <w:sz w:val="24"/>
          <w:lang w:val="en-US"/>
        </w:rPr>
        <w:t>Feo</w:t>
      </w:r>
      <w:proofErr w:type="spellEnd"/>
      <w:r w:rsidRPr="00D910B3">
        <w:rPr>
          <w:rFonts w:ascii="Times New Roman" w:hAnsi="Times New Roman" w:cs="Times New Roman"/>
          <w:sz w:val="24"/>
          <w:lang w:val="en-US"/>
        </w:rPr>
        <w:t xml:space="preserve">, V., 2019. Disorders of Consciousness: using the Perturbational Complexity Index to distinguish between voluntary and involuntary movements. </w:t>
      </w:r>
    </w:p>
    <w:p w14:paraId="7614A53D" w14:textId="77777777" w:rsidR="00435B23" w:rsidRPr="00D910B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Sullivan, W.C., 2020. ‘The Criminal Responsibility of the Alcoholic’, British Journal of Inebriety, 2, 1904–5, 48–53. In Healers discovering and treating addiction (pp. 280-284). Routledge. </w:t>
      </w:r>
    </w:p>
    <w:p w14:paraId="1E68BEF6" w14:textId="681D24B5" w:rsidR="00435B23" w:rsidRPr="00435B23" w:rsidRDefault="00435B23" w:rsidP="00435B23">
      <w:pPr>
        <w:spacing w:before="240" w:line="360" w:lineRule="auto"/>
        <w:jc w:val="both"/>
        <w:rPr>
          <w:rFonts w:ascii="Times New Roman" w:hAnsi="Times New Roman" w:cs="Times New Roman"/>
          <w:sz w:val="24"/>
          <w:lang w:val="en-US"/>
        </w:rPr>
      </w:pPr>
      <w:r w:rsidRPr="00D910B3">
        <w:rPr>
          <w:rFonts w:ascii="Times New Roman" w:hAnsi="Times New Roman" w:cs="Times New Roman"/>
          <w:sz w:val="24"/>
          <w:lang w:val="en-US"/>
        </w:rPr>
        <w:t xml:space="preserve">Watmore v Jenkins [1962] 2 Q.B. 572 </w:t>
      </w:r>
    </w:p>
    <w:sectPr w:rsidR="00435B23" w:rsidRPr="00435B2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BB60D" w14:textId="77777777" w:rsidR="004323B8" w:rsidRDefault="004323B8" w:rsidP="00EA104D">
      <w:pPr>
        <w:spacing w:line="240" w:lineRule="auto"/>
      </w:pPr>
      <w:r>
        <w:separator/>
      </w:r>
    </w:p>
  </w:endnote>
  <w:endnote w:type="continuationSeparator" w:id="0">
    <w:p w14:paraId="32DB24AE" w14:textId="77777777" w:rsidR="004323B8" w:rsidRDefault="004323B8" w:rsidP="00EA10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750179"/>
      <w:docPartObj>
        <w:docPartGallery w:val="Page Numbers (Bottom of Page)"/>
        <w:docPartUnique/>
      </w:docPartObj>
    </w:sdtPr>
    <w:sdtEndPr>
      <w:rPr>
        <w:rFonts w:ascii="Times New Roman" w:hAnsi="Times New Roman" w:cs="Times New Roman"/>
        <w:noProof/>
        <w:sz w:val="24"/>
      </w:rPr>
    </w:sdtEndPr>
    <w:sdtContent>
      <w:p w14:paraId="4CF786DB" w14:textId="24124FB5" w:rsidR="00EA104D" w:rsidRPr="00EA104D" w:rsidRDefault="00EA104D">
        <w:pPr>
          <w:pStyle w:val="Footer"/>
          <w:jc w:val="right"/>
          <w:rPr>
            <w:rFonts w:ascii="Times New Roman" w:hAnsi="Times New Roman" w:cs="Times New Roman"/>
            <w:sz w:val="24"/>
          </w:rPr>
        </w:pPr>
        <w:r w:rsidRPr="00EA104D">
          <w:rPr>
            <w:rFonts w:ascii="Times New Roman" w:hAnsi="Times New Roman" w:cs="Times New Roman"/>
            <w:sz w:val="24"/>
          </w:rPr>
          <w:fldChar w:fldCharType="begin"/>
        </w:r>
        <w:r w:rsidRPr="00EA104D">
          <w:rPr>
            <w:rFonts w:ascii="Times New Roman" w:hAnsi="Times New Roman" w:cs="Times New Roman"/>
            <w:sz w:val="24"/>
          </w:rPr>
          <w:instrText xml:space="preserve"> PAGE   \* MERGEFORMAT </w:instrText>
        </w:r>
        <w:r w:rsidRPr="00EA104D">
          <w:rPr>
            <w:rFonts w:ascii="Times New Roman" w:hAnsi="Times New Roman" w:cs="Times New Roman"/>
            <w:sz w:val="24"/>
          </w:rPr>
          <w:fldChar w:fldCharType="separate"/>
        </w:r>
        <w:r>
          <w:rPr>
            <w:rFonts w:ascii="Times New Roman" w:hAnsi="Times New Roman" w:cs="Times New Roman"/>
            <w:noProof/>
            <w:sz w:val="24"/>
          </w:rPr>
          <w:t>5</w:t>
        </w:r>
        <w:r w:rsidRPr="00EA104D">
          <w:rPr>
            <w:rFonts w:ascii="Times New Roman" w:hAnsi="Times New Roman" w:cs="Times New Roman"/>
            <w:noProof/>
            <w:sz w:val="24"/>
          </w:rPr>
          <w:fldChar w:fldCharType="end"/>
        </w:r>
      </w:p>
    </w:sdtContent>
  </w:sdt>
  <w:p w14:paraId="24E76F27" w14:textId="77777777" w:rsidR="00EA104D" w:rsidRDefault="00EA1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57FC" w14:textId="77777777" w:rsidR="004323B8" w:rsidRDefault="004323B8" w:rsidP="00EA104D">
      <w:pPr>
        <w:spacing w:line="240" w:lineRule="auto"/>
      </w:pPr>
      <w:r>
        <w:separator/>
      </w:r>
    </w:p>
  </w:footnote>
  <w:footnote w:type="continuationSeparator" w:id="0">
    <w:p w14:paraId="487A73F2" w14:textId="77777777" w:rsidR="004323B8" w:rsidRDefault="004323B8" w:rsidP="00EA10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EE5"/>
    <w:rsid w:val="00074428"/>
    <w:rsid w:val="000A2FAE"/>
    <w:rsid w:val="00174EE5"/>
    <w:rsid w:val="00274709"/>
    <w:rsid w:val="00376DDB"/>
    <w:rsid w:val="004323B8"/>
    <w:rsid w:val="00435B23"/>
    <w:rsid w:val="00721AB1"/>
    <w:rsid w:val="008F2800"/>
    <w:rsid w:val="00EA10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1B58"/>
  <w15:docId w15:val="{582D69B1-F0B0-419C-A2BD-BA8AF5DE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76DD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6DDB"/>
    <w:rPr>
      <w:rFonts w:ascii="Segoe UI" w:hAnsi="Segoe UI" w:cs="Segoe UI"/>
      <w:sz w:val="18"/>
      <w:szCs w:val="18"/>
    </w:rPr>
  </w:style>
  <w:style w:type="paragraph" w:styleId="TOCHeading">
    <w:name w:val="TOC Heading"/>
    <w:basedOn w:val="Heading1"/>
    <w:next w:val="Normal"/>
    <w:uiPriority w:val="39"/>
    <w:unhideWhenUsed/>
    <w:qFormat/>
    <w:rsid w:val="00376DD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76DDB"/>
    <w:pPr>
      <w:spacing w:after="100"/>
    </w:pPr>
  </w:style>
  <w:style w:type="paragraph" w:styleId="TOC2">
    <w:name w:val="toc 2"/>
    <w:basedOn w:val="Normal"/>
    <w:next w:val="Normal"/>
    <w:autoRedefine/>
    <w:uiPriority w:val="39"/>
    <w:unhideWhenUsed/>
    <w:rsid w:val="00376DDB"/>
    <w:pPr>
      <w:spacing w:after="100"/>
      <w:ind w:left="220"/>
    </w:pPr>
  </w:style>
  <w:style w:type="character" w:styleId="Hyperlink">
    <w:name w:val="Hyperlink"/>
    <w:basedOn w:val="DefaultParagraphFont"/>
    <w:uiPriority w:val="99"/>
    <w:unhideWhenUsed/>
    <w:rsid w:val="00376DDB"/>
    <w:rPr>
      <w:color w:val="0000FF" w:themeColor="hyperlink"/>
      <w:u w:val="single"/>
    </w:rPr>
  </w:style>
  <w:style w:type="paragraph" w:styleId="Header">
    <w:name w:val="header"/>
    <w:basedOn w:val="Normal"/>
    <w:link w:val="HeaderChar"/>
    <w:uiPriority w:val="99"/>
    <w:unhideWhenUsed/>
    <w:rsid w:val="00EA104D"/>
    <w:pPr>
      <w:tabs>
        <w:tab w:val="center" w:pos="4513"/>
        <w:tab w:val="right" w:pos="9026"/>
      </w:tabs>
      <w:spacing w:line="240" w:lineRule="auto"/>
    </w:pPr>
  </w:style>
  <w:style w:type="character" w:customStyle="1" w:styleId="HeaderChar">
    <w:name w:val="Header Char"/>
    <w:basedOn w:val="DefaultParagraphFont"/>
    <w:link w:val="Header"/>
    <w:uiPriority w:val="99"/>
    <w:rsid w:val="00EA104D"/>
  </w:style>
  <w:style w:type="paragraph" w:styleId="Footer">
    <w:name w:val="footer"/>
    <w:basedOn w:val="Normal"/>
    <w:link w:val="FooterChar"/>
    <w:uiPriority w:val="99"/>
    <w:unhideWhenUsed/>
    <w:rsid w:val="00EA104D"/>
    <w:pPr>
      <w:tabs>
        <w:tab w:val="center" w:pos="4513"/>
        <w:tab w:val="right" w:pos="9026"/>
      </w:tabs>
      <w:spacing w:line="240" w:lineRule="auto"/>
    </w:pPr>
  </w:style>
  <w:style w:type="character" w:customStyle="1" w:styleId="FooterChar">
    <w:name w:val="Footer Char"/>
    <w:basedOn w:val="DefaultParagraphFont"/>
    <w:link w:val="Footer"/>
    <w:uiPriority w:val="99"/>
    <w:rsid w:val="00EA1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ps.gov.uk/legal-guidance/theft-act-offences" TargetMode="External"/><Relationship Id="rId13" Type="http://schemas.openxmlformats.org/officeDocument/2006/relationships/hyperlink" Target="https://www.sentencingcouncil.org.uk/wp-content/uploads/Burglary-definitive-guideline-Web.pdf" TargetMode="External"/><Relationship Id="rId3" Type="http://schemas.openxmlformats.org/officeDocument/2006/relationships/settings" Target="settings.xml"/><Relationship Id="rId7" Type="http://schemas.openxmlformats.org/officeDocument/2006/relationships/hyperlink" Target="https://www.cps.gov.uk/legal-guidance/criminal-damage" TargetMode="External"/><Relationship Id="rId12" Type="http://schemas.openxmlformats.org/officeDocument/2006/relationships/hyperlink" Target="https://www.legislation.gov.uk/ukpga/1968/6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Vict/24-25/100/conte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1977/45" TargetMode="External"/><Relationship Id="rId4" Type="http://schemas.openxmlformats.org/officeDocument/2006/relationships/webSettings" Target="webSettings.xml"/><Relationship Id="rId9" Type="http://schemas.openxmlformats.org/officeDocument/2006/relationships/hyperlink" Target="https://www.legislation.gov.uk/ukpga/1971/48/sectio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30BCA-C041-474A-BCAC-9960A2AD7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2205</Words>
  <Characters>12574</Characters>
  <Application>Microsoft Office Word</Application>
  <DocSecurity>0</DocSecurity>
  <Lines>104</Lines>
  <Paragraphs>29</Paragraphs>
  <ScaleCrop>false</ScaleCrop>
  <Company/>
  <LinksUpToDate>false</LinksUpToDate>
  <CharactersWithSpaces>14750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dorin ghisoiu</cp:lastModifiedBy>
  <cp:revision>9</cp:revision>
  <dcterms:created xsi:type="dcterms:W3CDTF">2023-01-03T11:45:00Z</dcterms:created>
  <dcterms:modified xsi:type="dcterms:W3CDTF">2023-01-13T18:47:00Z</dcterms:modified>
</cp:coreProperties>
</file>