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2"/>
          <w:szCs w:val="32"/>
        </w:rPr>
      </w:pPr>
      <w:r w:rsidDel="00000000" w:rsidR="00000000" w:rsidRPr="00000000">
        <w:rPr>
          <w:sz w:val="32"/>
          <w:szCs w:val="32"/>
          <w:rtl w:val="0"/>
        </w:rPr>
        <w:t xml:space="preserve">The differences between native and non-native speakers of English</w:t>
      </w:r>
    </w:p>
    <w:p w:rsidR="00000000" w:rsidDel="00000000" w:rsidP="00000000" w:rsidRDefault="00000000" w:rsidRPr="00000000" w14:paraId="00000002">
      <w:pPr>
        <w:rPr>
          <w:sz w:val="32"/>
          <w:szCs w:val="32"/>
        </w:rPr>
      </w:pPr>
      <w:r w:rsidDel="00000000" w:rsidR="00000000" w:rsidRPr="00000000">
        <w:rPr>
          <w:rtl w:val="0"/>
        </w:rPr>
      </w:r>
    </w:p>
    <w:p w:rsidR="00000000" w:rsidDel="00000000" w:rsidP="00000000" w:rsidRDefault="00000000" w:rsidRPr="00000000" w14:paraId="00000003">
      <w:pPr>
        <w:rPr>
          <w:sz w:val="32"/>
          <w:szCs w:val="32"/>
        </w:rPr>
      </w:pPr>
      <w:r w:rsidDel="00000000" w:rsidR="00000000" w:rsidRPr="00000000">
        <w:rPr>
          <w:sz w:val="32"/>
          <w:szCs w:val="32"/>
          <w:rtl w:val="0"/>
        </w:rPr>
        <w:t xml:space="preserve">Within this text, the author will explore the key differences between native and non-native speakers. Current literature focusing on the differences in the context of native and non-native teachers will be used to analyse and compare both sets of teachers and their advantages and disadvantages. The difference in their understanding and teaching of the language will be discussed along with sociological factors such as linguistic discrimination and linguistic imperialism.</w:t>
      </w:r>
    </w:p>
    <w:p w:rsidR="00000000" w:rsidDel="00000000" w:rsidP="00000000" w:rsidRDefault="00000000" w:rsidRPr="00000000" w14:paraId="00000004">
      <w:pPr>
        <w:rPr>
          <w:sz w:val="32"/>
          <w:szCs w:val="32"/>
        </w:rPr>
      </w:pPr>
      <w:r w:rsidDel="00000000" w:rsidR="00000000" w:rsidRPr="00000000">
        <w:rPr>
          <w:rtl w:val="0"/>
        </w:rPr>
      </w:r>
    </w:p>
    <w:p w:rsidR="00000000" w:rsidDel="00000000" w:rsidP="00000000" w:rsidRDefault="00000000" w:rsidRPr="00000000" w14:paraId="00000005">
      <w:pPr>
        <w:rPr>
          <w:sz w:val="32"/>
          <w:szCs w:val="32"/>
        </w:rPr>
      </w:pPr>
      <w:r w:rsidDel="00000000" w:rsidR="00000000" w:rsidRPr="00000000">
        <w:rPr>
          <w:sz w:val="32"/>
          <w:szCs w:val="32"/>
          <w:rtl w:val="0"/>
        </w:rPr>
        <w:t xml:space="preserve">It is important to first begin by defining native and non-native speakers of English. Indeed it is still widely contested how we should define Native and Non-Native speakers. One definition of a native English speaker is someone "born in an English-speaking country" (Medgyes, 2001). This is an arguably insufficient definition, as people often emigrate at a young age and adopt the language of their new country as their L1. Another issue can be seen in Kachru's concentric circles of world English. (Kachru, 2007) comments on how that English is widely spoken in countries as an official language, especially in particular sectors such as media and government, such as India, as a lingua franca between people of different demographic backgrounds. (Medgyes, 2001) highlights that a native speaker is usually one who uses English as their L1 or first language.</w:t>
      </w:r>
    </w:p>
    <w:p w:rsidR="00000000" w:rsidDel="00000000" w:rsidP="00000000" w:rsidRDefault="00000000" w:rsidRPr="00000000" w14:paraId="00000006">
      <w:pPr>
        <w:rPr>
          <w:sz w:val="32"/>
          <w:szCs w:val="32"/>
        </w:rPr>
      </w:pPr>
      <w:r w:rsidDel="00000000" w:rsidR="00000000" w:rsidRPr="00000000">
        <w:rPr>
          <w:rtl w:val="0"/>
        </w:rPr>
      </w:r>
    </w:p>
    <w:p w:rsidR="00000000" w:rsidDel="00000000" w:rsidP="00000000" w:rsidRDefault="00000000" w:rsidRPr="00000000" w14:paraId="00000007">
      <w:pPr>
        <w:rPr>
          <w:sz w:val="32"/>
          <w:szCs w:val="32"/>
        </w:rPr>
      </w:pPr>
      <w:r w:rsidDel="00000000" w:rsidR="00000000" w:rsidRPr="00000000">
        <w:rPr>
          <w:sz w:val="32"/>
          <w:szCs w:val="32"/>
          <w:rtl w:val="0"/>
        </w:rPr>
        <w:t xml:space="preserve">There has been a multitude of research into the differences between native (N) and non-native (NN) speakers of English. Each group arguably have their own advantages and disadvantages alike in regard to their understanding and use of English. Indeed (Medgyes, 2001) highlights a range of key factors that need consideration when analysing and comparing N and NN speakers. For example, questions regarding the ownership of English arise, as do subsequent problems of linguistic discrimination and imperialism that can be seen from the recruitment policies used by many international organisations. (Dervić &amp; Bećirović, 2019) Additionally note the pedagogical practice and differences between Native English Speaking Teachers (NEST) and Non-Native English Speaking Teachers (NNEST). Furthermore, it is arguably important to note student perceptions of NEST and NNEST teachers (Walkinshaw &amp; Oanh, 2014), (A. Alseweed, 2012), (Moussu, 2010).</w:t>
      </w:r>
    </w:p>
    <w:p w:rsidR="00000000" w:rsidDel="00000000" w:rsidP="00000000" w:rsidRDefault="00000000" w:rsidRPr="00000000" w14:paraId="00000008">
      <w:pPr>
        <w:rPr>
          <w:sz w:val="32"/>
          <w:szCs w:val="32"/>
        </w:rPr>
      </w:pPr>
      <w:r w:rsidDel="00000000" w:rsidR="00000000" w:rsidRPr="00000000">
        <w:rPr>
          <w:rtl w:val="0"/>
        </w:rPr>
      </w:r>
    </w:p>
    <w:p w:rsidR="00000000" w:rsidDel="00000000" w:rsidP="00000000" w:rsidRDefault="00000000" w:rsidRPr="00000000" w14:paraId="00000009">
      <w:pPr>
        <w:rPr>
          <w:sz w:val="32"/>
          <w:szCs w:val="32"/>
        </w:rPr>
      </w:pPr>
      <w:r w:rsidDel="00000000" w:rsidR="00000000" w:rsidRPr="00000000">
        <w:rPr>
          <w:sz w:val="32"/>
          <w:szCs w:val="32"/>
          <w:rtl w:val="0"/>
        </w:rPr>
        <w:t xml:space="preserve">As previously noted, English is widely used throughout the world to different degrees and holds varying importance depending on the country it is being used in. (Kachru, 2007) demonstrates this using his concentric circles model (Appendix 1), which depicts the origin and the spread of English throughout the world, we can see that within the inner circle the UK, USA, New Zealand, Canada and Australia are listed were English is the native language/mother tongue of the majority of the population. Does this then give ownership or dominion of the language solely to these countries? Arguably not, as can be seen from the (Kachru, 2007) model, there are numerous speakers of English in the outer circles' countries, many who still use it as an official language in government and media, and even more speakers can be found in the expanding circle where English continues to grow every year. (Berrell, 2022) There are even questions within these countries on who has ultimate authority over the language, with apparent discrimination present as some students from certain schools have been banned from using non-standardised English in favour of standardised English; there is even a Queen's English Society that "defines itself as 'a guardian of proper English'" (Berrell, 2022). (Crystal, English A Status Report) comments, "of the two billion people in the world that use English, only some 400 are native speakers," meaning that the majority of English speakers (1.6 billion) are NN speakers, and with the younger generation becoming increasingly more bilingual due to their various uses of English for economic or personal reasons it could be argued NN speakers should be involved in the discussion of English language ownership.</w:t>
      </w:r>
    </w:p>
    <w:p w:rsidR="00000000" w:rsidDel="00000000" w:rsidP="00000000" w:rsidRDefault="00000000" w:rsidRPr="00000000" w14:paraId="0000000A">
      <w:pPr>
        <w:rPr>
          <w:sz w:val="32"/>
          <w:szCs w:val="32"/>
        </w:rPr>
      </w:pPr>
      <w:r w:rsidDel="00000000" w:rsidR="00000000" w:rsidRPr="00000000">
        <w:rPr>
          <w:rtl w:val="0"/>
        </w:rPr>
      </w:r>
    </w:p>
    <w:p w:rsidR="00000000" w:rsidDel="00000000" w:rsidP="00000000" w:rsidRDefault="00000000" w:rsidRPr="00000000" w14:paraId="0000000B">
      <w:pPr>
        <w:rPr>
          <w:sz w:val="32"/>
          <w:szCs w:val="32"/>
        </w:rPr>
      </w:pPr>
      <w:r w:rsidDel="00000000" w:rsidR="00000000" w:rsidRPr="00000000">
        <w:rPr>
          <w:sz w:val="32"/>
          <w:szCs w:val="32"/>
          <w:rtl w:val="0"/>
        </w:rPr>
        <w:t xml:space="preserve">Both (Medgyes, 2001) and (Phillipson, 2018) discuss the problems of English and its perceived authority in the context of NEST's and NNEST's by discussing linguistic discrimination/imperialism and the related issues this has caused in hiring policy. </w:t>
      </w:r>
    </w:p>
    <w:p w:rsidR="00000000" w:rsidDel="00000000" w:rsidP="00000000" w:rsidRDefault="00000000" w:rsidRPr="00000000" w14:paraId="0000000C">
      <w:pPr>
        <w:rPr>
          <w:sz w:val="32"/>
          <w:szCs w:val="32"/>
        </w:rPr>
      </w:pPr>
      <w:r w:rsidDel="00000000" w:rsidR="00000000" w:rsidRPr="00000000">
        <w:rPr>
          <w:rtl w:val="0"/>
        </w:rPr>
      </w:r>
    </w:p>
    <w:p w:rsidR="00000000" w:rsidDel="00000000" w:rsidP="00000000" w:rsidRDefault="00000000" w:rsidRPr="00000000" w14:paraId="0000000D">
      <w:pPr>
        <w:rPr>
          <w:sz w:val="32"/>
          <w:szCs w:val="32"/>
        </w:rPr>
      </w:pPr>
      <w:r w:rsidDel="00000000" w:rsidR="00000000" w:rsidRPr="00000000">
        <w:rPr>
          <w:sz w:val="32"/>
          <w:szCs w:val="32"/>
          <w:rtl w:val="0"/>
        </w:rPr>
        <w:t xml:space="preserve">(Phillipson, 2018) begins by noting that through the process of linguistic imperialism, English has speed "with devastating consequences". He argues that a fundamental problem in the worldwide TESOL sector is that it was founded on pedagogical principles of "monolingualism, native speakers, the early start, and related fallacies" (Phillipson, 2018) that are still evident today. He argues that NESTs that are monolingual and often underqualified have been used to be "advisers on educational projects" (Phillipson, 2018) and that this needs to change as it is facilitating inequality and linguistic imperialism. Phillipson states that there is an apparent discrimination against NNESTs that can be seen through these historical call linguistic imperialism concepts and that this is apparent in certain policies that treat NNESTs as inferior. </w:t>
      </w:r>
    </w:p>
    <w:p w:rsidR="00000000" w:rsidDel="00000000" w:rsidP="00000000" w:rsidRDefault="00000000" w:rsidRPr="00000000" w14:paraId="0000000E">
      <w:pPr>
        <w:rPr>
          <w:sz w:val="32"/>
          <w:szCs w:val="32"/>
        </w:rPr>
      </w:pPr>
      <w:r w:rsidDel="00000000" w:rsidR="00000000" w:rsidRPr="00000000">
        <w:rPr>
          <w:rtl w:val="0"/>
        </w:rPr>
      </w:r>
    </w:p>
    <w:p w:rsidR="00000000" w:rsidDel="00000000" w:rsidP="00000000" w:rsidRDefault="00000000" w:rsidRPr="00000000" w14:paraId="0000000F">
      <w:pPr>
        <w:rPr>
          <w:sz w:val="32"/>
          <w:szCs w:val="32"/>
        </w:rPr>
      </w:pPr>
      <w:r w:rsidDel="00000000" w:rsidR="00000000" w:rsidRPr="00000000">
        <w:rPr>
          <w:sz w:val="32"/>
          <w:szCs w:val="32"/>
          <w:rtl w:val="0"/>
        </w:rPr>
        <w:t xml:space="preserve">In his seminal book, linguistic imperialism (Phillipson, 1992) noted how English has spread through linguistic imperialism and how there is still a fallacy of privileged English native speakers. (Phillipson, 2018) comment that due to the spread of English, it has become ever more important in many aspects, both nationally and internationally, being used in international relations, educational policies and more and due to this, there has been a growth of the TESOL market, and serious consideration needs to be taken to ensure English Language teachers are sufficiently qualified. Historically many underqualified NESTs have been employed to teach English over NNESTs even though they have little to no experience learning or teaching a language themselves. (Phillipson, 2018) argues that this is a representation of linguistic discrimination and that there is evidence of this, notably in the Asian TESOL market, with countries such as China, Japan and Korea employing a large number of NESTs even if they are not as qualified as their NNEST counterparts. (Medgyes, 2001) further highlights the dichotomy in the hiring of nests and NNESTs by referring to a case in which a principal of a London language school stated, "I am afraid we have to insist that all our teachers are native speakers of English, our students do not travel halfway around the world only to be taught by a non-native-speaker" (Medgyes, 2001). It is further proposed that many language schools prefer to have NESTs as it is more commercially beneficial as learners want to have NS as their educators. (Medgyes, 2001) argues that whilst there is still evidence of discrimination, there seems to be a transition towards employing more NNESTs.</w:t>
      </w:r>
    </w:p>
    <w:p w:rsidR="00000000" w:rsidDel="00000000" w:rsidP="00000000" w:rsidRDefault="00000000" w:rsidRPr="00000000" w14:paraId="00000010">
      <w:pPr>
        <w:rPr>
          <w:sz w:val="32"/>
          <w:szCs w:val="32"/>
        </w:rPr>
      </w:pPr>
      <w:r w:rsidDel="00000000" w:rsidR="00000000" w:rsidRPr="00000000">
        <w:rPr>
          <w:rtl w:val="0"/>
        </w:rPr>
      </w:r>
    </w:p>
    <w:p w:rsidR="00000000" w:rsidDel="00000000" w:rsidP="00000000" w:rsidRDefault="00000000" w:rsidRPr="00000000" w14:paraId="00000011">
      <w:pPr>
        <w:rPr>
          <w:sz w:val="32"/>
          <w:szCs w:val="32"/>
        </w:rPr>
      </w:pPr>
      <w:r w:rsidDel="00000000" w:rsidR="00000000" w:rsidRPr="00000000">
        <w:rPr>
          <w:rtl w:val="0"/>
        </w:rPr>
      </w:r>
    </w:p>
    <w:p w:rsidR="00000000" w:rsidDel="00000000" w:rsidP="00000000" w:rsidRDefault="00000000" w:rsidRPr="00000000" w14:paraId="00000012">
      <w:pPr>
        <w:rPr>
          <w:sz w:val="32"/>
          <w:szCs w:val="32"/>
        </w:rPr>
      </w:pPr>
      <w:r w:rsidDel="00000000" w:rsidR="00000000" w:rsidRPr="00000000">
        <w:rPr>
          <w:sz w:val="32"/>
          <w:szCs w:val="32"/>
          <w:rtl w:val="0"/>
        </w:rPr>
        <w:t xml:space="preserve">As previously highlighted, there are pros and cons of being a N speaker and NN speaker in regard to understanding and teaching English. Some key differences can be found in the level of language proficiency and teaching behaviour (Medgyes, 2001). (Dervić &amp; Bećirović, 2019) notes that NESTs are usually seen as being more proficient users of English and capable of more intuitive use of the language. However, NESTs may falter in their depth of knowledge and understanding of their student's cultural backgrounds being unable to contextualise content to their student's cultures whilst being unable to understand the linguist complexities of learning a language as a NN and being unable to utilise code-switching to define and explain concepts effectively. (Kurniawati &amp; Rizki, 2018) Conversely, they tend to be more sympathetic, sensitive and understanding of student needs and cultural backgrounds and are usually better at creating context suited towards the learner. (Medgyes, 2001) A major issue for NNESTs was an apparent inferiority complex in regard to their proficiency, as many NNESTs are continuous learners of English themselves whilst teaching English. (Dervić &amp; Bećirović, 2019) argue that "being both teacher and student simultaneously may create a state of "schizophrenia" that could affect an NNEST's confidence and inhibit their teaching. </w:t>
      </w:r>
    </w:p>
    <w:p w:rsidR="00000000" w:rsidDel="00000000" w:rsidP="00000000" w:rsidRDefault="00000000" w:rsidRPr="00000000" w14:paraId="00000013">
      <w:pPr>
        <w:rPr>
          <w:sz w:val="32"/>
          <w:szCs w:val="32"/>
        </w:rPr>
      </w:pPr>
      <w:r w:rsidDel="00000000" w:rsidR="00000000" w:rsidRPr="00000000">
        <w:rPr>
          <w:rtl w:val="0"/>
        </w:rPr>
      </w:r>
    </w:p>
    <w:p w:rsidR="00000000" w:rsidDel="00000000" w:rsidP="00000000" w:rsidRDefault="00000000" w:rsidRPr="00000000" w14:paraId="00000014">
      <w:pPr>
        <w:rPr>
          <w:sz w:val="32"/>
          <w:szCs w:val="32"/>
        </w:rPr>
      </w:pPr>
      <w:r w:rsidDel="00000000" w:rsidR="00000000" w:rsidRPr="00000000">
        <w:rPr>
          <w:sz w:val="32"/>
          <w:szCs w:val="32"/>
          <w:rtl w:val="0"/>
        </w:rPr>
        <w:t xml:space="preserve">Noting these differences, it is worth discussing in more detail the pedagogical practice and differences between both NEST's and NNEST's. As can be seen from (appendix 2) there are several perceived differences in teaching behaviour. NESTs are perceived as being less insightful compared to NNESTs, and it is argued that both NESTs and NNESTs are better are certain aspects of teaching English. It is generally believed (Kurniawati &amp; Rizki, 2018) that NESTs focus more on the meaning and fluency of language and develop activities and tasks that focus on language in use to develop oral skills; they utilise a range of activities and activities tend to be diverse, group work and pair work is utilised to engage learners, and there is usually a focus on cultural enrichment on western countries. Conversely, NNEST whilst seen as being more strict, often correcting mistakes compared to NESTs who are more tolerant, provide a more guided approach that often focuses more on structure paying particular focus on grammar rules and function, concentrating on form and accuracy; it is argued that they attend to the "real needs" (Medgyes, 2001) of learners as opposed to their "perceived needs" (Medgyes, 2001), NNEST's tend to focus more on formal English utilising materials that allow them to teach English through controlled activities, often using textbooks as their main resource. It could therefore be argued that there is no "ideal" teacher as both NESTs and NNESTs have their own benefits and weaknesses (Kurniawati &amp; Rizki, 2018) highlight a possible solution, collaborative teaching where NESTs and NNESTs work together to use their advantages to teach their students, I have personal experience of this from my time teaching in Spain where the NNEST generally focused more on delivering lessons focusing on grammar and form whilst I lesson that focused on cultural enrichment and listening and oral skills. (Kurniawati &amp; Rizki, 2018) Citing Medgyes states, "given a favourable mix, various forms of collaboration are possible both in and outside the classroom; using each other as language consultants for example, or teaching in tandem". (Kurniawati &amp; Rizki, 2018) also argues that working collaboratively can help NNESTs improve their confidence and linguistic abilities through "authentic interaction" with a native; this can counteract the state of "schizophrenia" previously mentioned (Dervić &amp; Bećirović, 2019).</w:t>
      </w:r>
    </w:p>
    <w:p w:rsidR="00000000" w:rsidDel="00000000" w:rsidP="00000000" w:rsidRDefault="00000000" w:rsidRPr="00000000" w14:paraId="00000015">
      <w:pPr>
        <w:rPr>
          <w:sz w:val="32"/>
          <w:szCs w:val="32"/>
        </w:rPr>
      </w:pPr>
      <w:r w:rsidDel="00000000" w:rsidR="00000000" w:rsidRPr="00000000">
        <w:rPr>
          <w:rtl w:val="0"/>
        </w:rPr>
      </w:r>
    </w:p>
    <w:p w:rsidR="00000000" w:rsidDel="00000000" w:rsidP="00000000" w:rsidRDefault="00000000" w:rsidRPr="00000000" w14:paraId="00000016">
      <w:pPr>
        <w:rPr>
          <w:sz w:val="32"/>
          <w:szCs w:val="32"/>
        </w:rPr>
      </w:pPr>
      <w:r w:rsidDel="00000000" w:rsidR="00000000" w:rsidRPr="00000000">
        <w:rPr>
          <w:sz w:val="32"/>
          <w:szCs w:val="32"/>
          <w:rtl w:val="0"/>
        </w:rPr>
        <w:t xml:space="preserve">Another issue between NESTs and NNESTs is student perception. (Walkinshaw &amp; Oanh, 2014) highlight three key factors in the attitudes of learners in their attitudes towards NEST's and NNEST's, Pronunciation, Cultural similarities/differences and their ability to explain complex language. Their study (Walkinshaw &amp; Oanh 2014) found that common themes previously discussed once again were apparent. Students noted that whilst they appreciated the authenticity of language and pronunciation used by NEST, they were often not very efficient at explaining the grammatical form and that whilst they appreciated the cultural enrichment and education of their NEST, they sometimes found it hard to connect to the content being taught as it didn't resonate with their own cultures. Additionally, NESTs couldn't use the student's L1 to be able to explain in further detail. NNETs were seen as highly efficient and capable of explaining grammar, and whilst they were able to provide content and materials that discussed local cultures, they were unable to provide as much cultural understanding of Western cultures. (A. Alseweed, 2012) found similar results with both studies again highlighting the benefit of collaborative teaching "NNESTs might turn out their non-nativeness to be a self-righteous merit through collaboration with qualified native English-speaking teachers since teaming up and sharing strengths, insights from various linguistic, cultural, and educational backgrounds would provide moral support for each other and benefit both to grow professionally".</w:t>
      </w:r>
    </w:p>
    <w:p w:rsidR="00000000" w:rsidDel="00000000" w:rsidP="00000000" w:rsidRDefault="00000000" w:rsidRPr="00000000" w14:paraId="00000017">
      <w:pPr>
        <w:rPr>
          <w:sz w:val="32"/>
          <w:szCs w:val="32"/>
        </w:rPr>
      </w:pPr>
      <w:r w:rsidDel="00000000" w:rsidR="00000000" w:rsidRPr="00000000">
        <w:rPr>
          <w:rtl w:val="0"/>
        </w:rPr>
      </w:r>
    </w:p>
    <w:p w:rsidR="00000000" w:rsidDel="00000000" w:rsidP="00000000" w:rsidRDefault="00000000" w:rsidRPr="00000000" w14:paraId="00000018">
      <w:pPr>
        <w:rPr>
          <w:sz w:val="32"/>
          <w:szCs w:val="32"/>
        </w:rPr>
      </w:pPr>
      <w:r w:rsidDel="00000000" w:rsidR="00000000" w:rsidRPr="00000000">
        <w:rPr>
          <w:sz w:val="32"/>
          <w:szCs w:val="32"/>
          <w:rtl w:val="0"/>
        </w:rPr>
        <w:t xml:space="preserve">In conclusion, many factors need to be considered when discussing NEST's and NNEST's. The very definition of native and non-native has been contested, and the question of who has ownership over the English language is arguably unclear, as there are even arguments about what English truly should be with its native-speaking countries. English is now spoken by more people worldwide than it is in native-speaking countries, and as can be seen, it is arguable that the NN speaker should be considered when discussing English language use and teaching. Both NESTs and NNESTs demonstrate their own strengths and weaknesses. However, there seems to be an apparent linguistic imperialism and discrimination present, and this can be seen from policies in language schools that refuse to employ NNESTs. It has been argued that there could be an advantage of NEST's and NNEST's working together collaboratively to facilitate a productive language environment. Ultimately it has been stated that both NESTs and NNESTs have limitations; however, there does seem to be a shit towards more inclusion of NNESTs in ELT and a shift away from linguistic discrimination.</w:t>
      </w:r>
    </w:p>
    <w:p w:rsidR="00000000" w:rsidDel="00000000" w:rsidP="00000000" w:rsidRDefault="00000000" w:rsidRPr="00000000" w14:paraId="00000019">
      <w:pPr>
        <w:rPr>
          <w:sz w:val="32"/>
          <w:szCs w:val="32"/>
        </w:rPr>
      </w:pPr>
      <w:r w:rsidDel="00000000" w:rsidR="00000000" w:rsidRPr="00000000">
        <w:rPr>
          <w:rtl w:val="0"/>
        </w:rPr>
      </w:r>
    </w:p>
    <w:p w:rsidR="00000000" w:rsidDel="00000000" w:rsidP="00000000" w:rsidRDefault="00000000" w:rsidRPr="00000000" w14:paraId="0000001A">
      <w:pPr>
        <w:rPr>
          <w:sz w:val="32"/>
          <w:szCs w:val="32"/>
        </w:rPr>
      </w:pPr>
      <w:r w:rsidDel="00000000" w:rsidR="00000000" w:rsidRPr="00000000">
        <w:rPr>
          <w:rtl w:val="0"/>
        </w:rPr>
      </w:r>
    </w:p>
    <w:p w:rsidR="00000000" w:rsidDel="00000000" w:rsidP="00000000" w:rsidRDefault="00000000" w:rsidRPr="00000000" w14:paraId="0000001B">
      <w:pPr>
        <w:rPr>
          <w:sz w:val="32"/>
          <w:szCs w:val="32"/>
        </w:rPr>
      </w:pPr>
      <w:r w:rsidDel="00000000" w:rsidR="00000000" w:rsidRPr="00000000">
        <w:rPr>
          <w:rtl w:val="0"/>
        </w:rPr>
      </w:r>
    </w:p>
    <w:p w:rsidR="00000000" w:rsidDel="00000000" w:rsidP="00000000" w:rsidRDefault="00000000" w:rsidRPr="00000000" w14:paraId="0000001C">
      <w:pPr>
        <w:rPr>
          <w:sz w:val="32"/>
          <w:szCs w:val="32"/>
        </w:rPr>
      </w:pPr>
      <w:r w:rsidDel="00000000" w:rsidR="00000000" w:rsidRPr="00000000">
        <w:rPr>
          <w:rtl w:val="0"/>
        </w:rPr>
      </w:r>
    </w:p>
    <w:p w:rsidR="00000000" w:rsidDel="00000000" w:rsidP="00000000" w:rsidRDefault="00000000" w:rsidRPr="00000000" w14:paraId="0000001D">
      <w:pPr>
        <w:rPr>
          <w:sz w:val="32"/>
          <w:szCs w:val="32"/>
        </w:rPr>
      </w:pPr>
      <w:r w:rsidDel="00000000" w:rsidR="00000000" w:rsidRPr="00000000">
        <w:rPr>
          <w:rtl w:val="0"/>
        </w:rPr>
      </w:r>
    </w:p>
    <w:p w:rsidR="00000000" w:rsidDel="00000000" w:rsidP="00000000" w:rsidRDefault="00000000" w:rsidRPr="00000000" w14:paraId="0000001E">
      <w:pPr>
        <w:rPr>
          <w:sz w:val="32"/>
          <w:szCs w:val="32"/>
        </w:rPr>
      </w:pPr>
      <w:r w:rsidDel="00000000" w:rsidR="00000000" w:rsidRPr="00000000">
        <w:rPr>
          <w:rtl w:val="0"/>
        </w:rPr>
      </w:r>
    </w:p>
    <w:p w:rsidR="00000000" w:rsidDel="00000000" w:rsidP="00000000" w:rsidRDefault="00000000" w:rsidRPr="00000000" w14:paraId="0000001F">
      <w:pPr>
        <w:rPr>
          <w:sz w:val="32"/>
          <w:szCs w:val="32"/>
        </w:rPr>
      </w:pPr>
      <w:r w:rsidDel="00000000" w:rsidR="00000000" w:rsidRPr="00000000">
        <w:rPr>
          <w:rtl w:val="0"/>
        </w:rPr>
      </w:r>
    </w:p>
    <w:p w:rsidR="00000000" w:rsidDel="00000000" w:rsidP="00000000" w:rsidRDefault="00000000" w:rsidRPr="00000000" w14:paraId="00000020">
      <w:pPr>
        <w:rPr>
          <w:sz w:val="32"/>
          <w:szCs w:val="32"/>
        </w:rPr>
      </w:pPr>
      <w:r w:rsidDel="00000000" w:rsidR="00000000" w:rsidRPr="00000000">
        <w:rPr>
          <w:rtl w:val="0"/>
        </w:rPr>
      </w:r>
    </w:p>
    <w:p w:rsidR="00000000" w:rsidDel="00000000" w:rsidP="00000000" w:rsidRDefault="00000000" w:rsidRPr="00000000" w14:paraId="00000021">
      <w:pPr>
        <w:rPr>
          <w:sz w:val="32"/>
          <w:szCs w:val="32"/>
        </w:rPr>
      </w:pPr>
      <w:r w:rsidDel="00000000" w:rsidR="00000000" w:rsidRPr="00000000">
        <w:rPr>
          <w:rtl w:val="0"/>
        </w:rPr>
      </w:r>
    </w:p>
    <w:p w:rsidR="00000000" w:rsidDel="00000000" w:rsidP="00000000" w:rsidRDefault="00000000" w:rsidRPr="00000000" w14:paraId="00000022">
      <w:pPr>
        <w:rPr>
          <w:sz w:val="32"/>
          <w:szCs w:val="32"/>
        </w:rPr>
      </w:pPr>
      <w:r w:rsidDel="00000000" w:rsidR="00000000" w:rsidRPr="00000000">
        <w:rPr>
          <w:rtl w:val="0"/>
        </w:rPr>
      </w:r>
    </w:p>
    <w:p w:rsidR="00000000" w:rsidDel="00000000" w:rsidP="00000000" w:rsidRDefault="00000000" w:rsidRPr="00000000" w14:paraId="00000023">
      <w:pPr>
        <w:rPr>
          <w:sz w:val="32"/>
          <w:szCs w:val="32"/>
        </w:rPr>
      </w:pPr>
      <w:r w:rsidDel="00000000" w:rsidR="00000000" w:rsidRPr="00000000">
        <w:rPr>
          <w:rtl w:val="0"/>
        </w:rPr>
      </w:r>
    </w:p>
    <w:p w:rsidR="00000000" w:rsidDel="00000000" w:rsidP="00000000" w:rsidRDefault="00000000" w:rsidRPr="00000000" w14:paraId="00000024">
      <w:pPr>
        <w:rPr>
          <w:sz w:val="32"/>
          <w:szCs w:val="32"/>
        </w:rPr>
      </w:pPr>
      <w:r w:rsidDel="00000000" w:rsidR="00000000" w:rsidRPr="00000000">
        <w:rPr>
          <w:rtl w:val="0"/>
        </w:rPr>
      </w:r>
    </w:p>
    <w:p w:rsidR="00000000" w:rsidDel="00000000" w:rsidP="00000000" w:rsidRDefault="00000000" w:rsidRPr="00000000" w14:paraId="00000025">
      <w:pPr>
        <w:rPr>
          <w:sz w:val="32"/>
          <w:szCs w:val="32"/>
        </w:rPr>
      </w:pPr>
      <w:r w:rsidDel="00000000" w:rsidR="00000000" w:rsidRPr="00000000">
        <w:rPr>
          <w:rtl w:val="0"/>
        </w:rPr>
      </w:r>
    </w:p>
    <w:p w:rsidR="00000000" w:rsidDel="00000000" w:rsidP="00000000" w:rsidRDefault="00000000" w:rsidRPr="00000000" w14:paraId="00000026">
      <w:pPr>
        <w:rPr>
          <w:sz w:val="32"/>
          <w:szCs w:val="32"/>
        </w:rPr>
      </w:pPr>
      <w:r w:rsidDel="00000000" w:rsidR="00000000" w:rsidRPr="00000000">
        <w:rPr>
          <w:rtl w:val="0"/>
        </w:rPr>
      </w:r>
    </w:p>
    <w:p w:rsidR="00000000" w:rsidDel="00000000" w:rsidP="00000000" w:rsidRDefault="00000000" w:rsidRPr="00000000" w14:paraId="00000027">
      <w:pPr>
        <w:rPr>
          <w:sz w:val="32"/>
          <w:szCs w:val="32"/>
        </w:rPr>
      </w:pPr>
      <w:r w:rsidDel="00000000" w:rsidR="00000000" w:rsidRPr="00000000">
        <w:rPr>
          <w:rtl w:val="0"/>
        </w:rPr>
      </w:r>
    </w:p>
    <w:p w:rsidR="00000000" w:rsidDel="00000000" w:rsidP="00000000" w:rsidRDefault="00000000" w:rsidRPr="00000000" w14:paraId="00000028">
      <w:pPr>
        <w:rPr>
          <w:sz w:val="32"/>
          <w:szCs w:val="32"/>
        </w:rPr>
      </w:pPr>
      <w:r w:rsidDel="00000000" w:rsidR="00000000" w:rsidRPr="00000000">
        <w:rPr>
          <w:rtl w:val="0"/>
        </w:rPr>
      </w:r>
    </w:p>
    <w:p w:rsidR="00000000" w:rsidDel="00000000" w:rsidP="00000000" w:rsidRDefault="00000000" w:rsidRPr="00000000" w14:paraId="00000029">
      <w:pPr>
        <w:rPr>
          <w:sz w:val="32"/>
          <w:szCs w:val="32"/>
        </w:rPr>
      </w:pPr>
      <w:r w:rsidDel="00000000" w:rsidR="00000000" w:rsidRPr="00000000">
        <w:rPr>
          <w:rtl w:val="0"/>
        </w:rPr>
      </w:r>
    </w:p>
    <w:p w:rsidR="00000000" w:rsidDel="00000000" w:rsidP="00000000" w:rsidRDefault="00000000" w:rsidRPr="00000000" w14:paraId="0000002A">
      <w:pPr>
        <w:rPr>
          <w:sz w:val="32"/>
          <w:szCs w:val="32"/>
        </w:rPr>
      </w:pPr>
      <w:r w:rsidDel="00000000" w:rsidR="00000000" w:rsidRPr="00000000">
        <w:rPr>
          <w:rtl w:val="0"/>
        </w:rPr>
      </w:r>
    </w:p>
    <w:p w:rsidR="00000000" w:rsidDel="00000000" w:rsidP="00000000" w:rsidRDefault="00000000" w:rsidRPr="00000000" w14:paraId="0000002B">
      <w:pPr>
        <w:rPr>
          <w:sz w:val="32"/>
          <w:szCs w:val="32"/>
        </w:rPr>
      </w:pPr>
      <w:r w:rsidDel="00000000" w:rsidR="00000000" w:rsidRPr="00000000">
        <w:rPr>
          <w:rtl w:val="0"/>
        </w:rPr>
      </w:r>
    </w:p>
    <w:p w:rsidR="00000000" w:rsidDel="00000000" w:rsidP="00000000" w:rsidRDefault="00000000" w:rsidRPr="00000000" w14:paraId="0000002C">
      <w:pPr>
        <w:rPr>
          <w:sz w:val="32"/>
          <w:szCs w:val="32"/>
        </w:rPr>
      </w:pPr>
      <w:r w:rsidDel="00000000" w:rsidR="00000000" w:rsidRPr="00000000">
        <w:rPr>
          <w:rtl w:val="0"/>
        </w:rPr>
      </w:r>
    </w:p>
    <w:p w:rsidR="00000000" w:rsidDel="00000000" w:rsidP="00000000" w:rsidRDefault="00000000" w:rsidRPr="00000000" w14:paraId="0000002D">
      <w:pPr>
        <w:rPr>
          <w:sz w:val="32"/>
          <w:szCs w:val="32"/>
        </w:rPr>
      </w:pPr>
      <w:r w:rsidDel="00000000" w:rsidR="00000000" w:rsidRPr="00000000">
        <w:rPr>
          <w:rtl w:val="0"/>
        </w:rPr>
      </w:r>
    </w:p>
    <w:p w:rsidR="00000000" w:rsidDel="00000000" w:rsidP="00000000" w:rsidRDefault="00000000" w:rsidRPr="00000000" w14:paraId="0000002E">
      <w:pPr>
        <w:rPr>
          <w:sz w:val="32"/>
          <w:szCs w:val="32"/>
        </w:rPr>
      </w:pPr>
      <w:r w:rsidDel="00000000" w:rsidR="00000000" w:rsidRPr="00000000">
        <w:rPr>
          <w:rtl w:val="0"/>
        </w:rPr>
      </w:r>
    </w:p>
    <w:p w:rsidR="00000000" w:rsidDel="00000000" w:rsidP="00000000" w:rsidRDefault="00000000" w:rsidRPr="00000000" w14:paraId="0000002F">
      <w:pPr>
        <w:rPr>
          <w:sz w:val="32"/>
          <w:szCs w:val="32"/>
        </w:rPr>
      </w:pPr>
      <w:r w:rsidDel="00000000" w:rsidR="00000000" w:rsidRPr="00000000">
        <w:rPr>
          <w:rtl w:val="0"/>
        </w:rPr>
      </w:r>
    </w:p>
    <w:p w:rsidR="00000000" w:rsidDel="00000000" w:rsidP="00000000" w:rsidRDefault="00000000" w:rsidRPr="00000000" w14:paraId="00000030">
      <w:pPr>
        <w:rPr>
          <w:sz w:val="32"/>
          <w:szCs w:val="32"/>
        </w:rPr>
      </w:pPr>
      <w:r w:rsidDel="00000000" w:rsidR="00000000" w:rsidRPr="00000000">
        <w:rPr>
          <w:sz w:val="32"/>
          <w:szCs w:val="32"/>
          <w:rtl w:val="0"/>
        </w:rPr>
        <w:t xml:space="preserve">Reference List</w:t>
      </w:r>
    </w:p>
    <w:p w:rsidR="00000000" w:rsidDel="00000000" w:rsidP="00000000" w:rsidRDefault="00000000" w:rsidRPr="00000000" w14:paraId="00000031">
      <w:pPr>
        <w:rPr>
          <w:sz w:val="32"/>
          <w:szCs w:val="32"/>
        </w:rPr>
      </w:pPr>
      <w:r w:rsidDel="00000000" w:rsidR="00000000" w:rsidRPr="00000000">
        <w:rPr>
          <w:rtl w:val="0"/>
        </w:rPr>
      </w:r>
    </w:p>
    <w:p w:rsidR="00000000" w:rsidDel="00000000" w:rsidP="00000000" w:rsidRDefault="00000000" w:rsidRPr="00000000" w14:paraId="00000032">
      <w:pPr>
        <w:spacing w:after="240" w:before="240" w:lineRule="auto"/>
        <w:ind w:left="560" w:firstLine="0"/>
        <w:rPr>
          <w:sz w:val="32"/>
          <w:szCs w:val="32"/>
        </w:rPr>
      </w:pPr>
      <w:r w:rsidDel="00000000" w:rsidR="00000000" w:rsidRPr="00000000">
        <w:rPr>
          <w:sz w:val="32"/>
          <w:szCs w:val="32"/>
          <w:rtl w:val="0"/>
        </w:rPr>
        <w:t xml:space="preserve">A. Alseweed, M. (2012) “University students’ perceptions of the influence of native and non-native teachers,” </w:t>
      </w:r>
      <w:r w:rsidDel="00000000" w:rsidR="00000000" w:rsidRPr="00000000">
        <w:rPr>
          <w:i w:val="1"/>
          <w:sz w:val="32"/>
          <w:szCs w:val="32"/>
          <w:rtl w:val="0"/>
        </w:rPr>
        <w:t xml:space="preserve">English Language Teaching</w:t>
      </w:r>
      <w:r w:rsidDel="00000000" w:rsidR="00000000" w:rsidRPr="00000000">
        <w:rPr>
          <w:sz w:val="32"/>
          <w:szCs w:val="32"/>
          <w:rtl w:val="0"/>
        </w:rPr>
        <w:t xml:space="preserve">, 5(12). Available at: https://doi.org/10.5539/elt.v5n12p42.</w:t>
      </w:r>
    </w:p>
    <w:p w:rsidR="00000000" w:rsidDel="00000000" w:rsidP="00000000" w:rsidRDefault="00000000" w:rsidRPr="00000000" w14:paraId="00000033">
      <w:pPr>
        <w:spacing w:after="240" w:before="240" w:lineRule="auto"/>
        <w:ind w:left="560" w:firstLine="0"/>
        <w:rPr>
          <w:sz w:val="32"/>
          <w:szCs w:val="32"/>
        </w:rPr>
      </w:pPr>
      <w:r w:rsidDel="00000000" w:rsidR="00000000" w:rsidRPr="00000000">
        <w:rPr>
          <w:sz w:val="32"/>
          <w:szCs w:val="32"/>
          <w:rtl w:val="0"/>
        </w:rPr>
        <w:t xml:space="preserve">Berrell, L. (2022) </w:t>
      </w:r>
      <w:r w:rsidDel="00000000" w:rsidR="00000000" w:rsidRPr="00000000">
        <w:rPr>
          <w:i w:val="1"/>
          <w:sz w:val="32"/>
          <w:szCs w:val="32"/>
          <w:rtl w:val="0"/>
        </w:rPr>
        <w:t xml:space="preserve">Bad language: The value of non-standard English</w:t>
      </w:r>
      <w:r w:rsidDel="00000000" w:rsidR="00000000" w:rsidRPr="00000000">
        <w:rPr>
          <w:sz w:val="32"/>
          <w:szCs w:val="32"/>
          <w:rtl w:val="0"/>
        </w:rPr>
        <w:t xml:space="preserve">, </w:t>
      </w:r>
      <w:r w:rsidDel="00000000" w:rsidR="00000000" w:rsidRPr="00000000">
        <w:rPr>
          <w:i w:val="1"/>
          <w:sz w:val="32"/>
          <w:szCs w:val="32"/>
          <w:rtl w:val="0"/>
        </w:rPr>
        <w:t xml:space="preserve">Cherwell</w:t>
      </w:r>
      <w:r w:rsidDel="00000000" w:rsidR="00000000" w:rsidRPr="00000000">
        <w:rPr>
          <w:sz w:val="32"/>
          <w:szCs w:val="32"/>
          <w:rtl w:val="0"/>
        </w:rPr>
        <w:t xml:space="preserve">. Available at: https://cherwell.org/2022/05/15/bad-language-the-value-of-non-standard-english/</w:t>
      </w:r>
    </w:p>
    <w:p w:rsidR="00000000" w:rsidDel="00000000" w:rsidP="00000000" w:rsidRDefault="00000000" w:rsidRPr="00000000" w14:paraId="00000034">
      <w:pPr>
        <w:spacing w:after="240" w:before="240" w:lineRule="auto"/>
        <w:ind w:left="560" w:firstLine="0"/>
        <w:rPr>
          <w:sz w:val="32"/>
          <w:szCs w:val="32"/>
        </w:rPr>
      </w:pPr>
      <w:r w:rsidDel="00000000" w:rsidR="00000000" w:rsidRPr="00000000">
        <w:rPr>
          <w:sz w:val="32"/>
          <w:szCs w:val="32"/>
          <w:rtl w:val="0"/>
        </w:rPr>
        <w:t xml:space="preserve">Crystal, D. (no date) </w:t>
      </w:r>
      <w:r w:rsidDel="00000000" w:rsidR="00000000" w:rsidRPr="00000000">
        <w:rPr>
          <w:i w:val="1"/>
          <w:sz w:val="32"/>
          <w:szCs w:val="32"/>
          <w:rtl w:val="0"/>
        </w:rPr>
        <w:t xml:space="preserve">English A Status Report</w:t>
      </w:r>
      <w:r w:rsidDel="00000000" w:rsidR="00000000" w:rsidRPr="00000000">
        <w:rPr>
          <w:sz w:val="32"/>
          <w:szCs w:val="32"/>
          <w:rtl w:val="0"/>
        </w:rPr>
        <w:t xml:space="preserve">, </w:t>
      </w:r>
      <w:r w:rsidDel="00000000" w:rsidR="00000000" w:rsidRPr="00000000">
        <w:rPr>
          <w:i w:val="1"/>
          <w:sz w:val="32"/>
          <w:szCs w:val="32"/>
          <w:rtl w:val="0"/>
        </w:rPr>
        <w:t xml:space="preserve">https://www.davidcrystal.com/</w:t>
      </w:r>
      <w:r w:rsidDel="00000000" w:rsidR="00000000" w:rsidRPr="00000000">
        <w:rPr>
          <w:sz w:val="32"/>
          <w:szCs w:val="32"/>
          <w:rtl w:val="0"/>
        </w:rPr>
        <w:t xml:space="preserve">. Available at: https://www.davidcrystal.com/Files/BooksAndArticles/-4076.pdf.</w:t>
      </w:r>
    </w:p>
    <w:p w:rsidR="00000000" w:rsidDel="00000000" w:rsidP="00000000" w:rsidRDefault="00000000" w:rsidRPr="00000000" w14:paraId="00000035">
      <w:pPr>
        <w:spacing w:after="240" w:before="240" w:lineRule="auto"/>
        <w:ind w:left="560" w:firstLine="0"/>
        <w:rPr>
          <w:sz w:val="32"/>
          <w:szCs w:val="32"/>
        </w:rPr>
      </w:pPr>
      <w:r w:rsidDel="00000000" w:rsidR="00000000" w:rsidRPr="00000000">
        <w:rPr>
          <w:sz w:val="32"/>
          <w:szCs w:val="32"/>
          <w:rtl w:val="0"/>
        </w:rPr>
        <w:t xml:space="preserve">Dervić, M. and Bećirović, S. (2019) “Native and non-native EFL teachers dichotomy: Terminological, competitiveness and employment discrimination,” </w:t>
      </w:r>
      <w:r w:rsidDel="00000000" w:rsidR="00000000" w:rsidRPr="00000000">
        <w:rPr>
          <w:i w:val="1"/>
          <w:sz w:val="32"/>
          <w:szCs w:val="32"/>
          <w:rtl w:val="0"/>
        </w:rPr>
        <w:t xml:space="preserve">Journal of Language and Education</w:t>
      </w:r>
      <w:r w:rsidDel="00000000" w:rsidR="00000000" w:rsidRPr="00000000">
        <w:rPr>
          <w:sz w:val="32"/>
          <w:szCs w:val="32"/>
          <w:rtl w:val="0"/>
        </w:rPr>
        <w:t xml:space="preserve">, 5(3), pp. 114–127. Available at: https://doi.org/10.17323/jle.2019.9746.</w:t>
      </w:r>
    </w:p>
    <w:p w:rsidR="00000000" w:rsidDel="00000000" w:rsidP="00000000" w:rsidRDefault="00000000" w:rsidRPr="00000000" w14:paraId="00000036">
      <w:pPr>
        <w:spacing w:after="240" w:before="240" w:lineRule="auto"/>
        <w:ind w:left="560" w:firstLine="0"/>
        <w:rPr>
          <w:sz w:val="32"/>
          <w:szCs w:val="32"/>
        </w:rPr>
      </w:pPr>
      <w:r w:rsidDel="00000000" w:rsidR="00000000" w:rsidRPr="00000000">
        <w:rPr>
          <w:sz w:val="32"/>
          <w:szCs w:val="32"/>
          <w:rtl w:val="0"/>
        </w:rPr>
        <w:t xml:space="preserve">Kachru, B.B. (2007) </w:t>
      </w:r>
      <w:r w:rsidDel="00000000" w:rsidR="00000000" w:rsidRPr="00000000">
        <w:rPr>
          <w:i w:val="1"/>
          <w:sz w:val="32"/>
          <w:szCs w:val="32"/>
          <w:rtl w:val="0"/>
        </w:rPr>
        <w:t xml:space="preserve">The other tongue: English across cultures</w:t>
      </w:r>
      <w:r w:rsidDel="00000000" w:rsidR="00000000" w:rsidRPr="00000000">
        <w:rPr>
          <w:sz w:val="32"/>
          <w:szCs w:val="32"/>
          <w:rtl w:val="0"/>
        </w:rPr>
        <w:t xml:space="preserve">. Urbana: University of Illionois Press.</w:t>
      </w:r>
    </w:p>
    <w:p w:rsidR="00000000" w:rsidDel="00000000" w:rsidP="00000000" w:rsidRDefault="00000000" w:rsidRPr="00000000" w14:paraId="00000037">
      <w:pPr>
        <w:spacing w:after="240" w:before="240" w:lineRule="auto"/>
        <w:ind w:left="560" w:firstLine="0"/>
        <w:rPr>
          <w:sz w:val="32"/>
          <w:szCs w:val="32"/>
        </w:rPr>
      </w:pPr>
      <w:r w:rsidDel="00000000" w:rsidR="00000000" w:rsidRPr="00000000">
        <w:rPr>
          <w:sz w:val="32"/>
          <w:szCs w:val="32"/>
          <w:rtl w:val="0"/>
        </w:rPr>
        <w:t xml:space="preserve">Kurniawati, K. and Rizki, D. (2018) “Native vs. non-native EFL teachers: Who are better?,” </w:t>
      </w:r>
      <w:r w:rsidDel="00000000" w:rsidR="00000000" w:rsidRPr="00000000">
        <w:rPr>
          <w:i w:val="1"/>
          <w:sz w:val="32"/>
          <w:szCs w:val="32"/>
          <w:rtl w:val="0"/>
        </w:rPr>
        <w:t xml:space="preserve">Studies in English Language and Education</w:t>
      </w:r>
      <w:r w:rsidDel="00000000" w:rsidR="00000000" w:rsidRPr="00000000">
        <w:rPr>
          <w:sz w:val="32"/>
          <w:szCs w:val="32"/>
          <w:rtl w:val="0"/>
        </w:rPr>
        <w:t xml:space="preserve">, 5(1), pp. 137–147. Available at: https://doi.org/10.24815/siele.v5i1.9432.</w:t>
      </w:r>
    </w:p>
    <w:p w:rsidR="00000000" w:rsidDel="00000000" w:rsidP="00000000" w:rsidRDefault="00000000" w:rsidRPr="00000000" w14:paraId="00000038">
      <w:pPr>
        <w:spacing w:after="240" w:before="240" w:lineRule="auto"/>
        <w:ind w:left="560" w:firstLine="0"/>
        <w:rPr>
          <w:sz w:val="32"/>
          <w:szCs w:val="32"/>
        </w:rPr>
      </w:pPr>
      <w:r w:rsidDel="00000000" w:rsidR="00000000" w:rsidRPr="00000000">
        <w:rPr>
          <w:sz w:val="32"/>
          <w:szCs w:val="32"/>
          <w:rtl w:val="0"/>
        </w:rPr>
        <w:t xml:space="preserve">Medgyes, P. (2001) “When the teacher is a non-native speaker,” </w:t>
      </w:r>
      <w:r w:rsidDel="00000000" w:rsidR="00000000" w:rsidRPr="00000000">
        <w:rPr>
          <w:i w:val="1"/>
          <w:sz w:val="32"/>
          <w:szCs w:val="32"/>
          <w:rtl w:val="0"/>
        </w:rPr>
        <w:t xml:space="preserve">Teaching English as a second or foreign language</w:t>
      </w:r>
      <w:r w:rsidDel="00000000" w:rsidR="00000000" w:rsidRPr="00000000">
        <w:rPr>
          <w:sz w:val="32"/>
          <w:szCs w:val="32"/>
          <w:rtl w:val="0"/>
        </w:rPr>
        <w:t xml:space="preserve">, 3, pp. 429–442.</w:t>
      </w:r>
    </w:p>
    <w:p w:rsidR="00000000" w:rsidDel="00000000" w:rsidP="00000000" w:rsidRDefault="00000000" w:rsidRPr="00000000" w14:paraId="00000039">
      <w:pPr>
        <w:spacing w:after="240" w:before="240" w:lineRule="auto"/>
        <w:ind w:left="560" w:firstLine="0"/>
        <w:rPr>
          <w:sz w:val="32"/>
          <w:szCs w:val="32"/>
        </w:rPr>
      </w:pPr>
      <w:r w:rsidDel="00000000" w:rsidR="00000000" w:rsidRPr="00000000">
        <w:rPr>
          <w:sz w:val="32"/>
          <w:szCs w:val="32"/>
          <w:rtl w:val="0"/>
        </w:rPr>
        <w:t xml:space="preserve">Moussu, L. (2010) “Influence of teacher-contact time and other variables on ESL students' attitudes towards native- and nonnative-English-speaking teachers,” </w:t>
      </w:r>
      <w:r w:rsidDel="00000000" w:rsidR="00000000" w:rsidRPr="00000000">
        <w:rPr>
          <w:i w:val="1"/>
          <w:sz w:val="32"/>
          <w:szCs w:val="32"/>
          <w:rtl w:val="0"/>
        </w:rPr>
        <w:t xml:space="preserve">TESOL Quarterly</w:t>
      </w:r>
      <w:r w:rsidDel="00000000" w:rsidR="00000000" w:rsidRPr="00000000">
        <w:rPr>
          <w:sz w:val="32"/>
          <w:szCs w:val="32"/>
          <w:rtl w:val="0"/>
        </w:rPr>
        <w:t xml:space="preserve">, 44(4), pp. 746–768. Available at: </w:t>
      </w:r>
      <w:hyperlink r:id="rId6">
        <w:r w:rsidDel="00000000" w:rsidR="00000000" w:rsidRPr="00000000">
          <w:rPr>
            <w:color w:val="1155cc"/>
            <w:sz w:val="32"/>
            <w:szCs w:val="32"/>
            <w:u w:val="single"/>
            <w:rtl w:val="0"/>
          </w:rPr>
          <w:t xml:space="preserve">https://doi.org/10.5054/tq.2010.235997</w:t>
        </w:r>
      </w:hyperlink>
      <w:r w:rsidDel="00000000" w:rsidR="00000000" w:rsidRPr="00000000">
        <w:rPr>
          <w:sz w:val="32"/>
          <w:szCs w:val="32"/>
          <w:rtl w:val="0"/>
        </w:rPr>
        <w:t xml:space="preserve">.</w:t>
      </w:r>
    </w:p>
    <w:p w:rsidR="00000000" w:rsidDel="00000000" w:rsidP="00000000" w:rsidRDefault="00000000" w:rsidRPr="00000000" w14:paraId="0000003A">
      <w:pPr>
        <w:spacing w:after="240" w:before="240" w:lineRule="auto"/>
        <w:ind w:left="560" w:firstLine="0"/>
        <w:rPr>
          <w:sz w:val="32"/>
          <w:szCs w:val="32"/>
        </w:rPr>
      </w:pPr>
      <w:r w:rsidDel="00000000" w:rsidR="00000000" w:rsidRPr="00000000">
        <w:rPr>
          <w:sz w:val="32"/>
          <w:szCs w:val="32"/>
          <w:rtl w:val="0"/>
        </w:rPr>
        <w:t xml:space="preserve">Phillipson, R. (1992) Linguistic Imperialism. Oxford University Press, Oxford.</w:t>
      </w:r>
    </w:p>
    <w:p w:rsidR="00000000" w:rsidDel="00000000" w:rsidP="00000000" w:rsidRDefault="00000000" w:rsidRPr="00000000" w14:paraId="0000003B">
      <w:pPr>
        <w:spacing w:after="240" w:before="240" w:lineRule="auto"/>
        <w:ind w:left="560" w:firstLine="0"/>
        <w:rPr>
          <w:sz w:val="32"/>
          <w:szCs w:val="32"/>
        </w:rPr>
      </w:pPr>
      <w:r w:rsidDel="00000000" w:rsidR="00000000" w:rsidRPr="00000000">
        <w:rPr>
          <w:sz w:val="32"/>
          <w:szCs w:val="32"/>
          <w:rtl w:val="0"/>
        </w:rPr>
        <w:t xml:space="preserve">Phillipson, R. (2018) “Linguistic imperialism and nnests,” </w:t>
      </w:r>
      <w:r w:rsidDel="00000000" w:rsidR="00000000" w:rsidRPr="00000000">
        <w:rPr>
          <w:i w:val="1"/>
          <w:sz w:val="32"/>
          <w:szCs w:val="32"/>
          <w:rtl w:val="0"/>
        </w:rPr>
        <w:t xml:space="preserve">The TESOL Encyclopedia of English Language Teaching</w:t>
      </w:r>
      <w:r w:rsidDel="00000000" w:rsidR="00000000" w:rsidRPr="00000000">
        <w:rPr>
          <w:sz w:val="32"/>
          <w:szCs w:val="32"/>
          <w:rtl w:val="0"/>
        </w:rPr>
        <w:t xml:space="preserve">, pp. 1–7. Available at: https://doi.org/10.1002/9781118784235.eelt0023.</w:t>
      </w:r>
    </w:p>
    <w:p w:rsidR="00000000" w:rsidDel="00000000" w:rsidP="00000000" w:rsidRDefault="00000000" w:rsidRPr="00000000" w14:paraId="0000003C">
      <w:pPr>
        <w:spacing w:after="240" w:before="240" w:lineRule="auto"/>
        <w:ind w:left="560" w:firstLine="0"/>
        <w:rPr>
          <w:sz w:val="32"/>
          <w:szCs w:val="32"/>
        </w:rPr>
      </w:pPr>
      <w:r w:rsidDel="00000000" w:rsidR="00000000" w:rsidRPr="00000000">
        <w:rPr>
          <w:i w:val="1"/>
          <w:sz w:val="32"/>
          <w:szCs w:val="32"/>
          <w:rtl w:val="0"/>
        </w:rPr>
        <w:t xml:space="preserve">Péter Medgyes the NON-NATIVE “a teacher - uzsmart.uz</w:t>
      </w:r>
      <w:r w:rsidDel="00000000" w:rsidR="00000000" w:rsidRPr="00000000">
        <w:rPr>
          <w:sz w:val="32"/>
          <w:szCs w:val="32"/>
          <w:rtl w:val="0"/>
        </w:rPr>
        <w:t xml:space="preserve"> (no date). Available at: https://uzsmart.uz/kitoblar/files/Elektron%20kutubxona/Xorijiy_elchixonalardan_qabul_qilingan_soxaga_doir_adabiyotlar/The%20non%20native%20teacher.Peter%20Medgyes.1999..pdf </w:t>
      </w:r>
    </w:p>
    <w:p w:rsidR="00000000" w:rsidDel="00000000" w:rsidP="00000000" w:rsidRDefault="00000000" w:rsidRPr="00000000" w14:paraId="0000003D">
      <w:pPr>
        <w:spacing w:after="240" w:before="240" w:lineRule="auto"/>
        <w:ind w:left="560" w:firstLine="0"/>
        <w:rPr>
          <w:sz w:val="32"/>
          <w:szCs w:val="32"/>
        </w:rPr>
      </w:pPr>
      <w:r w:rsidDel="00000000" w:rsidR="00000000" w:rsidRPr="00000000">
        <w:rPr>
          <w:sz w:val="32"/>
          <w:szCs w:val="32"/>
          <w:rtl w:val="0"/>
        </w:rPr>
        <w:t xml:space="preserve">Walkinshaw, I. and Oanh, D.H. (2014) “Native and non-native English language teachers,” </w:t>
      </w:r>
      <w:r w:rsidDel="00000000" w:rsidR="00000000" w:rsidRPr="00000000">
        <w:rPr>
          <w:i w:val="1"/>
          <w:sz w:val="32"/>
          <w:szCs w:val="32"/>
          <w:rtl w:val="0"/>
        </w:rPr>
        <w:t xml:space="preserve">SAGE Open</w:t>
      </w:r>
      <w:r w:rsidDel="00000000" w:rsidR="00000000" w:rsidRPr="00000000">
        <w:rPr>
          <w:sz w:val="32"/>
          <w:szCs w:val="32"/>
          <w:rtl w:val="0"/>
        </w:rPr>
        <w:t xml:space="preserve">, 4(2), p. 215824401453445. Available at: https://doi.org/10.1177/2158244014534451. </w:t>
      </w:r>
    </w:p>
    <w:p w:rsidR="00000000" w:rsidDel="00000000" w:rsidP="00000000" w:rsidRDefault="00000000" w:rsidRPr="00000000" w14:paraId="0000003E">
      <w:pPr>
        <w:spacing w:after="240" w:before="240" w:lineRule="auto"/>
        <w:ind w:left="560" w:firstLine="0"/>
        <w:rPr>
          <w:sz w:val="32"/>
          <w:szCs w:val="32"/>
        </w:rPr>
      </w:pPr>
      <w:r w:rsidDel="00000000" w:rsidR="00000000" w:rsidRPr="00000000">
        <w:rPr>
          <w:rtl w:val="0"/>
        </w:rPr>
      </w:r>
    </w:p>
    <w:p w:rsidR="00000000" w:rsidDel="00000000" w:rsidP="00000000" w:rsidRDefault="00000000" w:rsidRPr="00000000" w14:paraId="0000003F">
      <w:pPr>
        <w:spacing w:after="240" w:before="240" w:lineRule="auto"/>
        <w:ind w:left="560" w:firstLine="0"/>
        <w:rPr>
          <w:sz w:val="32"/>
          <w:szCs w:val="32"/>
        </w:rPr>
      </w:pPr>
      <w:r w:rsidDel="00000000" w:rsidR="00000000" w:rsidRPr="00000000">
        <w:rPr>
          <w:rtl w:val="0"/>
        </w:rPr>
      </w:r>
    </w:p>
    <w:p w:rsidR="00000000" w:rsidDel="00000000" w:rsidP="00000000" w:rsidRDefault="00000000" w:rsidRPr="00000000" w14:paraId="00000040">
      <w:pPr>
        <w:rPr>
          <w:sz w:val="32"/>
          <w:szCs w:val="32"/>
        </w:rPr>
      </w:pPr>
      <w:r w:rsidDel="00000000" w:rsidR="00000000" w:rsidRPr="00000000">
        <w:rPr>
          <w:rtl w:val="0"/>
        </w:rPr>
      </w:r>
    </w:p>
    <w:p w:rsidR="00000000" w:rsidDel="00000000" w:rsidP="00000000" w:rsidRDefault="00000000" w:rsidRPr="00000000" w14:paraId="00000041">
      <w:pPr>
        <w:rPr>
          <w:sz w:val="32"/>
          <w:szCs w:val="32"/>
        </w:rPr>
      </w:pPr>
      <w:r w:rsidDel="00000000" w:rsidR="00000000" w:rsidRPr="00000000">
        <w:rPr>
          <w:rtl w:val="0"/>
        </w:rPr>
      </w:r>
    </w:p>
    <w:p w:rsidR="00000000" w:rsidDel="00000000" w:rsidP="00000000" w:rsidRDefault="00000000" w:rsidRPr="00000000" w14:paraId="00000042">
      <w:pPr>
        <w:rPr>
          <w:sz w:val="32"/>
          <w:szCs w:val="32"/>
        </w:rPr>
      </w:pPr>
      <w:r w:rsidDel="00000000" w:rsidR="00000000" w:rsidRPr="00000000">
        <w:rPr>
          <w:rtl w:val="0"/>
        </w:rPr>
      </w:r>
    </w:p>
    <w:p w:rsidR="00000000" w:rsidDel="00000000" w:rsidP="00000000" w:rsidRDefault="00000000" w:rsidRPr="00000000" w14:paraId="00000043">
      <w:pPr>
        <w:rPr>
          <w:sz w:val="32"/>
          <w:szCs w:val="32"/>
        </w:rPr>
      </w:pPr>
      <w:r w:rsidDel="00000000" w:rsidR="00000000" w:rsidRPr="00000000">
        <w:rPr>
          <w:rtl w:val="0"/>
        </w:rPr>
      </w:r>
    </w:p>
    <w:p w:rsidR="00000000" w:rsidDel="00000000" w:rsidP="00000000" w:rsidRDefault="00000000" w:rsidRPr="00000000" w14:paraId="00000044">
      <w:pPr>
        <w:rPr>
          <w:sz w:val="32"/>
          <w:szCs w:val="32"/>
        </w:rPr>
      </w:pPr>
      <w:r w:rsidDel="00000000" w:rsidR="00000000" w:rsidRPr="00000000">
        <w:rPr>
          <w:rtl w:val="0"/>
        </w:rPr>
      </w:r>
    </w:p>
    <w:p w:rsidR="00000000" w:rsidDel="00000000" w:rsidP="00000000" w:rsidRDefault="00000000" w:rsidRPr="00000000" w14:paraId="00000045">
      <w:pPr>
        <w:rPr>
          <w:sz w:val="32"/>
          <w:szCs w:val="32"/>
        </w:rPr>
      </w:pPr>
      <w:r w:rsidDel="00000000" w:rsidR="00000000" w:rsidRPr="00000000">
        <w:rPr>
          <w:rtl w:val="0"/>
        </w:rPr>
      </w:r>
    </w:p>
    <w:p w:rsidR="00000000" w:rsidDel="00000000" w:rsidP="00000000" w:rsidRDefault="00000000" w:rsidRPr="00000000" w14:paraId="00000046">
      <w:pPr>
        <w:rPr>
          <w:sz w:val="32"/>
          <w:szCs w:val="32"/>
        </w:rPr>
      </w:pPr>
      <w:r w:rsidDel="00000000" w:rsidR="00000000" w:rsidRPr="00000000">
        <w:rPr>
          <w:rtl w:val="0"/>
        </w:rPr>
      </w:r>
    </w:p>
    <w:p w:rsidR="00000000" w:rsidDel="00000000" w:rsidP="00000000" w:rsidRDefault="00000000" w:rsidRPr="00000000" w14:paraId="00000047">
      <w:pPr>
        <w:rPr>
          <w:sz w:val="32"/>
          <w:szCs w:val="32"/>
        </w:rPr>
      </w:pPr>
      <w:r w:rsidDel="00000000" w:rsidR="00000000" w:rsidRPr="00000000">
        <w:rPr>
          <w:rtl w:val="0"/>
        </w:rPr>
      </w:r>
    </w:p>
    <w:p w:rsidR="00000000" w:rsidDel="00000000" w:rsidP="00000000" w:rsidRDefault="00000000" w:rsidRPr="00000000" w14:paraId="00000048">
      <w:pPr>
        <w:rPr>
          <w:sz w:val="32"/>
          <w:szCs w:val="32"/>
        </w:rPr>
      </w:pPr>
      <w:r w:rsidDel="00000000" w:rsidR="00000000" w:rsidRPr="00000000">
        <w:rPr>
          <w:rtl w:val="0"/>
        </w:rPr>
      </w:r>
    </w:p>
    <w:p w:rsidR="00000000" w:rsidDel="00000000" w:rsidP="00000000" w:rsidRDefault="00000000" w:rsidRPr="00000000" w14:paraId="00000049">
      <w:pPr>
        <w:rPr>
          <w:sz w:val="32"/>
          <w:szCs w:val="32"/>
        </w:rPr>
      </w:pPr>
      <w:r w:rsidDel="00000000" w:rsidR="00000000" w:rsidRPr="00000000">
        <w:rPr>
          <w:rtl w:val="0"/>
        </w:rPr>
      </w:r>
    </w:p>
    <w:p w:rsidR="00000000" w:rsidDel="00000000" w:rsidP="00000000" w:rsidRDefault="00000000" w:rsidRPr="00000000" w14:paraId="0000004A">
      <w:pPr>
        <w:rPr>
          <w:sz w:val="32"/>
          <w:szCs w:val="32"/>
        </w:rPr>
      </w:pPr>
      <w:r w:rsidDel="00000000" w:rsidR="00000000" w:rsidRPr="00000000">
        <w:rPr>
          <w:rtl w:val="0"/>
        </w:rPr>
      </w:r>
    </w:p>
    <w:p w:rsidR="00000000" w:rsidDel="00000000" w:rsidP="00000000" w:rsidRDefault="00000000" w:rsidRPr="00000000" w14:paraId="0000004B">
      <w:pPr>
        <w:rPr>
          <w:sz w:val="32"/>
          <w:szCs w:val="32"/>
        </w:rPr>
      </w:pPr>
      <w:r w:rsidDel="00000000" w:rsidR="00000000" w:rsidRPr="00000000">
        <w:rPr>
          <w:rtl w:val="0"/>
        </w:rPr>
      </w:r>
    </w:p>
    <w:p w:rsidR="00000000" w:rsidDel="00000000" w:rsidP="00000000" w:rsidRDefault="00000000" w:rsidRPr="00000000" w14:paraId="0000004C">
      <w:pPr>
        <w:rPr>
          <w:sz w:val="32"/>
          <w:szCs w:val="32"/>
        </w:rPr>
      </w:pPr>
      <w:r w:rsidDel="00000000" w:rsidR="00000000" w:rsidRPr="00000000">
        <w:rPr>
          <w:rtl w:val="0"/>
        </w:rPr>
      </w:r>
    </w:p>
    <w:p w:rsidR="00000000" w:rsidDel="00000000" w:rsidP="00000000" w:rsidRDefault="00000000" w:rsidRPr="00000000" w14:paraId="0000004D">
      <w:pPr>
        <w:rPr>
          <w:sz w:val="32"/>
          <w:szCs w:val="32"/>
        </w:rPr>
      </w:pPr>
      <w:r w:rsidDel="00000000" w:rsidR="00000000" w:rsidRPr="00000000">
        <w:rPr>
          <w:sz w:val="32"/>
          <w:szCs w:val="32"/>
          <w:rtl w:val="0"/>
        </w:rPr>
        <w:t xml:space="preserve">Appendix 1</w:t>
      </w:r>
    </w:p>
    <w:p w:rsidR="00000000" w:rsidDel="00000000" w:rsidP="00000000" w:rsidRDefault="00000000" w:rsidRPr="00000000" w14:paraId="0000004E">
      <w:pPr>
        <w:rPr>
          <w:sz w:val="32"/>
          <w:szCs w:val="32"/>
        </w:rPr>
      </w:pPr>
      <w:r w:rsidDel="00000000" w:rsidR="00000000" w:rsidRPr="00000000">
        <w:rPr>
          <w:sz w:val="32"/>
          <w:szCs w:val="32"/>
        </w:rPr>
        <w:drawing>
          <wp:inline distB="114300" distT="114300" distL="114300" distR="114300">
            <wp:extent cx="2595563" cy="2595563"/>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595563" cy="2595563"/>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rPr>
          <w:sz w:val="32"/>
          <w:szCs w:val="32"/>
        </w:rPr>
      </w:pPr>
      <w:r w:rsidDel="00000000" w:rsidR="00000000" w:rsidRPr="00000000">
        <w:rPr>
          <w:sz w:val="32"/>
          <w:szCs w:val="32"/>
          <w:rtl w:val="0"/>
        </w:rPr>
        <w:t xml:space="preserve">Appendix 2</w:t>
      </w:r>
    </w:p>
    <w:p w:rsidR="00000000" w:rsidDel="00000000" w:rsidP="00000000" w:rsidRDefault="00000000" w:rsidRPr="00000000" w14:paraId="00000050">
      <w:pPr>
        <w:rPr>
          <w:sz w:val="32"/>
          <w:szCs w:val="32"/>
        </w:rPr>
      </w:pPr>
      <w:r w:rsidDel="00000000" w:rsidR="00000000" w:rsidRPr="00000000">
        <w:rPr>
          <w:sz w:val="32"/>
          <w:szCs w:val="32"/>
        </w:rPr>
        <w:drawing>
          <wp:inline distB="114300" distT="114300" distL="114300" distR="114300">
            <wp:extent cx="4867505" cy="4681538"/>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867505" cy="4681538"/>
                    </a:xfrm>
                    <a:prstGeom prst="rect"/>
                    <a:ln/>
                  </pic:spPr>
                </pic:pic>
              </a:graphicData>
            </a:graphic>
          </wp:inline>
        </w:drawing>
      </w:r>
      <w:r w:rsidDel="00000000" w:rsidR="00000000" w:rsidRPr="00000000">
        <w:rPr>
          <w:rtl w:val="0"/>
        </w:rPr>
      </w:r>
    </w:p>
    <w:sectPr>
      <w:head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rPr/>
    </w:pPr>
    <w:r w:rsidDel="00000000" w:rsidR="00000000" w:rsidRPr="00000000">
      <w:rPr>
        <w:rtl w:val="0"/>
      </w:rPr>
      <w:t xml:space="preserve">NATHAN DAVIES</w:t>
      <w:tab/>
      <w:tab/>
      <w:tab/>
      <w:tab/>
      <w:tab/>
      <w:tab/>
      <w:tab/>
      <w:tab/>
      <w:tab/>
      <w:t xml:space="preserve">1450346</w:t>
    </w:r>
  </w:p>
  <w:p w:rsidR="00000000" w:rsidDel="00000000" w:rsidP="00000000" w:rsidRDefault="00000000" w:rsidRPr="00000000" w14:paraId="0000005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doi.org/10.5054/tq.2010.235997" TargetMode="Externa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