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2C3FAF" w14:textId="77777777" w:rsidR="00EF2670" w:rsidRDefault="00EF2670">
      <w:pPr>
        <w:jc w:val="center"/>
        <w:rPr>
          <w:b/>
          <w:sz w:val="32"/>
        </w:rPr>
      </w:pPr>
      <w:r>
        <w:rPr>
          <w:b/>
          <w:noProof/>
          <w:sz w:val="32"/>
        </w:rPr>
        <w:drawing>
          <wp:inline distT="0" distB="0" distL="0" distR="0" wp14:anchorId="7A16FDB2" wp14:editId="2D25F3E3">
            <wp:extent cx="3028950" cy="1112520"/>
            <wp:effectExtent l="0" t="0" r="0" b="0"/>
            <wp:docPr id="2031149260" name="Picture 1" descr="A logo of a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1149260" name="Picture 1" descr="A logo of a university"/>
                    <pic:cNvPicPr/>
                  </pic:nvPicPr>
                  <pic:blipFill>
                    <a:blip r:embed="rId8"/>
                    <a:stretch>
                      <a:fillRect/>
                    </a:stretch>
                  </pic:blipFill>
                  <pic:spPr>
                    <a:xfrm>
                      <a:off x="0" y="0"/>
                      <a:ext cx="3028950" cy="1112520"/>
                    </a:xfrm>
                    <a:prstGeom prst="rect">
                      <a:avLst/>
                    </a:prstGeom>
                  </pic:spPr>
                </pic:pic>
              </a:graphicData>
            </a:graphic>
          </wp:inline>
        </w:drawing>
      </w:r>
    </w:p>
    <w:p w14:paraId="3AACCEE9" w14:textId="240A1DF7" w:rsidR="002B54CC" w:rsidRDefault="00E2157F">
      <w:pPr>
        <w:jc w:val="center"/>
      </w:pPr>
      <w:r>
        <w:rPr>
          <w:b/>
          <w:sz w:val="32"/>
        </w:rPr>
        <w:t>University of Wales Trinity Saint David</w:t>
      </w:r>
    </w:p>
    <w:p w14:paraId="128AA56D" w14:textId="77777777" w:rsidR="002B54CC" w:rsidRDefault="002B54CC"/>
    <w:p w14:paraId="6BF905D6" w14:textId="77777777" w:rsidR="002B54CC" w:rsidRDefault="00E2157F">
      <w:pPr>
        <w:jc w:val="center"/>
      </w:pPr>
      <w:r>
        <w:t>Programme: Master of Business Administration</w:t>
      </w:r>
    </w:p>
    <w:p w14:paraId="4B61C845" w14:textId="77777777" w:rsidR="002B54CC" w:rsidRDefault="00E2157F">
      <w:pPr>
        <w:jc w:val="center"/>
      </w:pPr>
      <w:r>
        <w:t>Module: Strategic Management</w:t>
      </w:r>
    </w:p>
    <w:p w14:paraId="014CDDB4" w14:textId="77777777" w:rsidR="002B54CC" w:rsidRDefault="00E2157F">
      <w:pPr>
        <w:jc w:val="center"/>
      </w:pPr>
      <w:r>
        <w:t>Module Code: LCMB7003</w:t>
      </w:r>
    </w:p>
    <w:p w14:paraId="74F4BD27" w14:textId="77777777" w:rsidR="00EF2670" w:rsidRDefault="00EF2670">
      <w:pPr>
        <w:jc w:val="center"/>
      </w:pPr>
    </w:p>
    <w:p w14:paraId="1B983241" w14:textId="20042963" w:rsidR="00EF2670" w:rsidRDefault="00EF2670">
      <w:pPr>
        <w:jc w:val="center"/>
      </w:pPr>
      <w:r>
        <w:rPr>
          <w:noProof/>
        </w:rPr>
        <w:drawing>
          <wp:inline distT="0" distB="0" distL="0" distR="0" wp14:anchorId="5AB47DBA" wp14:editId="75D6E707">
            <wp:extent cx="5486400" cy="2095500"/>
            <wp:effectExtent l="0" t="0" r="0" b="0"/>
            <wp:docPr id="1478225531" name="Picture 2" descr="A green and yellow flo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8225531" name="Picture 2" descr="A green and yellow flower"/>
                    <pic:cNvPicPr/>
                  </pic:nvPicPr>
                  <pic:blipFill>
                    <a:blip r:embed="rId9"/>
                    <a:stretch>
                      <a:fillRect/>
                    </a:stretch>
                  </pic:blipFill>
                  <pic:spPr>
                    <a:xfrm>
                      <a:off x="0" y="0"/>
                      <a:ext cx="5486400" cy="2095500"/>
                    </a:xfrm>
                    <a:prstGeom prst="rect">
                      <a:avLst/>
                    </a:prstGeom>
                  </pic:spPr>
                </pic:pic>
              </a:graphicData>
            </a:graphic>
          </wp:inline>
        </w:drawing>
      </w:r>
    </w:p>
    <w:p w14:paraId="28B10F70" w14:textId="77777777" w:rsidR="00EF2670" w:rsidRDefault="00EF2670">
      <w:pPr>
        <w:jc w:val="center"/>
      </w:pPr>
    </w:p>
    <w:p w14:paraId="3442ADA9" w14:textId="77777777" w:rsidR="00EF2670" w:rsidRDefault="00EF2670">
      <w:pPr>
        <w:jc w:val="center"/>
      </w:pPr>
    </w:p>
    <w:p w14:paraId="7CE205AC" w14:textId="77777777" w:rsidR="002B54CC" w:rsidRDefault="00E2157F">
      <w:pPr>
        <w:jc w:val="center"/>
      </w:pPr>
      <w:r>
        <w:t>Assessment Title: Individual Report – BP’s Strategic Expansion into the Indian Energy Market</w:t>
      </w:r>
    </w:p>
    <w:p w14:paraId="06009C0A" w14:textId="77777777" w:rsidR="002B54CC" w:rsidRDefault="00E2157F">
      <w:pPr>
        <w:jc w:val="center"/>
      </w:pPr>
      <w:r>
        <w:t>Lecturer: Simon Chatterton</w:t>
      </w:r>
    </w:p>
    <w:p w14:paraId="606ED0B8" w14:textId="77777777" w:rsidR="002B54CC" w:rsidRDefault="00E2157F">
      <w:pPr>
        <w:jc w:val="center"/>
      </w:pPr>
      <w:r>
        <w:t>Student Name: Radislav Nikolov</w:t>
      </w:r>
    </w:p>
    <w:p w14:paraId="164A1FAD" w14:textId="77777777" w:rsidR="002B54CC" w:rsidRDefault="00E2157F">
      <w:pPr>
        <w:jc w:val="center"/>
      </w:pPr>
      <w:r>
        <w:t>Student ID: 2118366</w:t>
      </w:r>
    </w:p>
    <w:p w14:paraId="34ADFADA" w14:textId="0E2A0B62" w:rsidR="002B54CC" w:rsidRDefault="00E2157F">
      <w:pPr>
        <w:jc w:val="center"/>
      </w:pPr>
      <w:r>
        <w:t>Word Count</w:t>
      </w:r>
      <w:r w:rsidR="006E4810">
        <w:t xml:space="preserve">: </w:t>
      </w:r>
      <w:r w:rsidR="003C11C0">
        <w:t>4995</w:t>
      </w:r>
    </w:p>
    <w:p w14:paraId="117D5038" w14:textId="77777777" w:rsidR="002B54CC" w:rsidRDefault="00E2157F">
      <w:pPr>
        <w:jc w:val="center"/>
      </w:pPr>
      <w:r>
        <w:t>Submission Date: 29th November 2025</w:t>
      </w:r>
    </w:p>
    <w:p w14:paraId="05F066E6" w14:textId="77777777" w:rsidR="00C97038" w:rsidRDefault="00C97038">
      <w:pPr>
        <w:jc w:val="center"/>
      </w:pPr>
    </w:p>
    <w:sdt>
      <w:sdtPr>
        <w:rPr>
          <w:rFonts w:eastAsiaTheme="minorEastAsia" w:cstheme="minorBidi"/>
          <w:color w:val="auto"/>
          <w:sz w:val="24"/>
          <w:szCs w:val="21"/>
        </w:rPr>
        <w:id w:val="-850334235"/>
        <w:docPartObj>
          <w:docPartGallery w:val="Table of Contents"/>
          <w:docPartUnique/>
        </w:docPartObj>
      </w:sdtPr>
      <w:sdtEndPr>
        <w:rPr>
          <w:b/>
          <w:bCs/>
          <w:noProof/>
        </w:rPr>
      </w:sdtEndPr>
      <w:sdtContent>
        <w:p w14:paraId="59CB0505" w14:textId="6FCEABFC" w:rsidR="00646E75" w:rsidRDefault="00646E75">
          <w:pPr>
            <w:pStyle w:val="TOCHeading"/>
          </w:pPr>
          <w:r>
            <w:t>Table of Contents</w:t>
          </w:r>
        </w:p>
        <w:p w14:paraId="5812CC49" w14:textId="77777777" w:rsidR="006920BE" w:rsidRPr="006920BE" w:rsidRDefault="006920BE" w:rsidP="006920BE"/>
        <w:p w14:paraId="1FC69B12" w14:textId="07F26B1C" w:rsidR="008F3E67" w:rsidRDefault="00646E75">
          <w:pPr>
            <w:pStyle w:val="TOC1"/>
            <w:tabs>
              <w:tab w:val="right" w:leader="dot" w:pos="8630"/>
            </w:tabs>
            <w:rPr>
              <w:rFonts w:asciiTheme="minorHAnsi" w:hAnsiTheme="minorHAnsi"/>
              <w:noProof/>
              <w:kern w:val="2"/>
              <w:szCs w:val="24"/>
              <w:lang w:val="en-GB" w:eastAsia="en-GB"/>
              <w14:ligatures w14:val="standardContextual"/>
            </w:rPr>
          </w:pPr>
          <w:r>
            <w:fldChar w:fldCharType="begin"/>
          </w:r>
          <w:r>
            <w:instrText xml:space="preserve"> TOC \o "1-3" \h \z \u </w:instrText>
          </w:r>
          <w:r>
            <w:fldChar w:fldCharType="separate"/>
          </w:r>
          <w:hyperlink w:anchor="_Toc215236101" w:history="1">
            <w:r w:rsidR="008F3E67" w:rsidRPr="00FE0006">
              <w:rPr>
                <w:rStyle w:val="Hyperlink"/>
                <w:noProof/>
                <w:lang w:val="en-GB"/>
              </w:rPr>
              <w:t>List of Figures</w:t>
            </w:r>
            <w:r w:rsidR="008F3E67">
              <w:rPr>
                <w:noProof/>
                <w:webHidden/>
              </w:rPr>
              <w:tab/>
            </w:r>
            <w:r w:rsidR="008F3E67">
              <w:rPr>
                <w:noProof/>
                <w:webHidden/>
              </w:rPr>
              <w:fldChar w:fldCharType="begin"/>
            </w:r>
            <w:r w:rsidR="008F3E67">
              <w:rPr>
                <w:noProof/>
                <w:webHidden/>
              </w:rPr>
              <w:instrText xml:space="preserve"> PAGEREF _Toc215236101 \h </w:instrText>
            </w:r>
            <w:r w:rsidR="008F3E67">
              <w:rPr>
                <w:noProof/>
                <w:webHidden/>
              </w:rPr>
            </w:r>
            <w:r w:rsidR="008F3E67">
              <w:rPr>
                <w:noProof/>
                <w:webHidden/>
              </w:rPr>
              <w:fldChar w:fldCharType="separate"/>
            </w:r>
            <w:r w:rsidR="008F3E67">
              <w:rPr>
                <w:noProof/>
                <w:webHidden/>
              </w:rPr>
              <w:t>3</w:t>
            </w:r>
            <w:r w:rsidR="008F3E67">
              <w:rPr>
                <w:noProof/>
                <w:webHidden/>
              </w:rPr>
              <w:fldChar w:fldCharType="end"/>
            </w:r>
          </w:hyperlink>
        </w:p>
        <w:p w14:paraId="2137B7F0" w14:textId="7E81DBA1" w:rsidR="008F3E67" w:rsidRDefault="008F3E67">
          <w:pPr>
            <w:pStyle w:val="TOC1"/>
            <w:tabs>
              <w:tab w:val="right" w:leader="dot" w:pos="8630"/>
            </w:tabs>
            <w:rPr>
              <w:rFonts w:asciiTheme="minorHAnsi" w:hAnsiTheme="minorHAnsi"/>
              <w:noProof/>
              <w:kern w:val="2"/>
              <w:szCs w:val="24"/>
              <w:lang w:val="en-GB" w:eastAsia="en-GB"/>
              <w14:ligatures w14:val="standardContextual"/>
            </w:rPr>
          </w:pPr>
          <w:hyperlink w:anchor="_Toc215236102" w:history="1">
            <w:r w:rsidRPr="00FE0006">
              <w:rPr>
                <w:rStyle w:val="Hyperlink"/>
                <w:noProof/>
                <w:lang w:val="en-GB"/>
              </w:rPr>
              <w:t>List of Tables</w:t>
            </w:r>
            <w:r>
              <w:rPr>
                <w:noProof/>
                <w:webHidden/>
              </w:rPr>
              <w:tab/>
            </w:r>
            <w:r>
              <w:rPr>
                <w:noProof/>
                <w:webHidden/>
              </w:rPr>
              <w:fldChar w:fldCharType="begin"/>
            </w:r>
            <w:r>
              <w:rPr>
                <w:noProof/>
                <w:webHidden/>
              </w:rPr>
              <w:instrText xml:space="preserve"> PAGEREF _Toc215236102 \h </w:instrText>
            </w:r>
            <w:r>
              <w:rPr>
                <w:noProof/>
                <w:webHidden/>
              </w:rPr>
            </w:r>
            <w:r>
              <w:rPr>
                <w:noProof/>
                <w:webHidden/>
              </w:rPr>
              <w:fldChar w:fldCharType="separate"/>
            </w:r>
            <w:r>
              <w:rPr>
                <w:noProof/>
                <w:webHidden/>
              </w:rPr>
              <w:t>3</w:t>
            </w:r>
            <w:r>
              <w:rPr>
                <w:noProof/>
                <w:webHidden/>
              </w:rPr>
              <w:fldChar w:fldCharType="end"/>
            </w:r>
          </w:hyperlink>
        </w:p>
        <w:p w14:paraId="71984714" w14:textId="0E9292E2" w:rsidR="008F3E67" w:rsidRDefault="008F3E67">
          <w:pPr>
            <w:pStyle w:val="TOC1"/>
            <w:tabs>
              <w:tab w:val="right" w:leader="dot" w:pos="8630"/>
            </w:tabs>
            <w:rPr>
              <w:rFonts w:asciiTheme="minorHAnsi" w:hAnsiTheme="minorHAnsi"/>
              <w:noProof/>
              <w:kern w:val="2"/>
              <w:szCs w:val="24"/>
              <w:lang w:val="en-GB" w:eastAsia="en-GB"/>
              <w14:ligatures w14:val="standardContextual"/>
            </w:rPr>
          </w:pPr>
          <w:hyperlink w:anchor="_Toc215236103" w:history="1">
            <w:r w:rsidRPr="00FE0006">
              <w:rPr>
                <w:rStyle w:val="Hyperlink"/>
                <w:noProof/>
                <w:lang w:val="en-GB"/>
              </w:rPr>
              <w:t>Executive Summary</w:t>
            </w:r>
            <w:r>
              <w:rPr>
                <w:noProof/>
                <w:webHidden/>
              </w:rPr>
              <w:tab/>
            </w:r>
            <w:r>
              <w:rPr>
                <w:noProof/>
                <w:webHidden/>
              </w:rPr>
              <w:fldChar w:fldCharType="begin"/>
            </w:r>
            <w:r>
              <w:rPr>
                <w:noProof/>
                <w:webHidden/>
              </w:rPr>
              <w:instrText xml:space="preserve"> PAGEREF _Toc215236103 \h </w:instrText>
            </w:r>
            <w:r>
              <w:rPr>
                <w:noProof/>
                <w:webHidden/>
              </w:rPr>
            </w:r>
            <w:r>
              <w:rPr>
                <w:noProof/>
                <w:webHidden/>
              </w:rPr>
              <w:fldChar w:fldCharType="separate"/>
            </w:r>
            <w:r>
              <w:rPr>
                <w:noProof/>
                <w:webHidden/>
              </w:rPr>
              <w:t>4</w:t>
            </w:r>
            <w:r>
              <w:rPr>
                <w:noProof/>
                <w:webHidden/>
              </w:rPr>
              <w:fldChar w:fldCharType="end"/>
            </w:r>
          </w:hyperlink>
        </w:p>
        <w:p w14:paraId="79EBC2BF" w14:textId="7AEADD7E" w:rsidR="008F3E67" w:rsidRDefault="008F3E67">
          <w:pPr>
            <w:pStyle w:val="TOC1"/>
            <w:tabs>
              <w:tab w:val="right" w:leader="dot" w:pos="8630"/>
            </w:tabs>
            <w:rPr>
              <w:rFonts w:asciiTheme="minorHAnsi" w:hAnsiTheme="minorHAnsi"/>
              <w:noProof/>
              <w:kern w:val="2"/>
              <w:szCs w:val="24"/>
              <w:lang w:val="en-GB" w:eastAsia="en-GB"/>
              <w14:ligatures w14:val="standardContextual"/>
            </w:rPr>
          </w:pPr>
          <w:hyperlink w:anchor="_Toc215236104" w:history="1">
            <w:r w:rsidRPr="00FE0006">
              <w:rPr>
                <w:rStyle w:val="Hyperlink"/>
                <w:noProof/>
                <w:lang w:val="en-GB"/>
              </w:rPr>
              <w:t>1. Introduction</w:t>
            </w:r>
            <w:r>
              <w:rPr>
                <w:noProof/>
                <w:webHidden/>
              </w:rPr>
              <w:tab/>
            </w:r>
            <w:r>
              <w:rPr>
                <w:noProof/>
                <w:webHidden/>
              </w:rPr>
              <w:fldChar w:fldCharType="begin"/>
            </w:r>
            <w:r>
              <w:rPr>
                <w:noProof/>
                <w:webHidden/>
              </w:rPr>
              <w:instrText xml:space="preserve"> PAGEREF _Toc215236104 \h </w:instrText>
            </w:r>
            <w:r>
              <w:rPr>
                <w:noProof/>
                <w:webHidden/>
              </w:rPr>
            </w:r>
            <w:r>
              <w:rPr>
                <w:noProof/>
                <w:webHidden/>
              </w:rPr>
              <w:fldChar w:fldCharType="separate"/>
            </w:r>
            <w:r>
              <w:rPr>
                <w:noProof/>
                <w:webHidden/>
              </w:rPr>
              <w:t>5</w:t>
            </w:r>
            <w:r>
              <w:rPr>
                <w:noProof/>
                <w:webHidden/>
              </w:rPr>
              <w:fldChar w:fldCharType="end"/>
            </w:r>
          </w:hyperlink>
        </w:p>
        <w:p w14:paraId="649B1C96" w14:textId="7B41F00D" w:rsidR="008F3E67" w:rsidRDefault="008F3E67">
          <w:pPr>
            <w:pStyle w:val="TOC1"/>
            <w:tabs>
              <w:tab w:val="right" w:leader="dot" w:pos="8630"/>
            </w:tabs>
            <w:rPr>
              <w:rFonts w:asciiTheme="minorHAnsi" w:hAnsiTheme="minorHAnsi"/>
              <w:noProof/>
              <w:kern w:val="2"/>
              <w:szCs w:val="24"/>
              <w:lang w:val="en-GB" w:eastAsia="en-GB"/>
              <w14:ligatures w14:val="standardContextual"/>
            </w:rPr>
          </w:pPr>
          <w:hyperlink w:anchor="_Toc215236105" w:history="1">
            <w:r w:rsidRPr="00FE0006">
              <w:rPr>
                <w:rStyle w:val="Hyperlink"/>
                <w:noProof/>
                <w:lang w:val="en-GB"/>
              </w:rPr>
              <w:t>2. Selection of Organisation and Target Market</w:t>
            </w:r>
            <w:r>
              <w:rPr>
                <w:noProof/>
                <w:webHidden/>
              </w:rPr>
              <w:tab/>
            </w:r>
            <w:r>
              <w:rPr>
                <w:noProof/>
                <w:webHidden/>
              </w:rPr>
              <w:fldChar w:fldCharType="begin"/>
            </w:r>
            <w:r>
              <w:rPr>
                <w:noProof/>
                <w:webHidden/>
              </w:rPr>
              <w:instrText xml:space="preserve"> PAGEREF _Toc215236105 \h </w:instrText>
            </w:r>
            <w:r>
              <w:rPr>
                <w:noProof/>
                <w:webHidden/>
              </w:rPr>
            </w:r>
            <w:r>
              <w:rPr>
                <w:noProof/>
                <w:webHidden/>
              </w:rPr>
              <w:fldChar w:fldCharType="separate"/>
            </w:r>
            <w:r>
              <w:rPr>
                <w:noProof/>
                <w:webHidden/>
              </w:rPr>
              <w:t>8</w:t>
            </w:r>
            <w:r>
              <w:rPr>
                <w:noProof/>
                <w:webHidden/>
              </w:rPr>
              <w:fldChar w:fldCharType="end"/>
            </w:r>
          </w:hyperlink>
        </w:p>
        <w:p w14:paraId="2DA4826E" w14:textId="2A3DE9EA" w:rsidR="008F3E67" w:rsidRDefault="008F3E67">
          <w:pPr>
            <w:pStyle w:val="TOC2"/>
            <w:tabs>
              <w:tab w:val="right" w:leader="dot" w:pos="8630"/>
            </w:tabs>
            <w:rPr>
              <w:rFonts w:asciiTheme="minorHAnsi" w:hAnsiTheme="minorHAnsi"/>
              <w:noProof/>
              <w:kern w:val="2"/>
              <w:szCs w:val="24"/>
              <w:lang w:val="en-GB" w:eastAsia="en-GB"/>
              <w14:ligatures w14:val="standardContextual"/>
            </w:rPr>
          </w:pPr>
          <w:hyperlink w:anchor="_Toc215236106" w:history="1">
            <w:r w:rsidRPr="00FE0006">
              <w:rPr>
                <w:rStyle w:val="Hyperlink"/>
                <w:noProof/>
                <w:lang w:val="en-GB"/>
              </w:rPr>
              <w:t>2.1 Overview of BP plc</w:t>
            </w:r>
            <w:r>
              <w:rPr>
                <w:noProof/>
                <w:webHidden/>
              </w:rPr>
              <w:tab/>
            </w:r>
            <w:r>
              <w:rPr>
                <w:noProof/>
                <w:webHidden/>
              </w:rPr>
              <w:fldChar w:fldCharType="begin"/>
            </w:r>
            <w:r>
              <w:rPr>
                <w:noProof/>
                <w:webHidden/>
              </w:rPr>
              <w:instrText xml:space="preserve"> PAGEREF _Toc215236106 \h </w:instrText>
            </w:r>
            <w:r>
              <w:rPr>
                <w:noProof/>
                <w:webHidden/>
              </w:rPr>
            </w:r>
            <w:r>
              <w:rPr>
                <w:noProof/>
                <w:webHidden/>
              </w:rPr>
              <w:fldChar w:fldCharType="separate"/>
            </w:r>
            <w:r>
              <w:rPr>
                <w:noProof/>
                <w:webHidden/>
              </w:rPr>
              <w:t>8</w:t>
            </w:r>
            <w:r>
              <w:rPr>
                <w:noProof/>
                <w:webHidden/>
              </w:rPr>
              <w:fldChar w:fldCharType="end"/>
            </w:r>
          </w:hyperlink>
        </w:p>
        <w:p w14:paraId="1B2C8AEF" w14:textId="4E9EED41" w:rsidR="008F3E67" w:rsidRDefault="008F3E67">
          <w:pPr>
            <w:pStyle w:val="TOC2"/>
            <w:tabs>
              <w:tab w:val="right" w:leader="dot" w:pos="8630"/>
            </w:tabs>
            <w:rPr>
              <w:rFonts w:asciiTheme="minorHAnsi" w:hAnsiTheme="minorHAnsi"/>
              <w:noProof/>
              <w:kern w:val="2"/>
              <w:szCs w:val="24"/>
              <w:lang w:val="en-GB" w:eastAsia="en-GB"/>
              <w14:ligatures w14:val="standardContextual"/>
            </w:rPr>
          </w:pPr>
          <w:hyperlink w:anchor="_Toc215236107" w:history="1">
            <w:r w:rsidRPr="00FE0006">
              <w:rPr>
                <w:rStyle w:val="Hyperlink"/>
                <w:noProof/>
                <w:lang w:val="en-GB"/>
              </w:rPr>
              <w:t>2.2 Rationale for Selecting India</w:t>
            </w:r>
            <w:r>
              <w:rPr>
                <w:noProof/>
                <w:webHidden/>
              </w:rPr>
              <w:tab/>
            </w:r>
            <w:r>
              <w:rPr>
                <w:noProof/>
                <w:webHidden/>
              </w:rPr>
              <w:fldChar w:fldCharType="begin"/>
            </w:r>
            <w:r>
              <w:rPr>
                <w:noProof/>
                <w:webHidden/>
              </w:rPr>
              <w:instrText xml:space="preserve"> PAGEREF _Toc215236107 \h </w:instrText>
            </w:r>
            <w:r>
              <w:rPr>
                <w:noProof/>
                <w:webHidden/>
              </w:rPr>
            </w:r>
            <w:r>
              <w:rPr>
                <w:noProof/>
                <w:webHidden/>
              </w:rPr>
              <w:fldChar w:fldCharType="separate"/>
            </w:r>
            <w:r>
              <w:rPr>
                <w:noProof/>
                <w:webHidden/>
              </w:rPr>
              <w:t>8</w:t>
            </w:r>
            <w:r>
              <w:rPr>
                <w:noProof/>
                <w:webHidden/>
              </w:rPr>
              <w:fldChar w:fldCharType="end"/>
            </w:r>
          </w:hyperlink>
        </w:p>
        <w:p w14:paraId="16DAA58E" w14:textId="30167CF6" w:rsidR="008F3E67" w:rsidRDefault="008F3E67">
          <w:pPr>
            <w:pStyle w:val="TOC2"/>
            <w:tabs>
              <w:tab w:val="right" w:leader="dot" w:pos="8630"/>
            </w:tabs>
            <w:rPr>
              <w:rFonts w:asciiTheme="minorHAnsi" w:hAnsiTheme="minorHAnsi"/>
              <w:noProof/>
              <w:kern w:val="2"/>
              <w:szCs w:val="24"/>
              <w:lang w:val="en-GB" w:eastAsia="en-GB"/>
              <w14:ligatures w14:val="standardContextual"/>
            </w:rPr>
          </w:pPr>
          <w:hyperlink w:anchor="_Toc215236108" w:history="1">
            <w:r w:rsidRPr="00FE0006">
              <w:rPr>
                <w:rStyle w:val="Hyperlink"/>
                <w:noProof/>
                <w:lang w:val="en-GB"/>
              </w:rPr>
              <w:t>2.3 Strategic Fit and Competitive Advantage</w:t>
            </w:r>
            <w:r>
              <w:rPr>
                <w:noProof/>
                <w:webHidden/>
              </w:rPr>
              <w:tab/>
            </w:r>
            <w:r>
              <w:rPr>
                <w:noProof/>
                <w:webHidden/>
              </w:rPr>
              <w:fldChar w:fldCharType="begin"/>
            </w:r>
            <w:r>
              <w:rPr>
                <w:noProof/>
                <w:webHidden/>
              </w:rPr>
              <w:instrText xml:space="preserve"> PAGEREF _Toc215236108 \h </w:instrText>
            </w:r>
            <w:r>
              <w:rPr>
                <w:noProof/>
                <w:webHidden/>
              </w:rPr>
            </w:r>
            <w:r>
              <w:rPr>
                <w:noProof/>
                <w:webHidden/>
              </w:rPr>
              <w:fldChar w:fldCharType="separate"/>
            </w:r>
            <w:r>
              <w:rPr>
                <w:noProof/>
                <w:webHidden/>
              </w:rPr>
              <w:t>9</w:t>
            </w:r>
            <w:r>
              <w:rPr>
                <w:noProof/>
                <w:webHidden/>
              </w:rPr>
              <w:fldChar w:fldCharType="end"/>
            </w:r>
          </w:hyperlink>
        </w:p>
        <w:p w14:paraId="5D0DEAF0" w14:textId="3873E89D" w:rsidR="008F3E67" w:rsidRDefault="008F3E67">
          <w:pPr>
            <w:pStyle w:val="TOC2"/>
            <w:tabs>
              <w:tab w:val="right" w:leader="dot" w:pos="8630"/>
            </w:tabs>
            <w:rPr>
              <w:rFonts w:asciiTheme="minorHAnsi" w:hAnsiTheme="minorHAnsi"/>
              <w:noProof/>
              <w:kern w:val="2"/>
              <w:szCs w:val="24"/>
              <w:lang w:val="en-GB" w:eastAsia="en-GB"/>
              <w14:ligatures w14:val="standardContextual"/>
            </w:rPr>
          </w:pPr>
          <w:hyperlink w:anchor="_Toc215236109" w:history="1">
            <w:r w:rsidRPr="00FE0006">
              <w:rPr>
                <w:rStyle w:val="Hyperlink"/>
                <w:noProof/>
                <w:lang w:val="en-GB"/>
              </w:rPr>
              <w:t>2.4 Justification for Expansion</w:t>
            </w:r>
            <w:r>
              <w:rPr>
                <w:noProof/>
                <w:webHidden/>
              </w:rPr>
              <w:tab/>
            </w:r>
            <w:r>
              <w:rPr>
                <w:noProof/>
                <w:webHidden/>
              </w:rPr>
              <w:fldChar w:fldCharType="begin"/>
            </w:r>
            <w:r>
              <w:rPr>
                <w:noProof/>
                <w:webHidden/>
              </w:rPr>
              <w:instrText xml:space="preserve"> PAGEREF _Toc215236109 \h </w:instrText>
            </w:r>
            <w:r>
              <w:rPr>
                <w:noProof/>
                <w:webHidden/>
              </w:rPr>
            </w:r>
            <w:r>
              <w:rPr>
                <w:noProof/>
                <w:webHidden/>
              </w:rPr>
              <w:fldChar w:fldCharType="separate"/>
            </w:r>
            <w:r>
              <w:rPr>
                <w:noProof/>
                <w:webHidden/>
              </w:rPr>
              <w:t>9</w:t>
            </w:r>
            <w:r>
              <w:rPr>
                <w:noProof/>
                <w:webHidden/>
              </w:rPr>
              <w:fldChar w:fldCharType="end"/>
            </w:r>
          </w:hyperlink>
        </w:p>
        <w:p w14:paraId="79FAD56C" w14:textId="59985A6F" w:rsidR="008F3E67" w:rsidRDefault="008F3E67">
          <w:pPr>
            <w:pStyle w:val="TOC1"/>
            <w:tabs>
              <w:tab w:val="right" w:leader="dot" w:pos="8630"/>
            </w:tabs>
            <w:rPr>
              <w:rFonts w:asciiTheme="minorHAnsi" w:hAnsiTheme="minorHAnsi"/>
              <w:noProof/>
              <w:kern w:val="2"/>
              <w:szCs w:val="24"/>
              <w:lang w:val="en-GB" w:eastAsia="en-GB"/>
              <w14:ligatures w14:val="standardContextual"/>
            </w:rPr>
          </w:pPr>
          <w:hyperlink w:anchor="_Toc215236110" w:history="1">
            <w:r w:rsidRPr="00FE0006">
              <w:rPr>
                <w:rStyle w:val="Hyperlink"/>
                <w:noProof/>
                <w:lang w:val="en-GB"/>
              </w:rPr>
              <w:t>3. Comprehensive Strategic Analysis</w:t>
            </w:r>
            <w:r>
              <w:rPr>
                <w:noProof/>
                <w:webHidden/>
              </w:rPr>
              <w:tab/>
            </w:r>
            <w:r>
              <w:rPr>
                <w:noProof/>
                <w:webHidden/>
              </w:rPr>
              <w:fldChar w:fldCharType="begin"/>
            </w:r>
            <w:r>
              <w:rPr>
                <w:noProof/>
                <w:webHidden/>
              </w:rPr>
              <w:instrText xml:space="preserve"> PAGEREF _Toc215236110 \h </w:instrText>
            </w:r>
            <w:r>
              <w:rPr>
                <w:noProof/>
                <w:webHidden/>
              </w:rPr>
            </w:r>
            <w:r>
              <w:rPr>
                <w:noProof/>
                <w:webHidden/>
              </w:rPr>
              <w:fldChar w:fldCharType="separate"/>
            </w:r>
            <w:r>
              <w:rPr>
                <w:noProof/>
                <w:webHidden/>
              </w:rPr>
              <w:t>11</w:t>
            </w:r>
            <w:r>
              <w:rPr>
                <w:noProof/>
                <w:webHidden/>
              </w:rPr>
              <w:fldChar w:fldCharType="end"/>
            </w:r>
          </w:hyperlink>
        </w:p>
        <w:p w14:paraId="26DA8114" w14:textId="52B13FD8" w:rsidR="008F3E67" w:rsidRDefault="008F3E67">
          <w:pPr>
            <w:pStyle w:val="TOC2"/>
            <w:tabs>
              <w:tab w:val="right" w:leader="dot" w:pos="8630"/>
            </w:tabs>
            <w:rPr>
              <w:rFonts w:asciiTheme="minorHAnsi" w:hAnsiTheme="minorHAnsi"/>
              <w:noProof/>
              <w:kern w:val="2"/>
              <w:szCs w:val="24"/>
              <w:lang w:val="en-GB" w:eastAsia="en-GB"/>
              <w14:ligatures w14:val="standardContextual"/>
            </w:rPr>
          </w:pPr>
          <w:hyperlink w:anchor="_Toc215236111" w:history="1">
            <w:r w:rsidRPr="00FE0006">
              <w:rPr>
                <w:rStyle w:val="Hyperlink"/>
                <w:noProof/>
                <w:lang w:val="en-GB"/>
              </w:rPr>
              <w:t>3.1 PESTLE Analysis for BP in the Indian Market</w:t>
            </w:r>
            <w:r>
              <w:rPr>
                <w:noProof/>
                <w:webHidden/>
              </w:rPr>
              <w:tab/>
            </w:r>
            <w:r>
              <w:rPr>
                <w:noProof/>
                <w:webHidden/>
              </w:rPr>
              <w:fldChar w:fldCharType="begin"/>
            </w:r>
            <w:r>
              <w:rPr>
                <w:noProof/>
                <w:webHidden/>
              </w:rPr>
              <w:instrText xml:space="preserve"> PAGEREF _Toc215236111 \h </w:instrText>
            </w:r>
            <w:r>
              <w:rPr>
                <w:noProof/>
                <w:webHidden/>
              </w:rPr>
            </w:r>
            <w:r>
              <w:rPr>
                <w:noProof/>
                <w:webHidden/>
              </w:rPr>
              <w:fldChar w:fldCharType="separate"/>
            </w:r>
            <w:r>
              <w:rPr>
                <w:noProof/>
                <w:webHidden/>
              </w:rPr>
              <w:t>11</w:t>
            </w:r>
            <w:r>
              <w:rPr>
                <w:noProof/>
                <w:webHidden/>
              </w:rPr>
              <w:fldChar w:fldCharType="end"/>
            </w:r>
          </w:hyperlink>
        </w:p>
        <w:p w14:paraId="2796A506" w14:textId="7DB6B282" w:rsidR="008F3E67" w:rsidRDefault="008F3E67">
          <w:pPr>
            <w:pStyle w:val="TOC2"/>
            <w:tabs>
              <w:tab w:val="right" w:leader="dot" w:pos="8630"/>
            </w:tabs>
            <w:rPr>
              <w:rFonts w:asciiTheme="minorHAnsi" w:hAnsiTheme="minorHAnsi"/>
              <w:noProof/>
              <w:kern w:val="2"/>
              <w:szCs w:val="24"/>
              <w:lang w:val="en-GB" w:eastAsia="en-GB"/>
              <w14:ligatures w14:val="standardContextual"/>
            </w:rPr>
          </w:pPr>
          <w:hyperlink w:anchor="_Toc215236112" w:history="1">
            <w:r w:rsidRPr="00FE0006">
              <w:rPr>
                <w:rStyle w:val="Hyperlink"/>
                <w:noProof/>
                <w:lang w:val="en-GB"/>
              </w:rPr>
              <w:t>3.2 Porter’s Diamond Model – National Competitive Advantage of India</w:t>
            </w:r>
            <w:r>
              <w:rPr>
                <w:noProof/>
                <w:webHidden/>
              </w:rPr>
              <w:tab/>
            </w:r>
            <w:r>
              <w:rPr>
                <w:noProof/>
                <w:webHidden/>
              </w:rPr>
              <w:fldChar w:fldCharType="begin"/>
            </w:r>
            <w:r>
              <w:rPr>
                <w:noProof/>
                <w:webHidden/>
              </w:rPr>
              <w:instrText xml:space="preserve"> PAGEREF _Toc215236112 \h </w:instrText>
            </w:r>
            <w:r>
              <w:rPr>
                <w:noProof/>
                <w:webHidden/>
              </w:rPr>
            </w:r>
            <w:r>
              <w:rPr>
                <w:noProof/>
                <w:webHidden/>
              </w:rPr>
              <w:fldChar w:fldCharType="separate"/>
            </w:r>
            <w:r>
              <w:rPr>
                <w:noProof/>
                <w:webHidden/>
              </w:rPr>
              <w:t>12</w:t>
            </w:r>
            <w:r>
              <w:rPr>
                <w:noProof/>
                <w:webHidden/>
              </w:rPr>
              <w:fldChar w:fldCharType="end"/>
            </w:r>
          </w:hyperlink>
        </w:p>
        <w:p w14:paraId="594598F7" w14:textId="2E2FA5E1" w:rsidR="008F3E67" w:rsidRDefault="008F3E67">
          <w:pPr>
            <w:pStyle w:val="TOC2"/>
            <w:tabs>
              <w:tab w:val="right" w:leader="dot" w:pos="8630"/>
            </w:tabs>
            <w:rPr>
              <w:rFonts w:asciiTheme="minorHAnsi" w:hAnsiTheme="minorHAnsi"/>
              <w:noProof/>
              <w:kern w:val="2"/>
              <w:szCs w:val="24"/>
              <w:lang w:val="en-GB" w:eastAsia="en-GB"/>
              <w14:ligatures w14:val="standardContextual"/>
            </w:rPr>
          </w:pPr>
          <w:hyperlink w:anchor="_Toc215236113" w:history="1">
            <w:r w:rsidRPr="00FE0006">
              <w:rPr>
                <w:rStyle w:val="Hyperlink"/>
                <w:noProof/>
                <w:lang w:val="en-GB"/>
              </w:rPr>
              <w:t>3.3 Porter’s Five Forces Analysis – BP in the Indian Energy Market</w:t>
            </w:r>
            <w:r>
              <w:rPr>
                <w:noProof/>
                <w:webHidden/>
              </w:rPr>
              <w:tab/>
            </w:r>
            <w:r>
              <w:rPr>
                <w:noProof/>
                <w:webHidden/>
              </w:rPr>
              <w:fldChar w:fldCharType="begin"/>
            </w:r>
            <w:r>
              <w:rPr>
                <w:noProof/>
                <w:webHidden/>
              </w:rPr>
              <w:instrText xml:space="preserve"> PAGEREF _Toc215236113 \h </w:instrText>
            </w:r>
            <w:r>
              <w:rPr>
                <w:noProof/>
                <w:webHidden/>
              </w:rPr>
            </w:r>
            <w:r>
              <w:rPr>
                <w:noProof/>
                <w:webHidden/>
              </w:rPr>
              <w:fldChar w:fldCharType="separate"/>
            </w:r>
            <w:r>
              <w:rPr>
                <w:noProof/>
                <w:webHidden/>
              </w:rPr>
              <w:t>13</w:t>
            </w:r>
            <w:r>
              <w:rPr>
                <w:noProof/>
                <w:webHidden/>
              </w:rPr>
              <w:fldChar w:fldCharType="end"/>
            </w:r>
          </w:hyperlink>
        </w:p>
        <w:p w14:paraId="5E0A2800" w14:textId="6D2F7791" w:rsidR="008F3E67" w:rsidRDefault="008F3E67">
          <w:pPr>
            <w:pStyle w:val="TOC2"/>
            <w:tabs>
              <w:tab w:val="right" w:leader="dot" w:pos="8630"/>
            </w:tabs>
            <w:rPr>
              <w:rFonts w:asciiTheme="minorHAnsi" w:hAnsiTheme="minorHAnsi"/>
              <w:noProof/>
              <w:kern w:val="2"/>
              <w:szCs w:val="24"/>
              <w:lang w:val="en-GB" w:eastAsia="en-GB"/>
              <w14:ligatures w14:val="standardContextual"/>
            </w:rPr>
          </w:pPr>
          <w:hyperlink w:anchor="_Toc215236114" w:history="1">
            <w:r w:rsidRPr="00FE0006">
              <w:rPr>
                <w:rStyle w:val="Hyperlink"/>
                <w:noProof/>
                <w:lang w:val="en-GB"/>
              </w:rPr>
              <w:t>3.3.1: SWOT Analysis – Strategic Summary of BP’s Position in India</w:t>
            </w:r>
            <w:r>
              <w:rPr>
                <w:noProof/>
                <w:webHidden/>
              </w:rPr>
              <w:tab/>
            </w:r>
            <w:r>
              <w:rPr>
                <w:noProof/>
                <w:webHidden/>
              </w:rPr>
              <w:fldChar w:fldCharType="begin"/>
            </w:r>
            <w:r>
              <w:rPr>
                <w:noProof/>
                <w:webHidden/>
              </w:rPr>
              <w:instrText xml:space="preserve"> PAGEREF _Toc215236114 \h </w:instrText>
            </w:r>
            <w:r>
              <w:rPr>
                <w:noProof/>
                <w:webHidden/>
              </w:rPr>
            </w:r>
            <w:r>
              <w:rPr>
                <w:noProof/>
                <w:webHidden/>
              </w:rPr>
              <w:fldChar w:fldCharType="separate"/>
            </w:r>
            <w:r>
              <w:rPr>
                <w:noProof/>
                <w:webHidden/>
              </w:rPr>
              <w:t>16</w:t>
            </w:r>
            <w:r>
              <w:rPr>
                <w:noProof/>
                <w:webHidden/>
              </w:rPr>
              <w:fldChar w:fldCharType="end"/>
            </w:r>
          </w:hyperlink>
        </w:p>
        <w:p w14:paraId="46AD73E6" w14:textId="2CA44931" w:rsidR="008F3E67" w:rsidRDefault="008F3E67">
          <w:pPr>
            <w:pStyle w:val="TOC2"/>
            <w:tabs>
              <w:tab w:val="right" w:leader="dot" w:pos="8630"/>
            </w:tabs>
            <w:rPr>
              <w:rFonts w:asciiTheme="minorHAnsi" w:hAnsiTheme="minorHAnsi"/>
              <w:noProof/>
              <w:kern w:val="2"/>
              <w:szCs w:val="24"/>
              <w:lang w:val="en-GB" w:eastAsia="en-GB"/>
              <w14:ligatures w14:val="standardContextual"/>
            </w:rPr>
          </w:pPr>
          <w:hyperlink w:anchor="_Toc215236115" w:history="1">
            <w:r w:rsidRPr="00FE0006">
              <w:rPr>
                <w:rStyle w:val="Hyperlink"/>
                <w:noProof/>
                <w:lang w:val="en-GB"/>
              </w:rPr>
              <w:t xml:space="preserve">3.3.2 </w:t>
            </w:r>
            <w:r w:rsidRPr="00FE0006">
              <w:rPr>
                <w:rStyle w:val="Hyperlink"/>
                <w:noProof/>
              </w:rPr>
              <w:t>Stakeholder Analysis: Mendelow’s Matrix</w:t>
            </w:r>
            <w:r>
              <w:rPr>
                <w:noProof/>
                <w:webHidden/>
              </w:rPr>
              <w:tab/>
            </w:r>
            <w:r>
              <w:rPr>
                <w:noProof/>
                <w:webHidden/>
              </w:rPr>
              <w:fldChar w:fldCharType="begin"/>
            </w:r>
            <w:r>
              <w:rPr>
                <w:noProof/>
                <w:webHidden/>
              </w:rPr>
              <w:instrText xml:space="preserve"> PAGEREF _Toc215236115 \h </w:instrText>
            </w:r>
            <w:r>
              <w:rPr>
                <w:noProof/>
                <w:webHidden/>
              </w:rPr>
            </w:r>
            <w:r>
              <w:rPr>
                <w:noProof/>
                <w:webHidden/>
              </w:rPr>
              <w:fldChar w:fldCharType="separate"/>
            </w:r>
            <w:r>
              <w:rPr>
                <w:noProof/>
                <w:webHidden/>
              </w:rPr>
              <w:t>17</w:t>
            </w:r>
            <w:r>
              <w:rPr>
                <w:noProof/>
                <w:webHidden/>
              </w:rPr>
              <w:fldChar w:fldCharType="end"/>
            </w:r>
          </w:hyperlink>
        </w:p>
        <w:p w14:paraId="0744079D" w14:textId="3F305CEA" w:rsidR="008F3E67" w:rsidRDefault="008F3E67">
          <w:pPr>
            <w:pStyle w:val="TOC2"/>
            <w:tabs>
              <w:tab w:val="right" w:leader="dot" w:pos="8630"/>
            </w:tabs>
            <w:rPr>
              <w:rFonts w:asciiTheme="minorHAnsi" w:hAnsiTheme="minorHAnsi"/>
              <w:noProof/>
              <w:kern w:val="2"/>
              <w:szCs w:val="24"/>
              <w:lang w:val="en-GB" w:eastAsia="en-GB"/>
              <w14:ligatures w14:val="standardContextual"/>
            </w:rPr>
          </w:pPr>
          <w:hyperlink w:anchor="_Toc215236116" w:history="1">
            <w:r w:rsidRPr="00FE0006">
              <w:rPr>
                <w:rStyle w:val="Hyperlink"/>
                <w:noProof/>
              </w:rPr>
              <w:t>3.3.3 Strategic Options</w:t>
            </w:r>
            <w:r>
              <w:rPr>
                <w:noProof/>
                <w:webHidden/>
              </w:rPr>
              <w:tab/>
            </w:r>
            <w:r>
              <w:rPr>
                <w:noProof/>
                <w:webHidden/>
              </w:rPr>
              <w:fldChar w:fldCharType="begin"/>
            </w:r>
            <w:r>
              <w:rPr>
                <w:noProof/>
                <w:webHidden/>
              </w:rPr>
              <w:instrText xml:space="preserve"> PAGEREF _Toc215236116 \h </w:instrText>
            </w:r>
            <w:r>
              <w:rPr>
                <w:noProof/>
                <w:webHidden/>
              </w:rPr>
            </w:r>
            <w:r>
              <w:rPr>
                <w:noProof/>
                <w:webHidden/>
              </w:rPr>
              <w:fldChar w:fldCharType="separate"/>
            </w:r>
            <w:r>
              <w:rPr>
                <w:noProof/>
                <w:webHidden/>
              </w:rPr>
              <w:t>17</w:t>
            </w:r>
            <w:r>
              <w:rPr>
                <w:noProof/>
                <w:webHidden/>
              </w:rPr>
              <w:fldChar w:fldCharType="end"/>
            </w:r>
          </w:hyperlink>
        </w:p>
        <w:p w14:paraId="57E4C955" w14:textId="0BA046BE" w:rsidR="008F3E67" w:rsidRDefault="008F3E67">
          <w:pPr>
            <w:pStyle w:val="TOC2"/>
            <w:tabs>
              <w:tab w:val="right" w:leader="dot" w:pos="8630"/>
            </w:tabs>
            <w:rPr>
              <w:rFonts w:asciiTheme="minorHAnsi" w:hAnsiTheme="minorHAnsi"/>
              <w:noProof/>
              <w:kern w:val="2"/>
              <w:szCs w:val="24"/>
              <w:lang w:val="en-GB" w:eastAsia="en-GB"/>
              <w14:ligatures w14:val="standardContextual"/>
            </w:rPr>
          </w:pPr>
          <w:hyperlink w:anchor="_Toc215236117" w:history="1">
            <w:r w:rsidRPr="00FE0006">
              <w:rPr>
                <w:rStyle w:val="Hyperlink"/>
                <w:noProof/>
                <w:lang w:val="en-GB"/>
              </w:rPr>
              <w:t>3.3.4 VRIO Analysis – Internal Capabilities of BP</w:t>
            </w:r>
            <w:r>
              <w:rPr>
                <w:noProof/>
                <w:webHidden/>
              </w:rPr>
              <w:tab/>
            </w:r>
            <w:r>
              <w:rPr>
                <w:noProof/>
                <w:webHidden/>
              </w:rPr>
              <w:fldChar w:fldCharType="begin"/>
            </w:r>
            <w:r>
              <w:rPr>
                <w:noProof/>
                <w:webHidden/>
              </w:rPr>
              <w:instrText xml:space="preserve"> PAGEREF _Toc215236117 \h </w:instrText>
            </w:r>
            <w:r>
              <w:rPr>
                <w:noProof/>
                <w:webHidden/>
              </w:rPr>
            </w:r>
            <w:r>
              <w:rPr>
                <w:noProof/>
                <w:webHidden/>
              </w:rPr>
              <w:fldChar w:fldCharType="separate"/>
            </w:r>
            <w:r>
              <w:rPr>
                <w:noProof/>
                <w:webHidden/>
              </w:rPr>
              <w:t>18</w:t>
            </w:r>
            <w:r>
              <w:rPr>
                <w:noProof/>
                <w:webHidden/>
              </w:rPr>
              <w:fldChar w:fldCharType="end"/>
            </w:r>
          </w:hyperlink>
        </w:p>
        <w:p w14:paraId="7F0C9DAA" w14:textId="44E84940" w:rsidR="008F3E67" w:rsidRDefault="008F3E67">
          <w:pPr>
            <w:pStyle w:val="TOC2"/>
            <w:tabs>
              <w:tab w:val="right" w:leader="dot" w:pos="8630"/>
            </w:tabs>
            <w:rPr>
              <w:rFonts w:asciiTheme="minorHAnsi" w:hAnsiTheme="minorHAnsi"/>
              <w:noProof/>
              <w:kern w:val="2"/>
              <w:szCs w:val="24"/>
              <w:lang w:val="en-GB" w:eastAsia="en-GB"/>
              <w14:ligatures w14:val="standardContextual"/>
            </w:rPr>
          </w:pPr>
          <w:hyperlink w:anchor="_Toc215236118" w:history="1">
            <w:r w:rsidRPr="00FE0006">
              <w:rPr>
                <w:rStyle w:val="Hyperlink"/>
                <w:noProof/>
                <w:lang w:val="en-GB"/>
              </w:rPr>
              <w:t>3.4 Summary of Strategic Analysis</w:t>
            </w:r>
            <w:r>
              <w:rPr>
                <w:noProof/>
                <w:webHidden/>
              </w:rPr>
              <w:tab/>
            </w:r>
            <w:r>
              <w:rPr>
                <w:noProof/>
                <w:webHidden/>
              </w:rPr>
              <w:fldChar w:fldCharType="begin"/>
            </w:r>
            <w:r>
              <w:rPr>
                <w:noProof/>
                <w:webHidden/>
              </w:rPr>
              <w:instrText xml:space="preserve"> PAGEREF _Toc215236118 \h </w:instrText>
            </w:r>
            <w:r>
              <w:rPr>
                <w:noProof/>
                <w:webHidden/>
              </w:rPr>
            </w:r>
            <w:r>
              <w:rPr>
                <w:noProof/>
                <w:webHidden/>
              </w:rPr>
              <w:fldChar w:fldCharType="separate"/>
            </w:r>
            <w:r>
              <w:rPr>
                <w:noProof/>
                <w:webHidden/>
              </w:rPr>
              <w:t>19</w:t>
            </w:r>
            <w:r>
              <w:rPr>
                <w:noProof/>
                <w:webHidden/>
              </w:rPr>
              <w:fldChar w:fldCharType="end"/>
            </w:r>
          </w:hyperlink>
        </w:p>
        <w:p w14:paraId="22097028" w14:textId="53D3DE17" w:rsidR="008F3E67" w:rsidRDefault="008F3E67">
          <w:pPr>
            <w:pStyle w:val="TOC1"/>
            <w:tabs>
              <w:tab w:val="right" w:leader="dot" w:pos="8630"/>
            </w:tabs>
            <w:rPr>
              <w:rFonts w:asciiTheme="minorHAnsi" w:hAnsiTheme="minorHAnsi"/>
              <w:noProof/>
              <w:kern w:val="2"/>
              <w:szCs w:val="24"/>
              <w:lang w:val="en-GB" w:eastAsia="en-GB"/>
              <w14:ligatures w14:val="standardContextual"/>
            </w:rPr>
          </w:pPr>
          <w:hyperlink w:anchor="_Toc215236119" w:history="1">
            <w:r w:rsidRPr="00FE0006">
              <w:rPr>
                <w:rStyle w:val="Hyperlink"/>
                <w:noProof/>
                <w:lang w:val="en-GB"/>
              </w:rPr>
              <w:t>4. Strategic Options and Recommendations</w:t>
            </w:r>
            <w:r>
              <w:rPr>
                <w:noProof/>
                <w:webHidden/>
              </w:rPr>
              <w:tab/>
            </w:r>
            <w:r>
              <w:rPr>
                <w:noProof/>
                <w:webHidden/>
              </w:rPr>
              <w:fldChar w:fldCharType="begin"/>
            </w:r>
            <w:r>
              <w:rPr>
                <w:noProof/>
                <w:webHidden/>
              </w:rPr>
              <w:instrText xml:space="preserve"> PAGEREF _Toc215236119 \h </w:instrText>
            </w:r>
            <w:r>
              <w:rPr>
                <w:noProof/>
                <w:webHidden/>
              </w:rPr>
            </w:r>
            <w:r>
              <w:rPr>
                <w:noProof/>
                <w:webHidden/>
              </w:rPr>
              <w:fldChar w:fldCharType="separate"/>
            </w:r>
            <w:r>
              <w:rPr>
                <w:noProof/>
                <w:webHidden/>
              </w:rPr>
              <w:t>21</w:t>
            </w:r>
            <w:r>
              <w:rPr>
                <w:noProof/>
                <w:webHidden/>
              </w:rPr>
              <w:fldChar w:fldCharType="end"/>
            </w:r>
          </w:hyperlink>
        </w:p>
        <w:p w14:paraId="5F206980" w14:textId="3B3F060D" w:rsidR="008F3E67" w:rsidRDefault="008F3E67">
          <w:pPr>
            <w:pStyle w:val="TOC2"/>
            <w:tabs>
              <w:tab w:val="right" w:leader="dot" w:pos="8630"/>
            </w:tabs>
            <w:rPr>
              <w:rFonts w:asciiTheme="minorHAnsi" w:hAnsiTheme="minorHAnsi"/>
              <w:noProof/>
              <w:kern w:val="2"/>
              <w:szCs w:val="24"/>
              <w:lang w:val="en-GB" w:eastAsia="en-GB"/>
              <w14:ligatures w14:val="standardContextual"/>
            </w:rPr>
          </w:pPr>
          <w:hyperlink w:anchor="_Toc215236120" w:history="1">
            <w:r w:rsidRPr="00FE0006">
              <w:rPr>
                <w:rStyle w:val="Hyperlink"/>
                <w:noProof/>
                <w:lang w:val="en-GB"/>
              </w:rPr>
              <w:t>4.1 Performance Evaluation Framework: Balanced Scorecard for Strategic Execution</w:t>
            </w:r>
            <w:r>
              <w:rPr>
                <w:noProof/>
                <w:webHidden/>
              </w:rPr>
              <w:tab/>
            </w:r>
            <w:r>
              <w:rPr>
                <w:noProof/>
                <w:webHidden/>
              </w:rPr>
              <w:fldChar w:fldCharType="begin"/>
            </w:r>
            <w:r>
              <w:rPr>
                <w:noProof/>
                <w:webHidden/>
              </w:rPr>
              <w:instrText xml:space="preserve"> PAGEREF _Toc215236120 \h </w:instrText>
            </w:r>
            <w:r>
              <w:rPr>
                <w:noProof/>
                <w:webHidden/>
              </w:rPr>
            </w:r>
            <w:r>
              <w:rPr>
                <w:noProof/>
                <w:webHidden/>
              </w:rPr>
              <w:fldChar w:fldCharType="separate"/>
            </w:r>
            <w:r>
              <w:rPr>
                <w:noProof/>
                <w:webHidden/>
              </w:rPr>
              <w:t>23</w:t>
            </w:r>
            <w:r>
              <w:rPr>
                <w:noProof/>
                <w:webHidden/>
              </w:rPr>
              <w:fldChar w:fldCharType="end"/>
            </w:r>
          </w:hyperlink>
        </w:p>
        <w:p w14:paraId="797C2B76" w14:textId="25220C9B" w:rsidR="008F3E67" w:rsidRDefault="008F3E67">
          <w:pPr>
            <w:pStyle w:val="TOC2"/>
            <w:tabs>
              <w:tab w:val="right" w:leader="dot" w:pos="8630"/>
            </w:tabs>
            <w:rPr>
              <w:rFonts w:asciiTheme="minorHAnsi" w:hAnsiTheme="minorHAnsi"/>
              <w:noProof/>
              <w:kern w:val="2"/>
              <w:szCs w:val="24"/>
              <w:lang w:val="en-GB" w:eastAsia="en-GB"/>
              <w14:ligatures w14:val="standardContextual"/>
            </w:rPr>
          </w:pPr>
          <w:hyperlink w:anchor="_Toc215236121" w:history="1">
            <w:r w:rsidRPr="00FE0006">
              <w:rPr>
                <w:rStyle w:val="Hyperlink"/>
                <w:noProof/>
              </w:rPr>
              <w:t>4.2 Portfolio Evaluation Using the BCG Matrix</w:t>
            </w:r>
            <w:r>
              <w:rPr>
                <w:noProof/>
                <w:webHidden/>
              </w:rPr>
              <w:tab/>
            </w:r>
            <w:r>
              <w:rPr>
                <w:noProof/>
                <w:webHidden/>
              </w:rPr>
              <w:fldChar w:fldCharType="begin"/>
            </w:r>
            <w:r>
              <w:rPr>
                <w:noProof/>
                <w:webHidden/>
              </w:rPr>
              <w:instrText xml:space="preserve"> PAGEREF _Toc215236121 \h </w:instrText>
            </w:r>
            <w:r>
              <w:rPr>
                <w:noProof/>
                <w:webHidden/>
              </w:rPr>
            </w:r>
            <w:r>
              <w:rPr>
                <w:noProof/>
                <w:webHidden/>
              </w:rPr>
              <w:fldChar w:fldCharType="separate"/>
            </w:r>
            <w:r>
              <w:rPr>
                <w:noProof/>
                <w:webHidden/>
              </w:rPr>
              <w:t>25</w:t>
            </w:r>
            <w:r>
              <w:rPr>
                <w:noProof/>
                <w:webHidden/>
              </w:rPr>
              <w:fldChar w:fldCharType="end"/>
            </w:r>
          </w:hyperlink>
        </w:p>
        <w:p w14:paraId="2B9C5783" w14:textId="0D02DE6B" w:rsidR="008F3E67" w:rsidRDefault="008F3E67">
          <w:pPr>
            <w:pStyle w:val="TOC2"/>
            <w:tabs>
              <w:tab w:val="right" w:leader="dot" w:pos="8630"/>
            </w:tabs>
            <w:rPr>
              <w:rFonts w:asciiTheme="minorHAnsi" w:hAnsiTheme="minorHAnsi"/>
              <w:noProof/>
              <w:kern w:val="2"/>
              <w:szCs w:val="24"/>
              <w:lang w:val="en-GB" w:eastAsia="en-GB"/>
              <w14:ligatures w14:val="standardContextual"/>
            </w:rPr>
          </w:pPr>
          <w:hyperlink w:anchor="_Toc215236122" w:history="1">
            <w:r w:rsidRPr="00FE0006">
              <w:rPr>
                <w:rStyle w:val="Hyperlink"/>
                <w:noProof/>
              </w:rPr>
              <w:t>4.3 Implementation Roadmap and Change Management</w:t>
            </w:r>
            <w:r>
              <w:rPr>
                <w:noProof/>
                <w:webHidden/>
              </w:rPr>
              <w:tab/>
            </w:r>
            <w:r>
              <w:rPr>
                <w:noProof/>
                <w:webHidden/>
              </w:rPr>
              <w:fldChar w:fldCharType="begin"/>
            </w:r>
            <w:r>
              <w:rPr>
                <w:noProof/>
                <w:webHidden/>
              </w:rPr>
              <w:instrText xml:space="preserve"> PAGEREF _Toc215236122 \h </w:instrText>
            </w:r>
            <w:r>
              <w:rPr>
                <w:noProof/>
                <w:webHidden/>
              </w:rPr>
            </w:r>
            <w:r>
              <w:rPr>
                <w:noProof/>
                <w:webHidden/>
              </w:rPr>
              <w:fldChar w:fldCharType="separate"/>
            </w:r>
            <w:r>
              <w:rPr>
                <w:noProof/>
                <w:webHidden/>
              </w:rPr>
              <w:t>26</w:t>
            </w:r>
            <w:r>
              <w:rPr>
                <w:noProof/>
                <w:webHidden/>
              </w:rPr>
              <w:fldChar w:fldCharType="end"/>
            </w:r>
          </w:hyperlink>
        </w:p>
        <w:p w14:paraId="27D609FE" w14:textId="2D991906" w:rsidR="008F3E67" w:rsidRDefault="008F3E67">
          <w:pPr>
            <w:pStyle w:val="TOC1"/>
            <w:tabs>
              <w:tab w:val="right" w:leader="dot" w:pos="8630"/>
            </w:tabs>
            <w:rPr>
              <w:rFonts w:asciiTheme="minorHAnsi" w:hAnsiTheme="minorHAnsi"/>
              <w:noProof/>
              <w:kern w:val="2"/>
              <w:szCs w:val="24"/>
              <w:lang w:val="en-GB" w:eastAsia="en-GB"/>
              <w14:ligatures w14:val="standardContextual"/>
            </w:rPr>
          </w:pPr>
          <w:hyperlink w:anchor="_Toc215236123" w:history="1">
            <w:r w:rsidRPr="00FE0006">
              <w:rPr>
                <w:rStyle w:val="Hyperlink"/>
                <w:noProof/>
                <w:lang w:val="en-GB"/>
              </w:rPr>
              <w:t>5. Conclusion and Strategic Outlook</w:t>
            </w:r>
            <w:r>
              <w:rPr>
                <w:noProof/>
                <w:webHidden/>
              </w:rPr>
              <w:tab/>
            </w:r>
            <w:r>
              <w:rPr>
                <w:noProof/>
                <w:webHidden/>
              </w:rPr>
              <w:fldChar w:fldCharType="begin"/>
            </w:r>
            <w:r>
              <w:rPr>
                <w:noProof/>
                <w:webHidden/>
              </w:rPr>
              <w:instrText xml:space="preserve"> PAGEREF _Toc215236123 \h </w:instrText>
            </w:r>
            <w:r>
              <w:rPr>
                <w:noProof/>
                <w:webHidden/>
              </w:rPr>
            </w:r>
            <w:r>
              <w:rPr>
                <w:noProof/>
                <w:webHidden/>
              </w:rPr>
              <w:fldChar w:fldCharType="separate"/>
            </w:r>
            <w:r>
              <w:rPr>
                <w:noProof/>
                <w:webHidden/>
              </w:rPr>
              <w:t>29</w:t>
            </w:r>
            <w:r>
              <w:rPr>
                <w:noProof/>
                <w:webHidden/>
              </w:rPr>
              <w:fldChar w:fldCharType="end"/>
            </w:r>
          </w:hyperlink>
        </w:p>
        <w:p w14:paraId="594A211A" w14:textId="75D6EB3E" w:rsidR="008F3E67" w:rsidRDefault="008F3E67">
          <w:pPr>
            <w:pStyle w:val="TOC1"/>
            <w:tabs>
              <w:tab w:val="right" w:leader="dot" w:pos="8630"/>
            </w:tabs>
            <w:rPr>
              <w:rFonts w:asciiTheme="minorHAnsi" w:hAnsiTheme="minorHAnsi"/>
              <w:noProof/>
              <w:kern w:val="2"/>
              <w:szCs w:val="24"/>
              <w:lang w:val="en-GB" w:eastAsia="en-GB"/>
              <w14:ligatures w14:val="standardContextual"/>
            </w:rPr>
          </w:pPr>
          <w:hyperlink w:anchor="_Toc215236124" w:history="1">
            <w:r w:rsidRPr="00FE0006">
              <w:rPr>
                <w:rStyle w:val="Hyperlink"/>
                <w:noProof/>
                <w:lang w:val="en-GB"/>
              </w:rPr>
              <w:t>6. Reference</w:t>
            </w:r>
            <w:r>
              <w:rPr>
                <w:noProof/>
                <w:webHidden/>
              </w:rPr>
              <w:tab/>
            </w:r>
            <w:r>
              <w:rPr>
                <w:noProof/>
                <w:webHidden/>
              </w:rPr>
              <w:fldChar w:fldCharType="begin"/>
            </w:r>
            <w:r>
              <w:rPr>
                <w:noProof/>
                <w:webHidden/>
              </w:rPr>
              <w:instrText xml:space="preserve"> PAGEREF _Toc215236124 \h </w:instrText>
            </w:r>
            <w:r>
              <w:rPr>
                <w:noProof/>
                <w:webHidden/>
              </w:rPr>
            </w:r>
            <w:r>
              <w:rPr>
                <w:noProof/>
                <w:webHidden/>
              </w:rPr>
              <w:fldChar w:fldCharType="separate"/>
            </w:r>
            <w:r>
              <w:rPr>
                <w:noProof/>
                <w:webHidden/>
              </w:rPr>
              <w:t>31</w:t>
            </w:r>
            <w:r>
              <w:rPr>
                <w:noProof/>
                <w:webHidden/>
              </w:rPr>
              <w:fldChar w:fldCharType="end"/>
            </w:r>
          </w:hyperlink>
        </w:p>
        <w:p w14:paraId="5C8C760B" w14:textId="0BE4B565" w:rsidR="00646E75" w:rsidRDefault="00646E75">
          <w:r>
            <w:rPr>
              <w:b/>
              <w:bCs/>
              <w:noProof/>
            </w:rPr>
            <w:fldChar w:fldCharType="end"/>
          </w:r>
        </w:p>
      </w:sdtContent>
    </w:sdt>
    <w:p w14:paraId="6FD22AF2" w14:textId="77777777" w:rsidR="009A6E23" w:rsidRDefault="009A6E23" w:rsidP="00646E75">
      <w:pPr>
        <w:rPr>
          <w:lang w:val="en-GB"/>
        </w:rPr>
      </w:pPr>
    </w:p>
    <w:p w14:paraId="126B143E" w14:textId="4D163C54" w:rsidR="00E3593C" w:rsidRDefault="00E3593C">
      <w:pPr>
        <w:rPr>
          <w:lang w:val="en-GB"/>
        </w:rPr>
      </w:pPr>
      <w:r>
        <w:rPr>
          <w:lang w:val="en-GB"/>
        </w:rPr>
        <w:br w:type="page"/>
      </w:r>
    </w:p>
    <w:p w14:paraId="73E2274F" w14:textId="77777777" w:rsidR="007A70D9" w:rsidRDefault="007A70D9" w:rsidP="001B1E1C">
      <w:pPr>
        <w:pStyle w:val="Heading1"/>
        <w:rPr>
          <w:lang w:val="en-GB"/>
        </w:rPr>
      </w:pPr>
      <w:bookmarkStart w:id="0" w:name="_Toc215236101"/>
      <w:r w:rsidRPr="007A70D9">
        <w:rPr>
          <w:lang w:val="en-GB"/>
        </w:rPr>
        <w:lastRenderedPageBreak/>
        <w:t>List of Figures</w:t>
      </w:r>
      <w:bookmarkEnd w:id="0"/>
    </w:p>
    <w:p w14:paraId="36472707" w14:textId="77777777" w:rsidR="006920BE" w:rsidRPr="006920BE" w:rsidRDefault="006920BE" w:rsidP="006920BE">
      <w:pPr>
        <w:rPr>
          <w:lang w:val="en-GB"/>
        </w:rPr>
      </w:pPr>
    </w:p>
    <w:p w14:paraId="460AF2C4" w14:textId="77777777" w:rsidR="007A70D9" w:rsidRPr="007A70D9" w:rsidRDefault="007A70D9" w:rsidP="001B1E1C">
      <w:pPr>
        <w:rPr>
          <w:lang w:val="en-GB"/>
        </w:rPr>
      </w:pPr>
      <w:r w:rsidRPr="007A70D9">
        <w:rPr>
          <w:lang w:val="en-GB"/>
        </w:rPr>
        <w:t>Figure 1. BP’s Global Strategic Evolution, 1909–2025 (adapted from BP Annual Reports, 2024).</w:t>
      </w:r>
    </w:p>
    <w:p w14:paraId="2D1026CA" w14:textId="77777777" w:rsidR="007A70D9" w:rsidRPr="007A70D9" w:rsidRDefault="007A70D9" w:rsidP="001B1E1C">
      <w:pPr>
        <w:rPr>
          <w:lang w:val="en-GB"/>
        </w:rPr>
      </w:pPr>
      <w:r w:rsidRPr="007A70D9">
        <w:rPr>
          <w:lang w:val="en-GB"/>
        </w:rPr>
        <w:t>Figure 2. Comparative Strategic Positioning of Top 5 Energy Companies in India (2024).</w:t>
      </w:r>
    </w:p>
    <w:p w14:paraId="7C08390B" w14:textId="77777777" w:rsidR="005F7B7F" w:rsidRDefault="007A70D9" w:rsidP="001B1E1C">
      <w:pPr>
        <w:rPr>
          <w:lang w:val="en-GB"/>
        </w:rPr>
      </w:pPr>
      <w:r w:rsidRPr="007A70D9">
        <w:rPr>
          <w:lang w:val="en-GB"/>
        </w:rPr>
        <w:t xml:space="preserve">Figure 3. Relative Intensity of Competitive Forces in the Indian Energy Market </w:t>
      </w:r>
    </w:p>
    <w:p w14:paraId="5FACE833" w14:textId="7BA174BC" w:rsidR="007A70D9" w:rsidRDefault="007A70D9" w:rsidP="001B1E1C">
      <w:pPr>
        <w:rPr>
          <w:lang w:val="en-GB"/>
        </w:rPr>
      </w:pPr>
      <w:r w:rsidRPr="007A70D9">
        <w:rPr>
          <w:lang w:val="en-GB"/>
        </w:rPr>
        <w:t>(2025).</w:t>
      </w:r>
    </w:p>
    <w:p w14:paraId="58AC7936" w14:textId="66C283DC" w:rsidR="00685E30" w:rsidRDefault="00685E30" w:rsidP="00685E30">
      <w:r w:rsidRPr="00DD3CAE">
        <w:rPr>
          <w:lang w:val="en-GB"/>
        </w:rPr>
        <w:t>Figure 4</w:t>
      </w:r>
      <w:r>
        <w:rPr>
          <w:lang w:val="en-GB"/>
        </w:rPr>
        <w:t xml:space="preserve">. </w:t>
      </w:r>
      <w:r>
        <w:t>S</w:t>
      </w:r>
      <w:r w:rsidRPr="00681E76">
        <w:t>trategic Performance Dimensions of BP’s Expansion Plan in India</w:t>
      </w:r>
    </w:p>
    <w:p w14:paraId="1E9BC39F" w14:textId="77777777" w:rsidR="00685E30" w:rsidRPr="007A70D9" w:rsidRDefault="00685E30" w:rsidP="001B1E1C">
      <w:pPr>
        <w:rPr>
          <w:lang w:val="en-GB"/>
        </w:rPr>
      </w:pPr>
    </w:p>
    <w:p w14:paraId="0754DE0C" w14:textId="77777777" w:rsidR="007A70D9" w:rsidRDefault="0067331F" w:rsidP="001B1E1C">
      <w:pPr>
        <w:rPr>
          <w:lang w:val="en-GB"/>
        </w:rPr>
      </w:pPr>
      <w:r>
        <w:rPr>
          <w:lang w:val="en-GB"/>
        </w:rPr>
        <w:pict w14:anchorId="342112FC">
          <v:rect id="_x0000_i1025" style="width:0;height:1.5pt" o:hralign="center" o:hrstd="t" o:hr="t" fillcolor="#a0a0a0" stroked="f"/>
        </w:pict>
      </w:r>
    </w:p>
    <w:p w14:paraId="20A2C15A" w14:textId="77777777" w:rsidR="00EE2416" w:rsidRDefault="00EE2416" w:rsidP="001B1E1C">
      <w:pPr>
        <w:rPr>
          <w:lang w:val="en-GB"/>
        </w:rPr>
      </w:pPr>
    </w:p>
    <w:p w14:paraId="1FCD9DC6" w14:textId="77777777" w:rsidR="00EE2416" w:rsidRDefault="00EE2416" w:rsidP="001B1E1C">
      <w:pPr>
        <w:rPr>
          <w:lang w:val="en-GB"/>
        </w:rPr>
      </w:pPr>
    </w:p>
    <w:p w14:paraId="2CC1B635" w14:textId="77777777" w:rsidR="00EE2416" w:rsidRDefault="00EE2416" w:rsidP="001B1E1C">
      <w:pPr>
        <w:rPr>
          <w:lang w:val="en-GB"/>
        </w:rPr>
      </w:pPr>
    </w:p>
    <w:p w14:paraId="781AEC20" w14:textId="77777777" w:rsidR="00EE2416" w:rsidRPr="007A70D9" w:rsidRDefault="00EE2416" w:rsidP="001B1E1C">
      <w:pPr>
        <w:rPr>
          <w:lang w:val="en-GB"/>
        </w:rPr>
      </w:pPr>
    </w:p>
    <w:p w14:paraId="5DD72CF4" w14:textId="77777777" w:rsidR="007A70D9" w:rsidRDefault="007A70D9" w:rsidP="001B1E1C">
      <w:pPr>
        <w:pStyle w:val="Heading1"/>
        <w:rPr>
          <w:lang w:val="en-GB"/>
        </w:rPr>
      </w:pPr>
      <w:bookmarkStart w:id="1" w:name="_Toc215236102"/>
      <w:r w:rsidRPr="007A70D9">
        <w:rPr>
          <w:lang w:val="en-GB"/>
        </w:rPr>
        <w:t>List of Tables</w:t>
      </w:r>
      <w:bookmarkEnd w:id="1"/>
    </w:p>
    <w:p w14:paraId="39C19EA4" w14:textId="77777777" w:rsidR="006920BE" w:rsidRPr="006920BE" w:rsidRDefault="006920BE" w:rsidP="006920BE">
      <w:pPr>
        <w:rPr>
          <w:lang w:val="en-GB"/>
        </w:rPr>
      </w:pPr>
    </w:p>
    <w:p w14:paraId="22E46821" w14:textId="77777777" w:rsidR="007A70D9" w:rsidRDefault="007A70D9" w:rsidP="001B1E1C">
      <w:pPr>
        <w:rPr>
          <w:lang w:val="en-GB"/>
        </w:rPr>
      </w:pPr>
      <w:r w:rsidRPr="007A70D9">
        <w:rPr>
          <w:lang w:val="en-GB"/>
        </w:rPr>
        <w:t>Table 1. Summary of Porter’s Five Forces – Indian Energy Sector (2025).</w:t>
      </w:r>
    </w:p>
    <w:p w14:paraId="11466021" w14:textId="77777777" w:rsidR="00514DB0" w:rsidRDefault="00514DB0" w:rsidP="00514DB0">
      <w:pPr>
        <w:rPr>
          <w:lang w:val="en-GB"/>
        </w:rPr>
      </w:pPr>
      <w:r w:rsidRPr="005626CC">
        <w:rPr>
          <w:lang w:val="en-GB"/>
        </w:rPr>
        <w:t xml:space="preserve">Table </w:t>
      </w:r>
      <w:r>
        <w:rPr>
          <w:lang w:val="en-GB"/>
        </w:rPr>
        <w:t>2</w:t>
      </w:r>
      <w:r w:rsidRPr="005626CC">
        <w:rPr>
          <w:lang w:val="en-GB"/>
        </w:rPr>
        <w:t>: SWOT Analysis of BP in the Indian Energy Market (2025)</w:t>
      </w:r>
    </w:p>
    <w:p w14:paraId="2F7B8B83" w14:textId="1E3101B4" w:rsidR="007A70D9" w:rsidRPr="007A70D9" w:rsidRDefault="007A70D9" w:rsidP="001B1E1C">
      <w:pPr>
        <w:rPr>
          <w:lang w:val="en-GB"/>
        </w:rPr>
      </w:pPr>
      <w:r w:rsidRPr="007A70D9">
        <w:rPr>
          <w:lang w:val="en-GB"/>
        </w:rPr>
        <w:t xml:space="preserve">Table </w:t>
      </w:r>
      <w:r w:rsidR="00514DB0">
        <w:rPr>
          <w:lang w:val="en-GB"/>
        </w:rPr>
        <w:t>3</w:t>
      </w:r>
      <w:r w:rsidRPr="007A70D9">
        <w:rPr>
          <w:lang w:val="en-GB"/>
        </w:rPr>
        <w:t>. VRIO Analysis of BP’s Key Strategic Resources (2025).</w:t>
      </w:r>
    </w:p>
    <w:p w14:paraId="31A3EC0B" w14:textId="00F9B16C" w:rsidR="007A70D9" w:rsidRPr="007A70D9" w:rsidRDefault="007A70D9" w:rsidP="001B1E1C">
      <w:pPr>
        <w:rPr>
          <w:lang w:val="en-GB"/>
        </w:rPr>
      </w:pPr>
      <w:r w:rsidRPr="007A70D9">
        <w:rPr>
          <w:lang w:val="en-GB"/>
        </w:rPr>
        <w:t xml:space="preserve">Table </w:t>
      </w:r>
      <w:r w:rsidR="00514DB0">
        <w:rPr>
          <w:lang w:val="en-GB"/>
        </w:rPr>
        <w:t>4</w:t>
      </w:r>
      <w:r w:rsidRPr="007A70D9">
        <w:rPr>
          <w:lang w:val="en-GB"/>
        </w:rPr>
        <w:t>. Integrated Summary of BP’s Strategic Position in India (2025).</w:t>
      </w:r>
    </w:p>
    <w:p w14:paraId="78A33876" w14:textId="69F95EA2" w:rsidR="007A70D9" w:rsidRDefault="007A70D9" w:rsidP="001B1E1C">
      <w:pPr>
        <w:rPr>
          <w:lang w:val="en-GB"/>
        </w:rPr>
      </w:pPr>
      <w:r w:rsidRPr="007A70D9">
        <w:rPr>
          <w:lang w:val="en-GB"/>
        </w:rPr>
        <w:t xml:space="preserve">Table </w:t>
      </w:r>
      <w:r w:rsidR="00514DB0">
        <w:rPr>
          <w:lang w:val="en-GB"/>
        </w:rPr>
        <w:t>5</w:t>
      </w:r>
      <w:r w:rsidRPr="007A70D9">
        <w:rPr>
          <w:lang w:val="en-GB"/>
        </w:rPr>
        <w:t>. Evaluation of Strategic Options Using SAF Framework.</w:t>
      </w:r>
    </w:p>
    <w:p w14:paraId="046CE6C0" w14:textId="77777777" w:rsidR="00E2157F" w:rsidRDefault="00E2157F" w:rsidP="00E2157F">
      <w:pPr>
        <w:rPr>
          <w:lang w:val="en-GB"/>
        </w:rPr>
      </w:pPr>
      <w:r w:rsidRPr="00B6777A">
        <w:t xml:space="preserve">Table </w:t>
      </w:r>
      <w:r>
        <w:t>6</w:t>
      </w:r>
      <w:r w:rsidRPr="00B6777A">
        <w:t>: Balanced Scorecard – Strategic KPIs for BP’s India Expansion</w:t>
      </w:r>
    </w:p>
    <w:p w14:paraId="5F87200F" w14:textId="62FE9FA4" w:rsidR="002955AE" w:rsidRDefault="002955AE" w:rsidP="002955AE">
      <w:r>
        <w:t>Table 7: BP’s strategic positioning across four quadrants</w:t>
      </w:r>
    </w:p>
    <w:p w14:paraId="60DD1755" w14:textId="77777777" w:rsidR="00E2157F" w:rsidRDefault="00E2157F" w:rsidP="00E2157F">
      <w:pPr>
        <w:rPr>
          <w:lang w:val="en-GB"/>
        </w:rPr>
      </w:pPr>
    </w:p>
    <w:p w14:paraId="550D907D" w14:textId="77777777" w:rsidR="00E2157F" w:rsidRDefault="00E2157F" w:rsidP="001B1E1C">
      <w:pPr>
        <w:rPr>
          <w:lang w:val="en-GB"/>
        </w:rPr>
      </w:pPr>
    </w:p>
    <w:p w14:paraId="5879C8AF" w14:textId="77777777" w:rsidR="00EE2416" w:rsidRDefault="00EE2416" w:rsidP="001B1E1C">
      <w:pPr>
        <w:rPr>
          <w:lang w:val="en-GB"/>
        </w:rPr>
      </w:pPr>
    </w:p>
    <w:p w14:paraId="5F43CDB6" w14:textId="77777777" w:rsidR="00EE2416" w:rsidRDefault="00EE2416" w:rsidP="001B1E1C">
      <w:pPr>
        <w:rPr>
          <w:lang w:val="en-GB"/>
        </w:rPr>
      </w:pPr>
    </w:p>
    <w:p w14:paraId="3BD9B655" w14:textId="77777777" w:rsidR="00EE2416" w:rsidRDefault="00EE2416" w:rsidP="001B1E1C">
      <w:pPr>
        <w:rPr>
          <w:lang w:val="en-GB"/>
        </w:rPr>
      </w:pPr>
    </w:p>
    <w:p w14:paraId="1DE07CAE" w14:textId="77777777" w:rsidR="005E0092" w:rsidRPr="005E0092" w:rsidRDefault="005E0092" w:rsidP="005E0092">
      <w:pPr>
        <w:pStyle w:val="Heading1"/>
        <w:rPr>
          <w:lang w:val="en-GB"/>
        </w:rPr>
      </w:pPr>
      <w:bookmarkStart w:id="2" w:name="_Toc215236103"/>
      <w:r w:rsidRPr="005E0092">
        <w:rPr>
          <w:lang w:val="en-GB"/>
        </w:rPr>
        <w:lastRenderedPageBreak/>
        <w:t>Executive Summary</w:t>
      </w:r>
      <w:bookmarkEnd w:id="2"/>
    </w:p>
    <w:p w14:paraId="481BF3E1" w14:textId="77777777" w:rsidR="005E0092" w:rsidRPr="005E0092" w:rsidRDefault="005E0092" w:rsidP="005E0092">
      <w:pPr>
        <w:rPr>
          <w:lang w:val="en-GB"/>
        </w:rPr>
      </w:pPr>
    </w:p>
    <w:p w14:paraId="7367E251" w14:textId="77777777" w:rsidR="005E0092" w:rsidRPr="005E0092" w:rsidRDefault="005E0092" w:rsidP="005E0092">
      <w:pPr>
        <w:rPr>
          <w:lang w:val="en-GB"/>
        </w:rPr>
      </w:pPr>
      <w:r w:rsidRPr="005E0092">
        <w:rPr>
          <w:lang w:val="en-GB"/>
        </w:rPr>
        <w:t>This report presents a strategic evaluation of BP’s expansion into the Indian energy market, with a focus on electric mobility and renewable energy deployment. The study examines BP’s existing global capabilities and explores how these can be leveraged through the Jio-bp joint venture to meet the growing demand for sustainable energy solutions in India.</w:t>
      </w:r>
    </w:p>
    <w:p w14:paraId="7362269F" w14:textId="77777777" w:rsidR="005E0092" w:rsidRPr="005E0092" w:rsidRDefault="005E0092" w:rsidP="005E0092">
      <w:pPr>
        <w:rPr>
          <w:lang w:val="en-GB"/>
        </w:rPr>
      </w:pPr>
    </w:p>
    <w:p w14:paraId="1770A2DE" w14:textId="77777777" w:rsidR="005E0092" w:rsidRPr="005E0092" w:rsidRDefault="005E0092" w:rsidP="005E0092">
      <w:pPr>
        <w:rPr>
          <w:lang w:val="en-GB"/>
        </w:rPr>
      </w:pPr>
      <w:r w:rsidRPr="005E0092">
        <w:rPr>
          <w:lang w:val="en-GB"/>
        </w:rPr>
        <w:t>A comprehensive strategic analysis was conducted using multiple frameworks, including PESTLE, Porter’s Five Forces, VRIO, SWOT, and the SAF model, to assess external conditions, internal resources, competitive positioning, and strategic fit. The analysis identified favourable macroeconomic conditions, strong policy support, and digital infrastructure readiness as key enablers of market entry.</w:t>
      </w:r>
    </w:p>
    <w:p w14:paraId="5724D0ED" w14:textId="77777777" w:rsidR="005E0092" w:rsidRPr="005E0092" w:rsidRDefault="005E0092" w:rsidP="005E0092">
      <w:pPr>
        <w:rPr>
          <w:lang w:val="en-GB"/>
        </w:rPr>
      </w:pPr>
    </w:p>
    <w:p w14:paraId="3A6FE95E" w14:textId="77777777" w:rsidR="005E0092" w:rsidRPr="005E0092" w:rsidRDefault="005E0092" w:rsidP="005E0092">
      <w:pPr>
        <w:rPr>
          <w:lang w:val="en-GB"/>
        </w:rPr>
      </w:pPr>
      <w:r w:rsidRPr="005E0092">
        <w:rPr>
          <w:lang w:val="en-GB"/>
        </w:rPr>
        <w:t>Based on this analysis, the report recommends a phased strategic investment in EV charging infrastructure, digital energy services, and green retail expansion. The Balanced Scorecard framework was used to define performance metrics across financial, customer, internal, and learning perspectives, ensuring alignment between strategic objectives and operational execution.</w:t>
      </w:r>
    </w:p>
    <w:p w14:paraId="725889BF" w14:textId="77777777" w:rsidR="005E0092" w:rsidRPr="005E0092" w:rsidRDefault="005E0092" w:rsidP="005E0092">
      <w:pPr>
        <w:rPr>
          <w:lang w:val="en-GB"/>
        </w:rPr>
      </w:pPr>
    </w:p>
    <w:p w14:paraId="3F8AB09B" w14:textId="49A952FB" w:rsidR="00EE2416" w:rsidRDefault="005E0092" w:rsidP="005E0092">
      <w:pPr>
        <w:rPr>
          <w:lang w:val="en-GB"/>
        </w:rPr>
      </w:pPr>
      <w:r w:rsidRPr="005E0092">
        <w:rPr>
          <w:lang w:val="en-GB"/>
        </w:rPr>
        <w:t>The report concludes that BP’s integrated energy model, if effectively adapted to the Indian context, offers a viable and sustainable growth path that aligns with both national decarbonisation goals and BP’s long-term vision of becoming a net-zero energy company.</w:t>
      </w:r>
    </w:p>
    <w:p w14:paraId="6BA36455" w14:textId="77777777" w:rsidR="00EE2416" w:rsidRDefault="00EE2416" w:rsidP="001B1E1C">
      <w:pPr>
        <w:rPr>
          <w:lang w:val="en-GB"/>
        </w:rPr>
      </w:pPr>
    </w:p>
    <w:p w14:paraId="7B01ABFC" w14:textId="77777777" w:rsidR="005E0092" w:rsidRDefault="005E0092" w:rsidP="001B1E1C">
      <w:pPr>
        <w:rPr>
          <w:lang w:val="en-GB"/>
        </w:rPr>
      </w:pPr>
    </w:p>
    <w:p w14:paraId="6879E452" w14:textId="77777777" w:rsidR="005E0092" w:rsidRDefault="005E0092" w:rsidP="001B1E1C">
      <w:pPr>
        <w:rPr>
          <w:lang w:val="en-GB"/>
        </w:rPr>
      </w:pPr>
    </w:p>
    <w:p w14:paraId="059D0717" w14:textId="77777777" w:rsidR="005E0092" w:rsidRDefault="005E0092" w:rsidP="001B1E1C">
      <w:pPr>
        <w:rPr>
          <w:lang w:val="en-GB"/>
        </w:rPr>
      </w:pPr>
    </w:p>
    <w:p w14:paraId="29CE7379" w14:textId="77777777" w:rsidR="005E0092" w:rsidRDefault="005E0092" w:rsidP="001B1E1C">
      <w:pPr>
        <w:rPr>
          <w:lang w:val="en-GB"/>
        </w:rPr>
      </w:pPr>
    </w:p>
    <w:p w14:paraId="68064F0D" w14:textId="77777777" w:rsidR="005E0092" w:rsidRDefault="005E0092" w:rsidP="001B1E1C">
      <w:pPr>
        <w:rPr>
          <w:lang w:val="en-GB"/>
        </w:rPr>
      </w:pPr>
    </w:p>
    <w:p w14:paraId="47B87261" w14:textId="77777777" w:rsidR="005E0092" w:rsidRDefault="005E0092" w:rsidP="001B1E1C">
      <w:pPr>
        <w:rPr>
          <w:lang w:val="en-GB"/>
        </w:rPr>
      </w:pPr>
    </w:p>
    <w:p w14:paraId="1B1441C9" w14:textId="77777777" w:rsidR="005E0092" w:rsidRDefault="005E0092" w:rsidP="001B1E1C">
      <w:pPr>
        <w:rPr>
          <w:lang w:val="en-GB"/>
        </w:rPr>
      </w:pPr>
    </w:p>
    <w:p w14:paraId="3257965A" w14:textId="463C547C" w:rsidR="00BB416B" w:rsidRPr="00BB416B" w:rsidRDefault="00BB416B" w:rsidP="00645619">
      <w:pPr>
        <w:pStyle w:val="Heading1"/>
        <w:rPr>
          <w:lang w:val="en-GB"/>
        </w:rPr>
      </w:pPr>
      <w:bookmarkStart w:id="3" w:name="_Toc215236104"/>
      <w:r w:rsidRPr="00BB416B">
        <w:rPr>
          <w:lang w:val="en-GB"/>
        </w:rPr>
        <w:lastRenderedPageBreak/>
        <w:t>1. Introduction</w:t>
      </w:r>
      <w:bookmarkEnd w:id="3"/>
    </w:p>
    <w:p w14:paraId="0F4F14A9" w14:textId="77777777" w:rsidR="00E3763B" w:rsidRDefault="00E3763B" w:rsidP="00667B2E">
      <w:pPr>
        <w:rPr>
          <w:lang w:val="en-GB"/>
        </w:rPr>
      </w:pPr>
    </w:p>
    <w:p w14:paraId="652FB609" w14:textId="0C435CE2" w:rsidR="00BB416B" w:rsidRDefault="00BB416B" w:rsidP="00667B2E">
      <w:pPr>
        <w:rPr>
          <w:lang w:val="en-GB"/>
        </w:rPr>
      </w:pPr>
      <w:r w:rsidRPr="00BB416B">
        <w:rPr>
          <w:lang w:val="en-GB"/>
        </w:rPr>
        <w:t>In a rapidly evolving global business landscape, strategic management has become the foundation for organisational resilience, innovation, and sustainable growth. It provides the analytical framework through which organisations assess their external environment, align internal capabilities, and make informed choices that shape long-term competitive advantage (Johnson, Scholes and Whittington, 2020). The growing complexity of international markets, combined with the urgency of the energy transition, has compelled firms—particularly within the energy sector—to redefine their strategic positioning and governance models.</w:t>
      </w:r>
    </w:p>
    <w:p w14:paraId="6B1547C2" w14:textId="77777777" w:rsidR="007B53D2" w:rsidRPr="00BB416B" w:rsidRDefault="007B53D2" w:rsidP="00667B2E">
      <w:pPr>
        <w:spacing w:after="160" w:line="300" w:lineRule="auto"/>
        <w:rPr>
          <w:lang w:val="en-GB"/>
        </w:rPr>
      </w:pPr>
    </w:p>
    <w:p w14:paraId="72677213" w14:textId="1DA883AC" w:rsidR="00BB416B" w:rsidRDefault="00BB416B" w:rsidP="00667B2E">
      <w:pPr>
        <w:rPr>
          <w:lang w:val="en-GB"/>
        </w:rPr>
      </w:pPr>
      <w:r w:rsidRPr="00BB416B">
        <w:rPr>
          <w:lang w:val="en-GB"/>
        </w:rPr>
        <w:t xml:space="preserve">This report focuses on BP plc (British Petroleum), a global leader in energy production headquartered in London, United Kingdom. Over the past decade, BP has undergone a profound strategic transformation, moving from its traditional oil and gas identity towards becoming an </w:t>
      </w:r>
      <w:r w:rsidRPr="00BB416B">
        <w:rPr>
          <w:i/>
          <w:iCs/>
          <w:lang w:val="en-GB"/>
        </w:rPr>
        <w:t>Integrated Energy Company (IEC)</w:t>
      </w:r>
      <w:r w:rsidRPr="00BB416B">
        <w:rPr>
          <w:lang w:val="en-GB"/>
        </w:rPr>
        <w:t xml:space="preserve"> capable of delivering clean, affordable, and reliable energy solutions. The company’s corporate purpose</w:t>
      </w:r>
      <w:r w:rsidR="003B3E9F">
        <w:rPr>
          <w:lang w:val="en-GB"/>
        </w:rPr>
        <w:t xml:space="preserve"> </w:t>
      </w:r>
      <w:r w:rsidRPr="00BB416B">
        <w:rPr>
          <w:i/>
          <w:iCs/>
          <w:lang w:val="en-GB"/>
        </w:rPr>
        <w:t>“reimagining energy for people and our planet”</w:t>
      </w:r>
      <w:r w:rsidR="003B3E9F">
        <w:rPr>
          <w:lang w:val="en-GB"/>
        </w:rPr>
        <w:t xml:space="preserve"> </w:t>
      </w:r>
      <w:r w:rsidRPr="00BB416B">
        <w:rPr>
          <w:lang w:val="en-GB"/>
        </w:rPr>
        <w:t>embodies its ambition to balance energy demand with environmental sustainability (BP, 2024).</w:t>
      </w:r>
    </w:p>
    <w:p w14:paraId="7A384E29" w14:textId="77777777" w:rsidR="007B53D2" w:rsidRPr="00BB416B" w:rsidRDefault="007B53D2" w:rsidP="00667B2E">
      <w:pPr>
        <w:spacing w:after="160" w:line="300" w:lineRule="auto"/>
        <w:rPr>
          <w:lang w:val="en-GB"/>
        </w:rPr>
      </w:pPr>
    </w:p>
    <w:p w14:paraId="059037F2" w14:textId="77777777" w:rsidR="00BB416B" w:rsidRDefault="00BB416B" w:rsidP="00667B2E">
      <w:pPr>
        <w:rPr>
          <w:lang w:val="en-GB"/>
        </w:rPr>
      </w:pPr>
      <w:r w:rsidRPr="00BB416B">
        <w:rPr>
          <w:lang w:val="en-GB"/>
        </w:rPr>
        <w:t>The strategic management challenges faced by BP are emblematic of the global energy industry’s transition toward decarbonisation, digitalisation, and diversification. To explore these dynamics in depth, this report will develop a strategic expansion plan for BP’s entry and growth within the Indian energy market. India represents one of the most promising frontiers for global energy investment, with high GDP growth, rising energy consumption, and strong policy support for renewable technologies (International Energy Agency [IEA], 2023).</w:t>
      </w:r>
    </w:p>
    <w:p w14:paraId="1807027D" w14:textId="77777777" w:rsidR="00BF1F54" w:rsidRDefault="00BF1F54" w:rsidP="00667B2E">
      <w:pPr>
        <w:rPr>
          <w:lang w:val="en-GB"/>
        </w:rPr>
      </w:pPr>
    </w:p>
    <w:p w14:paraId="2A2FE3E3" w14:textId="77777777" w:rsidR="00BF1F54" w:rsidRDefault="00BF1F54" w:rsidP="00667B2E">
      <w:pPr>
        <w:rPr>
          <w:lang w:val="en-GB"/>
        </w:rPr>
      </w:pPr>
    </w:p>
    <w:p w14:paraId="428EF932" w14:textId="77777777" w:rsidR="00BF1F54" w:rsidRDefault="00BF1F54" w:rsidP="00667B2E">
      <w:pPr>
        <w:rPr>
          <w:lang w:val="en-GB"/>
        </w:rPr>
      </w:pPr>
    </w:p>
    <w:p w14:paraId="0D94912B" w14:textId="77777777" w:rsidR="00BF1F54" w:rsidRDefault="00BF1F54" w:rsidP="00667B2E">
      <w:pPr>
        <w:rPr>
          <w:lang w:val="en-GB"/>
        </w:rPr>
      </w:pPr>
    </w:p>
    <w:p w14:paraId="50C2CB6B" w14:textId="77777777" w:rsidR="00BF1F54" w:rsidRDefault="00BF1F54" w:rsidP="00667B2E">
      <w:pPr>
        <w:rPr>
          <w:lang w:val="en-GB"/>
        </w:rPr>
      </w:pPr>
    </w:p>
    <w:p w14:paraId="6A523489" w14:textId="77777777" w:rsidR="0066082E" w:rsidRDefault="0066082E" w:rsidP="00667B2E">
      <w:pPr>
        <w:rPr>
          <w:lang w:val="en-GB"/>
        </w:rPr>
      </w:pPr>
    </w:p>
    <w:p w14:paraId="6495E0F1" w14:textId="77777777" w:rsidR="0066082E" w:rsidRDefault="0066082E" w:rsidP="00667B2E">
      <w:pPr>
        <w:rPr>
          <w:lang w:val="en-GB"/>
        </w:rPr>
      </w:pPr>
    </w:p>
    <w:p w14:paraId="7D776D0B" w14:textId="77777777" w:rsidR="00BF1F54" w:rsidRDefault="00BF1F54" w:rsidP="00BF1F54"/>
    <w:p w14:paraId="0D9A62D7" w14:textId="77777777" w:rsidR="0066082E" w:rsidRPr="00BF1F54" w:rsidRDefault="0066082E" w:rsidP="00BF1F54"/>
    <w:p w14:paraId="5F3E57BD" w14:textId="512E389B" w:rsidR="00B463C9" w:rsidRDefault="00B463C9" w:rsidP="00667B2E">
      <w:pPr>
        <w:rPr>
          <w:lang w:val="en-GB"/>
        </w:rPr>
      </w:pPr>
      <w:r>
        <w:rPr>
          <w:noProof/>
          <w:lang w:val="en-GB"/>
        </w:rPr>
        <w:lastRenderedPageBreak/>
        <w:drawing>
          <wp:inline distT="0" distB="0" distL="0" distR="0" wp14:anchorId="753E6BB2" wp14:editId="2E20A482">
            <wp:extent cx="5082540" cy="4450080"/>
            <wp:effectExtent l="0" t="0" r="3810" b="7620"/>
            <wp:docPr id="407699984" name="Picture 3"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699984" name="Picture 3" descr="A screenshot of a computer"/>
                    <pic:cNvPicPr/>
                  </pic:nvPicPr>
                  <pic:blipFill>
                    <a:blip r:embed="rId10">
                      <a:duotone>
                        <a:prstClr val="black"/>
                        <a:schemeClr val="tx2">
                          <a:lumMod val="20000"/>
                          <a:lumOff val="80000"/>
                          <a:tint val="45000"/>
                          <a:satMod val="400000"/>
                        </a:schemeClr>
                      </a:duotone>
                    </a:blip>
                    <a:stretch>
                      <a:fillRect/>
                    </a:stretch>
                  </pic:blipFill>
                  <pic:spPr>
                    <a:xfrm>
                      <a:off x="0" y="0"/>
                      <a:ext cx="5082561" cy="4450098"/>
                    </a:xfrm>
                    <a:prstGeom prst="rect">
                      <a:avLst/>
                    </a:prstGeom>
                  </pic:spPr>
                </pic:pic>
              </a:graphicData>
            </a:graphic>
          </wp:inline>
        </w:drawing>
      </w:r>
    </w:p>
    <w:p w14:paraId="49D28171" w14:textId="396E684E" w:rsidR="00C0299B" w:rsidRDefault="00C0299B" w:rsidP="00667B2E">
      <w:pPr>
        <w:rPr>
          <w:sz w:val="20"/>
          <w:szCs w:val="20"/>
          <w:lang w:val="en-GB"/>
        </w:rPr>
      </w:pPr>
      <w:r w:rsidRPr="00C0299B">
        <w:rPr>
          <w:sz w:val="20"/>
          <w:szCs w:val="20"/>
          <w:lang w:val="en-GB"/>
        </w:rPr>
        <w:t>Figure 1: BP’s Global Strategic Evolution, 1909–2025 (adapted from BP Annual Reports, 2024).</w:t>
      </w:r>
    </w:p>
    <w:p w14:paraId="5BED59E4" w14:textId="77777777" w:rsidR="0066082E" w:rsidRDefault="0066082E" w:rsidP="00667B2E">
      <w:pPr>
        <w:rPr>
          <w:sz w:val="20"/>
          <w:szCs w:val="20"/>
          <w:lang w:val="en-GB"/>
        </w:rPr>
      </w:pPr>
    </w:p>
    <w:p w14:paraId="08BEE7E7" w14:textId="77777777" w:rsidR="00BB416B" w:rsidRPr="00BB416B" w:rsidRDefault="00BB416B" w:rsidP="00667B2E">
      <w:pPr>
        <w:spacing w:after="160" w:line="300" w:lineRule="auto"/>
        <w:rPr>
          <w:lang w:val="en-GB"/>
        </w:rPr>
      </w:pPr>
      <w:r w:rsidRPr="00BB416B">
        <w:rPr>
          <w:lang w:val="en-GB"/>
        </w:rPr>
        <w:t>The objectives of this report are threefold:</w:t>
      </w:r>
    </w:p>
    <w:p w14:paraId="1ED34A1C" w14:textId="77777777" w:rsidR="00BB416B" w:rsidRPr="00BB416B" w:rsidRDefault="00BB416B" w:rsidP="00667B2E">
      <w:pPr>
        <w:numPr>
          <w:ilvl w:val="0"/>
          <w:numId w:val="10"/>
        </w:numPr>
        <w:spacing w:after="160" w:line="300" w:lineRule="auto"/>
        <w:rPr>
          <w:lang w:val="en-GB"/>
        </w:rPr>
      </w:pPr>
      <w:r w:rsidRPr="00BB416B">
        <w:rPr>
          <w:lang w:val="en-GB"/>
        </w:rPr>
        <w:t>To evaluate BP’s strategic position and capabilities in the context of international expansion.</w:t>
      </w:r>
    </w:p>
    <w:p w14:paraId="2ACEC8B3" w14:textId="77777777" w:rsidR="00BB416B" w:rsidRPr="00BB416B" w:rsidRDefault="00BB416B" w:rsidP="00667B2E">
      <w:pPr>
        <w:numPr>
          <w:ilvl w:val="0"/>
          <w:numId w:val="10"/>
        </w:numPr>
        <w:spacing w:after="160" w:line="300" w:lineRule="auto"/>
        <w:rPr>
          <w:lang w:val="en-GB"/>
        </w:rPr>
      </w:pPr>
      <w:r w:rsidRPr="00BB416B">
        <w:rPr>
          <w:lang w:val="en-GB"/>
        </w:rPr>
        <w:t>To analyse the external environment of India’s energy sector using advanced strategic frameworks.</w:t>
      </w:r>
    </w:p>
    <w:p w14:paraId="7BFBF2DE" w14:textId="77777777" w:rsidR="00667B2E" w:rsidRPr="00667B2E" w:rsidRDefault="00BB416B" w:rsidP="00667B2E">
      <w:pPr>
        <w:numPr>
          <w:ilvl w:val="0"/>
          <w:numId w:val="10"/>
        </w:numPr>
        <w:rPr>
          <w:lang w:val="en-GB"/>
        </w:rPr>
      </w:pPr>
      <w:r w:rsidRPr="00BB416B">
        <w:rPr>
          <w:lang w:val="en-GB"/>
        </w:rPr>
        <w:t>To formulate a viable market-entry and performance evaluation strategy aligned with BP’s lon</w:t>
      </w:r>
      <w:r w:rsidR="00667B2E" w:rsidRPr="00667B2E">
        <w:rPr>
          <w:lang w:val="en-GB"/>
        </w:rPr>
        <w:t>1. Introduction</w:t>
      </w:r>
    </w:p>
    <w:p w14:paraId="0BA11D52" w14:textId="77777777" w:rsidR="00667B2E" w:rsidRPr="00667B2E" w:rsidRDefault="00667B2E" w:rsidP="00667B2E">
      <w:pPr>
        <w:numPr>
          <w:ilvl w:val="0"/>
          <w:numId w:val="10"/>
        </w:numPr>
        <w:rPr>
          <w:lang w:val="en-GB"/>
        </w:rPr>
      </w:pPr>
      <w:r w:rsidRPr="00667B2E">
        <w:rPr>
          <w:lang w:val="en-GB"/>
        </w:rPr>
        <w:t xml:space="preserve">In a rapidly evolving global business landscape, strategic management has become the foundation for organisational resilience, innovation, and sustainable growth. It provides the analytical framework through which organisations assess their external environment, align internal capabilities, and make informed choices that shape long-term competitive advantage (Johnson, Scholes and Whittington, 2020). The growing complexity of international markets, combined with the urgency of the energy transition, </w:t>
      </w:r>
      <w:r w:rsidRPr="00667B2E">
        <w:rPr>
          <w:lang w:val="en-GB"/>
        </w:rPr>
        <w:lastRenderedPageBreak/>
        <w:t>has compelled firms—particularly within the energy sector—to redefine their strategic positioning and governance models.</w:t>
      </w:r>
    </w:p>
    <w:p w14:paraId="3EEE9134" w14:textId="510CFBDE" w:rsidR="00667B2E" w:rsidRPr="00667B2E" w:rsidRDefault="00667B2E" w:rsidP="00667B2E">
      <w:pPr>
        <w:numPr>
          <w:ilvl w:val="0"/>
          <w:numId w:val="10"/>
        </w:numPr>
        <w:rPr>
          <w:lang w:val="en-GB"/>
        </w:rPr>
      </w:pPr>
      <w:r w:rsidRPr="00667B2E">
        <w:rPr>
          <w:lang w:val="en-GB"/>
        </w:rPr>
        <w:t>This report focuses on BP plc (British Petroleum), a global leader in energy production headquartered in London, United Kingdom. Over the past decade, BP has undergone a profound strategic transformation, moving from its traditional oil and gas identity towards becoming an Integrated Energy Company (IEC) capable of delivering clean, affordable, and reliable energy solutions. The company’s corporate purpose</w:t>
      </w:r>
      <w:r w:rsidR="00132813">
        <w:rPr>
          <w:lang w:val="en-GB"/>
        </w:rPr>
        <w:t xml:space="preserve"> </w:t>
      </w:r>
      <w:r w:rsidRPr="00667B2E">
        <w:rPr>
          <w:lang w:val="en-GB"/>
        </w:rPr>
        <w:t>“reimagining energy for people and our planet”</w:t>
      </w:r>
      <w:r w:rsidR="00132813">
        <w:rPr>
          <w:lang w:val="en-GB"/>
        </w:rPr>
        <w:t xml:space="preserve"> </w:t>
      </w:r>
      <w:r w:rsidRPr="00667B2E">
        <w:rPr>
          <w:lang w:val="en-GB"/>
        </w:rPr>
        <w:t>embodies its ambition to balance energy demand with environmental sustainability (BP, 2024).</w:t>
      </w:r>
    </w:p>
    <w:p w14:paraId="61455D7E" w14:textId="77777777" w:rsidR="00667B2E" w:rsidRPr="00667B2E" w:rsidRDefault="00667B2E" w:rsidP="00667B2E">
      <w:pPr>
        <w:numPr>
          <w:ilvl w:val="0"/>
          <w:numId w:val="10"/>
        </w:numPr>
        <w:rPr>
          <w:lang w:val="en-GB"/>
        </w:rPr>
      </w:pPr>
      <w:r w:rsidRPr="00667B2E">
        <w:rPr>
          <w:lang w:val="en-GB"/>
        </w:rPr>
        <w:t>The strategic management challenges faced by BP are emblematic of the global energy industry’s transition toward decarbonisation, digitalisation, and diversification. To explore these dynamics in depth, this report will develop a strategic expansion plan for BP’s entry and growth within the Indian energy market. India represents one of the most promising frontiers for global energy investment, with high GDP growth, rising energy consumption, and strong policy support for renewable technologies (International Energy Agency [IEA], 2023).</w:t>
      </w:r>
    </w:p>
    <w:p w14:paraId="3D20904D" w14:textId="77777777" w:rsidR="00667B2E" w:rsidRPr="00667B2E" w:rsidRDefault="00667B2E" w:rsidP="00667B2E">
      <w:pPr>
        <w:numPr>
          <w:ilvl w:val="0"/>
          <w:numId w:val="10"/>
        </w:numPr>
        <w:rPr>
          <w:lang w:val="en-GB"/>
        </w:rPr>
      </w:pPr>
      <w:r w:rsidRPr="00667B2E">
        <w:rPr>
          <w:lang w:val="en-GB"/>
        </w:rPr>
        <w:t>The objectives of this report are threefold:</w:t>
      </w:r>
    </w:p>
    <w:p w14:paraId="254CB889" w14:textId="77777777" w:rsidR="00667B2E" w:rsidRPr="00667B2E" w:rsidRDefault="00667B2E" w:rsidP="00667B2E">
      <w:pPr>
        <w:numPr>
          <w:ilvl w:val="0"/>
          <w:numId w:val="10"/>
        </w:numPr>
        <w:rPr>
          <w:lang w:val="en-GB"/>
        </w:rPr>
      </w:pPr>
      <w:r w:rsidRPr="00667B2E">
        <w:rPr>
          <w:lang w:val="en-GB"/>
        </w:rPr>
        <w:t>To evaluate BP’s strategic position and capabilities in the context of international expansion.</w:t>
      </w:r>
    </w:p>
    <w:p w14:paraId="0B501C17" w14:textId="77777777" w:rsidR="00667B2E" w:rsidRPr="00667B2E" w:rsidRDefault="00667B2E" w:rsidP="00667B2E">
      <w:pPr>
        <w:numPr>
          <w:ilvl w:val="0"/>
          <w:numId w:val="10"/>
        </w:numPr>
        <w:rPr>
          <w:lang w:val="en-GB"/>
        </w:rPr>
      </w:pPr>
      <w:r w:rsidRPr="00667B2E">
        <w:rPr>
          <w:lang w:val="en-GB"/>
        </w:rPr>
        <w:t>To analyse the external environment of India’s energy sector using advanced strategic frameworks.</w:t>
      </w:r>
    </w:p>
    <w:p w14:paraId="1B525A4D" w14:textId="77777777" w:rsidR="00667B2E" w:rsidRPr="00667B2E" w:rsidRDefault="00667B2E" w:rsidP="00667B2E">
      <w:pPr>
        <w:numPr>
          <w:ilvl w:val="0"/>
          <w:numId w:val="10"/>
        </w:numPr>
        <w:rPr>
          <w:lang w:val="en-GB"/>
        </w:rPr>
      </w:pPr>
      <w:r w:rsidRPr="00667B2E">
        <w:rPr>
          <w:lang w:val="en-GB"/>
        </w:rPr>
        <w:t>To formulate a viable market-entry and performance evaluation strategy aligned with BP’s long-term sustainability objectives.</w:t>
      </w:r>
    </w:p>
    <w:p w14:paraId="415EFB70" w14:textId="1AF43E03" w:rsidR="00667B2E" w:rsidRPr="00667B2E" w:rsidRDefault="00667B2E" w:rsidP="00667B2E">
      <w:pPr>
        <w:numPr>
          <w:ilvl w:val="0"/>
          <w:numId w:val="10"/>
        </w:numPr>
        <w:rPr>
          <w:lang w:val="en-GB"/>
        </w:rPr>
      </w:pPr>
      <w:r w:rsidRPr="00667B2E">
        <w:rPr>
          <w:lang w:val="en-GB"/>
        </w:rPr>
        <w:t>By integrating both theoretical insights and real-world evidence, the report will critically apply strategic management tools</w:t>
      </w:r>
      <w:r w:rsidR="00132813">
        <w:rPr>
          <w:lang w:val="en-GB"/>
        </w:rPr>
        <w:t xml:space="preserve"> </w:t>
      </w:r>
      <w:r w:rsidRPr="00667B2E">
        <w:rPr>
          <w:lang w:val="en-GB"/>
        </w:rPr>
        <w:t>such as PESTLE, Porter’s Five Forces, VRIO, and Ansoff’s Matrix</w:t>
      </w:r>
      <w:r w:rsidR="00132813">
        <w:rPr>
          <w:lang w:val="en-GB"/>
        </w:rPr>
        <w:t xml:space="preserve"> </w:t>
      </w:r>
      <w:r w:rsidRPr="00667B2E">
        <w:rPr>
          <w:lang w:val="en-GB"/>
        </w:rPr>
        <w:t>to design a coherent and future-oriented plan. The outcome will be a set of actionable recommendations enabling BP to enhance its global competitiveness and contribute meaningfully to India’s transition towards a low-carbon economy.</w:t>
      </w:r>
    </w:p>
    <w:p w14:paraId="59F63B2A" w14:textId="73E0CBC1" w:rsidR="00BB416B" w:rsidRPr="00BB416B" w:rsidRDefault="00BB416B" w:rsidP="00667B2E">
      <w:pPr>
        <w:numPr>
          <w:ilvl w:val="0"/>
          <w:numId w:val="10"/>
        </w:numPr>
        <w:spacing w:after="160" w:line="300" w:lineRule="auto"/>
        <w:rPr>
          <w:lang w:val="en-GB"/>
        </w:rPr>
      </w:pPr>
      <w:r w:rsidRPr="00BB416B">
        <w:rPr>
          <w:lang w:val="en-GB"/>
        </w:rPr>
        <w:t>g-term sustainability objectives.</w:t>
      </w:r>
    </w:p>
    <w:p w14:paraId="5648A6AE" w14:textId="41A04DF1" w:rsidR="00E3763B" w:rsidRDefault="00BB416B" w:rsidP="00E1403C">
      <w:pPr>
        <w:rPr>
          <w:lang w:val="en-GB"/>
        </w:rPr>
      </w:pPr>
      <w:r w:rsidRPr="00BB416B">
        <w:rPr>
          <w:lang w:val="en-GB"/>
        </w:rPr>
        <w:t>By integrating both theoretical insights and real-world evidence, the report will critically apply strategic management tools</w:t>
      </w:r>
      <w:r w:rsidR="00132813">
        <w:rPr>
          <w:lang w:val="en-GB"/>
        </w:rPr>
        <w:t xml:space="preserve"> </w:t>
      </w:r>
      <w:r w:rsidRPr="00BB416B">
        <w:rPr>
          <w:lang w:val="en-GB"/>
        </w:rPr>
        <w:t>such as PESTLE, Porter’s Five Forces, VRIO, and Ansoff’s Matrix</w:t>
      </w:r>
      <w:r w:rsidR="00132813">
        <w:rPr>
          <w:lang w:val="en-GB"/>
        </w:rPr>
        <w:t xml:space="preserve"> </w:t>
      </w:r>
      <w:r w:rsidRPr="00BB416B">
        <w:rPr>
          <w:lang w:val="en-GB"/>
        </w:rPr>
        <w:t>to design a coherent and future-oriented plan. The outcome will be a set of actionable recommendations enabling BP to enhance its global competitiveness and contribute meaningfully to India’s transition towards a low-carbon economy.</w:t>
      </w:r>
    </w:p>
    <w:p w14:paraId="51FCB16E" w14:textId="77777777" w:rsidR="003625F5" w:rsidRPr="003625F5" w:rsidRDefault="003625F5" w:rsidP="003625F5">
      <w:pPr>
        <w:pStyle w:val="Heading1"/>
        <w:rPr>
          <w:lang w:val="en-GB"/>
        </w:rPr>
      </w:pPr>
      <w:bookmarkStart w:id="4" w:name="_Toc215236105"/>
      <w:r w:rsidRPr="003625F5">
        <w:rPr>
          <w:lang w:val="en-GB"/>
        </w:rPr>
        <w:lastRenderedPageBreak/>
        <w:t>2. Selection of Organisation and Target Market</w:t>
      </w:r>
      <w:bookmarkEnd w:id="4"/>
    </w:p>
    <w:p w14:paraId="3DC8960B" w14:textId="77777777" w:rsidR="003625F5" w:rsidRDefault="003625F5" w:rsidP="003625F5">
      <w:pPr>
        <w:rPr>
          <w:lang w:val="en-GB"/>
        </w:rPr>
      </w:pPr>
    </w:p>
    <w:p w14:paraId="662FB3E2" w14:textId="2846C38C" w:rsidR="003625F5" w:rsidRPr="003625F5" w:rsidRDefault="003625F5" w:rsidP="003625F5">
      <w:pPr>
        <w:pStyle w:val="Heading2"/>
        <w:rPr>
          <w:lang w:val="en-GB"/>
        </w:rPr>
      </w:pPr>
      <w:bookmarkStart w:id="5" w:name="_Toc215236106"/>
      <w:r w:rsidRPr="003625F5">
        <w:rPr>
          <w:lang w:val="en-GB"/>
        </w:rPr>
        <w:t>2.1 Overview of BP plc</w:t>
      </w:r>
      <w:bookmarkEnd w:id="5"/>
    </w:p>
    <w:p w14:paraId="4F14C6A8" w14:textId="77777777" w:rsidR="003625F5" w:rsidRPr="003625F5" w:rsidRDefault="003625F5" w:rsidP="003625F5">
      <w:pPr>
        <w:rPr>
          <w:lang w:val="en-GB"/>
        </w:rPr>
      </w:pPr>
    </w:p>
    <w:p w14:paraId="6B1607E6" w14:textId="77777777" w:rsidR="003625F5" w:rsidRPr="003625F5" w:rsidRDefault="003625F5" w:rsidP="003625F5">
      <w:pPr>
        <w:rPr>
          <w:lang w:val="en-GB"/>
        </w:rPr>
      </w:pPr>
      <w:r w:rsidRPr="003625F5">
        <w:rPr>
          <w:lang w:val="en-GB"/>
        </w:rPr>
        <w:t>BP plc is a British multinational energy company headquartered in London, operating across more than 60 countries and employing over 65,000 people globally (BP, 2024). Founded in 1909 as the Anglo-Persian Oil Company, BP evolved into one of the “supermajors” of the global oil and gas industry. Today, it is among the few energy giants actively repositioning its business model to lead the transition towards a low-carbon economy.</w:t>
      </w:r>
    </w:p>
    <w:p w14:paraId="17188332" w14:textId="77777777" w:rsidR="003625F5" w:rsidRPr="003625F5" w:rsidRDefault="003625F5" w:rsidP="003625F5">
      <w:pPr>
        <w:rPr>
          <w:lang w:val="en-GB"/>
        </w:rPr>
      </w:pPr>
      <w:r w:rsidRPr="003625F5">
        <w:rPr>
          <w:lang w:val="en-GB"/>
        </w:rPr>
        <w:t>BP’s 2024 strategy, Reimagining Energy, signals a structural shift from being an international oil company (IOC) to an integrated energy company (IEC). The focus is on five transition growth engines: bioenergy, convenience and mobility, EV charging, renewables and hydrogen, and energy storage solutions (BP, 2024). This transformation is guided by the company’s ambition to achieve net-zero emissions by 2050 while continuing to deliver shareholder value.</w:t>
      </w:r>
    </w:p>
    <w:p w14:paraId="69BCA17B" w14:textId="77777777" w:rsidR="003625F5" w:rsidRPr="003625F5" w:rsidRDefault="003625F5" w:rsidP="003625F5">
      <w:pPr>
        <w:rPr>
          <w:lang w:val="en-GB"/>
        </w:rPr>
      </w:pPr>
      <w:r w:rsidRPr="003625F5">
        <w:rPr>
          <w:lang w:val="en-GB"/>
        </w:rPr>
        <w:t>The company’s strong balance sheet, advanced research capability, and experience in strategic partnerships make BP well-positioned to scale operations in emerging markets where sustainable energy demand is accelerating.</w:t>
      </w:r>
    </w:p>
    <w:p w14:paraId="048BCDB2" w14:textId="77777777" w:rsidR="003625F5" w:rsidRPr="003625F5" w:rsidRDefault="003625F5" w:rsidP="003625F5">
      <w:pPr>
        <w:rPr>
          <w:lang w:val="en-GB"/>
        </w:rPr>
      </w:pPr>
    </w:p>
    <w:p w14:paraId="025EC942" w14:textId="77777777" w:rsidR="003625F5" w:rsidRPr="003625F5" w:rsidRDefault="003625F5" w:rsidP="003625F5">
      <w:pPr>
        <w:pStyle w:val="Heading2"/>
        <w:rPr>
          <w:lang w:val="en-GB"/>
        </w:rPr>
      </w:pPr>
      <w:bookmarkStart w:id="6" w:name="_Toc215236107"/>
      <w:r w:rsidRPr="003625F5">
        <w:rPr>
          <w:lang w:val="en-GB"/>
        </w:rPr>
        <w:t>2.2 Rationale for Selecting India</w:t>
      </w:r>
      <w:bookmarkEnd w:id="6"/>
    </w:p>
    <w:p w14:paraId="095BA72C" w14:textId="77777777" w:rsidR="003625F5" w:rsidRPr="003625F5" w:rsidRDefault="003625F5" w:rsidP="003625F5">
      <w:pPr>
        <w:rPr>
          <w:lang w:val="en-GB"/>
        </w:rPr>
      </w:pPr>
    </w:p>
    <w:p w14:paraId="1C28ED53" w14:textId="77777777" w:rsidR="003625F5" w:rsidRPr="003625F5" w:rsidRDefault="003625F5" w:rsidP="003625F5">
      <w:pPr>
        <w:rPr>
          <w:lang w:val="en-GB"/>
        </w:rPr>
      </w:pPr>
      <w:r w:rsidRPr="003625F5">
        <w:rPr>
          <w:lang w:val="en-GB"/>
        </w:rPr>
        <w:t>India represents one of the world’s most dynamic and strategically important energy markets. It is currently the third-largest energy consumer globally, and its energy demand is projected to double by 2040, driven by rapid urbanisation, industrialisation, and population growth (IEA, 2023). With a GDP growth rate averaging 6–7 per cent annually and supportive government policies, India provides a favourable landscape for multinational investment in energy transition (IMF, 2024).</w:t>
      </w:r>
    </w:p>
    <w:p w14:paraId="55E0D32F" w14:textId="77777777" w:rsidR="003625F5" w:rsidRPr="003625F5" w:rsidRDefault="003625F5" w:rsidP="003625F5">
      <w:pPr>
        <w:rPr>
          <w:lang w:val="en-GB"/>
        </w:rPr>
      </w:pPr>
      <w:r w:rsidRPr="003625F5">
        <w:rPr>
          <w:lang w:val="en-GB"/>
        </w:rPr>
        <w:t>BP’s current presence in India through the Jio-bp joint venture with Reliance Industries Limited (RIL) forms a strong foundation for expansion. The partnership operates more than 1,500 retail fuel stations and a growing EV-charging network, demonstrating the viability of BP’s integrated mobility solutions in a high-growth market. However, significant opportunities remain in renewable power generation, hydrogen production, and green logistics infrastructure.</w:t>
      </w:r>
    </w:p>
    <w:p w14:paraId="2D128E63" w14:textId="77777777" w:rsidR="003625F5" w:rsidRPr="003625F5" w:rsidRDefault="003625F5" w:rsidP="003625F5">
      <w:pPr>
        <w:rPr>
          <w:lang w:val="en-GB"/>
        </w:rPr>
      </w:pPr>
    </w:p>
    <w:p w14:paraId="3BED3D6A" w14:textId="77777777" w:rsidR="003625F5" w:rsidRPr="003625F5" w:rsidRDefault="003625F5" w:rsidP="003625F5">
      <w:pPr>
        <w:rPr>
          <w:lang w:val="en-GB"/>
        </w:rPr>
      </w:pPr>
      <w:r w:rsidRPr="003625F5">
        <w:rPr>
          <w:lang w:val="en-GB"/>
        </w:rPr>
        <w:lastRenderedPageBreak/>
        <w:t>Furthermore, the Indian government’s National Hydrogen Mission and Renewable Energy Target 2030—aiming for 500 GW of renewable capacity—align directly with BP’s global sustainability agenda. The synergy between BP’s technological expertise and India’s policy ambition provides an optimal strategic fit for long-term investment and innovation.</w:t>
      </w:r>
    </w:p>
    <w:p w14:paraId="1759CFFF" w14:textId="77777777" w:rsidR="003625F5" w:rsidRPr="003625F5" w:rsidRDefault="003625F5" w:rsidP="003625F5">
      <w:pPr>
        <w:rPr>
          <w:lang w:val="en-GB"/>
        </w:rPr>
      </w:pPr>
    </w:p>
    <w:p w14:paraId="6B8D1DDC" w14:textId="77777777" w:rsidR="003625F5" w:rsidRPr="003625F5" w:rsidRDefault="003625F5" w:rsidP="003625F5">
      <w:pPr>
        <w:pStyle w:val="Heading2"/>
        <w:rPr>
          <w:lang w:val="en-GB"/>
        </w:rPr>
      </w:pPr>
      <w:bookmarkStart w:id="7" w:name="_Toc215236108"/>
      <w:r w:rsidRPr="003625F5">
        <w:rPr>
          <w:lang w:val="en-GB"/>
        </w:rPr>
        <w:t>2.3 Strategic Fit and Competitive Advantage</w:t>
      </w:r>
      <w:bookmarkEnd w:id="7"/>
    </w:p>
    <w:p w14:paraId="1FBF71EB" w14:textId="77777777" w:rsidR="003625F5" w:rsidRPr="003625F5" w:rsidRDefault="003625F5" w:rsidP="003625F5">
      <w:pPr>
        <w:rPr>
          <w:lang w:val="en-GB"/>
        </w:rPr>
      </w:pPr>
    </w:p>
    <w:p w14:paraId="0E81F48E" w14:textId="77777777" w:rsidR="003625F5" w:rsidRPr="003625F5" w:rsidRDefault="003625F5" w:rsidP="003625F5">
      <w:pPr>
        <w:rPr>
          <w:lang w:val="en-GB"/>
        </w:rPr>
      </w:pPr>
      <w:r w:rsidRPr="003625F5">
        <w:rPr>
          <w:lang w:val="en-GB"/>
        </w:rPr>
        <w:t>BP’s expansion into India aligns with three interrelated dimensions of strategic fit.</w:t>
      </w:r>
    </w:p>
    <w:p w14:paraId="61A82810" w14:textId="77777777" w:rsidR="003625F5" w:rsidRPr="003625F5" w:rsidRDefault="003625F5" w:rsidP="003625F5">
      <w:pPr>
        <w:rPr>
          <w:lang w:val="en-GB"/>
        </w:rPr>
      </w:pPr>
      <w:r w:rsidRPr="003625F5">
        <w:rPr>
          <w:lang w:val="en-GB"/>
        </w:rPr>
        <w:t>Market growth potential: India’s expanding energy demand and policy-driven openness to foreign investment present a lucrative opportunity for BP to diversify its geographical footprint and revenue streams.</w:t>
      </w:r>
    </w:p>
    <w:p w14:paraId="5F22F19F" w14:textId="77777777" w:rsidR="003625F5" w:rsidRPr="003625F5" w:rsidRDefault="003625F5" w:rsidP="003625F5">
      <w:pPr>
        <w:rPr>
          <w:lang w:val="en-GB"/>
        </w:rPr>
      </w:pPr>
      <w:r w:rsidRPr="003625F5">
        <w:rPr>
          <w:lang w:val="en-GB"/>
        </w:rPr>
        <w:t>Technological and capability alignment: BP’s expertise in large-scale renewable energy, carbon capture, and digital integration supports India’s decarbonisation pathway and infrastructure modernisation efforts (World Bank, 2024).</w:t>
      </w:r>
    </w:p>
    <w:p w14:paraId="381085A4" w14:textId="77777777" w:rsidR="003625F5" w:rsidRPr="003625F5" w:rsidRDefault="003625F5" w:rsidP="003625F5">
      <w:pPr>
        <w:rPr>
          <w:lang w:val="en-GB"/>
        </w:rPr>
      </w:pPr>
      <w:r w:rsidRPr="003625F5">
        <w:rPr>
          <w:lang w:val="en-GB"/>
        </w:rPr>
        <w:t>Sustainability and stakeholder alignment: The shared emphasis on sustainable energy and responsible governance enables BP to strengthen its ESG credentials, enhancing stakeholder trust and long-term brand equity.</w:t>
      </w:r>
    </w:p>
    <w:p w14:paraId="78603CCA" w14:textId="77777777" w:rsidR="003625F5" w:rsidRPr="003625F5" w:rsidRDefault="003625F5" w:rsidP="003625F5">
      <w:pPr>
        <w:rPr>
          <w:lang w:val="en-GB"/>
        </w:rPr>
      </w:pPr>
      <w:r w:rsidRPr="003625F5">
        <w:rPr>
          <w:lang w:val="en-GB"/>
        </w:rPr>
        <w:t>By leveraging its partnership ecosystem, financial capacity, and innovation-driven culture, BP can create a hybrid competitive advantage that combines operational efficiency with sustainability leadership.</w:t>
      </w:r>
    </w:p>
    <w:p w14:paraId="1F090CCB" w14:textId="77777777" w:rsidR="003625F5" w:rsidRPr="003625F5" w:rsidRDefault="003625F5" w:rsidP="003625F5">
      <w:pPr>
        <w:rPr>
          <w:lang w:val="en-GB"/>
        </w:rPr>
      </w:pPr>
    </w:p>
    <w:p w14:paraId="393C8184" w14:textId="77777777" w:rsidR="003625F5" w:rsidRPr="003625F5" w:rsidRDefault="003625F5" w:rsidP="003625F5">
      <w:pPr>
        <w:pStyle w:val="Heading2"/>
        <w:rPr>
          <w:lang w:val="en-GB"/>
        </w:rPr>
      </w:pPr>
      <w:bookmarkStart w:id="8" w:name="_Toc215236109"/>
      <w:r w:rsidRPr="003625F5">
        <w:rPr>
          <w:lang w:val="en-GB"/>
        </w:rPr>
        <w:t>2.4 Justification for Expansion</w:t>
      </w:r>
      <w:bookmarkEnd w:id="8"/>
    </w:p>
    <w:p w14:paraId="61418084" w14:textId="77777777" w:rsidR="003625F5" w:rsidRPr="003625F5" w:rsidRDefault="003625F5" w:rsidP="003625F5">
      <w:pPr>
        <w:rPr>
          <w:lang w:val="en-GB"/>
        </w:rPr>
      </w:pPr>
    </w:p>
    <w:p w14:paraId="1EE2F642" w14:textId="77777777" w:rsidR="0089142D" w:rsidRPr="0089142D" w:rsidRDefault="0089142D" w:rsidP="0089142D">
      <w:pPr>
        <w:rPr>
          <w:lang w:val="en-GB"/>
        </w:rPr>
      </w:pPr>
      <w:r w:rsidRPr="0089142D">
        <w:rPr>
          <w:lang w:val="en-GB"/>
        </w:rPr>
        <w:t>Strategically, BP’s expansion into India serves both corporate and global policy objectives. It diversifies BP’s portfolio away from mature European markets, hedges against geopolitical volatility, and positions the company within the fastest-growing region for renewable energy adoption. The move supports BP’s strategic pillars of resilience, growth, and transformation outlined in its 2024 Annual Report.</w:t>
      </w:r>
    </w:p>
    <w:p w14:paraId="2B81DBC8" w14:textId="77777777" w:rsidR="0089142D" w:rsidRPr="0089142D" w:rsidRDefault="0089142D" w:rsidP="0089142D">
      <w:pPr>
        <w:rPr>
          <w:lang w:val="en-GB"/>
        </w:rPr>
      </w:pPr>
      <w:r w:rsidRPr="0089142D">
        <w:rPr>
          <w:lang w:val="en-GB"/>
        </w:rPr>
        <w:t>India’s energy landscape offers not only demand growth but also an opportunity for BP to redefine its business model in partnership with public and private entities. By aligning with India’s green transition, BP can reinforce its corporate purpose of delivering energy solutions for people and the planet, ensuring economic performance is balanced with social and environmental value creation.</w:t>
      </w:r>
    </w:p>
    <w:p w14:paraId="3F47D049" w14:textId="77777777" w:rsidR="0089142D" w:rsidRDefault="0089142D" w:rsidP="0089142D">
      <w:pPr>
        <w:rPr>
          <w:lang w:val="en-GB"/>
        </w:rPr>
      </w:pPr>
      <w:r w:rsidRPr="0089142D">
        <w:rPr>
          <w:lang w:val="en-GB"/>
        </w:rPr>
        <w:t xml:space="preserve">As illustrated in Figure 2, BP’s market position in India remains moderate compared to leading competitors such as Shell, TotalEnergies, Adani Green and </w:t>
      </w:r>
      <w:r w:rsidRPr="0089142D">
        <w:rPr>
          <w:lang w:val="en-GB"/>
        </w:rPr>
        <w:lastRenderedPageBreak/>
        <w:t>Tata Power. While BP demonstrates strong innovation and partnership capabilities, its renewable investment footprint remains relatively limited. This suggests a strategic opportunity for BP to accelerate investment in renewables and hydrogen to match the pace of market leaders (adapted from BP, Shell, and TotalEnergies reports, 2024).</w:t>
      </w:r>
    </w:p>
    <w:p w14:paraId="5ED4E301" w14:textId="0108E663" w:rsidR="000244BC" w:rsidRPr="0089142D" w:rsidRDefault="004B377D" w:rsidP="0089142D">
      <w:pPr>
        <w:rPr>
          <w:lang w:val="en-GB"/>
        </w:rPr>
      </w:pPr>
      <w:r>
        <w:rPr>
          <w:noProof/>
          <w:lang w:val="en-GB"/>
        </w:rPr>
        <w:drawing>
          <wp:inline distT="0" distB="0" distL="0" distR="0" wp14:anchorId="4D7B0382" wp14:editId="36746F16">
            <wp:extent cx="5486400" cy="4978400"/>
            <wp:effectExtent l="0" t="0" r="0" b="0"/>
            <wp:docPr id="178855515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8555154" name="Picture 1788555154"/>
                    <pic:cNvPicPr/>
                  </pic:nvPicPr>
                  <pic:blipFill>
                    <a:blip r:embed="rId11"/>
                    <a:stretch>
                      <a:fillRect/>
                    </a:stretch>
                  </pic:blipFill>
                  <pic:spPr>
                    <a:xfrm>
                      <a:off x="0" y="0"/>
                      <a:ext cx="5486400" cy="4978400"/>
                    </a:xfrm>
                    <a:prstGeom prst="rect">
                      <a:avLst/>
                    </a:prstGeom>
                  </pic:spPr>
                </pic:pic>
              </a:graphicData>
            </a:graphic>
          </wp:inline>
        </w:drawing>
      </w:r>
    </w:p>
    <w:p w14:paraId="410E6021" w14:textId="77777777" w:rsidR="0089142D" w:rsidRPr="0089142D" w:rsidRDefault="0089142D" w:rsidP="0089142D">
      <w:pPr>
        <w:rPr>
          <w:lang w:val="en-GB"/>
        </w:rPr>
      </w:pPr>
    </w:p>
    <w:p w14:paraId="7FF95A35" w14:textId="109713FA" w:rsidR="000767C3" w:rsidRDefault="0023730A" w:rsidP="0089142D">
      <w:pPr>
        <w:rPr>
          <w:lang w:val="en-GB"/>
        </w:rPr>
      </w:pPr>
      <w:r w:rsidRPr="0023730A">
        <w:rPr>
          <w:lang w:val="en-GB"/>
        </w:rPr>
        <w:t>While BP maintains a retail presence in India through Jio-bp, this proposal focuses on a distinct market creation strategy targeting the unregulated renewable energy and green hydrogen sectors. This constitutes an expansion into a 'new market' segment where BP currently holds negligible share compared to its hydrocarbon operations. By pivoting from fuel retailing to integrated low-carbon energy solutions, BP effectively enters a 'Blue Ocean' of digital energy services, differentiating itself from traditional oil and gas competitors who remain focused on legacy downstream activities (Kim and Mauborgne, 2005).</w:t>
      </w:r>
    </w:p>
    <w:p w14:paraId="467D0875" w14:textId="77777777" w:rsidR="000767C3" w:rsidRDefault="000767C3" w:rsidP="0089142D">
      <w:pPr>
        <w:rPr>
          <w:lang w:val="en-GB"/>
        </w:rPr>
      </w:pPr>
    </w:p>
    <w:p w14:paraId="59E0910B" w14:textId="7889488B" w:rsidR="005D1162" w:rsidRDefault="005D1162" w:rsidP="00E34ECF">
      <w:pPr>
        <w:pStyle w:val="Heading1"/>
        <w:rPr>
          <w:lang w:val="en-GB"/>
        </w:rPr>
      </w:pPr>
      <w:bookmarkStart w:id="9" w:name="_Toc215236110"/>
      <w:r w:rsidRPr="005D1162">
        <w:rPr>
          <w:lang w:val="en-GB"/>
        </w:rPr>
        <w:lastRenderedPageBreak/>
        <w:t>3. Comprehensive Strategic Analysis</w:t>
      </w:r>
      <w:bookmarkEnd w:id="9"/>
    </w:p>
    <w:p w14:paraId="3D6155D3" w14:textId="77777777" w:rsidR="00E2157F" w:rsidRPr="00E2157F" w:rsidRDefault="00E2157F" w:rsidP="00E2157F">
      <w:pPr>
        <w:rPr>
          <w:lang w:val="en-GB"/>
        </w:rPr>
      </w:pPr>
    </w:p>
    <w:p w14:paraId="47971BF9" w14:textId="0123EA4F" w:rsidR="000767C3" w:rsidRPr="000767C3" w:rsidRDefault="000767C3" w:rsidP="00E34ECF">
      <w:pPr>
        <w:pStyle w:val="Heading2"/>
        <w:rPr>
          <w:lang w:val="en-GB"/>
        </w:rPr>
      </w:pPr>
      <w:bookmarkStart w:id="10" w:name="_Toc215236111"/>
      <w:r w:rsidRPr="000767C3">
        <w:rPr>
          <w:lang w:val="en-GB"/>
        </w:rPr>
        <w:t>3.1 PESTLE Analysis for BP in the Indian Market</w:t>
      </w:r>
      <w:bookmarkEnd w:id="10"/>
    </w:p>
    <w:p w14:paraId="16FAEE90" w14:textId="77777777" w:rsidR="00E34ECF" w:rsidRDefault="00E34ECF" w:rsidP="000767C3">
      <w:pPr>
        <w:rPr>
          <w:lang w:val="en-GB"/>
        </w:rPr>
      </w:pPr>
    </w:p>
    <w:p w14:paraId="0B18FC72" w14:textId="5A6605D7" w:rsidR="000767C3" w:rsidRPr="000767C3" w:rsidRDefault="000767C3" w:rsidP="000767C3">
      <w:pPr>
        <w:rPr>
          <w:lang w:val="en-GB"/>
        </w:rPr>
      </w:pPr>
      <w:r w:rsidRPr="000767C3">
        <w:rPr>
          <w:lang w:val="en-GB"/>
        </w:rPr>
        <w:t>Political Factors</w:t>
      </w:r>
    </w:p>
    <w:p w14:paraId="0FBEC4F5" w14:textId="77777777" w:rsidR="000767C3" w:rsidRPr="000767C3" w:rsidRDefault="000767C3" w:rsidP="000767C3">
      <w:pPr>
        <w:rPr>
          <w:lang w:val="en-GB"/>
        </w:rPr>
      </w:pPr>
      <w:r w:rsidRPr="000767C3">
        <w:rPr>
          <w:lang w:val="en-GB"/>
        </w:rPr>
        <w:t>India maintains a stable democratic political system with pro-business reforms supporting foreign direct investment (FDI) in the energy sector. Government initiatives such as Make in India, National Hydrogen Mission, and Production Linked Incentive (PLI) schemes promote renewable energy infrastructure and industrial partnerships (Government of India, 2024). However, policy consistency and bureaucratic delays can pose challenges for long-term projects. For BP, strategic collaboration with state agencies and local energy boards will be essential to navigate regulatory complexity and ensure policy alignment.</w:t>
      </w:r>
    </w:p>
    <w:p w14:paraId="41E8BF3E" w14:textId="77777777" w:rsidR="000767C3" w:rsidRPr="000767C3" w:rsidRDefault="000767C3" w:rsidP="000767C3">
      <w:pPr>
        <w:rPr>
          <w:lang w:val="en-GB"/>
        </w:rPr>
      </w:pPr>
      <w:r w:rsidRPr="000767C3">
        <w:rPr>
          <w:lang w:val="en-GB"/>
        </w:rPr>
        <w:t>Economic Factors</w:t>
      </w:r>
    </w:p>
    <w:p w14:paraId="51B4A727" w14:textId="77777777" w:rsidR="000767C3" w:rsidRPr="000767C3" w:rsidRDefault="000767C3" w:rsidP="000767C3">
      <w:pPr>
        <w:rPr>
          <w:lang w:val="en-GB"/>
        </w:rPr>
      </w:pPr>
      <w:r w:rsidRPr="000767C3">
        <w:rPr>
          <w:lang w:val="en-GB"/>
        </w:rPr>
        <w:t>India is among the world’s fastest-growing economies, with an estimated GDP growth rate of 6.5 per cent for 2025 (IMF, 2024). Energy consumption is projected to double by 2040, making India a prime market for international investors (IEA, 2023). Inflation control and currency volatility remain moderate risks, but India’s expanding middle class provides strong demand for energy security, mobility, and cleaner fuels. BP can leverage its financial capacity to capture market share in both the industrial and retail segments.</w:t>
      </w:r>
    </w:p>
    <w:p w14:paraId="59C160BB" w14:textId="77777777" w:rsidR="000767C3" w:rsidRPr="000767C3" w:rsidRDefault="000767C3" w:rsidP="000767C3">
      <w:pPr>
        <w:rPr>
          <w:lang w:val="en-GB"/>
        </w:rPr>
      </w:pPr>
      <w:r w:rsidRPr="000767C3">
        <w:rPr>
          <w:lang w:val="en-GB"/>
        </w:rPr>
        <w:t>Social Factors</w:t>
      </w:r>
    </w:p>
    <w:p w14:paraId="66114944" w14:textId="77777777" w:rsidR="000767C3" w:rsidRPr="000767C3" w:rsidRDefault="000767C3" w:rsidP="000767C3">
      <w:pPr>
        <w:rPr>
          <w:lang w:val="en-GB"/>
        </w:rPr>
      </w:pPr>
      <w:r w:rsidRPr="000767C3">
        <w:rPr>
          <w:lang w:val="en-GB"/>
        </w:rPr>
        <w:t>India’s population of over 1.4 billion, coupled with rapid urbanisation, drives an urgent need for sustainable energy access. Rising environmental awareness and growing demand for affordable clean energy solutions create a strong social push towards renewable adoption (World Bank, 2024). BP’s brand image as a sustainability-oriented firm provides a positive perception among younger, environmentally conscious consumers.</w:t>
      </w:r>
    </w:p>
    <w:p w14:paraId="3C84ACE2" w14:textId="77777777" w:rsidR="000767C3" w:rsidRPr="000767C3" w:rsidRDefault="000767C3" w:rsidP="000767C3">
      <w:pPr>
        <w:rPr>
          <w:lang w:val="en-GB"/>
        </w:rPr>
      </w:pPr>
      <w:r w:rsidRPr="000767C3">
        <w:rPr>
          <w:lang w:val="en-GB"/>
        </w:rPr>
        <w:t>Technological Factors</w:t>
      </w:r>
    </w:p>
    <w:p w14:paraId="343B6494" w14:textId="77777777" w:rsidR="000767C3" w:rsidRPr="000767C3" w:rsidRDefault="000767C3" w:rsidP="000767C3">
      <w:pPr>
        <w:rPr>
          <w:lang w:val="en-GB"/>
        </w:rPr>
      </w:pPr>
      <w:r w:rsidRPr="000767C3">
        <w:rPr>
          <w:lang w:val="en-GB"/>
        </w:rPr>
        <w:t>India has made significant advances in digital infrastructure, smart grids, and EV technologies. The government’s Digital India initiative and large-scale investments in R&amp;D for clean technology create a fertile environment for energy innovation. BP can capitalise on this through partnerships with Indian research institutions and technology firms, particularly in EV charging networks and hydrogen energy systems.</w:t>
      </w:r>
    </w:p>
    <w:p w14:paraId="658E583B" w14:textId="77777777" w:rsidR="000767C3" w:rsidRDefault="000767C3" w:rsidP="000767C3">
      <w:pPr>
        <w:rPr>
          <w:lang w:val="en-GB"/>
        </w:rPr>
      </w:pPr>
    </w:p>
    <w:p w14:paraId="480CE620" w14:textId="77777777" w:rsidR="008103AA" w:rsidRDefault="008103AA" w:rsidP="000767C3">
      <w:pPr>
        <w:rPr>
          <w:lang w:val="en-GB"/>
        </w:rPr>
      </w:pPr>
    </w:p>
    <w:p w14:paraId="20DBC0CD" w14:textId="77777777" w:rsidR="000767C3" w:rsidRPr="000767C3" w:rsidRDefault="000767C3" w:rsidP="000767C3">
      <w:pPr>
        <w:rPr>
          <w:lang w:val="en-GB"/>
        </w:rPr>
      </w:pPr>
      <w:r w:rsidRPr="000767C3">
        <w:rPr>
          <w:lang w:val="en-GB"/>
        </w:rPr>
        <w:lastRenderedPageBreak/>
        <w:t>Legal Factors</w:t>
      </w:r>
    </w:p>
    <w:p w14:paraId="39DD0481" w14:textId="77777777" w:rsidR="000767C3" w:rsidRPr="000767C3" w:rsidRDefault="000767C3" w:rsidP="000767C3">
      <w:pPr>
        <w:rPr>
          <w:lang w:val="en-GB"/>
        </w:rPr>
      </w:pPr>
      <w:r w:rsidRPr="000767C3">
        <w:rPr>
          <w:lang w:val="en-GB"/>
        </w:rPr>
        <w:t>India’s FDI regulations are becoming increasingly liberal in the renewable energy domain. Nevertheless, varying state-level laws on land acquisition, environmental clearance, and taxation can complicate market entry (OECD, 2024). Establishing a dedicated legal compliance unit or forming alliances with local partners will be crucial for BP’s long-term operations.</w:t>
      </w:r>
    </w:p>
    <w:p w14:paraId="51CCD4B6" w14:textId="77777777" w:rsidR="000767C3" w:rsidRPr="000767C3" w:rsidRDefault="000767C3" w:rsidP="000767C3">
      <w:pPr>
        <w:rPr>
          <w:lang w:val="en-GB"/>
        </w:rPr>
      </w:pPr>
      <w:r w:rsidRPr="000767C3">
        <w:rPr>
          <w:lang w:val="en-GB"/>
        </w:rPr>
        <w:t>Environmental Factors</w:t>
      </w:r>
    </w:p>
    <w:p w14:paraId="12C3A860" w14:textId="77777777" w:rsidR="002D5ED9" w:rsidRDefault="000767C3" w:rsidP="000767C3">
      <w:pPr>
        <w:rPr>
          <w:lang w:val="en-GB"/>
        </w:rPr>
      </w:pPr>
      <w:r w:rsidRPr="000767C3">
        <w:rPr>
          <w:lang w:val="en-GB"/>
        </w:rPr>
        <w:t>India faces major environmental challenges, including air pollution, fossil fuel dependency, and vulnerability to climate change. The government’s target to achieve 50 per cent renewable electricity by 2030 provides a clear direction for sustainable energy transition (Ministry of Power, 2024). BP’s global commitment to carbon neutrality aligns closely with India’s green objectives, positioning the company as a potential leader in driving low-carbon transformation across the subcontinent.</w:t>
      </w:r>
    </w:p>
    <w:p w14:paraId="7675267C" w14:textId="77777777" w:rsidR="000F1AD2" w:rsidRDefault="000F1AD2" w:rsidP="000767C3">
      <w:pPr>
        <w:rPr>
          <w:lang w:val="en-GB"/>
        </w:rPr>
      </w:pPr>
    </w:p>
    <w:p w14:paraId="7E74E488" w14:textId="342B1551" w:rsidR="002D5ED9" w:rsidRDefault="00EC37B6" w:rsidP="00EC37B6">
      <w:pPr>
        <w:pStyle w:val="Heading2"/>
        <w:rPr>
          <w:lang w:val="en-GB"/>
        </w:rPr>
      </w:pPr>
      <w:bookmarkStart w:id="11" w:name="_Toc215236112"/>
      <w:r w:rsidRPr="00EC37B6">
        <w:rPr>
          <w:lang w:val="en-GB"/>
        </w:rPr>
        <w:t>3.</w:t>
      </w:r>
      <w:r>
        <w:rPr>
          <w:lang w:val="en-GB"/>
        </w:rPr>
        <w:t>2</w:t>
      </w:r>
      <w:r w:rsidRPr="00EC37B6">
        <w:rPr>
          <w:lang w:val="en-GB"/>
        </w:rPr>
        <w:t xml:space="preserve"> Porter’s Diamond Model – National Competitive Advantage of India</w:t>
      </w:r>
      <w:bookmarkEnd w:id="11"/>
    </w:p>
    <w:p w14:paraId="196CD9F6" w14:textId="77777777" w:rsidR="002D5ED9" w:rsidRDefault="002D5ED9" w:rsidP="00EC37B6">
      <w:pPr>
        <w:pStyle w:val="Heading2"/>
        <w:rPr>
          <w:lang w:val="en-GB"/>
        </w:rPr>
      </w:pPr>
    </w:p>
    <w:p w14:paraId="6B07D173" w14:textId="77777777" w:rsidR="008A0B9C" w:rsidRPr="008A0B9C" w:rsidRDefault="008A0B9C" w:rsidP="008A0B9C">
      <w:pPr>
        <w:rPr>
          <w:lang w:val="en-GB"/>
        </w:rPr>
      </w:pPr>
      <w:r w:rsidRPr="008A0B9C">
        <w:rPr>
          <w:lang w:val="en-GB"/>
        </w:rPr>
        <w:t>Porter’s Diamond Model (Porter, 1990) provides a framework for analysing the sources of national competitive advantage that shape the attractiveness of India’s energy sector for BP. The model identifies four key determinants: factor conditions, demand conditions, related and supporting industries, and firm strategy, structure and rivalry.</w:t>
      </w:r>
    </w:p>
    <w:p w14:paraId="2F1DD9D5" w14:textId="77777777" w:rsidR="008A0B9C" w:rsidRPr="008A0B9C" w:rsidRDefault="008A0B9C" w:rsidP="008A0B9C">
      <w:pPr>
        <w:rPr>
          <w:lang w:val="en-GB"/>
        </w:rPr>
      </w:pPr>
      <w:r w:rsidRPr="008A0B9C">
        <w:rPr>
          <w:lang w:val="en-GB"/>
        </w:rPr>
        <w:t>Factor Conditions: India offers a strong base of human capital, digital infrastructure, and technological innovation capacity, supported by government programmes such as “Digital India” and “Make in India”. However, deficiencies in logistics and renewable supply chains remain a constraint.</w:t>
      </w:r>
    </w:p>
    <w:p w14:paraId="0B1EEBD8" w14:textId="77777777" w:rsidR="008A0B9C" w:rsidRPr="008A0B9C" w:rsidRDefault="008A0B9C" w:rsidP="008A0B9C">
      <w:pPr>
        <w:rPr>
          <w:lang w:val="en-GB"/>
        </w:rPr>
      </w:pPr>
      <w:r w:rsidRPr="008A0B9C">
        <w:rPr>
          <w:lang w:val="en-GB"/>
        </w:rPr>
        <w:t>Demand Conditions: Rapidly urbanising and environmentally conscious consumers are fuelling demand for sustainable energy and electric mobility, providing a large domestic market that encourages innovation.</w:t>
      </w:r>
    </w:p>
    <w:p w14:paraId="0D633688" w14:textId="77777777" w:rsidR="008A0B9C" w:rsidRPr="008A0B9C" w:rsidRDefault="008A0B9C" w:rsidP="008A0B9C">
      <w:pPr>
        <w:rPr>
          <w:lang w:val="en-GB"/>
        </w:rPr>
      </w:pPr>
      <w:r w:rsidRPr="008A0B9C">
        <w:rPr>
          <w:lang w:val="en-GB"/>
        </w:rPr>
        <w:t>Related and Supporting Industries: The presence of advanced technology partners (e.g., Reliance, Tata Power, Adani Green) and digital ecosystem firms (e.g., Infosys, TCS) enhances BP’s opportunity for vertical and horizontal collaboration.</w:t>
      </w:r>
    </w:p>
    <w:p w14:paraId="6B4775C3" w14:textId="77777777" w:rsidR="008A0B9C" w:rsidRPr="008A0B9C" w:rsidRDefault="008A0B9C" w:rsidP="008A0B9C">
      <w:pPr>
        <w:rPr>
          <w:lang w:val="en-GB"/>
        </w:rPr>
      </w:pPr>
      <w:r w:rsidRPr="008A0B9C">
        <w:rPr>
          <w:lang w:val="en-GB"/>
        </w:rPr>
        <w:t>Firm Strategy, Structure and Rivalry: India’s liberalised energy policies and competitive environment incentivise firms to adopt advanced technologies and sustainability-driven business models. This intense rivalry pushes continuous efficiency improvement and product differentiation.</w:t>
      </w:r>
    </w:p>
    <w:p w14:paraId="1245351E" w14:textId="0360004E" w:rsidR="002D5ED9" w:rsidRDefault="008A0B9C" w:rsidP="008A0B9C">
      <w:pPr>
        <w:rPr>
          <w:lang w:val="en-GB"/>
        </w:rPr>
      </w:pPr>
      <w:r w:rsidRPr="008A0B9C">
        <w:rPr>
          <w:lang w:val="en-GB"/>
        </w:rPr>
        <w:lastRenderedPageBreak/>
        <w:t>Overall, India’s national competitive context is favourable for BP’s renewable and digital energy expansion, complementing insights from the PESTLE analysis and reinforcing the strategic case for market entry.</w:t>
      </w:r>
    </w:p>
    <w:p w14:paraId="7C54FB69" w14:textId="77777777" w:rsidR="000F1AD2" w:rsidRDefault="000F1AD2" w:rsidP="008A0B9C">
      <w:pPr>
        <w:rPr>
          <w:lang w:val="en-GB"/>
        </w:rPr>
      </w:pPr>
    </w:p>
    <w:p w14:paraId="1D46ECA9" w14:textId="15C302C3" w:rsidR="00C14317" w:rsidRDefault="00C14317" w:rsidP="0064245A">
      <w:pPr>
        <w:pStyle w:val="Heading2"/>
        <w:rPr>
          <w:lang w:val="en-GB"/>
        </w:rPr>
      </w:pPr>
      <w:bookmarkStart w:id="12" w:name="_Toc215236113"/>
      <w:r w:rsidRPr="00C14317">
        <w:rPr>
          <w:lang w:val="en-GB"/>
        </w:rPr>
        <w:t>3.</w:t>
      </w:r>
      <w:r w:rsidR="00EC37B6">
        <w:rPr>
          <w:lang w:val="en-GB"/>
        </w:rPr>
        <w:t>3</w:t>
      </w:r>
      <w:r w:rsidRPr="00C14317">
        <w:rPr>
          <w:lang w:val="en-GB"/>
        </w:rPr>
        <w:t xml:space="preserve"> Porter’s Five Forces Analysis – BP in the Indian Energy Market</w:t>
      </w:r>
      <w:bookmarkEnd w:id="12"/>
    </w:p>
    <w:p w14:paraId="26AD8398" w14:textId="77777777" w:rsidR="002D5ED9" w:rsidRDefault="002D5ED9" w:rsidP="00D27118">
      <w:pPr>
        <w:rPr>
          <w:lang w:val="en-GB"/>
        </w:rPr>
      </w:pPr>
    </w:p>
    <w:p w14:paraId="27ED7CF6" w14:textId="57C3C485" w:rsidR="006D7F2E" w:rsidRDefault="00F37DAE" w:rsidP="00D27118">
      <w:pPr>
        <w:rPr>
          <w:lang w:val="en-GB"/>
        </w:rPr>
      </w:pPr>
      <w:r w:rsidRPr="00F37DAE">
        <w:rPr>
          <w:lang w:val="en-GB"/>
        </w:rPr>
        <w:t>To understand the competitive structure of India’s energy sector and the challenges facing BP’s market entry, Porter’s Five Forces model (Porter, 1980) provides a systematic framework for assessing industry dynamics.</w:t>
      </w:r>
    </w:p>
    <w:p w14:paraId="05DCF29C" w14:textId="77777777" w:rsidR="00CF0C05" w:rsidRDefault="00CF0C05" w:rsidP="00D27118">
      <w:pPr>
        <w:rPr>
          <w:lang w:val="en-GB"/>
        </w:rPr>
      </w:pPr>
    </w:p>
    <w:p w14:paraId="29051C99" w14:textId="239F255F" w:rsidR="00D27118" w:rsidRDefault="00D27118" w:rsidP="00D27118">
      <w:pPr>
        <w:rPr>
          <w:lang w:val="en-GB"/>
        </w:rPr>
      </w:pPr>
      <w:r w:rsidRPr="00D27118">
        <w:rPr>
          <w:lang w:val="en-GB"/>
        </w:rPr>
        <w:t>Table 1: Porter’s Five Forces – Indian Energy Sector (2025)</w:t>
      </w:r>
    </w:p>
    <w:p w14:paraId="6FB11549" w14:textId="77777777" w:rsidR="00CB61F8" w:rsidRDefault="00CB61F8" w:rsidP="00D27118">
      <w:pPr>
        <w:rPr>
          <w:lang w:val="en-GB"/>
        </w:rPr>
      </w:pPr>
    </w:p>
    <w:tbl>
      <w:tblPr>
        <w:tblStyle w:val="GridTable5Dark-Accent2"/>
        <w:tblW w:w="0" w:type="auto"/>
        <w:tblLook w:val="04A0" w:firstRow="1" w:lastRow="0" w:firstColumn="1" w:lastColumn="0" w:noHBand="0" w:noVBand="1"/>
      </w:tblPr>
      <w:tblGrid>
        <w:gridCol w:w="1970"/>
        <w:gridCol w:w="3138"/>
        <w:gridCol w:w="2431"/>
        <w:gridCol w:w="1317"/>
      </w:tblGrid>
      <w:tr w:rsidR="00B37FFD" w:rsidRPr="00B37FFD" w14:paraId="15A3BB96" w14:textId="77777777" w:rsidTr="005105D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04C7990" w14:textId="77777777" w:rsidR="00B37FFD" w:rsidRPr="00B37FFD" w:rsidRDefault="00B37FFD" w:rsidP="00B37FFD">
            <w:pPr>
              <w:spacing w:after="120" w:line="264" w:lineRule="auto"/>
              <w:rPr>
                <w:lang w:val="en-GB"/>
              </w:rPr>
            </w:pPr>
            <w:r w:rsidRPr="00B37FFD">
              <w:rPr>
                <w:lang w:val="en-GB"/>
              </w:rPr>
              <w:t>Force</w:t>
            </w:r>
          </w:p>
        </w:tc>
        <w:tc>
          <w:tcPr>
            <w:tcW w:w="0" w:type="auto"/>
            <w:hideMark/>
          </w:tcPr>
          <w:p w14:paraId="30E048A1" w14:textId="77777777" w:rsidR="00B37FFD" w:rsidRPr="00B37FFD" w:rsidRDefault="00B37FFD" w:rsidP="00B37FFD">
            <w:pPr>
              <w:spacing w:after="120" w:line="264" w:lineRule="auto"/>
              <w:cnfStyle w:val="100000000000" w:firstRow="1" w:lastRow="0" w:firstColumn="0" w:lastColumn="0" w:oddVBand="0" w:evenVBand="0" w:oddHBand="0" w:evenHBand="0" w:firstRowFirstColumn="0" w:firstRowLastColumn="0" w:lastRowFirstColumn="0" w:lastRowLastColumn="0"/>
              <w:rPr>
                <w:lang w:val="en-GB"/>
              </w:rPr>
            </w:pPr>
            <w:r w:rsidRPr="00B37FFD">
              <w:rPr>
                <w:lang w:val="en-GB"/>
              </w:rPr>
              <w:t>Description</w:t>
            </w:r>
          </w:p>
        </w:tc>
        <w:tc>
          <w:tcPr>
            <w:tcW w:w="0" w:type="auto"/>
            <w:hideMark/>
          </w:tcPr>
          <w:p w14:paraId="274F0E9F" w14:textId="77777777" w:rsidR="00B37FFD" w:rsidRPr="00B37FFD" w:rsidRDefault="00B37FFD" w:rsidP="00B37FFD">
            <w:pPr>
              <w:spacing w:after="120" w:line="264" w:lineRule="auto"/>
              <w:cnfStyle w:val="100000000000" w:firstRow="1" w:lastRow="0" w:firstColumn="0" w:lastColumn="0" w:oddVBand="0" w:evenVBand="0" w:oddHBand="0" w:evenHBand="0" w:firstRowFirstColumn="0" w:firstRowLastColumn="0" w:lastRowFirstColumn="0" w:lastRowLastColumn="0"/>
              <w:rPr>
                <w:lang w:val="en-GB"/>
              </w:rPr>
            </w:pPr>
            <w:r w:rsidRPr="00B37FFD">
              <w:rPr>
                <w:lang w:val="en-GB"/>
              </w:rPr>
              <w:t>Strategic Impact on BP</w:t>
            </w:r>
          </w:p>
        </w:tc>
        <w:tc>
          <w:tcPr>
            <w:tcW w:w="0" w:type="auto"/>
            <w:hideMark/>
          </w:tcPr>
          <w:p w14:paraId="1EF0C434" w14:textId="77777777" w:rsidR="00B37FFD" w:rsidRPr="00B37FFD" w:rsidRDefault="00B37FFD" w:rsidP="00B37FFD">
            <w:pPr>
              <w:spacing w:after="120" w:line="264" w:lineRule="auto"/>
              <w:cnfStyle w:val="100000000000" w:firstRow="1" w:lastRow="0" w:firstColumn="0" w:lastColumn="0" w:oddVBand="0" w:evenVBand="0" w:oddHBand="0" w:evenHBand="0" w:firstRowFirstColumn="0" w:firstRowLastColumn="0" w:lastRowFirstColumn="0" w:lastRowLastColumn="0"/>
              <w:rPr>
                <w:lang w:val="en-GB"/>
              </w:rPr>
            </w:pPr>
            <w:r w:rsidRPr="00B37FFD">
              <w:rPr>
                <w:lang w:val="en-GB"/>
              </w:rPr>
              <w:t>Intensity (1–5)</w:t>
            </w:r>
          </w:p>
        </w:tc>
      </w:tr>
      <w:tr w:rsidR="00B37FFD" w:rsidRPr="00B37FFD" w14:paraId="7FEB4384" w14:textId="77777777" w:rsidTr="005105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56021EA" w14:textId="77777777" w:rsidR="00B37FFD" w:rsidRPr="00B37FFD" w:rsidRDefault="00B37FFD" w:rsidP="00B37FFD">
            <w:pPr>
              <w:spacing w:after="120" w:line="264" w:lineRule="auto"/>
              <w:rPr>
                <w:lang w:val="en-GB"/>
              </w:rPr>
            </w:pPr>
            <w:r w:rsidRPr="00B37FFD">
              <w:rPr>
                <w:lang w:val="en-GB"/>
              </w:rPr>
              <w:t>1. Threat of New Entrants</w:t>
            </w:r>
          </w:p>
        </w:tc>
        <w:tc>
          <w:tcPr>
            <w:tcW w:w="0" w:type="auto"/>
            <w:hideMark/>
          </w:tcPr>
          <w:p w14:paraId="1401DF3C" w14:textId="77777777" w:rsidR="00B37FFD" w:rsidRPr="00B37FFD" w:rsidRDefault="00B37FFD" w:rsidP="00B37FFD">
            <w:pPr>
              <w:spacing w:after="120" w:line="264" w:lineRule="auto"/>
              <w:cnfStyle w:val="000000100000" w:firstRow="0" w:lastRow="0" w:firstColumn="0" w:lastColumn="0" w:oddVBand="0" w:evenVBand="0" w:oddHBand="1" w:evenHBand="0" w:firstRowFirstColumn="0" w:firstRowLastColumn="0" w:lastRowFirstColumn="0" w:lastRowLastColumn="0"/>
              <w:rPr>
                <w:sz w:val="20"/>
                <w:szCs w:val="20"/>
                <w:lang w:val="en-GB"/>
              </w:rPr>
            </w:pPr>
            <w:r w:rsidRPr="00B37FFD">
              <w:rPr>
                <w:sz w:val="20"/>
                <w:szCs w:val="20"/>
                <w:lang w:val="en-GB"/>
              </w:rPr>
              <w:t>High capital investment, complex regulations, but new renewable entrants supported by government schemes.</w:t>
            </w:r>
          </w:p>
        </w:tc>
        <w:tc>
          <w:tcPr>
            <w:tcW w:w="0" w:type="auto"/>
            <w:hideMark/>
          </w:tcPr>
          <w:p w14:paraId="26DDB061" w14:textId="77777777" w:rsidR="00B37FFD" w:rsidRPr="00B37FFD" w:rsidRDefault="00B37FFD" w:rsidP="00B37FFD">
            <w:pPr>
              <w:spacing w:after="120" w:line="264" w:lineRule="auto"/>
              <w:cnfStyle w:val="000000100000" w:firstRow="0" w:lastRow="0" w:firstColumn="0" w:lastColumn="0" w:oddVBand="0" w:evenVBand="0" w:oddHBand="1" w:evenHBand="0" w:firstRowFirstColumn="0" w:firstRowLastColumn="0" w:lastRowFirstColumn="0" w:lastRowLastColumn="0"/>
              <w:rPr>
                <w:sz w:val="20"/>
                <w:szCs w:val="20"/>
                <w:lang w:val="en-GB"/>
              </w:rPr>
            </w:pPr>
            <w:r w:rsidRPr="00B37FFD">
              <w:rPr>
                <w:sz w:val="20"/>
                <w:szCs w:val="20"/>
                <w:lang w:val="en-GB"/>
              </w:rPr>
              <w:t>Moderate – BP’s brand and experience reduce risk, but local start-ups are rising.</w:t>
            </w:r>
          </w:p>
        </w:tc>
        <w:tc>
          <w:tcPr>
            <w:tcW w:w="0" w:type="auto"/>
            <w:hideMark/>
          </w:tcPr>
          <w:p w14:paraId="21C439D4" w14:textId="77777777" w:rsidR="00B37FFD" w:rsidRPr="00B37FFD" w:rsidRDefault="00B37FFD" w:rsidP="00B37FFD">
            <w:pPr>
              <w:spacing w:after="120" w:line="264" w:lineRule="auto"/>
              <w:cnfStyle w:val="000000100000" w:firstRow="0" w:lastRow="0" w:firstColumn="0" w:lastColumn="0" w:oddVBand="0" w:evenVBand="0" w:oddHBand="1" w:evenHBand="0" w:firstRowFirstColumn="0" w:firstRowLastColumn="0" w:lastRowFirstColumn="0" w:lastRowLastColumn="0"/>
              <w:rPr>
                <w:lang w:val="en-GB"/>
              </w:rPr>
            </w:pPr>
            <w:r w:rsidRPr="00B37FFD">
              <w:rPr>
                <w:lang w:val="en-GB"/>
              </w:rPr>
              <w:t>3</w:t>
            </w:r>
          </w:p>
        </w:tc>
      </w:tr>
      <w:tr w:rsidR="00B37FFD" w:rsidRPr="00B37FFD" w14:paraId="7CDBBAE8" w14:textId="77777777" w:rsidTr="005105D6">
        <w:tc>
          <w:tcPr>
            <w:cnfStyle w:val="001000000000" w:firstRow="0" w:lastRow="0" w:firstColumn="1" w:lastColumn="0" w:oddVBand="0" w:evenVBand="0" w:oddHBand="0" w:evenHBand="0" w:firstRowFirstColumn="0" w:firstRowLastColumn="0" w:lastRowFirstColumn="0" w:lastRowLastColumn="0"/>
            <w:tcW w:w="0" w:type="auto"/>
            <w:hideMark/>
          </w:tcPr>
          <w:p w14:paraId="7F8A266B" w14:textId="77777777" w:rsidR="00B37FFD" w:rsidRPr="00B37FFD" w:rsidRDefault="00B37FFD" w:rsidP="00B37FFD">
            <w:pPr>
              <w:spacing w:after="120" w:line="264" w:lineRule="auto"/>
              <w:rPr>
                <w:lang w:val="en-GB"/>
              </w:rPr>
            </w:pPr>
            <w:r w:rsidRPr="00B37FFD">
              <w:rPr>
                <w:lang w:val="en-GB"/>
              </w:rPr>
              <w:t>2. Bargaining Power of Suppliers</w:t>
            </w:r>
          </w:p>
        </w:tc>
        <w:tc>
          <w:tcPr>
            <w:tcW w:w="0" w:type="auto"/>
            <w:hideMark/>
          </w:tcPr>
          <w:p w14:paraId="71F0E6A8" w14:textId="77777777" w:rsidR="00B37FFD" w:rsidRPr="00B37FFD" w:rsidRDefault="00B37FFD" w:rsidP="00B37FFD">
            <w:pPr>
              <w:spacing w:after="120" w:line="264" w:lineRule="auto"/>
              <w:cnfStyle w:val="000000000000" w:firstRow="0" w:lastRow="0" w:firstColumn="0" w:lastColumn="0" w:oddVBand="0" w:evenVBand="0" w:oddHBand="0" w:evenHBand="0" w:firstRowFirstColumn="0" w:firstRowLastColumn="0" w:lastRowFirstColumn="0" w:lastRowLastColumn="0"/>
              <w:rPr>
                <w:sz w:val="20"/>
                <w:szCs w:val="20"/>
                <w:lang w:val="en-GB"/>
              </w:rPr>
            </w:pPr>
            <w:r w:rsidRPr="00B37FFD">
              <w:rPr>
                <w:sz w:val="20"/>
                <w:szCs w:val="20"/>
                <w:lang w:val="en-GB"/>
              </w:rPr>
              <w:t>Equipment and raw material suppliers (solar panels, batteries) are diversified but dependent on imports.</w:t>
            </w:r>
          </w:p>
        </w:tc>
        <w:tc>
          <w:tcPr>
            <w:tcW w:w="0" w:type="auto"/>
            <w:hideMark/>
          </w:tcPr>
          <w:p w14:paraId="41CDAAC0" w14:textId="77777777" w:rsidR="00B37FFD" w:rsidRPr="00B37FFD" w:rsidRDefault="00B37FFD" w:rsidP="00B37FFD">
            <w:pPr>
              <w:spacing w:after="120" w:line="264" w:lineRule="auto"/>
              <w:cnfStyle w:val="000000000000" w:firstRow="0" w:lastRow="0" w:firstColumn="0" w:lastColumn="0" w:oddVBand="0" w:evenVBand="0" w:oddHBand="0" w:evenHBand="0" w:firstRowFirstColumn="0" w:firstRowLastColumn="0" w:lastRowFirstColumn="0" w:lastRowLastColumn="0"/>
              <w:rPr>
                <w:sz w:val="20"/>
                <w:szCs w:val="20"/>
                <w:lang w:val="en-GB"/>
              </w:rPr>
            </w:pPr>
            <w:r w:rsidRPr="00B37FFD">
              <w:rPr>
                <w:sz w:val="20"/>
                <w:szCs w:val="20"/>
                <w:lang w:val="en-GB"/>
              </w:rPr>
              <w:t>Moderate – BP can leverage global procurement network.</w:t>
            </w:r>
          </w:p>
        </w:tc>
        <w:tc>
          <w:tcPr>
            <w:tcW w:w="0" w:type="auto"/>
            <w:hideMark/>
          </w:tcPr>
          <w:p w14:paraId="0A1C5B00" w14:textId="77777777" w:rsidR="00B37FFD" w:rsidRPr="00B37FFD" w:rsidRDefault="00B37FFD" w:rsidP="00B37FFD">
            <w:pPr>
              <w:spacing w:after="120" w:line="264" w:lineRule="auto"/>
              <w:cnfStyle w:val="000000000000" w:firstRow="0" w:lastRow="0" w:firstColumn="0" w:lastColumn="0" w:oddVBand="0" w:evenVBand="0" w:oddHBand="0" w:evenHBand="0" w:firstRowFirstColumn="0" w:firstRowLastColumn="0" w:lastRowFirstColumn="0" w:lastRowLastColumn="0"/>
              <w:rPr>
                <w:lang w:val="en-GB"/>
              </w:rPr>
            </w:pPr>
            <w:r w:rsidRPr="00B37FFD">
              <w:rPr>
                <w:lang w:val="en-GB"/>
              </w:rPr>
              <w:t>3</w:t>
            </w:r>
          </w:p>
        </w:tc>
      </w:tr>
      <w:tr w:rsidR="00B37FFD" w:rsidRPr="00B37FFD" w14:paraId="73808299" w14:textId="77777777" w:rsidTr="005105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49E410F" w14:textId="77777777" w:rsidR="00B37FFD" w:rsidRPr="00B37FFD" w:rsidRDefault="00B37FFD" w:rsidP="00B37FFD">
            <w:pPr>
              <w:spacing w:after="120" w:line="264" w:lineRule="auto"/>
              <w:rPr>
                <w:lang w:val="en-GB"/>
              </w:rPr>
            </w:pPr>
            <w:r w:rsidRPr="00B37FFD">
              <w:rPr>
                <w:lang w:val="en-GB"/>
              </w:rPr>
              <w:t>3. Bargaining Power of Buyers</w:t>
            </w:r>
          </w:p>
        </w:tc>
        <w:tc>
          <w:tcPr>
            <w:tcW w:w="0" w:type="auto"/>
            <w:hideMark/>
          </w:tcPr>
          <w:p w14:paraId="163289C9" w14:textId="77777777" w:rsidR="00B37FFD" w:rsidRPr="00B37FFD" w:rsidRDefault="00B37FFD" w:rsidP="00B37FFD">
            <w:pPr>
              <w:spacing w:after="120" w:line="264" w:lineRule="auto"/>
              <w:cnfStyle w:val="000000100000" w:firstRow="0" w:lastRow="0" w:firstColumn="0" w:lastColumn="0" w:oddVBand="0" w:evenVBand="0" w:oddHBand="1" w:evenHBand="0" w:firstRowFirstColumn="0" w:firstRowLastColumn="0" w:lastRowFirstColumn="0" w:lastRowLastColumn="0"/>
              <w:rPr>
                <w:sz w:val="20"/>
                <w:szCs w:val="20"/>
                <w:lang w:val="en-GB"/>
              </w:rPr>
            </w:pPr>
            <w:r w:rsidRPr="00B37FFD">
              <w:rPr>
                <w:sz w:val="20"/>
                <w:szCs w:val="20"/>
                <w:lang w:val="en-GB"/>
              </w:rPr>
              <w:t>Industrial and retail consumers are price-sensitive and environmentally aware.</w:t>
            </w:r>
          </w:p>
        </w:tc>
        <w:tc>
          <w:tcPr>
            <w:tcW w:w="0" w:type="auto"/>
            <w:hideMark/>
          </w:tcPr>
          <w:p w14:paraId="2BDC9360" w14:textId="77777777" w:rsidR="00B37FFD" w:rsidRPr="00B37FFD" w:rsidRDefault="00B37FFD" w:rsidP="00B37FFD">
            <w:pPr>
              <w:spacing w:after="120" w:line="264" w:lineRule="auto"/>
              <w:cnfStyle w:val="000000100000" w:firstRow="0" w:lastRow="0" w:firstColumn="0" w:lastColumn="0" w:oddVBand="0" w:evenVBand="0" w:oddHBand="1" w:evenHBand="0" w:firstRowFirstColumn="0" w:firstRowLastColumn="0" w:lastRowFirstColumn="0" w:lastRowLastColumn="0"/>
              <w:rPr>
                <w:sz w:val="20"/>
                <w:szCs w:val="20"/>
                <w:lang w:val="en-GB"/>
              </w:rPr>
            </w:pPr>
            <w:r w:rsidRPr="00B37FFD">
              <w:rPr>
                <w:sz w:val="20"/>
                <w:szCs w:val="20"/>
                <w:lang w:val="en-GB"/>
              </w:rPr>
              <w:t>High – BP must differentiate via innovation and service quality.</w:t>
            </w:r>
          </w:p>
        </w:tc>
        <w:tc>
          <w:tcPr>
            <w:tcW w:w="0" w:type="auto"/>
            <w:hideMark/>
          </w:tcPr>
          <w:p w14:paraId="480E9BEC" w14:textId="77777777" w:rsidR="00B37FFD" w:rsidRPr="00B37FFD" w:rsidRDefault="00B37FFD" w:rsidP="00B37FFD">
            <w:pPr>
              <w:spacing w:after="120" w:line="264" w:lineRule="auto"/>
              <w:cnfStyle w:val="000000100000" w:firstRow="0" w:lastRow="0" w:firstColumn="0" w:lastColumn="0" w:oddVBand="0" w:evenVBand="0" w:oddHBand="1" w:evenHBand="0" w:firstRowFirstColumn="0" w:firstRowLastColumn="0" w:lastRowFirstColumn="0" w:lastRowLastColumn="0"/>
              <w:rPr>
                <w:lang w:val="en-GB"/>
              </w:rPr>
            </w:pPr>
            <w:r w:rsidRPr="00B37FFD">
              <w:rPr>
                <w:lang w:val="en-GB"/>
              </w:rPr>
              <w:t>4</w:t>
            </w:r>
          </w:p>
        </w:tc>
      </w:tr>
      <w:tr w:rsidR="00B37FFD" w:rsidRPr="00B37FFD" w14:paraId="7F36F541" w14:textId="77777777" w:rsidTr="005105D6">
        <w:tc>
          <w:tcPr>
            <w:cnfStyle w:val="001000000000" w:firstRow="0" w:lastRow="0" w:firstColumn="1" w:lastColumn="0" w:oddVBand="0" w:evenVBand="0" w:oddHBand="0" w:evenHBand="0" w:firstRowFirstColumn="0" w:firstRowLastColumn="0" w:lastRowFirstColumn="0" w:lastRowLastColumn="0"/>
            <w:tcW w:w="0" w:type="auto"/>
            <w:hideMark/>
          </w:tcPr>
          <w:p w14:paraId="241F2DEE" w14:textId="77777777" w:rsidR="00B37FFD" w:rsidRPr="00B37FFD" w:rsidRDefault="00B37FFD" w:rsidP="00B37FFD">
            <w:pPr>
              <w:spacing w:after="120" w:line="264" w:lineRule="auto"/>
              <w:rPr>
                <w:lang w:val="en-GB"/>
              </w:rPr>
            </w:pPr>
            <w:r w:rsidRPr="00B37FFD">
              <w:rPr>
                <w:lang w:val="en-GB"/>
              </w:rPr>
              <w:t>4. Threat of Substitutes</w:t>
            </w:r>
          </w:p>
        </w:tc>
        <w:tc>
          <w:tcPr>
            <w:tcW w:w="0" w:type="auto"/>
            <w:hideMark/>
          </w:tcPr>
          <w:p w14:paraId="5B31D129" w14:textId="77777777" w:rsidR="00B37FFD" w:rsidRPr="00B37FFD" w:rsidRDefault="00B37FFD" w:rsidP="00B37FFD">
            <w:pPr>
              <w:spacing w:after="120" w:line="264" w:lineRule="auto"/>
              <w:cnfStyle w:val="000000000000" w:firstRow="0" w:lastRow="0" w:firstColumn="0" w:lastColumn="0" w:oddVBand="0" w:evenVBand="0" w:oddHBand="0" w:evenHBand="0" w:firstRowFirstColumn="0" w:firstRowLastColumn="0" w:lastRowFirstColumn="0" w:lastRowLastColumn="0"/>
              <w:rPr>
                <w:sz w:val="20"/>
                <w:szCs w:val="20"/>
                <w:lang w:val="en-GB"/>
              </w:rPr>
            </w:pPr>
            <w:r w:rsidRPr="00B37FFD">
              <w:rPr>
                <w:sz w:val="20"/>
                <w:szCs w:val="20"/>
                <w:lang w:val="en-GB"/>
              </w:rPr>
              <w:t>Renewables, hydrogen, and local energy startups create alternatives to fossil fuels.</w:t>
            </w:r>
          </w:p>
        </w:tc>
        <w:tc>
          <w:tcPr>
            <w:tcW w:w="0" w:type="auto"/>
            <w:hideMark/>
          </w:tcPr>
          <w:p w14:paraId="2131F999" w14:textId="77777777" w:rsidR="00B37FFD" w:rsidRPr="00B37FFD" w:rsidRDefault="00B37FFD" w:rsidP="00B37FFD">
            <w:pPr>
              <w:spacing w:after="120" w:line="264" w:lineRule="auto"/>
              <w:cnfStyle w:val="000000000000" w:firstRow="0" w:lastRow="0" w:firstColumn="0" w:lastColumn="0" w:oddVBand="0" w:evenVBand="0" w:oddHBand="0" w:evenHBand="0" w:firstRowFirstColumn="0" w:firstRowLastColumn="0" w:lastRowFirstColumn="0" w:lastRowLastColumn="0"/>
              <w:rPr>
                <w:sz w:val="20"/>
                <w:szCs w:val="20"/>
                <w:lang w:val="en-GB"/>
              </w:rPr>
            </w:pPr>
            <w:r w:rsidRPr="00B37FFD">
              <w:rPr>
                <w:sz w:val="20"/>
                <w:szCs w:val="20"/>
                <w:lang w:val="en-GB"/>
              </w:rPr>
              <w:t>High – BP must accelerate its green transition.</w:t>
            </w:r>
          </w:p>
        </w:tc>
        <w:tc>
          <w:tcPr>
            <w:tcW w:w="0" w:type="auto"/>
            <w:hideMark/>
          </w:tcPr>
          <w:p w14:paraId="1541250C" w14:textId="77777777" w:rsidR="00B37FFD" w:rsidRPr="00B37FFD" w:rsidRDefault="00B37FFD" w:rsidP="00B37FFD">
            <w:pPr>
              <w:spacing w:after="120" w:line="264" w:lineRule="auto"/>
              <w:cnfStyle w:val="000000000000" w:firstRow="0" w:lastRow="0" w:firstColumn="0" w:lastColumn="0" w:oddVBand="0" w:evenVBand="0" w:oddHBand="0" w:evenHBand="0" w:firstRowFirstColumn="0" w:firstRowLastColumn="0" w:lastRowFirstColumn="0" w:lastRowLastColumn="0"/>
              <w:rPr>
                <w:lang w:val="en-GB"/>
              </w:rPr>
            </w:pPr>
            <w:r w:rsidRPr="00B37FFD">
              <w:rPr>
                <w:lang w:val="en-GB"/>
              </w:rPr>
              <w:t>4</w:t>
            </w:r>
          </w:p>
        </w:tc>
      </w:tr>
      <w:tr w:rsidR="00B37FFD" w:rsidRPr="00B37FFD" w14:paraId="24AE38B2" w14:textId="77777777" w:rsidTr="005105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A6BABC8" w14:textId="77777777" w:rsidR="00B37FFD" w:rsidRPr="00B37FFD" w:rsidRDefault="00B37FFD" w:rsidP="00B37FFD">
            <w:pPr>
              <w:spacing w:after="120" w:line="264" w:lineRule="auto"/>
              <w:rPr>
                <w:lang w:val="en-GB"/>
              </w:rPr>
            </w:pPr>
            <w:r w:rsidRPr="00B37FFD">
              <w:rPr>
                <w:lang w:val="en-GB"/>
              </w:rPr>
              <w:t>5. Industry Rivalry</w:t>
            </w:r>
          </w:p>
        </w:tc>
        <w:tc>
          <w:tcPr>
            <w:tcW w:w="0" w:type="auto"/>
            <w:hideMark/>
          </w:tcPr>
          <w:p w14:paraId="0FAA0A86" w14:textId="77777777" w:rsidR="00B37FFD" w:rsidRPr="00B37FFD" w:rsidRDefault="00B37FFD" w:rsidP="00B37FFD">
            <w:pPr>
              <w:spacing w:after="120" w:line="264" w:lineRule="auto"/>
              <w:cnfStyle w:val="000000100000" w:firstRow="0" w:lastRow="0" w:firstColumn="0" w:lastColumn="0" w:oddVBand="0" w:evenVBand="0" w:oddHBand="1" w:evenHBand="0" w:firstRowFirstColumn="0" w:firstRowLastColumn="0" w:lastRowFirstColumn="0" w:lastRowLastColumn="0"/>
              <w:rPr>
                <w:sz w:val="20"/>
                <w:szCs w:val="20"/>
                <w:lang w:val="en-GB"/>
              </w:rPr>
            </w:pPr>
            <w:r w:rsidRPr="00B37FFD">
              <w:rPr>
                <w:sz w:val="20"/>
                <w:szCs w:val="20"/>
                <w:lang w:val="en-GB"/>
              </w:rPr>
              <w:t>Highly competitive, with both domestic (Adani, Tata) and global (Shell, TotalEnergies) players.</w:t>
            </w:r>
          </w:p>
        </w:tc>
        <w:tc>
          <w:tcPr>
            <w:tcW w:w="0" w:type="auto"/>
            <w:hideMark/>
          </w:tcPr>
          <w:p w14:paraId="09627BB1" w14:textId="77777777" w:rsidR="00B37FFD" w:rsidRPr="00B37FFD" w:rsidRDefault="00B37FFD" w:rsidP="00B37FFD">
            <w:pPr>
              <w:spacing w:after="120" w:line="264" w:lineRule="auto"/>
              <w:cnfStyle w:val="000000100000" w:firstRow="0" w:lastRow="0" w:firstColumn="0" w:lastColumn="0" w:oddVBand="0" w:evenVBand="0" w:oddHBand="1" w:evenHBand="0" w:firstRowFirstColumn="0" w:firstRowLastColumn="0" w:lastRowFirstColumn="0" w:lastRowLastColumn="0"/>
              <w:rPr>
                <w:sz w:val="20"/>
                <w:szCs w:val="20"/>
                <w:lang w:val="en-GB"/>
              </w:rPr>
            </w:pPr>
            <w:r w:rsidRPr="00B37FFD">
              <w:rPr>
                <w:sz w:val="20"/>
                <w:szCs w:val="20"/>
                <w:lang w:val="en-GB"/>
              </w:rPr>
              <w:t>Very High – Market share is contested, requiring strategic alliances.</w:t>
            </w:r>
          </w:p>
        </w:tc>
        <w:tc>
          <w:tcPr>
            <w:tcW w:w="0" w:type="auto"/>
            <w:hideMark/>
          </w:tcPr>
          <w:p w14:paraId="222FF3F1" w14:textId="77777777" w:rsidR="00B37FFD" w:rsidRPr="00B37FFD" w:rsidRDefault="00B37FFD" w:rsidP="00B37FFD">
            <w:pPr>
              <w:spacing w:after="120" w:line="264" w:lineRule="auto"/>
              <w:cnfStyle w:val="000000100000" w:firstRow="0" w:lastRow="0" w:firstColumn="0" w:lastColumn="0" w:oddVBand="0" w:evenVBand="0" w:oddHBand="1" w:evenHBand="0" w:firstRowFirstColumn="0" w:firstRowLastColumn="0" w:lastRowFirstColumn="0" w:lastRowLastColumn="0"/>
              <w:rPr>
                <w:lang w:val="en-GB"/>
              </w:rPr>
            </w:pPr>
            <w:r w:rsidRPr="00B37FFD">
              <w:rPr>
                <w:lang w:val="en-GB"/>
              </w:rPr>
              <w:t>5</w:t>
            </w:r>
          </w:p>
        </w:tc>
      </w:tr>
    </w:tbl>
    <w:p w14:paraId="07F39678" w14:textId="77777777" w:rsidR="00D27118" w:rsidRPr="000F1AD2" w:rsidRDefault="00544282" w:rsidP="000767C3">
      <w:pPr>
        <w:rPr>
          <w:sz w:val="20"/>
          <w:szCs w:val="20"/>
          <w:lang w:val="en-GB"/>
        </w:rPr>
      </w:pPr>
      <w:r w:rsidRPr="000F1AD2">
        <w:rPr>
          <w:sz w:val="20"/>
          <w:szCs w:val="20"/>
          <w:lang w:val="en-GB"/>
        </w:rPr>
        <w:t>Source: Adapted from Porter (1980), BP (2024), IEA (2023), and industry reports.</w:t>
      </w:r>
    </w:p>
    <w:p w14:paraId="2C8A4C3E" w14:textId="77777777" w:rsidR="0064245A" w:rsidRDefault="0064245A" w:rsidP="000767C3">
      <w:pPr>
        <w:rPr>
          <w:lang w:val="en-GB"/>
        </w:rPr>
      </w:pPr>
    </w:p>
    <w:p w14:paraId="484E8F23" w14:textId="77777777" w:rsidR="00CB61F8" w:rsidRDefault="00CB61F8" w:rsidP="000767C3">
      <w:pPr>
        <w:rPr>
          <w:lang w:val="en-GB"/>
        </w:rPr>
      </w:pPr>
    </w:p>
    <w:p w14:paraId="1746AF99" w14:textId="77777777" w:rsidR="00CB61F8" w:rsidRDefault="00CB61F8" w:rsidP="000767C3">
      <w:pPr>
        <w:rPr>
          <w:lang w:val="en-GB"/>
        </w:rPr>
      </w:pPr>
    </w:p>
    <w:p w14:paraId="17487233" w14:textId="77777777" w:rsidR="00CB61F8" w:rsidRDefault="00CB61F8" w:rsidP="000767C3">
      <w:pPr>
        <w:rPr>
          <w:lang w:val="en-GB"/>
        </w:rPr>
      </w:pPr>
    </w:p>
    <w:p w14:paraId="4B2A33E7" w14:textId="77777777" w:rsidR="00CB61F8" w:rsidRDefault="00CB61F8" w:rsidP="000767C3">
      <w:pPr>
        <w:rPr>
          <w:lang w:val="en-GB"/>
        </w:rPr>
      </w:pPr>
    </w:p>
    <w:p w14:paraId="47D0E8CB" w14:textId="77777777" w:rsidR="004275D8" w:rsidRPr="004275D8" w:rsidRDefault="004275D8" w:rsidP="004275D8">
      <w:pPr>
        <w:rPr>
          <w:lang w:val="en-GB"/>
        </w:rPr>
      </w:pPr>
      <w:r w:rsidRPr="004275D8">
        <w:rPr>
          <w:lang w:val="en-GB"/>
        </w:rPr>
        <w:t>Table 1 summarises the competitive forces shaping the strategic environment of India’s energy industry. The overall competitive intensity is high, reflecting the dual presence of powerful domestic players (Adani, Tata) and well-established multinationals (Shell, TotalEnergies).</w:t>
      </w:r>
    </w:p>
    <w:p w14:paraId="1A4B1D7B" w14:textId="77777777" w:rsidR="004275D8" w:rsidRPr="004275D8" w:rsidRDefault="004275D8" w:rsidP="004275D8">
      <w:pPr>
        <w:rPr>
          <w:lang w:val="en-GB"/>
        </w:rPr>
      </w:pPr>
      <w:r w:rsidRPr="004275D8">
        <w:rPr>
          <w:lang w:val="en-GB"/>
        </w:rPr>
        <w:t>The threat of new entrants (3/5) remains moderate because large capital investment, policy approvals, and land acquisition processes create significant entry barriers. However, India’s favourable renewable policies have encouraged smaller start-ups, particularly in solar and green hydrogen.</w:t>
      </w:r>
    </w:p>
    <w:p w14:paraId="51DF4969" w14:textId="77777777" w:rsidR="004275D8" w:rsidRPr="004275D8" w:rsidRDefault="004275D8" w:rsidP="004275D8">
      <w:pPr>
        <w:rPr>
          <w:lang w:val="en-GB"/>
        </w:rPr>
      </w:pPr>
      <w:r w:rsidRPr="004275D8">
        <w:rPr>
          <w:lang w:val="en-GB"/>
        </w:rPr>
        <w:t>The bargaining power of suppliers (3/5) is balanced, as India depends on imported technology and raw materials, but BP’s global supply chain and procurement scale can mitigate these constraints.</w:t>
      </w:r>
    </w:p>
    <w:p w14:paraId="4A470E76" w14:textId="77777777" w:rsidR="004275D8" w:rsidRPr="004275D8" w:rsidRDefault="004275D8" w:rsidP="004275D8">
      <w:pPr>
        <w:rPr>
          <w:lang w:val="en-GB"/>
        </w:rPr>
      </w:pPr>
      <w:r w:rsidRPr="004275D8">
        <w:rPr>
          <w:lang w:val="en-GB"/>
        </w:rPr>
        <w:t>The bargaining power of buyers (4/5) is notably high due to India’s price-sensitive market and the rise of sustainability-conscious consumers. BP must therefore compete not only on price but on digital convenience, innovation, and brand trust.</w:t>
      </w:r>
    </w:p>
    <w:p w14:paraId="369AD6E9" w14:textId="77777777" w:rsidR="004275D8" w:rsidRPr="004275D8" w:rsidRDefault="004275D8" w:rsidP="004275D8">
      <w:pPr>
        <w:rPr>
          <w:lang w:val="en-GB"/>
        </w:rPr>
      </w:pPr>
      <w:r w:rsidRPr="004275D8">
        <w:rPr>
          <w:lang w:val="en-GB"/>
        </w:rPr>
        <w:t>The threat of substitutes (4/5) continues to rise as renewable and decentralised energy technologies become mainstream. Firms like Adani Green and Tata Power are already shifting the market away from fossil fuels.</w:t>
      </w:r>
    </w:p>
    <w:p w14:paraId="6997FDF2" w14:textId="77777777" w:rsidR="004275D8" w:rsidRPr="004275D8" w:rsidRDefault="004275D8" w:rsidP="004275D8">
      <w:pPr>
        <w:rPr>
          <w:lang w:val="en-GB"/>
        </w:rPr>
      </w:pPr>
      <w:r w:rsidRPr="004275D8">
        <w:rPr>
          <w:lang w:val="en-GB"/>
        </w:rPr>
        <w:t>Finally, industry rivalry (5/5) is intense. Domestic giants benefit from government incentives, while international players compete through joint ventures and green investment commitments. This reinforces the need for BP to differentiate strategically through innovation, technology partnerships, and rapid renewable deployment.</w:t>
      </w:r>
    </w:p>
    <w:p w14:paraId="0216B2BD" w14:textId="28F4DA33" w:rsidR="00D27118" w:rsidRDefault="004275D8" w:rsidP="004275D8">
      <w:pPr>
        <w:rPr>
          <w:lang w:val="en-GB"/>
        </w:rPr>
      </w:pPr>
      <w:r w:rsidRPr="004275D8">
        <w:rPr>
          <w:lang w:val="en-GB"/>
        </w:rPr>
        <w:t>In conclusion, BP faces a highly competitive yet opportunity-rich environment in India. The key to success lies in leveraging its global expertise to achieve cost efficiency and innovation leadership while adapting to India’s policy-driven energy transition.</w:t>
      </w:r>
    </w:p>
    <w:p w14:paraId="41598BDA" w14:textId="1A0962E3" w:rsidR="001271B0" w:rsidRDefault="001271B0" w:rsidP="004275D8">
      <w:pPr>
        <w:rPr>
          <w:lang w:val="en-GB"/>
        </w:rPr>
      </w:pPr>
      <w:r w:rsidRPr="001271B0">
        <w:rPr>
          <w:lang w:val="en-GB"/>
        </w:rPr>
        <w:t>Critique of Porter’s Five Forces in the Context of Strategic Alliances Although Porter’s Five Forces framework effectively highlights industry rivalry, it has faced academic criticism for underestimating the role of collaboration and strategic alliances (Grundy, 2006). In the case of BP’s entry into India, the traditional view of 'supplier power' and 'rivalry' is mitigated by the Jio-bp joint venture, which transforms potential competitors (like Reliance) into partners. As Teece (2007) argues, dynamic capabilities and ecosystem orchestration are often more critical than static positioning in high-velocity industries. Therefore, while Porter’s model identifies structural threats, it must be complemented by a resource-based view to fully appreciate BP’s cooperative strategy.</w:t>
      </w:r>
    </w:p>
    <w:p w14:paraId="7568EF58" w14:textId="62777281" w:rsidR="00BF6C7E" w:rsidRDefault="00BF6C7E" w:rsidP="000767C3">
      <w:pPr>
        <w:rPr>
          <w:lang w:val="en-GB"/>
        </w:rPr>
      </w:pPr>
      <w:r>
        <w:rPr>
          <w:noProof/>
          <w:lang w:val="en-GB"/>
        </w:rPr>
        <w:lastRenderedPageBreak/>
        <w:drawing>
          <wp:inline distT="0" distB="0" distL="0" distR="0" wp14:anchorId="65321D74" wp14:editId="296D2DC8">
            <wp:extent cx="5486400" cy="3268345"/>
            <wp:effectExtent l="0" t="0" r="0" b="8255"/>
            <wp:docPr id="548374123" name="Picture 1" descr="A graph of a bar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8374123" name="Picture 1" descr="A graph of a bar chart&#10;&#10;AI-generated content may be incorrect."/>
                    <pic:cNvPicPr/>
                  </pic:nvPicPr>
                  <pic:blipFill>
                    <a:blip r:embed="rId12"/>
                    <a:stretch>
                      <a:fillRect/>
                    </a:stretch>
                  </pic:blipFill>
                  <pic:spPr>
                    <a:xfrm>
                      <a:off x="0" y="0"/>
                      <a:ext cx="5486400" cy="3268345"/>
                    </a:xfrm>
                    <a:prstGeom prst="rect">
                      <a:avLst/>
                    </a:prstGeom>
                  </pic:spPr>
                </pic:pic>
              </a:graphicData>
            </a:graphic>
          </wp:inline>
        </w:drawing>
      </w:r>
    </w:p>
    <w:p w14:paraId="57B652E7" w14:textId="77777777" w:rsidR="00D27118" w:rsidRDefault="00D27118" w:rsidP="000767C3">
      <w:pPr>
        <w:rPr>
          <w:lang w:val="en-GB"/>
        </w:rPr>
      </w:pPr>
    </w:p>
    <w:p w14:paraId="4CB940FF" w14:textId="77777777" w:rsidR="000A202C" w:rsidRPr="000A202C" w:rsidRDefault="000A202C" w:rsidP="000A202C">
      <w:pPr>
        <w:rPr>
          <w:lang w:val="en-GB"/>
        </w:rPr>
      </w:pPr>
      <w:r w:rsidRPr="000A202C">
        <w:rPr>
          <w:lang w:val="en-GB"/>
        </w:rPr>
        <w:t>Adani Green Energy – Rapid scale-up through domestic policy support and cost efficiency gives local firms a home-ground advantage, intensifying rivalry (IEA, 2023).</w:t>
      </w:r>
    </w:p>
    <w:p w14:paraId="79FF5FFC" w14:textId="77777777" w:rsidR="000A202C" w:rsidRPr="000A202C" w:rsidRDefault="000A202C" w:rsidP="000A202C">
      <w:pPr>
        <w:rPr>
          <w:lang w:val="en-GB"/>
        </w:rPr>
      </w:pPr>
    </w:p>
    <w:p w14:paraId="55122F39" w14:textId="77777777" w:rsidR="000A202C" w:rsidRPr="000A202C" w:rsidRDefault="000A202C" w:rsidP="000A202C">
      <w:pPr>
        <w:rPr>
          <w:lang w:val="en-GB"/>
        </w:rPr>
      </w:pPr>
      <w:r w:rsidRPr="000A202C">
        <w:rPr>
          <w:lang w:val="en-GB"/>
        </w:rPr>
        <w:t>Shell Energy India – Focus on LNG and EV charging infrastructure since 2018; successful due to joint ventures with local distributors, illustrating how partnerships can reduce entry barriers (Shell, 2023).</w:t>
      </w:r>
    </w:p>
    <w:p w14:paraId="35AA6E1B" w14:textId="77777777" w:rsidR="000A202C" w:rsidRPr="000A202C" w:rsidRDefault="000A202C" w:rsidP="000A202C">
      <w:pPr>
        <w:rPr>
          <w:lang w:val="en-GB"/>
        </w:rPr>
      </w:pPr>
    </w:p>
    <w:p w14:paraId="664ED7D3" w14:textId="77777777" w:rsidR="000A202C" w:rsidRPr="000A202C" w:rsidRDefault="000A202C" w:rsidP="000A202C">
      <w:pPr>
        <w:rPr>
          <w:lang w:val="en-GB"/>
        </w:rPr>
      </w:pPr>
      <w:r w:rsidRPr="000A202C">
        <w:rPr>
          <w:lang w:val="en-GB"/>
        </w:rPr>
        <w:t>TotalEnergies–Adani JV – Demonstrates strategic complementarity; foreign capital with local networks enables rapid renewable capacity expansion (TotalEnergies, 2024).</w:t>
      </w:r>
    </w:p>
    <w:p w14:paraId="79BAA792" w14:textId="77777777" w:rsidR="000A202C" w:rsidRPr="000A202C" w:rsidRDefault="000A202C" w:rsidP="000A202C">
      <w:pPr>
        <w:rPr>
          <w:lang w:val="en-GB"/>
        </w:rPr>
      </w:pPr>
    </w:p>
    <w:p w14:paraId="08BB77CA" w14:textId="77777777" w:rsidR="000A202C" w:rsidRPr="000A202C" w:rsidRDefault="000A202C" w:rsidP="000A202C">
      <w:pPr>
        <w:rPr>
          <w:lang w:val="en-GB"/>
        </w:rPr>
      </w:pPr>
      <w:r w:rsidRPr="000A202C">
        <w:rPr>
          <w:lang w:val="en-GB"/>
        </w:rPr>
        <w:t>Tata Power – Established brand trust and national presence make it difficult for new entrants to compete without local alliances (World Bank, 2024).</w:t>
      </w:r>
    </w:p>
    <w:p w14:paraId="1AEF3BA7" w14:textId="77777777" w:rsidR="000A202C" w:rsidRPr="000A202C" w:rsidRDefault="000A202C" w:rsidP="000A202C">
      <w:pPr>
        <w:rPr>
          <w:lang w:val="en-GB"/>
        </w:rPr>
      </w:pPr>
    </w:p>
    <w:p w14:paraId="02336AF7" w14:textId="66D04324" w:rsidR="004275D8" w:rsidRDefault="000A202C" w:rsidP="000A202C">
      <w:pPr>
        <w:rPr>
          <w:lang w:val="en-GB"/>
        </w:rPr>
      </w:pPr>
      <w:r w:rsidRPr="000A202C">
        <w:rPr>
          <w:lang w:val="en-GB"/>
        </w:rPr>
        <w:t>BP’s Opportunity – BP’s success depends on replicating these partnership models while differentiating through its technological and sustainability credentials.</w:t>
      </w:r>
    </w:p>
    <w:p w14:paraId="66794295" w14:textId="77777777" w:rsidR="00127122" w:rsidRDefault="00127122" w:rsidP="00127122">
      <w:pPr>
        <w:rPr>
          <w:lang w:val="en-GB"/>
        </w:rPr>
      </w:pPr>
    </w:p>
    <w:p w14:paraId="4954AAA6" w14:textId="2B6DA522" w:rsidR="005626CC" w:rsidRPr="005626CC" w:rsidRDefault="005626CC" w:rsidP="005626CC">
      <w:pPr>
        <w:pStyle w:val="Heading2"/>
        <w:rPr>
          <w:lang w:val="en-GB"/>
        </w:rPr>
      </w:pPr>
      <w:bookmarkStart w:id="13" w:name="_Toc215236114"/>
      <w:r w:rsidRPr="005626CC">
        <w:rPr>
          <w:lang w:val="en-GB"/>
        </w:rPr>
        <w:lastRenderedPageBreak/>
        <w:t>3.</w:t>
      </w:r>
      <w:r w:rsidR="009C1242">
        <w:rPr>
          <w:lang w:val="en-GB"/>
        </w:rPr>
        <w:t>3</w:t>
      </w:r>
      <w:r w:rsidRPr="005626CC">
        <w:rPr>
          <w:lang w:val="en-GB"/>
        </w:rPr>
        <w:t>.1: SWOT Analysis – Strategic Summary of BP’s Position in India</w:t>
      </w:r>
      <w:bookmarkEnd w:id="13"/>
    </w:p>
    <w:p w14:paraId="502375C6" w14:textId="77777777" w:rsidR="005626CC" w:rsidRPr="005626CC" w:rsidRDefault="005626CC" w:rsidP="005626CC">
      <w:pPr>
        <w:rPr>
          <w:lang w:val="en-GB"/>
        </w:rPr>
      </w:pPr>
    </w:p>
    <w:p w14:paraId="7B6A141A" w14:textId="77777777" w:rsidR="005626CC" w:rsidRPr="005626CC" w:rsidRDefault="005626CC" w:rsidP="005626CC">
      <w:pPr>
        <w:rPr>
          <w:lang w:val="en-GB"/>
        </w:rPr>
      </w:pPr>
      <w:r w:rsidRPr="005626CC">
        <w:rPr>
          <w:lang w:val="en-GB"/>
        </w:rPr>
        <w:t>In order to complement the external (PESTLE, Porter) and internal (VRIO) analyses, this section provides a SWOT analysis of BP’s strategic position in the Indian energy market. The SWOT framework offers a succinct synthesis of the company’s key Strengths, Weaknesses, Opportunities, and Threats, enabling a holistic understanding of both internal capabilities and external pressures.</w:t>
      </w:r>
    </w:p>
    <w:p w14:paraId="1603EF17" w14:textId="77777777" w:rsidR="005626CC" w:rsidRPr="005626CC" w:rsidRDefault="005626CC" w:rsidP="005626CC">
      <w:pPr>
        <w:rPr>
          <w:lang w:val="en-GB"/>
        </w:rPr>
      </w:pPr>
      <w:r w:rsidRPr="005626CC">
        <w:rPr>
          <w:lang w:val="en-GB"/>
        </w:rPr>
        <w:t>BP’s robust global brand, financial strength, and technological leadership—particularly in hydrogen and electric mobility—serve as critical assets for market expansion. The existing Jio-bp joint venture further strengthens local adaptability and operational entry. However, legacy dependency on fossil fuels and limited current scale in India compared to domestic giants such as Tata and Adani represent notable constraints.</w:t>
      </w:r>
    </w:p>
    <w:p w14:paraId="5992D836" w14:textId="77777777" w:rsidR="005626CC" w:rsidRPr="005626CC" w:rsidRDefault="005626CC" w:rsidP="005626CC">
      <w:pPr>
        <w:rPr>
          <w:lang w:val="en-GB"/>
        </w:rPr>
      </w:pPr>
      <w:r w:rsidRPr="005626CC">
        <w:rPr>
          <w:lang w:val="en-GB"/>
        </w:rPr>
        <w:t>Externally, India offers a wealth of opportunities including policy-driven renewable energy growth, a rapidly expanding market, and increasing consumer demand for sustainable solutions. Conversely, regulatory fragmentation, infrastructural bottlenecks, and intense market rivalry pose substantial strategic threats.</w:t>
      </w:r>
    </w:p>
    <w:p w14:paraId="73745CF9" w14:textId="77777777" w:rsidR="005626CC" w:rsidRDefault="005626CC" w:rsidP="005626CC">
      <w:pPr>
        <w:rPr>
          <w:lang w:val="en-GB"/>
        </w:rPr>
      </w:pPr>
      <w:r w:rsidRPr="005626CC">
        <w:rPr>
          <w:lang w:val="en-GB"/>
        </w:rPr>
        <w:t>The following table summarises the SWOT analysis:</w:t>
      </w:r>
    </w:p>
    <w:p w14:paraId="7B2C1CBB" w14:textId="200C02BF" w:rsidR="00127122" w:rsidRDefault="00CE704A" w:rsidP="005626CC">
      <w:pPr>
        <w:rPr>
          <w:lang w:val="en-GB"/>
        </w:rPr>
      </w:pPr>
      <w:r>
        <w:rPr>
          <w:noProof/>
          <w:lang w:val="en-GB"/>
        </w:rPr>
        <mc:AlternateContent>
          <mc:Choice Requires="wpi">
            <w:drawing>
              <wp:anchor distT="0" distB="0" distL="114300" distR="114300" simplePos="0" relativeHeight="251656192" behindDoc="0" locked="0" layoutInCell="1" allowOverlap="1" wp14:anchorId="07D20B11" wp14:editId="29098945">
                <wp:simplePos x="0" y="0"/>
                <wp:positionH relativeFrom="column">
                  <wp:posOffset>-2895540</wp:posOffset>
                </wp:positionH>
                <wp:positionV relativeFrom="paragraph">
                  <wp:posOffset>-236280</wp:posOffset>
                </wp:positionV>
                <wp:extent cx="4680" cy="360"/>
                <wp:effectExtent l="57150" t="76200" r="52705" b="76200"/>
                <wp:wrapNone/>
                <wp:docPr id="1332422653" name="Ink 7"/>
                <wp:cNvGraphicFramePr/>
                <a:graphic xmlns:a="http://schemas.openxmlformats.org/drawingml/2006/main">
                  <a:graphicData uri="http://schemas.microsoft.com/office/word/2010/wordprocessingInk">
                    <w14:contentPart bwMode="auto" r:id="rId13">
                      <w14:nvContentPartPr>
                        <w14:cNvContentPartPr/>
                      </w14:nvContentPartPr>
                      <w14:xfrm>
                        <a:off x="0" y="0"/>
                        <a:ext cx="4680" cy="360"/>
                      </w14:xfrm>
                    </w14:contentPart>
                  </a:graphicData>
                </a:graphic>
              </wp:anchor>
            </w:drawing>
          </mc:Choice>
          <mc:Fallback>
            <w:pict>
              <v:shapetype w14:anchorId="1662422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7" o:spid="_x0000_s1026" type="#_x0000_t75" style="position:absolute;margin-left:-229.4pt;margin-top:-20pt;width:3.15pt;height:2.9pt;z-index:2516561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">
                <v:imagedata r:id="rId14" o:title=""/>
              </v:shape>
            </w:pict>
          </mc:Fallback>
        </mc:AlternateContent>
      </w:r>
      <w:r w:rsidR="005626CC" w:rsidRPr="005626CC">
        <w:rPr>
          <w:lang w:val="en-GB"/>
        </w:rPr>
        <w:t xml:space="preserve">Table </w:t>
      </w:r>
      <w:r w:rsidR="00E774F9">
        <w:rPr>
          <w:lang w:val="en-GB"/>
        </w:rPr>
        <w:t>2</w:t>
      </w:r>
      <w:r w:rsidR="005626CC" w:rsidRPr="005626CC">
        <w:rPr>
          <w:lang w:val="en-GB"/>
        </w:rPr>
        <w:t>: SWOT Analysis of BP in the Indian Energy Market (2025)</w:t>
      </w:r>
    </w:p>
    <w:p w14:paraId="03BF5129" w14:textId="77777777" w:rsidR="00E774F9" w:rsidRDefault="00E774F9" w:rsidP="005626CC">
      <w:pPr>
        <w:rPr>
          <w:lang w:val="en-GB"/>
        </w:rPr>
      </w:pPr>
    </w:p>
    <w:p w14:paraId="68AD341D" w14:textId="67AC9B3B" w:rsidR="00127122" w:rsidRPr="000D7576" w:rsidRDefault="00240667" w:rsidP="000A202C">
      <w:pPr>
        <w:rPr>
          <w:sz w:val="28"/>
          <w:szCs w:val="28"/>
          <w:lang w:val="en-GB"/>
        </w:rPr>
      </w:pPr>
      <w:r w:rsidRPr="000D7576">
        <w:rPr>
          <w:noProof/>
          <w:sz w:val="28"/>
          <w:szCs w:val="28"/>
          <w:lang w:val="en-GB"/>
        </w:rPr>
        <mc:AlternateContent>
          <mc:Choice Requires="wpi">
            <w:drawing>
              <wp:anchor distT="0" distB="0" distL="114300" distR="114300" simplePos="0" relativeHeight="251652096" behindDoc="0" locked="0" layoutInCell="1" allowOverlap="1" wp14:anchorId="228FFA86" wp14:editId="17EC491C">
                <wp:simplePos x="0" y="0"/>
                <wp:positionH relativeFrom="column">
                  <wp:posOffset>37465</wp:posOffset>
                </wp:positionH>
                <wp:positionV relativeFrom="paragraph">
                  <wp:posOffset>1966595</wp:posOffset>
                </wp:positionV>
                <wp:extent cx="5526360" cy="360"/>
                <wp:effectExtent l="38100" t="38100" r="36830" b="38100"/>
                <wp:wrapNone/>
                <wp:docPr id="1613415277" name="Ink 3"/>
                <wp:cNvGraphicFramePr/>
                <a:graphic xmlns:a="http://schemas.openxmlformats.org/drawingml/2006/main">
                  <a:graphicData uri="http://schemas.microsoft.com/office/word/2010/wordprocessingInk">
                    <w14:contentPart bwMode="auto" r:id="rId15">
                      <w14:nvContentPartPr>
                        <w14:cNvContentPartPr/>
                      </w14:nvContentPartPr>
                      <w14:xfrm>
                        <a:off x="0" y="0"/>
                        <a:ext cx="5526360" cy="360"/>
                      </w14:xfrm>
                    </w14:contentPart>
                  </a:graphicData>
                </a:graphic>
              </wp:anchor>
            </w:drawing>
          </mc:Choice>
          <mc:Fallback>
            <w:pict>
              <v:shape w14:anchorId="38CAE1F9" id="Ink 3" o:spid="_x0000_s1026" type="#_x0000_t75" style="position:absolute;margin-left:2.6pt;margin-top:154.5pt;width:435.9pt;height:.75pt;z-index:2516520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">
                <v:imagedata r:id="rId16" o:title=""/>
              </v:shape>
            </w:pict>
          </mc:Fallback>
        </mc:AlternateContent>
      </w:r>
      <w:r>
        <w:rPr>
          <w:noProof/>
          <w:sz w:val="28"/>
          <w:szCs w:val="28"/>
          <w:lang w:val="en-GB"/>
        </w:rPr>
        <mc:AlternateContent>
          <mc:Choice Requires="wpi">
            <w:drawing>
              <wp:anchor distT="0" distB="0" distL="114300" distR="114300" simplePos="0" relativeHeight="251664384" behindDoc="0" locked="0" layoutInCell="1" allowOverlap="1" wp14:anchorId="11AC5EEE" wp14:editId="01DA30A8">
                <wp:simplePos x="0" y="0"/>
                <wp:positionH relativeFrom="column">
                  <wp:posOffset>-2924265</wp:posOffset>
                </wp:positionH>
                <wp:positionV relativeFrom="paragraph">
                  <wp:posOffset>626550</wp:posOffset>
                </wp:positionV>
                <wp:extent cx="360" cy="360"/>
                <wp:effectExtent l="38100" t="38100" r="38100" b="38100"/>
                <wp:wrapNone/>
                <wp:docPr id="1383645331" name="Ink 4"/>
                <wp:cNvGraphicFramePr/>
                <a:graphic xmlns:a="http://schemas.openxmlformats.org/drawingml/2006/main">
                  <a:graphicData uri="http://schemas.microsoft.com/office/word/2010/wordprocessingInk">
                    <w14:contentPart bwMode="auto" r:id="rId17">
                      <w14:nvContentPartPr>
                        <w14:cNvContentPartPr/>
                      </w14:nvContentPartPr>
                      <w14:xfrm>
                        <a:off x="0" y="0"/>
                        <a:ext cx="360" cy="360"/>
                      </w14:xfrm>
                    </w14:contentPart>
                  </a:graphicData>
                </a:graphic>
              </wp:anchor>
            </w:drawing>
          </mc:Choice>
          <mc:Fallback>
            <w:pict>
              <v:shape w14:anchorId="17E040C0" id="Ink 4" o:spid="_x0000_s1026" type="#_x0000_t75" style="position:absolute;margin-left:-230.6pt;margin-top:49pt;width:.75pt;height:.7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">
                <v:imagedata r:id="rId18" o:title=""/>
              </v:shape>
            </w:pict>
          </mc:Fallback>
        </mc:AlternateContent>
      </w:r>
      <w:r>
        <w:rPr>
          <w:noProof/>
          <w:sz w:val="28"/>
          <w:szCs w:val="28"/>
          <w:lang w:val="en-GB"/>
        </w:rPr>
        <mc:AlternateContent>
          <mc:Choice Requires="wpi">
            <w:drawing>
              <wp:anchor distT="0" distB="0" distL="114300" distR="114300" simplePos="0" relativeHeight="251662336" behindDoc="0" locked="0" layoutInCell="1" allowOverlap="1" wp14:anchorId="717EA256" wp14:editId="2853587F">
                <wp:simplePos x="0" y="0"/>
                <wp:positionH relativeFrom="column">
                  <wp:posOffset>-542865</wp:posOffset>
                </wp:positionH>
                <wp:positionV relativeFrom="paragraph">
                  <wp:posOffset>2026590</wp:posOffset>
                </wp:positionV>
                <wp:extent cx="360" cy="360"/>
                <wp:effectExtent l="38100" t="38100" r="38100" b="38100"/>
                <wp:wrapNone/>
                <wp:docPr id="1448949842" name="Ink 3"/>
                <wp:cNvGraphicFramePr/>
                <a:graphic xmlns:a="http://schemas.openxmlformats.org/drawingml/2006/main">
                  <a:graphicData uri="http://schemas.microsoft.com/office/word/2010/wordprocessingInk">
                    <w14:contentPart bwMode="auto" r:id="rId19">
                      <w14:nvContentPartPr>
                        <w14:cNvContentPartPr/>
                      </w14:nvContentPartPr>
                      <w14:xfrm>
                        <a:off x="0" y="0"/>
                        <a:ext cx="360" cy="360"/>
                      </w14:xfrm>
                    </w14:contentPart>
                  </a:graphicData>
                </a:graphic>
              </wp:anchor>
            </w:drawing>
          </mc:Choice>
          <mc:Fallback>
            <w:pict>
              <v:shape w14:anchorId="1792790B" id="Ink 3" o:spid="_x0000_s1026" type="#_x0000_t75" style="position:absolute;margin-left:-43.1pt;margin-top:159.2pt;width:.75pt;height:.7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">
                <v:imagedata r:id="rId18" o:title=""/>
              </v:shape>
            </w:pict>
          </mc:Fallback>
        </mc:AlternateContent>
      </w:r>
      <w:r>
        <w:rPr>
          <w:noProof/>
          <w:sz w:val="28"/>
          <w:szCs w:val="28"/>
          <w:lang w:val="en-GB"/>
        </w:rPr>
        <mc:AlternateContent>
          <mc:Choice Requires="wpi">
            <w:drawing>
              <wp:anchor distT="0" distB="0" distL="114300" distR="114300" simplePos="0" relativeHeight="251659264" behindDoc="0" locked="0" layoutInCell="1" allowOverlap="1" wp14:anchorId="32D995AE" wp14:editId="67AE270D">
                <wp:simplePos x="0" y="0"/>
                <wp:positionH relativeFrom="column">
                  <wp:posOffset>2680935</wp:posOffset>
                </wp:positionH>
                <wp:positionV relativeFrom="paragraph">
                  <wp:posOffset>684870</wp:posOffset>
                </wp:positionV>
                <wp:extent cx="360" cy="2494440"/>
                <wp:effectExtent l="38100" t="38100" r="38100" b="39370"/>
                <wp:wrapNone/>
                <wp:docPr id="1865771492" name="Ink 2"/>
                <wp:cNvGraphicFramePr/>
                <a:graphic xmlns:a="http://schemas.openxmlformats.org/drawingml/2006/main">
                  <a:graphicData uri="http://schemas.microsoft.com/office/word/2010/wordprocessingInk">
                    <w14:contentPart bwMode="auto" r:id="rId20">
                      <w14:nvContentPartPr>
                        <w14:cNvContentPartPr/>
                      </w14:nvContentPartPr>
                      <w14:xfrm>
                        <a:off x="0" y="0"/>
                        <a:ext cx="360" cy="2494440"/>
                      </w14:xfrm>
                    </w14:contentPart>
                  </a:graphicData>
                </a:graphic>
              </wp:anchor>
            </w:drawing>
          </mc:Choice>
          <mc:Fallback>
            <w:pict>
              <v:shape w14:anchorId="2A3F0FFF" id="Ink 2" o:spid="_x0000_s1026" type="#_x0000_t75" style="position:absolute;margin-left:210.75pt;margin-top:53.6pt;width:.75pt;height:197.1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">
                <v:imagedata r:id="rId21" o:title=""/>
              </v:shape>
            </w:pict>
          </mc:Fallback>
        </mc:AlternateContent>
      </w:r>
      <w:r w:rsidR="000C3D2D" w:rsidRPr="000D7576">
        <w:rPr>
          <w:noProof/>
          <w:sz w:val="28"/>
          <w:szCs w:val="28"/>
          <w:lang w:val="en-GB"/>
        </w:rPr>
        <mc:AlternateContent>
          <mc:Choice Requires="wpi">
            <w:drawing>
              <wp:anchor distT="0" distB="0" distL="114300" distR="114300" simplePos="0" relativeHeight="251655168" behindDoc="0" locked="0" layoutInCell="1" allowOverlap="1" wp14:anchorId="27B40B1B" wp14:editId="5D5E7BE4">
                <wp:simplePos x="0" y="0"/>
                <wp:positionH relativeFrom="column">
                  <wp:posOffset>5844540</wp:posOffset>
                </wp:positionH>
                <wp:positionV relativeFrom="paragraph">
                  <wp:posOffset>1732915</wp:posOffset>
                </wp:positionV>
                <wp:extent cx="360" cy="360"/>
                <wp:effectExtent l="38100" t="38100" r="38100" b="38100"/>
                <wp:wrapNone/>
                <wp:docPr id="12112520" name="Ink 6"/>
                <wp:cNvGraphicFramePr/>
                <a:graphic xmlns:a="http://schemas.openxmlformats.org/drawingml/2006/main">
                  <a:graphicData uri="http://schemas.microsoft.com/office/word/2010/wordprocessingInk">
                    <w14:contentPart bwMode="auto" r:id="rId22">
                      <w14:nvContentPartPr>
                        <w14:cNvContentPartPr/>
                      </w14:nvContentPartPr>
                      <w14:xfrm>
                        <a:off x="0" y="0"/>
                        <a:ext cx="360" cy="360"/>
                      </w14:xfrm>
                    </w14:contentPart>
                  </a:graphicData>
                </a:graphic>
              </wp:anchor>
            </w:drawing>
          </mc:Choice>
          <mc:Fallback>
            <w:pict>
              <v:shape w14:anchorId="6A2383B6" id="Ink 6" o:spid="_x0000_s1026" type="#_x0000_t75" style="position:absolute;margin-left:459.85pt;margin-top:136.1pt;width:.75pt;height:.75pt;z-index:2516551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">
                <v:imagedata r:id="rId18" o:title=""/>
              </v:shape>
            </w:pict>
          </mc:Fallback>
        </mc:AlternateContent>
      </w:r>
      <w:r w:rsidR="000C3D2D" w:rsidRPr="000D7576">
        <w:rPr>
          <w:noProof/>
          <w:sz w:val="28"/>
          <w:szCs w:val="28"/>
          <w:lang w:val="en-GB"/>
        </w:rPr>
        <mc:AlternateContent>
          <mc:Choice Requires="wpi">
            <w:drawing>
              <wp:anchor distT="0" distB="0" distL="114300" distR="114300" simplePos="0" relativeHeight="251653120" behindDoc="0" locked="0" layoutInCell="1" allowOverlap="1" wp14:anchorId="0B8E1677" wp14:editId="6F1A8FE3">
                <wp:simplePos x="0" y="0"/>
                <wp:positionH relativeFrom="column">
                  <wp:posOffset>45660</wp:posOffset>
                </wp:positionH>
                <wp:positionV relativeFrom="paragraph">
                  <wp:posOffset>669475</wp:posOffset>
                </wp:positionV>
                <wp:extent cx="5477040" cy="360"/>
                <wp:effectExtent l="38100" t="38100" r="47625" b="38100"/>
                <wp:wrapNone/>
                <wp:docPr id="294469515" name="Ink 4"/>
                <wp:cNvGraphicFramePr/>
                <a:graphic xmlns:a="http://schemas.openxmlformats.org/drawingml/2006/main">
                  <a:graphicData uri="http://schemas.microsoft.com/office/word/2010/wordprocessingInk">
                    <w14:contentPart bwMode="auto" r:id="rId23">
                      <w14:nvContentPartPr>
                        <w14:cNvContentPartPr/>
                      </w14:nvContentPartPr>
                      <w14:xfrm>
                        <a:off x="0" y="0"/>
                        <a:ext cx="5477040" cy="360"/>
                      </w14:xfrm>
                    </w14:contentPart>
                  </a:graphicData>
                </a:graphic>
              </wp:anchor>
            </w:drawing>
          </mc:Choice>
          <mc:Fallback>
            <w:pict>
              <v:shape w14:anchorId="24A492B3" id="Ink 4" o:spid="_x0000_s1026" type="#_x0000_t75" style="position:absolute;margin-left:3.25pt;margin-top:52.35pt;width:431.95pt;height:.75pt;z-index:2516531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">
                <v:imagedata r:id="rId24" o:title=""/>
              </v:shape>
            </w:pict>
          </mc:Fallback>
        </mc:AlternateContent>
      </w:r>
      <w:r w:rsidR="005626CC" w:rsidRPr="000D7576">
        <w:rPr>
          <w:noProof/>
          <w:sz w:val="28"/>
          <w:szCs w:val="28"/>
          <w:lang w:val="en-GB"/>
        </w:rPr>
        <w:drawing>
          <wp:inline distT="0" distB="0" distL="0" distR="0" wp14:anchorId="14E32EEB" wp14:editId="497F98FC">
            <wp:extent cx="5486400" cy="3152775"/>
            <wp:effectExtent l="19050" t="19050" r="19050" b="28575"/>
            <wp:docPr id="720365699" name="Picture 1" descr="A white sheet of paper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0365699" name="Picture 1" descr="A white sheet of paper with black text&#10;&#10;AI-generated content may be incorrect."/>
                    <pic:cNvPicPr/>
                  </pic:nvPicPr>
                  <pic:blipFill>
                    <a:blip r:embed="rId25"/>
                    <a:stretch>
                      <a:fillRect/>
                    </a:stretch>
                  </pic:blipFill>
                  <pic:spPr>
                    <a:xfrm>
                      <a:off x="0" y="0"/>
                      <a:ext cx="5486400" cy="3152775"/>
                    </a:xfrm>
                    <a:prstGeom prst="rect">
                      <a:avLst/>
                    </a:prstGeom>
                    <a:ln>
                      <a:solidFill>
                        <a:schemeClr val="accent1"/>
                      </a:solidFill>
                    </a:ln>
                  </pic:spPr>
                </pic:pic>
              </a:graphicData>
            </a:graphic>
          </wp:inline>
        </w:drawing>
      </w:r>
    </w:p>
    <w:p w14:paraId="6ECE005D" w14:textId="77777777" w:rsidR="00E774F9" w:rsidRDefault="00E774F9" w:rsidP="000767C3">
      <w:pPr>
        <w:rPr>
          <w:lang w:val="en-GB"/>
        </w:rPr>
      </w:pPr>
    </w:p>
    <w:p w14:paraId="046DE5B3" w14:textId="1E810A0C" w:rsidR="00E774F9" w:rsidRDefault="00B76CF6" w:rsidP="000767C3">
      <w:pPr>
        <w:rPr>
          <w:lang w:val="en-GB"/>
        </w:rPr>
      </w:pPr>
      <w:r w:rsidRPr="00B76CF6">
        <w:lastRenderedPageBreak/>
        <w:t>The table above is further visualised in the diagram below, which illustrates the interrelation of strategic drivers within each SWOT quadrant.</w:t>
      </w:r>
    </w:p>
    <w:p w14:paraId="7BC3BDAD" w14:textId="3E3C4534" w:rsidR="00E774F9" w:rsidRDefault="006F3B92" w:rsidP="0019679F">
      <w:pPr>
        <w:pStyle w:val="Heading2"/>
      </w:pPr>
      <w:bookmarkStart w:id="14" w:name="_Toc215236115"/>
      <w:r>
        <w:rPr>
          <w:lang w:val="en-GB"/>
        </w:rPr>
        <w:t>3.</w:t>
      </w:r>
      <w:r w:rsidR="009C1242">
        <w:rPr>
          <w:lang w:val="en-GB"/>
        </w:rPr>
        <w:t>3</w:t>
      </w:r>
      <w:r>
        <w:rPr>
          <w:lang w:val="en-GB"/>
        </w:rPr>
        <w:t>.2</w:t>
      </w:r>
      <w:r w:rsidR="0019679F">
        <w:rPr>
          <w:lang w:val="en-GB"/>
        </w:rPr>
        <w:t xml:space="preserve"> </w:t>
      </w:r>
      <w:r w:rsidR="0019679F" w:rsidRPr="0019679F">
        <w:t>Stakeholder Analysis: Mendelow’s Matrix</w:t>
      </w:r>
      <w:bookmarkEnd w:id="14"/>
    </w:p>
    <w:p w14:paraId="2CED9FFE" w14:textId="77777777" w:rsidR="0019679F" w:rsidRDefault="0019679F" w:rsidP="0019679F"/>
    <w:p w14:paraId="4406E040" w14:textId="323A312F" w:rsidR="00661EFF" w:rsidRDefault="001224E5" w:rsidP="00661EFF">
      <w:r>
        <w:t>in</w:t>
      </w:r>
      <w:r w:rsidR="00661EFF">
        <w:t xml:space="preserve"> the context of BP’s strategic positioning in India, stakeholder mapping provides further insight into managing influence and expectations. Mendelow’s (1991) matrix categorises stakeholders based on their relative power and interest, helping to prioritise engagement strategies.</w:t>
      </w:r>
    </w:p>
    <w:p w14:paraId="6333777E" w14:textId="77777777" w:rsidR="00661EFF" w:rsidRDefault="00661EFF" w:rsidP="00661EFF">
      <w:r>
        <w:t>High-power/high-interest stakeholders in this case include regulatory bodies such as the Ministry of Power and NITI Aayog, alongside Reliance Industries and ESG-oriented institutional investors. These groups must be closely managed to ensure policy alignment and investment credibility.</w:t>
      </w:r>
    </w:p>
    <w:p w14:paraId="58C19EE9" w14:textId="77777777" w:rsidR="00661EFF" w:rsidRDefault="00661EFF" w:rsidP="00661EFF">
      <w:r>
        <w:t>EV consumers and municipal authorities occupy the high-interest/low-power quadrant and should be regularly consulted through localised service offerings and customer feedback mechanisms. Environmental NGOs and advocacy groups represent moderate-power stakeholders who can influence public sentiment and media visibility, particularly in relation to sustainability.</w:t>
      </w:r>
    </w:p>
    <w:p w14:paraId="178459FA" w14:textId="77777777" w:rsidR="00661EFF" w:rsidRDefault="00661EFF" w:rsidP="00661EFF">
      <w:r>
        <w:t>Conversely, low-power/low-interest actors such as legacy fuel suppliers may require passive monitoring.</w:t>
      </w:r>
    </w:p>
    <w:p w14:paraId="2E4F0F7A" w14:textId="567AF844" w:rsidR="00661EFF" w:rsidRDefault="00661EFF" w:rsidP="00661EFF">
      <w:r>
        <w:t xml:space="preserve">Mendelow’s framework thus supports BP’s need for a stakeholder-sensitive strategy, balancing compliance, partnership and communication throughout implementation. </w:t>
      </w:r>
    </w:p>
    <w:p w14:paraId="2FB8FC2F" w14:textId="77777777" w:rsidR="00240667" w:rsidRDefault="00240667" w:rsidP="00661EFF"/>
    <w:p w14:paraId="1616DADE" w14:textId="565DF9F8" w:rsidR="00661EFF" w:rsidRDefault="00B05DC1" w:rsidP="00B05DC1">
      <w:pPr>
        <w:pStyle w:val="Heading2"/>
      </w:pPr>
      <w:bookmarkStart w:id="15" w:name="_Toc215236116"/>
      <w:r>
        <w:t>3.</w:t>
      </w:r>
      <w:r w:rsidR="009C1242">
        <w:t>3</w:t>
      </w:r>
      <w:r>
        <w:t xml:space="preserve">.3 </w:t>
      </w:r>
      <w:r w:rsidRPr="00B05DC1">
        <w:t>Strategic Options</w:t>
      </w:r>
      <w:bookmarkEnd w:id="15"/>
    </w:p>
    <w:p w14:paraId="6EC47CFC" w14:textId="77777777" w:rsidR="00B05DC1" w:rsidRPr="00B05DC1" w:rsidRDefault="00B05DC1" w:rsidP="00B05DC1"/>
    <w:p w14:paraId="026C57C7" w14:textId="653CDA87" w:rsidR="00AE1D1F" w:rsidRPr="00AE1D1F" w:rsidRDefault="00736116" w:rsidP="00AE1D1F">
      <w:pPr>
        <w:rPr>
          <w:lang w:val="en-GB"/>
        </w:rPr>
      </w:pPr>
      <w:r>
        <w:rPr>
          <w:lang w:val="en-GB"/>
        </w:rPr>
        <w:t>T</w:t>
      </w:r>
      <w:r w:rsidR="00AE1D1F" w:rsidRPr="00AE1D1F">
        <w:rPr>
          <w:lang w:val="en-GB"/>
        </w:rPr>
        <w:t>he selected strategic direction reflects a transnational approach, where BP leverages its global technological and operational capabilities while adapting to the unique institutional and consumer landscape of the Indian market. This aligns with the framework by Prahalad and Doz (1987), who emphasise the importance of simultaneous global integration and local responsiveness in complex international contexts.</w:t>
      </w:r>
    </w:p>
    <w:p w14:paraId="639B0CD0" w14:textId="1586670A" w:rsidR="00E774F9" w:rsidRDefault="00AE1D1F" w:rsidP="00AE1D1F">
      <w:pPr>
        <w:rPr>
          <w:lang w:val="en-GB"/>
        </w:rPr>
      </w:pPr>
      <w:r w:rsidRPr="00AE1D1F">
        <w:rPr>
          <w:lang w:val="en-GB"/>
        </w:rPr>
        <w:t>Furthermore, BP’s capacity to reconfigure its assets — transitioning from fossil fuels to renewables and digital energy services — highlights the role of dynamic capabilities. As defined by Teece et al. (1997), these are the firm’s abilities to integrate, build, and reconfigure internal and external competences to address rapidly changing environments. BP’s Jio-bp platform serves as a strategic vehicle to apply these capabilities in an emerging market context.</w:t>
      </w:r>
    </w:p>
    <w:p w14:paraId="6F1B6755" w14:textId="5EDA7056" w:rsidR="00317752" w:rsidRDefault="00317752" w:rsidP="00317752">
      <w:pPr>
        <w:pStyle w:val="Heading2"/>
        <w:rPr>
          <w:lang w:val="en-GB"/>
        </w:rPr>
      </w:pPr>
      <w:bookmarkStart w:id="16" w:name="_Toc215236117"/>
      <w:r w:rsidRPr="00317752">
        <w:rPr>
          <w:lang w:val="en-GB"/>
        </w:rPr>
        <w:lastRenderedPageBreak/>
        <w:t>3.</w:t>
      </w:r>
      <w:r w:rsidR="0052572C">
        <w:rPr>
          <w:lang w:val="en-GB"/>
        </w:rPr>
        <w:t>3.</w:t>
      </w:r>
      <w:r w:rsidR="009C1242">
        <w:rPr>
          <w:lang w:val="en-GB"/>
        </w:rPr>
        <w:t>4</w:t>
      </w:r>
      <w:r w:rsidRPr="00317752">
        <w:rPr>
          <w:lang w:val="en-GB"/>
        </w:rPr>
        <w:t xml:space="preserve"> VRIO Analysis – Internal Capabilities of BP</w:t>
      </w:r>
      <w:bookmarkEnd w:id="16"/>
    </w:p>
    <w:p w14:paraId="59006804" w14:textId="77777777" w:rsidR="0067331F" w:rsidRPr="0067331F" w:rsidRDefault="0067331F" w:rsidP="0067331F">
      <w:pPr>
        <w:rPr>
          <w:lang w:val="en-GB"/>
        </w:rPr>
      </w:pPr>
    </w:p>
    <w:p w14:paraId="3A2506BD" w14:textId="3CD361AA" w:rsidR="005D3C31" w:rsidRPr="005D3C31" w:rsidRDefault="005D3C31" w:rsidP="005D3C31">
      <w:pPr>
        <w:rPr>
          <w:lang w:val="en-GB"/>
        </w:rPr>
      </w:pPr>
      <w:r w:rsidRPr="005D3C31">
        <w:rPr>
          <w:lang w:val="en-GB"/>
        </w:rPr>
        <w:t>The SAF evaluation provides a structured lens to assess BP’s strategic options in India. The suitability of the selected option — investing in electric mobility and renewables through Jio-bp — aligns directly with India’s National Electric Mobility Mission and 2030 carbon neutrality targets (IEA, 2023). Moreover, the rapid urbanisation and shift towards digital energy platforms reinforce the long-term viability of this direction.</w:t>
      </w:r>
    </w:p>
    <w:p w14:paraId="39804153" w14:textId="77777777" w:rsidR="005D3C31" w:rsidRPr="005D3C31" w:rsidRDefault="005D3C31" w:rsidP="005D3C31">
      <w:pPr>
        <w:rPr>
          <w:lang w:val="en-GB"/>
        </w:rPr>
      </w:pPr>
      <w:r w:rsidRPr="005D3C31">
        <w:rPr>
          <w:lang w:val="en-GB"/>
        </w:rPr>
        <w:t>In terms of acceptability, BP's approach leverages its joint venture with Reliance, which enhances consumer trust and reduces political exposure — a key factor in emerging markets (Oxford Energy, 2024). The public appetite for sustainable energy, especially among India’s urban middle class, supports market receptiveness. Financially, the projected IRR of 12–15% from EV infrastructure is acceptable under BP’s capital discipline framework (BP, 2025).</w:t>
      </w:r>
    </w:p>
    <w:p w14:paraId="7959972F" w14:textId="0781201D" w:rsidR="00317752" w:rsidRDefault="005D3C31" w:rsidP="005D3C31">
      <w:pPr>
        <w:rPr>
          <w:lang w:val="en-GB"/>
        </w:rPr>
      </w:pPr>
      <w:r w:rsidRPr="005D3C31">
        <w:rPr>
          <w:lang w:val="en-GB"/>
        </w:rPr>
        <w:t>Finally, regarding feasibility, BP benefits from existing infrastructure, including Jio-bp's digital platform and retail stations, offering a scalable deployment base. Regulatory alignment is increasingly streamlined through India’s Open Access reforms and green hydrogen policy (World Bank, 2024), making implementation feasible within the 2025–2030 window.</w:t>
      </w:r>
    </w:p>
    <w:p w14:paraId="4C5C6382" w14:textId="382C8BDA" w:rsidR="00254A7C" w:rsidRDefault="00317752" w:rsidP="00317752">
      <w:pPr>
        <w:rPr>
          <w:lang w:val="en-GB"/>
        </w:rPr>
      </w:pPr>
      <w:r w:rsidRPr="00317752">
        <w:rPr>
          <w:lang w:val="en-GB"/>
        </w:rPr>
        <w:t xml:space="preserve">Table </w:t>
      </w:r>
      <w:r w:rsidR="00E774F9">
        <w:rPr>
          <w:lang w:val="en-GB"/>
        </w:rPr>
        <w:t>3</w:t>
      </w:r>
      <w:r w:rsidRPr="00317752">
        <w:rPr>
          <w:lang w:val="en-GB"/>
        </w:rPr>
        <w:t>: VRIO Analysis of BP’s Key Strategic Resources (2025)</w:t>
      </w:r>
    </w:p>
    <w:tbl>
      <w:tblPr>
        <w:tblStyle w:val="PlainTable1"/>
        <w:tblW w:w="0" w:type="auto"/>
        <w:tblLook w:val="04A0" w:firstRow="1" w:lastRow="0" w:firstColumn="1" w:lastColumn="0" w:noHBand="0" w:noVBand="1"/>
      </w:tblPr>
      <w:tblGrid>
        <w:gridCol w:w="2058"/>
        <w:gridCol w:w="1137"/>
        <w:gridCol w:w="1136"/>
        <w:gridCol w:w="1283"/>
        <w:gridCol w:w="1513"/>
        <w:gridCol w:w="1729"/>
      </w:tblGrid>
      <w:tr w:rsidR="00AD5876" w:rsidRPr="00AD5876" w14:paraId="1A38586C" w14:textId="77777777" w:rsidTr="001C792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AD57418" w14:textId="77777777" w:rsidR="00AD5876" w:rsidRPr="00AD5876" w:rsidRDefault="00AD5876" w:rsidP="00AD5876">
            <w:pPr>
              <w:jc w:val="center"/>
              <w:rPr>
                <w:rFonts w:ascii="Times New Roman" w:eastAsia="Times New Roman" w:hAnsi="Times New Roman" w:cs="Times New Roman"/>
                <w:szCs w:val="24"/>
                <w:lang w:val="en-GB" w:eastAsia="en-GB"/>
              </w:rPr>
            </w:pPr>
            <w:r w:rsidRPr="00AD5876">
              <w:rPr>
                <w:rFonts w:ascii="Times New Roman" w:eastAsia="Times New Roman" w:hAnsi="Times New Roman" w:cs="Times New Roman"/>
                <w:szCs w:val="24"/>
                <w:lang w:val="en-GB" w:eastAsia="en-GB"/>
              </w:rPr>
              <w:t>Resource / Capability</w:t>
            </w:r>
          </w:p>
        </w:tc>
        <w:tc>
          <w:tcPr>
            <w:tcW w:w="0" w:type="auto"/>
            <w:hideMark/>
          </w:tcPr>
          <w:p w14:paraId="49D39489" w14:textId="77777777" w:rsidR="00AD5876" w:rsidRPr="00AD5876" w:rsidRDefault="00AD5876" w:rsidP="00AD5876">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Cs w:val="24"/>
                <w:lang w:val="en-GB" w:eastAsia="en-GB"/>
              </w:rPr>
            </w:pPr>
            <w:r w:rsidRPr="00AD5876">
              <w:rPr>
                <w:rFonts w:ascii="Times New Roman" w:eastAsia="Times New Roman" w:hAnsi="Times New Roman" w:cs="Times New Roman"/>
                <w:szCs w:val="24"/>
                <w:lang w:val="en-GB" w:eastAsia="en-GB"/>
              </w:rPr>
              <w:t>Valuable</w:t>
            </w:r>
          </w:p>
        </w:tc>
        <w:tc>
          <w:tcPr>
            <w:tcW w:w="0" w:type="auto"/>
            <w:hideMark/>
          </w:tcPr>
          <w:p w14:paraId="54F6211D" w14:textId="77777777" w:rsidR="00AD5876" w:rsidRPr="00AD5876" w:rsidRDefault="00AD5876" w:rsidP="00AD5876">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Cs w:val="24"/>
                <w:lang w:val="en-GB" w:eastAsia="en-GB"/>
              </w:rPr>
            </w:pPr>
            <w:r w:rsidRPr="00AD5876">
              <w:rPr>
                <w:rFonts w:ascii="Times New Roman" w:eastAsia="Times New Roman" w:hAnsi="Times New Roman" w:cs="Times New Roman"/>
                <w:szCs w:val="24"/>
                <w:lang w:val="en-GB" w:eastAsia="en-GB"/>
              </w:rPr>
              <w:t>Rare</w:t>
            </w:r>
          </w:p>
        </w:tc>
        <w:tc>
          <w:tcPr>
            <w:tcW w:w="0" w:type="auto"/>
            <w:hideMark/>
          </w:tcPr>
          <w:p w14:paraId="01612B1B" w14:textId="77777777" w:rsidR="00AD5876" w:rsidRPr="00AD5876" w:rsidRDefault="00AD5876" w:rsidP="00AD5876">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Cs w:val="24"/>
                <w:lang w:val="en-GB" w:eastAsia="en-GB"/>
              </w:rPr>
            </w:pPr>
            <w:r w:rsidRPr="00AD5876">
              <w:rPr>
                <w:rFonts w:ascii="Times New Roman" w:eastAsia="Times New Roman" w:hAnsi="Times New Roman" w:cs="Times New Roman"/>
                <w:szCs w:val="24"/>
                <w:lang w:val="en-GB" w:eastAsia="en-GB"/>
              </w:rPr>
              <w:t>Inimitable</w:t>
            </w:r>
          </w:p>
        </w:tc>
        <w:tc>
          <w:tcPr>
            <w:tcW w:w="0" w:type="auto"/>
            <w:hideMark/>
          </w:tcPr>
          <w:p w14:paraId="07BF6EEC" w14:textId="77777777" w:rsidR="00AD5876" w:rsidRPr="00AD5876" w:rsidRDefault="00AD5876" w:rsidP="00AD5876">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Cs w:val="24"/>
                <w:lang w:val="en-GB" w:eastAsia="en-GB"/>
              </w:rPr>
            </w:pPr>
            <w:r w:rsidRPr="00AD5876">
              <w:rPr>
                <w:rFonts w:ascii="Times New Roman" w:eastAsia="Times New Roman" w:hAnsi="Times New Roman" w:cs="Times New Roman"/>
                <w:szCs w:val="24"/>
                <w:lang w:val="en-GB" w:eastAsia="en-GB"/>
              </w:rPr>
              <w:t>Organised to Capture Value</w:t>
            </w:r>
          </w:p>
        </w:tc>
        <w:tc>
          <w:tcPr>
            <w:tcW w:w="0" w:type="auto"/>
            <w:hideMark/>
          </w:tcPr>
          <w:p w14:paraId="560F0B7B" w14:textId="77777777" w:rsidR="00AD5876" w:rsidRPr="00AD5876" w:rsidRDefault="00AD5876" w:rsidP="00AD5876">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Cs w:val="24"/>
                <w:lang w:val="en-GB" w:eastAsia="en-GB"/>
              </w:rPr>
            </w:pPr>
            <w:r w:rsidRPr="00AD5876">
              <w:rPr>
                <w:rFonts w:ascii="Times New Roman" w:eastAsia="Times New Roman" w:hAnsi="Times New Roman" w:cs="Times New Roman"/>
                <w:szCs w:val="24"/>
                <w:lang w:val="en-GB" w:eastAsia="en-GB"/>
              </w:rPr>
              <w:t>Competitive Implication</w:t>
            </w:r>
          </w:p>
        </w:tc>
      </w:tr>
      <w:tr w:rsidR="00AD5876" w:rsidRPr="002F5278" w14:paraId="3A1A6F01" w14:textId="77777777" w:rsidTr="001C79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EA4E439" w14:textId="77777777" w:rsidR="00AD5876" w:rsidRPr="00240667" w:rsidRDefault="00AD5876" w:rsidP="00AD5876">
            <w:pPr>
              <w:rPr>
                <w:rFonts w:ascii="Times New Roman" w:eastAsia="Times New Roman" w:hAnsi="Times New Roman" w:cs="Times New Roman"/>
                <w:sz w:val="20"/>
                <w:szCs w:val="20"/>
                <w:lang w:val="en-GB" w:eastAsia="en-GB"/>
              </w:rPr>
            </w:pPr>
            <w:r w:rsidRPr="00240667">
              <w:rPr>
                <w:rFonts w:ascii="Times New Roman" w:eastAsia="Times New Roman" w:hAnsi="Times New Roman" w:cs="Times New Roman"/>
                <w:sz w:val="20"/>
                <w:szCs w:val="20"/>
                <w:lang w:val="en-GB" w:eastAsia="en-GB"/>
              </w:rPr>
              <w:t>Global Brand Reputation and ESG Leadership</w:t>
            </w:r>
          </w:p>
        </w:tc>
        <w:tc>
          <w:tcPr>
            <w:tcW w:w="0" w:type="auto"/>
            <w:hideMark/>
          </w:tcPr>
          <w:p w14:paraId="16D4595E" w14:textId="77777777" w:rsidR="00AD5876" w:rsidRPr="00AD5876" w:rsidRDefault="00AD5876" w:rsidP="00AD587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Cs w:val="24"/>
                <w:lang w:val="en-GB" w:eastAsia="en-GB"/>
              </w:rPr>
            </w:pPr>
            <w:r w:rsidRPr="00AD5876">
              <w:rPr>
                <w:rFonts w:ascii="Times New Roman" w:eastAsia="Times New Roman" w:hAnsi="Times New Roman" w:cs="Times New Roman"/>
                <w:szCs w:val="24"/>
                <w:lang w:val="en-GB" w:eastAsia="en-GB"/>
              </w:rPr>
              <w:t>Yes</w:t>
            </w:r>
          </w:p>
        </w:tc>
        <w:tc>
          <w:tcPr>
            <w:tcW w:w="0" w:type="auto"/>
            <w:hideMark/>
          </w:tcPr>
          <w:p w14:paraId="6B752BF6" w14:textId="77777777" w:rsidR="00AD5876" w:rsidRPr="00AD5876" w:rsidRDefault="00AD5876" w:rsidP="00AD587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Cs w:val="24"/>
                <w:lang w:val="en-GB" w:eastAsia="en-GB"/>
              </w:rPr>
            </w:pPr>
            <w:r w:rsidRPr="00AD5876">
              <w:rPr>
                <w:rFonts w:ascii="Times New Roman" w:eastAsia="Times New Roman" w:hAnsi="Times New Roman" w:cs="Times New Roman"/>
                <w:szCs w:val="24"/>
                <w:lang w:val="en-GB" w:eastAsia="en-GB"/>
              </w:rPr>
              <w:t>Yes</w:t>
            </w:r>
          </w:p>
        </w:tc>
        <w:tc>
          <w:tcPr>
            <w:tcW w:w="0" w:type="auto"/>
            <w:hideMark/>
          </w:tcPr>
          <w:p w14:paraId="09245AC8" w14:textId="77777777" w:rsidR="00AD5876" w:rsidRPr="00AD5876" w:rsidRDefault="00AD5876" w:rsidP="00AD587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Cs w:val="24"/>
                <w:lang w:val="en-GB" w:eastAsia="en-GB"/>
              </w:rPr>
            </w:pPr>
            <w:r w:rsidRPr="00AD5876">
              <w:rPr>
                <w:rFonts w:ascii="Times New Roman" w:eastAsia="Times New Roman" w:hAnsi="Times New Roman" w:cs="Times New Roman"/>
                <w:szCs w:val="24"/>
                <w:lang w:val="en-GB" w:eastAsia="en-GB"/>
              </w:rPr>
              <w:t>Yes</w:t>
            </w:r>
          </w:p>
        </w:tc>
        <w:tc>
          <w:tcPr>
            <w:tcW w:w="0" w:type="auto"/>
            <w:hideMark/>
          </w:tcPr>
          <w:p w14:paraId="52BB5909" w14:textId="77777777" w:rsidR="00AD5876" w:rsidRPr="00AD5876" w:rsidRDefault="00AD5876" w:rsidP="00AD587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Cs w:val="24"/>
                <w:lang w:val="en-GB" w:eastAsia="en-GB"/>
              </w:rPr>
            </w:pPr>
            <w:r w:rsidRPr="00AD5876">
              <w:rPr>
                <w:rFonts w:ascii="Times New Roman" w:eastAsia="Times New Roman" w:hAnsi="Times New Roman" w:cs="Times New Roman"/>
                <w:szCs w:val="24"/>
                <w:lang w:val="en-GB" w:eastAsia="en-GB"/>
              </w:rPr>
              <w:t>Yes</w:t>
            </w:r>
          </w:p>
        </w:tc>
        <w:tc>
          <w:tcPr>
            <w:tcW w:w="0" w:type="auto"/>
            <w:hideMark/>
          </w:tcPr>
          <w:p w14:paraId="785398D0" w14:textId="77777777" w:rsidR="00AD5876" w:rsidRPr="002F5278" w:rsidRDefault="00AD5876" w:rsidP="00AD587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val="en-GB" w:eastAsia="en-GB"/>
              </w:rPr>
            </w:pPr>
            <w:r w:rsidRPr="002F5278">
              <w:rPr>
                <w:rFonts w:ascii="Times New Roman" w:eastAsia="Times New Roman" w:hAnsi="Times New Roman" w:cs="Times New Roman"/>
                <w:sz w:val="20"/>
                <w:szCs w:val="20"/>
                <w:lang w:val="en-GB" w:eastAsia="en-GB"/>
              </w:rPr>
              <w:t>Sustainable Competitive Advantage</w:t>
            </w:r>
          </w:p>
        </w:tc>
      </w:tr>
      <w:tr w:rsidR="00AD5876" w:rsidRPr="002F5278" w14:paraId="7F27EB1A" w14:textId="77777777" w:rsidTr="001C792D">
        <w:tc>
          <w:tcPr>
            <w:cnfStyle w:val="001000000000" w:firstRow="0" w:lastRow="0" w:firstColumn="1" w:lastColumn="0" w:oddVBand="0" w:evenVBand="0" w:oddHBand="0" w:evenHBand="0" w:firstRowFirstColumn="0" w:firstRowLastColumn="0" w:lastRowFirstColumn="0" w:lastRowLastColumn="0"/>
            <w:tcW w:w="0" w:type="auto"/>
            <w:hideMark/>
          </w:tcPr>
          <w:p w14:paraId="2321548E" w14:textId="77777777" w:rsidR="00AD5876" w:rsidRPr="00240667" w:rsidRDefault="00AD5876" w:rsidP="00AD5876">
            <w:pPr>
              <w:rPr>
                <w:rFonts w:ascii="Times New Roman" w:eastAsia="Times New Roman" w:hAnsi="Times New Roman" w:cs="Times New Roman"/>
                <w:sz w:val="20"/>
                <w:szCs w:val="20"/>
                <w:lang w:val="en-GB" w:eastAsia="en-GB"/>
              </w:rPr>
            </w:pPr>
            <w:r w:rsidRPr="00240667">
              <w:rPr>
                <w:rFonts w:ascii="Times New Roman" w:eastAsia="Times New Roman" w:hAnsi="Times New Roman" w:cs="Times New Roman"/>
                <w:sz w:val="20"/>
                <w:szCs w:val="20"/>
                <w:lang w:val="en-GB" w:eastAsia="en-GB"/>
              </w:rPr>
              <w:t>Advanced Energy Technology (Hydrogen, EV, Biofuels)</w:t>
            </w:r>
          </w:p>
        </w:tc>
        <w:tc>
          <w:tcPr>
            <w:tcW w:w="0" w:type="auto"/>
            <w:hideMark/>
          </w:tcPr>
          <w:p w14:paraId="50B5813C" w14:textId="77777777" w:rsidR="00AD5876" w:rsidRPr="00AD5876" w:rsidRDefault="00AD5876" w:rsidP="00AD587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Cs w:val="24"/>
                <w:lang w:val="en-GB" w:eastAsia="en-GB"/>
              </w:rPr>
            </w:pPr>
            <w:r w:rsidRPr="00AD5876">
              <w:rPr>
                <w:rFonts w:ascii="Times New Roman" w:eastAsia="Times New Roman" w:hAnsi="Times New Roman" w:cs="Times New Roman"/>
                <w:szCs w:val="24"/>
                <w:lang w:val="en-GB" w:eastAsia="en-GB"/>
              </w:rPr>
              <w:t>Yes</w:t>
            </w:r>
          </w:p>
        </w:tc>
        <w:tc>
          <w:tcPr>
            <w:tcW w:w="0" w:type="auto"/>
            <w:hideMark/>
          </w:tcPr>
          <w:p w14:paraId="5E2BB6BB" w14:textId="77777777" w:rsidR="00AD5876" w:rsidRPr="00AD5876" w:rsidRDefault="00AD5876" w:rsidP="00AD587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Cs w:val="24"/>
                <w:lang w:val="en-GB" w:eastAsia="en-GB"/>
              </w:rPr>
            </w:pPr>
            <w:r w:rsidRPr="00AD5876">
              <w:rPr>
                <w:rFonts w:ascii="Times New Roman" w:eastAsia="Times New Roman" w:hAnsi="Times New Roman" w:cs="Times New Roman"/>
                <w:szCs w:val="24"/>
                <w:lang w:val="en-GB" w:eastAsia="en-GB"/>
              </w:rPr>
              <w:t>Yes</w:t>
            </w:r>
          </w:p>
        </w:tc>
        <w:tc>
          <w:tcPr>
            <w:tcW w:w="0" w:type="auto"/>
            <w:hideMark/>
          </w:tcPr>
          <w:p w14:paraId="4E0E1F44" w14:textId="77777777" w:rsidR="00AD5876" w:rsidRPr="00AD5876" w:rsidRDefault="00AD5876" w:rsidP="00AD587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Cs w:val="24"/>
                <w:lang w:val="en-GB" w:eastAsia="en-GB"/>
              </w:rPr>
            </w:pPr>
            <w:r w:rsidRPr="00AD5876">
              <w:rPr>
                <w:rFonts w:ascii="Times New Roman" w:eastAsia="Times New Roman" w:hAnsi="Times New Roman" w:cs="Times New Roman"/>
                <w:szCs w:val="24"/>
                <w:lang w:val="en-GB" w:eastAsia="en-GB"/>
              </w:rPr>
              <w:t>Moderate</w:t>
            </w:r>
          </w:p>
        </w:tc>
        <w:tc>
          <w:tcPr>
            <w:tcW w:w="0" w:type="auto"/>
            <w:hideMark/>
          </w:tcPr>
          <w:p w14:paraId="0ED24CCC" w14:textId="77777777" w:rsidR="00AD5876" w:rsidRPr="00AD5876" w:rsidRDefault="00AD5876" w:rsidP="00AD587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Cs w:val="24"/>
                <w:lang w:val="en-GB" w:eastAsia="en-GB"/>
              </w:rPr>
            </w:pPr>
            <w:r w:rsidRPr="00AD5876">
              <w:rPr>
                <w:rFonts w:ascii="Times New Roman" w:eastAsia="Times New Roman" w:hAnsi="Times New Roman" w:cs="Times New Roman"/>
                <w:szCs w:val="24"/>
                <w:lang w:val="en-GB" w:eastAsia="en-GB"/>
              </w:rPr>
              <w:t>Yes</w:t>
            </w:r>
          </w:p>
        </w:tc>
        <w:tc>
          <w:tcPr>
            <w:tcW w:w="0" w:type="auto"/>
            <w:hideMark/>
          </w:tcPr>
          <w:p w14:paraId="34D8E076" w14:textId="77777777" w:rsidR="00AD5876" w:rsidRPr="002F5278" w:rsidRDefault="00AD5876" w:rsidP="00AD587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GB" w:eastAsia="en-GB"/>
              </w:rPr>
            </w:pPr>
            <w:r w:rsidRPr="002F5278">
              <w:rPr>
                <w:rFonts w:ascii="Times New Roman" w:eastAsia="Times New Roman" w:hAnsi="Times New Roman" w:cs="Times New Roman"/>
                <w:sz w:val="20"/>
                <w:szCs w:val="20"/>
                <w:lang w:val="en-GB" w:eastAsia="en-GB"/>
              </w:rPr>
              <w:t>Temporary Competitive Advantage</w:t>
            </w:r>
          </w:p>
        </w:tc>
      </w:tr>
      <w:tr w:rsidR="00AD5876" w:rsidRPr="002F5278" w14:paraId="6348429B" w14:textId="77777777" w:rsidTr="001C79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973354A" w14:textId="77777777" w:rsidR="00AD5876" w:rsidRPr="00240667" w:rsidRDefault="00AD5876" w:rsidP="00AD5876">
            <w:pPr>
              <w:rPr>
                <w:rFonts w:ascii="Times New Roman" w:eastAsia="Times New Roman" w:hAnsi="Times New Roman" w:cs="Times New Roman"/>
                <w:sz w:val="20"/>
                <w:szCs w:val="20"/>
                <w:lang w:val="en-GB" w:eastAsia="en-GB"/>
              </w:rPr>
            </w:pPr>
            <w:r w:rsidRPr="00240667">
              <w:rPr>
                <w:rFonts w:ascii="Times New Roman" w:eastAsia="Times New Roman" w:hAnsi="Times New Roman" w:cs="Times New Roman"/>
                <w:sz w:val="20"/>
                <w:szCs w:val="20"/>
                <w:lang w:val="en-GB" w:eastAsia="en-GB"/>
              </w:rPr>
              <w:t>Financial Strength and Global Capital Access</w:t>
            </w:r>
          </w:p>
        </w:tc>
        <w:tc>
          <w:tcPr>
            <w:tcW w:w="0" w:type="auto"/>
            <w:hideMark/>
          </w:tcPr>
          <w:p w14:paraId="13D020A4" w14:textId="77777777" w:rsidR="00AD5876" w:rsidRPr="00AD5876" w:rsidRDefault="00AD5876" w:rsidP="00AD587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Cs w:val="24"/>
                <w:lang w:val="en-GB" w:eastAsia="en-GB"/>
              </w:rPr>
            </w:pPr>
            <w:r w:rsidRPr="00AD5876">
              <w:rPr>
                <w:rFonts w:ascii="Times New Roman" w:eastAsia="Times New Roman" w:hAnsi="Times New Roman" w:cs="Times New Roman"/>
                <w:szCs w:val="24"/>
                <w:lang w:val="en-GB" w:eastAsia="en-GB"/>
              </w:rPr>
              <w:t>Yes</w:t>
            </w:r>
          </w:p>
        </w:tc>
        <w:tc>
          <w:tcPr>
            <w:tcW w:w="0" w:type="auto"/>
            <w:hideMark/>
          </w:tcPr>
          <w:p w14:paraId="3280F55E" w14:textId="77777777" w:rsidR="00AD5876" w:rsidRPr="00AD5876" w:rsidRDefault="00AD5876" w:rsidP="00AD587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Cs w:val="24"/>
                <w:lang w:val="en-GB" w:eastAsia="en-GB"/>
              </w:rPr>
            </w:pPr>
            <w:r w:rsidRPr="00AD5876">
              <w:rPr>
                <w:rFonts w:ascii="Times New Roman" w:eastAsia="Times New Roman" w:hAnsi="Times New Roman" w:cs="Times New Roman"/>
                <w:szCs w:val="24"/>
                <w:lang w:val="en-GB" w:eastAsia="en-GB"/>
              </w:rPr>
              <w:t>No</w:t>
            </w:r>
          </w:p>
        </w:tc>
        <w:tc>
          <w:tcPr>
            <w:tcW w:w="0" w:type="auto"/>
            <w:hideMark/>
          </w:tcPr>
          <w:p w14:paraId="1851DD0F" w14:textId="77777777" w:rsidR="00AD5876" w:rsidRPr="00AD5876" w:rsidRDefault="00AD5876" w:rsidP="00AD587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Cs w:val="24"/>
                <w:lang w:val="en-GB" w:eastAsia="en-GB"/>
              </w:rPr>
            </w:pPr>
            <w:r w:rsidRPr="00AD5876">
              <w:rPr>
                <w:rFonts w:ascii="Times New Roman" w:eastAsia="Times New Roman" w:hAnsi="Times New Roman" w:cs="Times New Roman"/>
                <w:szCs w:val="24"/>
                <w:lang w:val="en-GB" w:eastAsia="en-GB"/>
              </w:rPr>
              <w:t>No</w:t>
            </w:r>
          </w:p>
        </w:tc>
        <w:tc>
          <w:tcPr>
            <w:tcW w:w="0" w:type="auto"/>
            <w:hideMark/>
          </w:tcPr>
          <w:p w14:paraId="179A4DFC" w14:textId="77777777" w:rsidR="00AD5876" w:rsidRPr="00AD5876" w:rsidRDefault="00AD5876" w:rsidP="00AD587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Cs w:val="24"/>
                <w:lang w:val="en-GB" w:eastAsia="en-GB"/>
              </w:rPr>
            </w:pPr>
            <w:r w:rsidRPr="00AD5876">
              <w:rPr>
                <w:rFonts w:ascii="Times New Roman" w:eastAsia="Times New Roman" w:hAnsi="Times New Roman" w:cs="Times New Roman"/>
                <w:szCs w:val="24"/>
                <w:lang w:val="en-GB" w:eastAsia="en-GB"/>
              </w:rPr>
              <w:t>Yes</w:t>
            </w:r>
          </w:p>
        </w:tc>
        <w:tc>
          <w:tcPr>
            <w:tcW w:w="0" w:type="auto"/>
            <w:hideMark/>
          </w:tcPr>
          <w:p w14:paraId="15AE859B" w14:textId="77777777" w:rsidR="00AD5876" w:rsidRPr="002F5278" w:rsidRDefault="00AD5876" w:rsidP="00AD587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val="en-GB" w:eastAsia="en-GB"/>
              </w:rPr>
            </w:pPr>
            <w:r w:rsidRPr="002F5278">
              <w:rPr>
                <w:rFonts w:ascii="Times New Roman" w:eastAsia="Times New Roman" w:hAnsi="Times New Roman" w:cs="Times New Roman"/>
                <w:sz w:val="20"/>
                <w:szCs w:val="20"/>
                <w:lang w:val="en-GB" w:eastAsia="en-GB"/>
              </w:rPr>
              <w:t>Competitive Parity</w:t>
            </w:r>
          </w:p>
        </w:tc>
      </w:tr>
      <w:tr w:rsidR="00AD5876" w:rsidRPr="002F5278" w14:paraId="53DCCDF9" w14:textId="77777777" w:rsidTr="001C792D">
        <w:tc>
          <w:tcPr>
            <w:cnfStyle w:val="001000000000" w:firstRow="0" w:lastRow="0" w:firstColumn="1" w:lastColumn="0" w:oddVBand="0" w:evenVBand="0" w:oddHBand="0" w:evenHBand="0" w:firstRowFirstColumn="0" w:firstRowLastColumn="0" w:lastRowFirstColumn="0" w:lastRowLastColumn="0"/>
            <w:tcW w:w="0" w:type="auto"/>
            <w:hideMark/>
          </w:tcPr>
          <w:p w14:paraId="66301018" w14:textId="77777777" w:rsidR="00AD5876" w:rsidRPr="00240667" w:rsidRDefault="00AD5876" w:rsidP="00AD5876">
            <w:pPr>
              <w:rPr>
                <w:rFonts w:ascii="Times New Roman" w:eastAsia="Times New Roman" w:hAnsi="Times New Roman" w:cs="Times New Roman"/>
                <w:sz w:val="20"/>
                <w:szCs w:val="20"/>
                <w:lang w:val="en-GB" w:eastAsia="en-GB"/>
              </w:rPr>
            </w:pPr>
            <w:r w:rsidRPr="00240667">
              <w:rPr>
                <w:rFonts w:ascii="Times New Roman" w:eastAsia="Times New Roman" w:hAnsi="Times New Roman" w:cs="Times New Roman"/>
                <w:sz w:val="20"/>
                <w:szCs w:val="20"/>
                <w:lang w:val="en-GB" w:eastAsia="en-GB"/>
              </w:rPr>
              <w:t>Strategic Partnerships (e.g., Jio-bp with Reliance Industries)</w:t>
            </w:r>
          </w:p>
        </w:tc>
        <w:tc>
          <w:tcPr>
            <w:tcW w:w="0" w:type="auto"/>
            <w:hideMark/>
          </w:tcPr>
          <w:p w14:paraId="5CE6561D" w14:textId="77777777" w:rsidR="00AD5876" w:rsidRPr="00AD5876" w:rsidRDefault="00AD5876" w:rsidP="00AD587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Cs w:val="24"/>
                <w:lang w:val="en-GB" w:eastAsia="en-GB"/>
              </w:rPr>
            </w:pPr>
            <w:r w:rsidRPr="00AD5876">
              <w:rPr>
                <w:rFonts w:ascii="Times New Roman" w:eastAsia="Times New Roman" w:hAnsi="Times New Roman" w:cs="Times New Roman"/>
                <w:szCs w:val="24"/>
                <w:lang w:val="en-GB" w:eastAsia="en-GB"/>
              </w:rPr>
              <w:t>Yes</w:t>
            </w:r>
          </w:p>
        </w:tc>
        <w:tc>
          <w:tcPr>
            <w:tcW w:w="0" w:type="auto"/>
            <w:hideMark/>
          </w:tcPr>
          <w:p w14:paraId="0B8277DF" w14:textId="77777777" w:rsidR="00AD5876" w:rsidRPr="00AD5876" w:rsidRDefault="00AD5876" w:rsidP="00AD587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Cs w:val="24"/>
                <w:lang w:val="en-GB" w:eastAsia="en-GB"/>
              </w:rPr>
            </w:pPr>
            <w:r w:rsidRPr="00AD5876">
              <w:rPr>
                <w:rFonts w:ascii="Times New Roman" w:eastAsia="Times New Roman" w:hAnsi="Times New Roman" w:cs="Times New Roman"/>
                <w:szCs w:val="24"/>
                <w:lang w:val="en-GB" w:eastAsia="en-GB"/>
              </w:rPr>
              <w:t>Yes</w:t>
            </w:r>
          </w:p>
        </w:tc>
        <w:tc>
          <w:tcPr>
            <w:tcW w:w="0" w:type="auto"/>
            <w:hideMark/>
          </w:tcPr>
          <w:p w14:paraId="273D579E" w14:textId="77777777" w:rsidR="00AD5876" w:rsidRPr="00AD5876" w:rsidRDefault="00AD5876" w:rsidP="00AD587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Cs w:val="24"/>
                <w:lang w:val="en-GB" w:eastAsia="en-GB"/>
              </w:rPr>
            </w:pPr>
            <w:r w:rsidRPr="00AD5876">
              <w:rPr>
                <w:rFonts w:ascii="Times New Roman" w:eastAsia="Times New Roman" w:hAnsi="Times New Roman" w:cs="Times New Roman"/>
                <w:szCs w:val="24"/>
                <w:lang w:val="en-GB" w:eastAsia="en-GB"/>
              </w:rPr>
              <w:t>Yes</w:t>
            </w:r>
          </w:p>
        </w:tc>
        <w:tc>
          <w:tcPr>
            <w:tcW w:w="0" w:type="auto"/>
            <w:hideMark/>
          </w:tcPr>
          <w:p w14:paraId="77570550" w14:textId="77777777" w:rsidR="00AD5876" w:rsidRPr="00AD5876" w:rsidRDefault="00AD5876" w:rsidP="00AD587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Cs w:val="24"/>
                <w:lang w:val="en-GB" w:eastAsia="en-GB"/>
              </w:rPr>
            </w:pPr>
            <w:r w:rsidRPr="00AD5876">
              <w:rPr>
                <w:rFonts w:ascii="Times New Roman" w:eastAsia="Times New Roman" w:hAnsi="Times New Roman" w:cs="Times New Roman"/>
                <w:szCs w:val="24"/>
                <w:lang w:val="en-GB" w:eastAsia="en-GB"/>
              </w:rPr>
              <w:t>Yes</w:t>
            </w:r>
          </w:p>
        </w:tc>
        <w:tc>
          <w:tcPr>
            <w:tcW w:w="0" w:type="auto"/>
            <w:hideMark/>
          </w:tcPr>
          <w:p w14:paraId="6073C1C0" w14:textId="77777777" w:rsidR="00AD5876" w:rsidRPr="002F5278" w:rsidRDefault="00AD5876" w:rsidP="00AD587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GB" w:eastAsia="en-GB"/>
              </w:rPr>
            </w:pPr>
            <w:r w:rsidRPr="002F5278">
              <w:rPr>
                <w:rFonts w:ascii="Times New Roman" w:eastAsia="Times New Roman" w:hAnsi="Times New Roman" w:cs="Times New Roman"/>
                <w:sz w:val="20"/>
                <w:szCs w:val="20"/>
                <w:lang w:val="en-GB" w:eastAsia="en-GB"/>
              </w:rPr>
              <w:t>Sustained Advantage in Local Integration</w:t>
            </w:r>
          </w:p>
        </w:tc>
      </w:tr>
      <w:tr w:rsidR="00AD5876" w:rsidRPr="002F5278" w14:paraId="483C3EB7" w14:textId="77777777" w:rsidTr="001C79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8D6A086" w14:textId="77777777" w:rsidR="00AD5876" w:rsidRPr="00240667" w:rsidRDefault="00AD5876" w:rsidP="00AD5876">
            <w:pPr>
              <w:rPr>
                <w:rFonts w:ascii="Times New Roman" w:eastAsia="Times New Roman" w:hAnsi="Times New Roman" w:cs="Times New Roman"/>
                <w:sz w:val="20"/>
                <w:szCs w:val="20"/>
                <w:lang w:val="en-GB" w:eastAsia="en-GB"/>
              </w:rPr>
            </w:pPr>
            <w:r w:rsidRPr="00240667">
              <w:rPr>
                <w:rFonts w:ascii="Times New Roman" w:eastAsia="Times New Roman" w:hAnsi="Times New Roman" w:cs="Times New Roman"/>
                <w:sz w:val="20"/>
                <w:szCs w:val="20"/>
                <w:lang w:val="en-GB" w:eastAsia="en-GB"/>
              </w:rPr>
              <w:t>Human Capital and Leadership Expertise</w:t>
            </w:r>
          </w:p>
        </w:tc>
        <w:tc>
          <w:tcPr>
            <w:tcW w:w="0" w:type="auto"/>
            <w:hideMark/>
          </w:tcPr>
          <w:p w14:paraId="3CD91111" w14:textId="77777777" w:rsidR="00AD5876" w:rsidRPr="00AD5876" w:rsidRDefault="00AD5876" w:rsidP="00AD587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Cs w:val="24"/>
                <w:lang w:val="en-GB" w:eastAsia="en-GB"/>
              </w:rPr>
            </w:pPr>
            <w:r w:rsidRPr="00AD5876">
              <w:rPr>
                <w:rFonts w:ascii="Times New Roman" w:eastAsia="Times New Roman" w:hAnsi="Times New Roman" w:cs="Times New Roman"/>
                <w:szCs w:val="24"/>
                <w:lang w:val="en-GB" w:eastAsia="en-GB"/>
              </w:rPr>
              <w:t>Yes</w:t>
            </w:r>
          </w:p>
        </w:tc>
        <w:tc>
          <w:tcPr>
            <w:tcW w:w="0" w:type="auto"/>
            <w:hideMark/>
          </w:tcPr>
          <w:p w14:paraId="6E709197" w14:textId="77777777" w:rsidR="00AD5876" w:rsidRPr="00AD5876" w:rsidRDefault="00AD5876" w:rsidP="00AD587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Cs w:val="24"/>
                <w:lang w:val="en-GB" w:eastAsia="en-GB"/>
              </w:rPr>
            </w:pPr>
            <w:r w:rsidRPr="00AD5876">
              <w:rPr>
                <w:rFonts w:ascii="Times New Roman" w:eastAsia="Times New Roman" w:hAnsi="Times New Roman" w:cs="Times New Roman"/>
                <w:szCs w:val="24"/>
                <w:lang w:val="en-GB" w:eastAsia="en-GB"/>
              </w:rPr>
              <w:t>Moderate</w:t>
            </w:r>
          </w:p>
        </w:tc>
        <w:tc>
          <w:tcPr>
            <w:tcW w:w="0" w:type="auto"/>
            <w:hideMark/>
          </w:tcPr>
          <w:p w14:paraId="6F8E3494" w14:textId="77777777" w:rsidR="00AD5876" w:rsidRPr="00AD5876" w:rsidRDefault="00AD5876" w:rsidP="00AD587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Cs w:val="24"/>
                <w:lang w:val="en-GB" w:eastAsia="en-GB"/>
              </w:rPr>
            </w:pPr>
            <w:r w:rsidRPr="00AD5876">
              <w:rPr>
                <w:rFonts w:ascii="Times New Roman" w:eastAsia="Times New Roman" w:hAnsi="Times New Roman" w:cs="Times New Roman"/>
                <w:szCs w:val="24"/>
                <w:lang w:val="en-GB" w:eastAsia="en-GB"/>
              </w:rPr>
              <w:t>Moderate</w:t>
            </w:r>
          </w:p>
        </w:tc>
        <w:tc>
          <w:tcPr>
            <w:tcW w:w="0" w:type="auto"/>
            <w:hideMark/>
          </w:tcPr>
          <w:p w14:paraId="3D84132B" w14:textId="77777777" w:rsidR="00AD5876" w:rsidRPr="00AD5876" w:rsidRDefault="00AD5876" w:rsidP="00AD587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Cs w:val="24"/>
                <w:lang w:val="en-GB" w:eastAsia="en-GB"/>
              </w:rPr>
            </w:pPr>
            <w:r w:rsidRPr="00AD5876">
              <w:rPr>
                <w:rFonts w:ascii="Times New Roman" w:eastAsia="Times New Roman" w:hAnsi="Times New Roman" w:cs="Times New Roman"/>
                <w:szCs w:val="24"/>
                <w:lang w:val="en-GB" w:eastAsia="en-GB"/>
              </w:rPr>
              <w:t>Yes</w:t>
            </w:r>
          </w:p>
        </w:tc>
        <w:tc>
          <w:tcPr>
            <w:tcW w:w="0" w:type="auto"/>
            <w:hideMark/>
          </w:tcPr>
          <w:p w14:paraId="0EE026C6" w14:textId="77777777" w:rsidR="00AD5876" w:rsidRPr="002F5278" w:rsidRDefault="00AD5876" w:rsidP="00AD587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val="en-GB" w:eastAsia="en-GB"/>
              </w:rPr>
            </w:pPr>
            <w:r w:rsidRPr="002F5278">
              <w:rPr>
                <w:rFonts w:ascii="Times New Roman" w:eastAsia="Times New Roman" w:hAnsi="Times New Roman" w:cs="Times New Roman"/>
                <w:sz w:val="20"/>
                <w:szCs w:val="20"/>
                <w:lang w:val="en-GB" w:eastAsia="en-GB"/>
              </w:rPr>
              <w:t>Temporary Advantage</w:t>
            </w:r>
          </w:p>
        </w:tc>
      </w:tr>
      <w:tr w:rsidR="00AD5876" w:rsidRPr="002F5278" w14:paraId="700AE80B" w14:textId="77777777" w:rsidTr="001C792D">
        <w:tc>
          <w:tcPr>
            <w:cnfStyle w:val="001000000000" w:firstRow="0" w:lastRow="0" w:firstColumn="1" w:lastColumn="0" w:oddVBand="0" w:evenVBand="0" w:oddHBand="0" w:evenHBand="0" w:firstRowFirstColumn="0" w:firstRowLastColumn="0" w:lastRowFirstColumn="0" w:lastRowLastColumn="0"/>
            <w:tcW w:w="0" w:type="auto"/>
            <w:hideMark/>
          </w:tcPr>
          <w:p w14:paraId="4A3EC294" w14:textId="77777777" w:rsidR="00AD5876" w:rsidRPr="00240667" w:rsidRDefault="00AD5876" w:rsidP="00AD5876">
            <w:pPr>
              <w:rPr>
                <w:rFonts w:ascii="Times New Roman" w:eastAsia="Times New Roman" w:hAnsi="Times New Roman" w:cs="Times New Roman"/>
                <w:sz w:val="20"/>
                <w:szCs w:val="20"/>
                <w:lang w:val="en-GB" w:eastAsia="en-GB"/>
              </w:rPr>
            </w:pPr>
            <w:r w:rsidRPr="00240667">
              <w:rPr>
                <w:rFonts w:ascii="Times New Roman" w:eastAsia="Times New Roman" w:hAnsi="Times New Roman" w:cs="Times New Roman"/>
                <w:sz w:val="20"/>
                <w:szCs w:val="20"/>
                <w:lang w:val="en-GB" w:eastAsia="en-GB"/>
              </w:rPr>
              <w:t>Digital Transformation and Data Analytics Capability</w:t>
            </w:r>
          </w:p>
        </w:tc>
        <w:tc>
          <w:tcPr>
            <w:tcW w:w="0" w:type="auto"/>
            <w:hideMark/>
          </w:tcPr>
          <w:p w14:paraId="64BB8845" w14:textId="77777777" w:rsidR="00AD5876" w:rsidRPr="00AD5876" w:rsidRDefault="00AD5876" w:rsidP="00AD587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Cs w:val="24"/>
                <w:lang w:val="en-GB" w:eastAsia="en-GB"/>
              </w:rPr>
            </w:pPr>
            <w:r w:rsidRPr="00AD5876">
              <w:rPr>
                <w:rFonts w:ascii="Times New Roman" w:eastAsia="Times New Roman" w:hAnsi="Times New Roman" w:cs="Times New Roman"/>
                <w:szCs w:val="24"/>
                <w:lang w:val="en-GB" w:eastAsia="en-GB"/>
              </w:rPr>
              <w:t>Yes</w:t>
            </w:r>
          </w:p>
        </w:tc>
        <w:tc>
          <w:tcPr>
            <w:tcW w:w="0" w:type="auto"/>
            <w:hideMark/>
          </w:tcPr>
          <w:p w14:paraId="0967BD79" w14:textId="77777777" w:rsidR="00AD5876" w:rsidRPr="00AD5876" w:rsidRDefault="00AD5876" w:rsidP="00AD587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Cs w:val="24"/>
                <w:lang w:val="en-GB" w:eastAsia="en-GB"/>
              </w:rPr>
            </w:pPr>
            <w:r w:rsidRPr="00AD5876">
              <w:rPr>
                <w:rFonts w:ascii="Times New Roman" w:eastAsia="Times New Roman" w:hAnsi="Times New Roman" w:cs="Times New Roman"/>
                <w:szCs w:val="24"/>
                <w:lang w:val="en-GB" w:eastAsia="en-GB"/>
              </w:rPr>
              <w:t>Yes</w:t>
            </w:r>
          </w:p>
        </w:tc>
        <w:tc>
          <w:tcPr>
            <w:tcW w:w="0" w:type="auto"/>
            <w:hideMark/>
          </w:tcPr>
          <w:p w14:paraId="6BDC8ED7" w14:textId="77777777" w:rsidR="00AD5876" w:rsidRPr="00AD5876" w:rsidRDefault="00AD5876" w:rsidP="00AD587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Cs w:val="24"/>
                <w:lang w:val="en-GB" w:eastAsia="en-GB"/>
              </w:rPr>
            </w:pPr>
            <w:r w:rsidRPr="00AD5876">
              <w:rPr>
                <w:rFonts w:ascii="Times New Roman" w:eastAsia="Times New Roman" w:hAnsi="Times New Roman" w:cs="Times New Roman"/>
                <w:szCs w:val="24"/>
                <w:lang w:val="en-GB" w:eastAsia="en-GB"/>
              </w:rPr>
              <w:t>Moderate</w:t>
            </w:r>
          </w:p>
        </w:tc>
        <w:tc>
          <w:tcPr>
            <w:tcW w:w="0" w:type="auto"/>
            <w:hideMark/>
          </w:tcPr>
          <w:p w14:paraId="0760BDAD" w14:textId="77777777" w:rsidR="00AD5876" w:rsidRPr="00AD5876" w:rsidRDefault="00AD5876" w:rsidP="00AD587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Cs w:val="24"/>
                <w:lang w:val="en-GB" w:eastAsia="en-GB"/>
              </w:rPr>
            </w:pPr>
            <w:r w:rsidRPr="00AD5876">
              <w:rPr>
                <w:rFonts w:ascii="Times New Roman" w:eastAsia="Times New Roman" w:hAnsi="Times New Roman" w:cs="Times New Roman"/>
                <w:szCs w:val="24"/>
                <w:lang w:val="en-GB" w:eastAsia="en-GB"/>
              </w:rPr>
              <w:t>Yes</w:t>
            </w:r>
          </w:p>
        </w:tc>
        <w:tc>
          <w:tcPr>
            <w:tcW w:w="0" w:type="auto"/>
            <w:hideMark/>
          </w:tcPr>
          <w:p w14:paraId="25595B29" w14:textId="77777777" w:rsidR="00AD5876" w:rsidRPr="002F5278" w:rsidRDefault="00AD5876" w:rsidP="00AD587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GB" w:eastAsia="en-GB"/>
              </w:rPr>
            </w:pPr>
            <w:r w:rsidRPr="002F5278">
              <w:rPr>
                <w:rFonts w:ascii="Times New Roman" w:eastAsia="Times New Roman" w:hAnsi="Times New Roman" w:cs="Times New Roman"/>
                <w:sz w:val="20"/>
                <w:szCs w:val="20"/>
                <w:lang w:val="en-GB" w:eastAsia="en-GB"/>
              </w:rPr>
              <w:t>Temporary Advantage</w:t>
            </w:r>
          </w:p>
        </w:tc>
      </w:tr>
      <w:tr w:rsidR="00AD5876" w:rsidRPr="002F5278" w14:paraId="414FA7C8" w14:textId="77777777" w:rsidTr="001C79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D74D804" w14:textId="77777777" w:rsidR="00AD5876" w:rsidRPr="00240667" w:rsidRDefault="00AD5876" w:rsidP="00AD5876">
            <w:pPr>
              <w:rPr>
                <w:rFonts w:ascii="Times New Roman" w:eastAsia="Times New Roman" w:hAnsi="Times New Roman" w:cs="Times New Roman"/>
                <w:sz w:val="20"/>
                <w:szCs w:val="20"/>
                <w:lang w:val="en-GB" w:eastAsia="en-GB"/>
              </w:rPr>
            </w:pPr>
            <w:r w:rsidRPr="00240667">
              <w:rPr>
                <w:rFonts w:ascii="Times New Roman" w:eastAsia="Times New Roman" w:hAnsi="Times New Roman" w:cs="Times New Roman"/>
                <w:sz w:val="20"/>
                <w:szCs w:val="20"/>
                <w:lang w:val="en-GB" w:eastAsia="en-GB"/>
              </w:rPr>
              <w:t>Operational Efficiency and Safety Standards</w:t>
            </w:r>
          </w:p>
        </w:tc>
        <w:tc>
          <w:tcPr>
            <w:tcW w:w="0" w:type="auto"/>
            <w:hideMark/>
          </w:tcPr>
          <w:p w14:paraId="3690128E" w14:textId="77777777" w:rsidR="00AD5876" w:rsidRPr="00AD5876" w:rsidRDefault="00AD5876" w:rsidP="00AD587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Cs w:val="24"/>
                <w:lang w:val="en-GB" w:eastAsia="en-GB"/>
              </w:rPr>
            </w:pPr>
            <w:r w:rsidRPr="00AD5876">
              <w:rPr>
                <w:rFonts w:ascii="Times New Roman" w:eastAsia="Times New Roman" w:hAnsi="Times New Roman" w:cs="Times New Roman"/>
                <w:szCs w:val="24"/>
                <w:lang w:val="en-GB" w:eastAsia="en-GB"/>
              </w:rPr>
              <w:t>Yes</w:t>
            </w:r>
          </w:p>
        </w:tc>
        <w:tc>
          <w:tcPr>
            <w:tcW w:w="0" w:type="auto"/>
            <w:hideMark/>
          </w:tcPr>
          <w:p w14:paraId="5024AA3A" w14:textId="77777777" w:rsidR="00AD5876" w:rsidRPr="00AD5876" w:rsidRDefault="00AD5876" w:rsidP="00AD587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Cs w:val="24"/>
                <w:lang w:val="en-GB" w:eastAsia="en-GB"/>
              </w:rPr>
            </w:pPr>
            <w:r w:rsidRPr="00AD5876">
              <w:rPr>
                <w:rFonts w:ascii="Times New Roman" w:eastAsia="Times New Roman" w:hAnsi="Times New Roman" w:cs="Times New Roman"/>
                <w:szCs w:val="24"/>
                <w:lang w:val="en-GB" w:eastAsia="en-GB"/>
              </w:rPr>
              <w:t>No</w:t>
            </w:r>
          </w:p>
        </w:tc>
        <w:tc>
          <w:tcPr>
            <w:tcW w:w="0" w:type="auto"/>
            <w:hideMark/>
          </w:tcPr>
          <w:p w14:paraId="29A34857" w14:textId="77777777" w:rsidR="00AD5876" w:rsidRPr="00AD5876" w:rsidRDefault="00AD5876" w:rsidP="00AD587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Cs w:val="24"/>
                <w:lang w:val="en-GB" w:eastAsia="en-GB"/>
              </w:rPr>
            </w:pPr>
            <w:r w:rsidRPr="00AD5876">
              <w:rPr>
                <w:rFonts w:ascii="Times New Roman" w:eastAsia="Times New Roman" w:hAnsi="Times New Roman" w:cs="Times New Roman"/>
                <w:szCs w:val="24"/>
                <w:lang w:val="en-GB" w:eastAsia="en-GB"/>
              </w:rPr>
              <w:t>No</w:t>
            </w:r>
          </w:p>
        </w:tc>
        <w:tc>
          <w:tcPr>
            <w:tcW w:w="0" w:type="auto"/>
            <w:hideMark/>
          </w:tcPr>
          <w:p w14:paraId="781B0034" w14:textId="77777777" w:rsidR="00AD5876" w:rsidRPr="00AD5876" w:rsidRDefault="00AD5876" w:rsidP="00AD587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Cs w:val="24"/>
                <w:lang w:val="en-GB" w:eastAsia="en-GB"/>
              </w:rPr>
            </w:pPr>
            <w:r w:rsidRPr="00AD5876">
              <w:rPr>
                <w:rFonts w:ascii="Times New Roman" w:eastAsia="Times New Roman" w:hAnsi="Times New Roman" w:cs="Times New Roman"/>
                <w:szCs w:val="24"/>
                <w:lang w:val="en-GB" w:eastAsia="en-GB"/>
              </w:rPr>
              <w:t>Yes</w:t>
            </w:r>
          </w:p>
        </w:tc>
        <w:tc>
          <w:tcPr>
            <w:tcW w:w="0" w:type="auto"/>
            <w:hideMark/>
          </w:tcPr>
          <w:p w14:paraId="3EE3B97C" w14:textId="77777777" w:rsidR="00AD5876" w:rsidRPr="002F5278" w:rsidRDefault="00AD5876" w:rsidP="00AD587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val="en-GB" w:eastAsia="en-GB"/>
              </w:rPr>
            </w:pPr>
            <w:r w:rsidRPr="002F5278">
              <w:rPr>
                <w:rFonts w:ascii="Times New Roman" w:eastAsia="Times New Roman" w:hAnsi="Times New Roman" w:cs="Times New Roman"/>
                <w:sz w:val="20"/>
                <w:szCs w:val="20"/>
                <w:lang w:val="en-GB" w:eastAsia="en-GB"/>
              </w:rPr>
              <w:t>Competitive Parity</w:t>
            </w:r>
          </w:p>
        </w:tc>
      </w:tr>
    </w:tbl>
    <w:p w14:paraId="39B309FB" w14:textId="77777777" w:rsidR="00D37DE5" w:rsidRPr="00D37DE5" w:rsidRDefault="00D37DE5" w:rsidP="00D37DE5">
      <w:pPr>
        <w:rPr>
          <w:lang w:val="en-GB"/>
        </w:rPr>
      </w:pPr>
      <w:r w:rsidRPr="00D37DE5">
        <w:rPr>
          <w:lang w:val="en-GB"/>
        </w:rPr>
        <w:lastRenderedPageBreak/>
        <w:t>BP demonstrates a strong portfolio of strategic resources that align with both global and local market demands. The company’s brand reputation, grounded in over a century of operations and reinforced by a public commitment to net-zero emissions by 2050, offers a rare and valuable intangible asset that builds stakeholder trust.</w:t>
      </w:r>
    </w:p>
    <w:p w14:paraId="28F12A22" w14:textId="77777777" w:rsidR="00D37DE5" w:rsidRPr="00D37DE5" w:rsidRDefault="00D37DE5" w:rsidP="00D37DE5">
      <w:pPr>
        <w:rPr>
          <w:lang w:val="en-GB"/>
        </w:rPr>
      </w:pPr>
      <w:r w:rsidRPr="00D37DE5">
        <w:rPr>
          <w:lang w:val="en-GB"/>
        </w:rPr>
        <w:t>Its technological leadership in hydrogen and EV charging infrastructure provides valuable and somewhat rare capabilities, though these can be replicated over time by other multinational energy firms. The joint venture Jio-bp with Reliance Industries is particularly critical — it combines BP’s technical expertise and global finance with Reliance’s market knowledge and distribution network, giving BP a unique foothold in India’s growing energy transition.</w:t>
      </w:r>
    </w:p>
    <w:p w14:paraId="20A4DBB3" w14:textId="77777777" w:rsidR="00D37DE5" w:rsidRPr="00D37DE5" w:rsidRDefault="00D37DE5" w:rsidP="00D37DE5">
      <w:pPr>
        <w:rPr>
          <w:lang w:val="en-GB"/>
        </w:rPr>
      </w:pPr>
      <w:r w:rsidRPr="00D37DE5">
        <w:rPr>
          <w:lang w:val="en-GB"/>
        </w:rPr>
        <w:t>BP’s financial resources and global procurement systems ensure operational stability and enable large-scale investment. However, such resources are not rare among global competitors, creating only parity-level advantage.</w:t>
      </w:r>
    </w:p>
    <w:p w14:paraId="171F1241" w14:textId="77777777" w:rsidR="00D37DE5" w:rsidRPr="00D37DE5" w:rsidRDefault="00D37DE5" w:rsidP="00D37DE5">
      <w:pPr>
        <w:rPr>
          <w:lang w:val="en-GB"/>
        </w:rPr>
      </w:pPr>
      <w:r w:rsidRPr="00D37DE5">
        <w:rPr>
          <w:lang w:val="en-GB"/>
        </w:rPr>
        <w:t>The company’s human capital, with experienced leadership in sustainability and innovation, adds further value but remains moderately imitable. Finally, BP’s digital transformation initiatives and data-driven management systems enhance efficiency, customer engagement, and risk control — positioning BP favourably against less technologically advanced rivals.</w:t>
      </w:r>
    </w:p>
    <w:p w14:paraId="3DDAFE2D" w14:textId="50E54266" w:rsidR="00E3763B" w:rsidRDefault="00D37DE5" w:rsidP="00D37DE5">
      <w:pPr>
        <w:rPr>
          <w:lang w:val="en-GB"/>
        </w:rPr>
      </w:pPr>
      <w:r w:rsidRPr="00D37DE5">
        <w:rPr>
          <w:lang w:val="en-GB"/>
        </w:rPr>
        <w:t>Overall, BP possesses a combination of tangible and intangible resources that together form a temporary to sustained competitive advantage. To maintain leadership in the Indian market, BP must continue investing in innovation, reinforce local partnerships, and institutionalise its sustainability practices across all operational levels.</w:t>
      </w:r>
    </w:p>
    <w:p w14:paraId="23AE39C8" w14:textId="77777777" w:rsidR="00EC0460" w:rsidRDefault="00EC0460" w:rsidP="00D37DE5">
      <w:pPr>
        <w:rPr>
          <w:lang w:val="en-GB"/>
        </w:rPr>
      </w:pPr>
    </w:p>
    <w:p w14:paraId="0C2AD091" w14:textId="77777777" w:rsidR="00A46211" w:rsidRPr="00A46211" w:rsidRDefault="00A46211" w:rsidP="00A46211">
      <w:pPr>
        <w:pStyle w:val="Heading2"/>
        <w:rPr>
          <w:lang w:val="en-GB"/>
        </w:rPr>
      </w:pPr>
      <w:bookmarkStart w:id="17" w:name="_Toc215236118"/>
      <w:r w:rsidRPr="00A46211">
        <w:rPr>
          <w:lang w:val="en-GB"/>
        </w:rPr>
        <w:t>3.4 Summary of Strategic Analysis</w:t>
      </w:r>
      <w:bookmarkEnd w:id="17"/>
    </w:p>
    <w:p w14:paraId="618FF708" w14:textId="77777777" w:rsidR="00A46211" w:rsidRPr="00A46211" w:rsidRDefault="00A46211" w:rsidP="00A46211">
      <w:pPr>
        <w:rPr>
          <w:lang w:val="en-GB"/>
        </w:rPr>
      </w:pPr>
    </w:p>
    <w:p w14:paraId="6B04DC20" w14:textId="77777777" w:rsidR="00A46211" w:rsidRPr="00A46211" w:rsidRDefault="00A46211" w:rsidP="00A46211">
      <w:pPr>
        <w:rPr>
          <w:lang w:val="en-GB"/>
        </w:rPr>
      </w:pPr>
      <w:r w:rsidRPr="00A46211">
        <w:rPr>
          <w:lang w:val="en-GB"/>
        </w:rPr>
        <w:t>The strategic assessment of BP’s position in India reveals a highly competitive yet opportunity-rich environment driven by rapid economic growth, strong policy support for renewable energy, and evolving consumer expectations. By integrating the insights from the PESTLE, Porter’s Five Forces, and VRIO analyses, BP’s strategic opportunities and challenges can be summarised as follows.</w:t>
      </w:r>
    </w:p>
    <w:p w14:paraId="347D98E2" w14:textId="77777777" w:rsidR="00A46211" w:rsidRDefault="00A46211" w:rsidP="00A46211">
      <w:pPr>
        <w:rPr>
          <w:lang w:val="en-GB"/>
        </w:rPr>
      </w:pPr>
    </w:p>
    <w:p w14:paraId="6E4A1DF7" w14:textId="77777777" w:rsidR="00EC0460" w:rsidRDefault="00EC0460" w:rsidP="00A46211">
      <w:pPr>
        <w:rPr>
          <w:lang w:val="en-GB"/>
        </w:rPr>
      </w:pPr>
    </w:p>
    <w:p w14:paraId="569EF5AA" w14:textId="77777777" w:rsidR="00EC0460" w:rsidRDefault="00EC0460" w:rsidP="00A46211">
      <w:pPr>
        <w:rPr>
          <w:lang w:val="en-GB"/>
        </w:rPr>
      </w:pPr>
    </w:p>
    <w:p w14:paraId="2BC32172" w14:textId="77777777" w:rsidR="002F5278" w:rsidRDefault="002F5278" w:rsidP="00A46211">
      <w:pPr>
        <w:rPr>
          <w:lang w:val="en-GB"/>
        </w:rPr>
      </w:pPr>
    </w:p>
    <w:p w14:paraId="3798B642" w14:textId="585FEC62" w:rsidR="00F74AB9" w:rsidRDefault="00A46211" w:rsidP="00A46211">
      <w:pPr>
        <w:rPr>
          <w:lang w:val="en-GB"/>
        </w:rPr>
      </w:pPr>
      <w:r w:rsidRPr="00A46211">
        <w:rPr>
          <w:lang w:val="en-GB"/>
        </w:rPr>
        <w:lastRenderedPageBreak/>
        <w:t xml:space="preserve">Table </w:t>
      </w:r>
      <w:r w:rsidR="00E774F9">
        <w:rPr>
          <w:lang w:val="en-GB"/>
        </w:rPr>
        <w:t>4</w:t>
      </w:r>
      <w:r w:rsidRPr="00A46211">
        <w:rPr>
          <w:lang w:val="en-GB"/>
        </w:rPr>
        <w:t>: Integrated Summary of BP’s Strategic Position in India (2025)</w:t>
      </w:r>
    </w:p>
    <w:p w14:paraId="0C240BA9" w14:textId="77777777" w:rsidR="00F74AB9" w:rsidRDefault="00F74AB9" w:rsidP="00D37DE5">
      <w:pPr>
        <w:rPr>
          <w:lang w:val="en-GB"/>
        </w:rPr>
      </w:pPr>
    </w:p>
    <w:tbl>
      <w:tblPr>
        <w:tblStyle w:val="TableGridLight"/>
        <w:tblW w:w="0" w:type="auto"/>
        <w:tblLook w:val="04A0" w:firstRow="1" w:lastRow="0" w:firstColumn="1" w:lastColumn="0" w:noHBand="0" w:noVBand="1"/>
      </w:tblPr>
      <w:tblGrid>
        <w:gridCol w:w="2280"/>
        <w:gridCol w:w="3386"/>
        <w:gridCol w:w="3190"/>
      </w:tblGrid>
      <w:tr w:rsidR="00167C1D" w:rsidRPr="00167C1D" w14:paraId="4682CE8A" w14:textId="77777777" w:rsidTr="00E83B11">
        <w:tc>
          <w:tcPr>
            <w:tcW w:w="0" w:type="auto"/>
            <w:shd w:val="clear" w:color="auto" w:fill="92D050"/>
            <w:hideMark/>
          </w:tcPr>
          <w:p w14:paraId="0B1E0CEA" w14:textId="77777777" w:rsidR="00167C1D" w:rsidRPr="00167C1D" w:rsidRDefault="00167C1D" w:rsidP="00167C1D">
            <w:pPr>
              <w:spacing w:after="120" w:line="264" w:lineRule="auto"/>
              <w:rPr>
                <w:b/>
                <w:bCs/>
                <w:lang w:val="en-GB"/>
              </w:rPr>
            </w:pPr>
            <w:r w:rsidRPr="00167C1D">
              <w:rPr>
                <w:b/>
                <w:bCs/>
                <w:lang w:val="en-GB"/>
              </w:rPr>
              <w:t>Analytical Dimension</w:t>
            </w:r>
          </w:p>
        </w:tc>
        <w:tc>
          <w:tcPr>
            <w:tcW w:w="0" w:type="auto"/>
            <w:shd w:val="clear" w:color="auto" w:fill="92D050"/>
            <w:hideMark/>
          </w:tcPr>
          <w:p w14:paraId="1AE23218" w14:textId="77777777" w:rsidR="00167C1D" w:rsidRPr="00167C1D" w:rsidRDefault="00167C1D" w:rsidP="00167C1D">
            <w:pPr>
              <w:spacing w:after="120" w:line="264" w:lineRule="auto"/>
              <w:rPr>
                <w:b/>
                <w:bCs/>
                <w:lang w:val="en-GB"/>
              </w:rPr>
            </w:pPr>
            <w:r w:rsidRPr="00167C1D">
              <w:rPr>
                <w:b/>
                <w:bCs/>
                <w:lang w:val="en-GB"/>
              </w:rPr>
              <w:t>Key Findings</w:t>
            </w:r>
          </w:p>
        </w:tc>
        <w:tc>
          <w:tcPr>
            <w:tcW w:w="0" w:type="auto"/>
            <w:shd w:val="clear" w:color="auto" w:fill="92D050"/>
            <w:hideMark/>
          </w:tcPr>
          <w:p w14:paraId="72A88853" w14:textId="77777777" w:rsidR="00167C1D" w:rsidRPr="00167C1D" w:rsidRDefault="00167C1D" w:rsidP="00167C1D">
            <w:pPr>
              <w:spacing w:after="120" w:line="264" w:lineRule="auto"/>
              <w:rPr>
                <w:b/>
                <w:bCs/>
                <w:lang w:val="en-GB"/>
              </w:rPr>
            </w:pPr>
            <w:r w:rsidRPr="00167C1D">
              <w:rPr>
                <w:b/>
                <w:bCs/>
                <w:lang w:val="en-GB"/>
              </w:rPr>
              <w:t>Strategic Implication for BP</w:t>
            </w:r>
          </w:p>
        </w:tc>
      </w:tr>
      <w:tr w:rsidR="00167C1D" w:rsidRPr="00167C1D" w14:paraId="32C558A7" w14:textId="77777777" w:rsidTr="00E83B11">
        <w:tc>
          <w:tcPr>
            <w:tcW w:w="0" w:type="auto"/>
            <w:shd w:val="clear" w:color="auto" w:fill="DAEFD3" w:themeFill="accent1" w:themeFillTint="33"/>
            <w:hideMark/>
          </w:tcPr>
          <w:p w14:paraId="233A5DAD" w14:textId="77777777" w:rsidR="00167C1D" w:rsidRPr="00167C1D" w:rsidRDefault="00167C1D" w:rsidP="00167C1D">
            <w:pPr>
              <w:spacing w:after="120" w:line="264" w:lineRule="auto"/>
              <w:rPr>
                <w:lang w:val="en-GB"/>
              </w:rPr>
            </w:pPr>
            <w:r w:rsidRPr="00167C1D">
              <w:rPr>
                <w:b/>
                <w:bCs/>
                <w:lang w:val="en-GB"/>
              </w:rPr>
              <w:t>Political and Legal (PESTLE)</w:t>
            </w:r>
          </w:p>
        </w:tc>
        <w:tc>
          <w:tcPr>
            <w:tcW w:w="0" w:type="auto"/>
            <w:shd w:val="clear" w:color="auto" w:fill="DAEFD3" w:themeFill="accent1" w:themeFillTint="33"/>
            <w:hideMark/>
          </w:tcPr>
          <w:p w14:paraId="11286BA6" w14:textId="77777777" w:rsidR="00167C1D" w:rsidRPr="00167C1D" w:rsidRDefault="00167C1D" w:rsidP="00167C1D">
            <w:pPr>
              <w:spacing w:after="120" w:line="264" w:lineRule="auto"/>
              <w:rPr>
                <w:sz w:val="20"/>
                <w:szCs w:val="20"/>
                <w:lang w:val="en-GB"/>
              </w:rPr>
            </w:pPr>
            <w:r w:rsidRPr="00167C1D">
              <w:rPr>
                <w:sz w:val="20"/>
                <w:szCs w:val="20"/>
                <w:lang w:val="en-GB"/>
              </w:rPr>
              <w:t>Pro-renewable energy policies and liberalised FDI regime, but bureaucratic complexity remains.</w:t>
            </w:r>
          </w:p>
        </w:tc>
        <w:tc>
          <w:tcPr>
            <w:tcW w:w="0" w:type="auto"/>
            <w:shd w:val="clear" w:color="auto" w:fill="DAEFD3" w:themeFill="accent1" w:themeFillTint="33"/>
            <w:hideMark/>
          </w:tcPr>
          <w:p w14:paraId="56B682D0" w14:textId="77777777" w:rsidR="00167C1D" w:rsidRPr="00167C1D" w:rsidRDefault="00167C1D" w:rsidP="00167C1D">
            <w:pPr>
              <w:spacing w:after="120" w:line="264" w:lineRule="auto"/>
              <w:rPr>
                <w:sz w:val="20"/>
                <w:szCs w:val="20"/>
                <w:lang w:val="en-GB"/>
              </w:rPr>
            </w:pPr>
            <w:r w:rsidRPr="00167C1D">
              <w:rPr>
                <w:sz w:val="20"/>
                <w:szCs w:val="20"/>
                <w:lang w:val="en-GB"/>
              </w:rPr>
              <w:t>Leverage partnerships with Indian conglomerates to navigate policy frameworks.</w:t>
            </w:r>
          </w:p>
        </w:tc>
      </w:tr>
      <w:tr w:rsidR="00167C1D" w:rsidRPr="00167C1D" w14:paraId="71FB0623" w14:textId="77777777" w:rsidTr="00E83B11">
        <w:tc>
          <w:tcPr>
            <w:tcW w:w="0" w:type="auto"/>
            <w:shd w:val="clear" w:color="auto" w:fill="DAEFD3" w:themeFill="accent1" w:themeFillTint="33"/>
            <w:hideMark/>
          </w:tcPr>
          <w:p w14:paraId="57E6D881" w14:textId="77777777" w:rsidR="00167C1D" w:rsidRPr="00167C1D" w:rsidRDefault="00167C1D" w:rsidP="00167C1D">
            <w:pPr>
              <w:spacing w:after="120" w:line="264" w:lineRule="auto"/>
              <w:rPr>
                <w:lang w:val="en-GB"/>
              </w:rPr>
            </w:pPr>
            <w:r w:rsidRPr="00167C1D">
              <w:rPr>
                <w:b/>
                <w:bCs/>
                <w:lang w:val="en-GB"/>
              </w:rPr>
              <w:t>Economic (PESTLE)</w:t>
            </w:r>
          </w:p>
        </w:tc>
        <w:tc>
          <w:tcPr>
            <w:tcW w:w="0" w:type="auto"/>
            <w:shd w:val="clear" w:color="auto" w:fill="DAEFD3" w:themeFill="accent1" w:themeFillTint="33"/>
            <w:hideMark/>
          </w:tcPr>
          <w:p w14:paraId="4E0CC4E6" w14:textId="77777777" w:rsidR="00167C1D" w:rsidRPr="00167C1D" w:rsidRDefault="00167C1D" w:rsidP="00167C1D">
            <w:pPr>
              <w:spacing w:after="120" w:line="264" w:lineRule="auto"/>
              <w:rPr>
                <w:sz w:val="20"/>
                <w:szCs w:val="20"/>
                <w:lang w:val="en-GB"/>
              </w:rPr>
            </w:pPr>
            <w:r w:rsidRPr="00167C1D">
              <w:rPr>
                <w:sz w:val="20"/>
                <w:szCs w:val="20"/>
                <w:lang w:val="en-GB"/>
              </w:rPr>
              <w:t>Rapid GDP growth and rising energy demand create expansion opportunities.</w:t>
            </w:r>
          </w:p>
        </w:tc>
        <w:tc>
          <w:tcPr>
            <w:tcW w:w="0" w:type="auto"/>
            <w:shd w:val="clear" w:color="auto" w:fill="DAEFD3" w:themeFill="accent1" w:themeFillTint="33"/>
            <w:hideMark/>
          </w:tcPr>
          <w:p w14:paraId="5AEA84F1" w14:textId="4BD1739A" w:rsidR="00167C1D" w:rsidRPr="00167C1D" w:rsidRDefault="00167C1D" w:rsidP="00167C1D">
            <w:pPr>
              <w:spacing w:after="120" w:line="264" w:lineRule="auto"/>
              <w:rPr>
                <w:sz w:val="20"/>
                <w:szCs w:val="20"/>
                <w:lang w:val="en-GB"/>
              </w:rPr>
            </w:pPr>
            <w:r w:rsidRPr="00167C1D">
              <w:rPr>
                <w:sz w:val="20"/>
                <w:szCs w:val="20"/>
                <w:lang w:val="en-GB"/>
              </w:rPr>
              <w:t>Prioritise scalable investments in renewables and EV mobility.</w:t>
            </w:r>
          </w:p>
        </w:tc>
      </w:tr>
      <w:tr w:rsidR="00167C1D" w:rsidRPr="00167C1D" w14:paraId="4DF6781C" w14:textId="77777777" w:rsidTr="00E83B11">
        <w:tc>
          <w:tcPr>
            <w:tcW w:w="0" w:type="auto"/>
            <w:shd w:val="clear" w:color="auto" w:fill="DAEFD3" w:themeFill="accent1" w:themeFillTint="33"/>
            <w:hideMark/>
          </w:tcPr>
          <w:p w14:paraId="46275ED5" w14:textId="77777777" w:rsidR="00167C1D" w:rsidRPr="00167C1D" w:rsidRDefault="00167C1D" w:rsidP="00167C1D">
            <w:pPr>
              <w:spacing w:after="120" w:line="264" w:lineRule="auto"/>
              <w:rPr>
                <w:lang w:val="en-GB"/>
              </w:rPr>
            </w:pPr>
            <w:r w:rsidRPr="00167C1D">
              <w:rPr>
                <w:b/>
                <w:bCs/>
                <w:lang w:val="en-GB"/>
              </w:rPr>
              <w:t>Technological (PESTLE)</w:t>
            </w:r>
          </w:p>
        </w:tc>
        <w:tc>
          <w:tcPr>
            <w:tcW w:w="0" w:type="auto"/>
            <w:shd w:val="clear" w:color="auto" w:fill="DAEFD3" w:themeFill="accent1" w:themeFillTint="33"/>
            <w:hideMark/>
          </w:tcPr>
          <w:p w14:paraId="6F6DDD6E" w14:textId="77777777" w:rsidR="00167C1D" w:rsidRPr="00167C1D" w:rsidRDefault="00167C1D" w:rsidP="00167C1D">
            <w:pPr>
              <w:spacing w:after="120" w:line="264" w:lineRule="auto"/>
              <w:rPr>
                <w:sz w:val="20"/>
                <w:szCs w:val="20"/>
                <w:lang w:val="en-GB"/>
              </w:rPr>
            </w:pPr>
            <w:r w:rsidRPr="00167C1D">
              <w:rPr>
                <w:sz w:val="20"/>
                <w:szCs w:val="20"/>
                <w:lang w:val="en-GB"/>
              </w:rPr>
              <w:t>Strong government support for innovation and clean technologies.</w:t>
            </w:r>
          </w:p>
        </w:tc>
        <w:tc>
          <w:tcPr>
            <w:tcW w:w="0" w:type="auto"/>
            <w:shd w:val="clear" w:color="auto" w:fill="DAEFD3" w:themeFill="accent1" w:themeFillTint="33"/>
            <w:hideMark/>
          </w:tcPr>
          <w:p w14:paraId="64D4ACCF" w14:textId="77777777" w:rsidR="00167C1D" w:rsidRPr="00167C1D" w:rsidRDefault="00167C1D" w:rsidP="00167C1D">
            <w:pPr>
              <w:spacing w:after="120" w:line="264" w:lineRule="auto"/>
              <w:rPr>
                <w:sz w:val="20"/>
                <w:szCs w:val="20"/>
                <w:lang w:val="en-GB"/>
              </w:rPr>
            </w:pPr>
            <w:r w:rsidRPr="00167C1D">
              <w:rPr>
                <w:sz w:val="20"/>
                <w:szCs w:val="20"/>
                <w:lang w:val="en-GB"/>
              </w:rPr>
              <w:t>Accelerate deployment of hydrogen and digital energy solutions.</w:t>
            </w:r>
          </w:p>
        </w:tc>
      </w:tr>
      <w:tr w:rsidR="00167C1D" w:rsidRPr="00167C1D" w14:paraId="471C1308" w14:textId="77777777" w:rsidTr="00633453">
        <w:tc>
          <w:tcPr>
            <w:tcW w:w="0" w:type="auto"/>
            <w:shd w:val="clear" w:color="auto" w:fill="D2CAB6" w:themeFill="background2" w:themeFillShade="E6"/>
            <w:hideMark/>
          </w:tcPr>
          <w:p w14:paraId="036AAE21" w14:textId="77777777" w:rsidR="00167C1D" w:rsidRPr="00167C1D" w:rsidRDefault="00167C1D" w:rsidP="00167C1D">
            <w:pPr>
              <w:spacing w:after="120" w:line="264" w:lineRule="auto"/>
              <w:rPr>
                <w:lang w:val="en-GB"/>
              </w:rPr>
            </w:pPr>
            <w:r w:rsidRPr="00167C1D">
              <w:rPr>
                <w:b/>
                <w:bCs/>
                <w:lang w:val="en-GB"/>
              </w:rPr>
              <w:t>Competitive Forces (Porter)</w:t>
            </w:r>
          </w:p>
        </w:tc>
        <w:tc>
          <w:tcPr>
            <w:tcW w:w="0" w:type="auto"/>
            <w:shd w:val="clear" w:color="auto" w:fill="D2CAB6" w:themeFill="background2" w:themeFillShade="E6"/>
            <w:hideMark/>
          </w:tcPr>
          <w:p w14:paraId="2EA6E74E" w14:textId="77777777" w:rsidR="00167C1D" w:rsidRPr="00167C1D" w:rsidRDefault="00167C1D" w:rsidP="00167C1D">
            <w:pPr>
              <w:spacing w:after="120" w:line="264" w:lineRule="auto"/>
              <w:rPr>
                <w:sz w:val="20"/>
                <w:szCs w:val="20"/>
                <w:lang w:val="en-GB"/>
              </w:rPr>
            </w:pPr>
            <w:r w:rsidRPr="00167C1D">
              <w:rPr>
                <w:sz w:val="20"/>
                <w:szCs w:val="20"/>
                <w:lang w:val="en-GB"/>
              </w:rPr>
              <w:t>High rivalry (Adani, Tata, Shell, TotalEnergies) and strong buyer power.</w:t>
            </w:r>
          </w:p>
        </w:tc>
        <w:tc>
          <w:tcPr>
            <w:tcW w:w="0" w:type="auto"/>
            <w:shd w:val="clear" w:color="auto" w:fill="D2CAB6" w:themeFill="background2" w:themeFillShade="E6"/>
            <w:hideMark/>
          </w:tcPr>
          <w:p w14:paraId="54046178" w14:textId="77777777" w:rsidR="00167C1D" w:rsidRPr="00167C1D" w:rsidRDefault="00167C1D" w:rsidP="00167C1D">
            <w:pPr>
              <w:spacing w:after="120" w:line="264" w:lineRule="auto"/>
              <w:rPr>
                <w:sz w:val="20"/>
                <w:szCs w:val="20"/>
                <w:lang w:val="en-GB"/>
              </w:rPr>
            </w:pPr>
            <w:r w:rsidRPr="00167C1D">
              <w:rPr>
                <w:sz w:val="20"/>
                <w:szCs w:val="20"/>
                <w:lang w:val="en-GB"/>
              </w:rPr>
              <w:t>Focus on differentiation through innovation and sustainability.</w:t>
            </w:r>
          </w:p>
        </w:tc>
      </w:tr>
      <w:tr w:rsidR="00167C1D" w:rsidRPr="00167C1D" w14:paraId="1C10BF46" w14:textId="77777777" w:rsidTr="00633453">
        <w:tc>
          <w:tcPr>
            <w:tcW w:w="0" w:type="auto"/>
            <w:shd w:val="clear" w:color="auto" w:fill="D2CAB6" w:themeFill="background2" w:themeFillShade="E6"/>
            <w:hideMark/>
          </w:tcPr>
          <w:p w14:paraId="1B12FCF7" w14:textId="77777777" w:rsidR="00167C1D" w:rsidRPr="00167C1D" w:rsidRDefault="00167C1D" w:rsidP="00167C1D">
            <w:pPr>
              <w:spacing w:after="120" w:line="264" w:lineRule="auto"/>
              <w:rPr>
                <w:lang w:val="en-GB"/>
              </w:rPr>
            </w:pPr>
            <w:r w:rsidRPr="00167C1D">
              <w:rPr>
                <w:b/>
                <w:bCs/>
                <w:lang w:val="en-GB"/>
              </w:rPr>
              <w:t>Threat of Substitutes (Porter)</w:t>
            </w:r>
          </w:p>
        </w:tc>
        <w:tc>
          <w:tcPr>
            <w:tcW w:w="0" w:type="auto"/>
            <w:shd w:val="clear" w:color="auto" w:fill="D2CAB6" w:themeFill="background2" w:themeFillShade="E6"/>
            <w:hideMark/>
          </w:tcPr>
          <w:p w14:paraId="427F4827" w14:textId="77777777" w:rsidR="00167C1D" w:rsidRPr="00167C1D" w:rsidRDefault="00167C1D" w:rsidP="00167C1D">
            <w:pPr>
              <w:spacing w:after="120" w:line="264" w:lineRule="auto"/>
              <w:rPr>
                <w:sz w:val="20"/>
                <w:szCs w:val="20"/>
                <w:lang w:val="en-GB"/>
              </w:rPr>
            </w:pPr>
            <w:r w:rsidRPr="00167C1D">
              <w:rPr>
                <w:sz w:val="20"/>
                <w:szCs w:val="20"/>
                <w:lang w:val="en-GB"/>
              </w:rPr>
              <w:t>Renewable alternatives expanding rapidly.</w:t>
            </w:r>
          </w:p>
        </w:tc>
        <w:tc>
          <w:tcPr>
            <w:tcW w:w="0" w:type="auto"/>
            <w:shd w:val="clear" w:color="auto" w:fill="D2CAB6" w:themeFill="background2" w:themeFillShade="E6"/>
            <w:hideMark/>
          </w:tcPr>
          <w:p w14:paraId="27FFD164" w14:textId="77777777" w:rsidR="00167C1D" w:rsidRPr="00167C1D" w:rsidRDefault="00167C1D" w:rsidP="00167C1D">
            <w:pPr>
              <w:spacing w:after="120" w:line="264" w:lineRule="auto"/>
              <w:rPr>
                <w:sz w:val="20"/>
                <w:szCs w:val="20"/>
                <w:lang w:val="en-GB"/>
              </w:rPr>
            </w:pPr>
            <w:r w:rsidRPr="00167C1D">
              <w:rPr>
                <w:sz w:val="20"/>
                <w:szCs w:val="20"/>
                <w:lang w:val="en-GB"/>
              </w:rPr>
              <w:t>Shift from fossil fuels to integrated clean energy services.</w:t>
            </w:r>
          </w:p>
        </w:tc>
      </w:tr>
      <w:tr w:rsidR="00167C1D" w:rsidRPr="00167C1D" w14:paraId="72BE329D" w14:textId="77777777" w:rsidTr="00633453">
        <w:tc>
          <w:tcPr>
            <w:tcW w:w="0" w:type="auto"/>
            <w:shd w:val="clear" w:color="auto" w:fill="F2F5D7" w:themeFill="accent3" w:themeFillTint="33"/>
            <w:hideMark/>
          </w:tcPr>
          <w:p w14:paraId="4986A105" w14:textId="77777777" w:rsidR="00167C1D" w:rsidRPr="00167C1D" w:rsidRDefault="00167C1D" w:rsidP="00167C1D">
            <w:pPr>
              <w:spacing w:after="120" w:line="264" w:lineRule="auto"/>
              <w:rPr>
                <w:lang w:val="en-GB"/>
              </w:rPr>
            </w:pPr>
            <w:r w:rsidRPr="00167C1D">
              <w:rPr>
                <w:b/>
                <w:bCs/>
                <w:lang w:val="en-GB"/>
              </w:rPr>
              <w:t>Internal Resources (VRIO)</w:t>
            </w:r>
          </w:p>
        </w:tc>
        <w:tc>
          <w:tcPr>
            <w:tcW w:w="0" w:type="auto"/>
            <w:shd w:val="clear" w:color="auto" w:fill="F2F5D7" w:themeFill="accent3" w:themeFillTint="33"/>
            <w:hideMark/>
          </w:tcPr>
          <w:p w14:paraId="4CDC0652" w14:textId="77777777" w:rsidR="00167C1D" w:rsidRPr="00167C1D" w:rsidRDefault="00167C1D" w:rsidP="00167C1D">
            <w:pPr>
              <w:spacing w:after="120" w:line="264" w:lineRule="auto"/>
              <w:rPr>
                <w:sz w:val="20"/>
                <w:szCs w:val="20"/>
                <w:lang w:val="en-GB"/>
              </w:rPr>
            </w:pPr>
            <w:r w:rsidRPr="00167C1D">
              <w:rPr>
                <w:sz w:val="20"/>
                <w:szCs w:val="20"/>
                <w:lang w:val="en-GB"/>
              </w:rPr>
              <w:t>Strong brand, partnerships, and technological capabilities.</w:t>
            </w:r>
          </w:p>
        </w:tc>
        <w:tc>
          <w:tcPr>
            <w:tcW w:w="0" w:type="auto"/>
            <w:shd w:val="clear" w:color="auto" w:fill="F2F5D7" w:themeFill="accent3" w:themeFillTint="33"/>
            <w:hideMark/>
          </w:tcPr>
          <w:p w14:paraId="2FEB58E6" w14:textId="77777777" w:rsidR="00167C1D" w:rsidRPr="00167C1D" w:rsidRDefault="00167C1D" w:rsidP="00167C1D">
            <w:pPr>
              <w:spacing w:after="120" w:line="264" w:lineRule="auto"/>
              <w:rPr>
                <w:sz w:val="20"/>
                <w:szCs w:val="20"/>
                <w:lang w:val="en-GB"/>
              </w:rPr>
            </w:pPr>
            <w:r w:rsidRPr="00167C1D">
              <w:rPr>
                <w:sz w:val="20"/>
                <w:szCs w:val="20"/>
                <w:lang w:val="en-GB"/>
              </w:rPr>
              <w:t>Utilise VRIO strengths (Jio-bp, R&amp;D, ESG leadership) to sustain long-term advantage.</w:t>
            </w:r>
          </w:p>
        </w:tc>
      </w:tr>
      <w:tr w:rsidR="00167C1D" w:rsidRPr="00167C1D" w14:paraId="31E2F0C3" w14:textId="77777777" w:rsidTr="00633453">
        <w:tc>
          <w:tcPr>
            <w:tcW w:w="0" w:type="auto"/>
            <w:shd w:val="clear" w:color="auto" w:fill="F2F5D7" w:themeFill="accent3" w:themeFillTint="33"/>
            <w:hideMark/>
          </w:tcPr>
          <w:p w14:paraId="05A8A0AF" w14:textId="77777777" w:rsidR="00167C1D" w:rsidRPr="00167C1D" w:rsidRDefault="00167C1D" w:rsidP="00167C1D">
            <w:pPr>
              <w:spacing w:after="120" w:line="264" w:lineRule="auto"/>
              <w:rPr>
                <w:lang w:val="en-GB"/>
              </w:rPr>
            </w:pPr>
            <w:r w:rsidRPr="00167C1D">
              <w:rPr>
                <w:b/>
                <w:bCs/>
                <w:lang w:val="en-GB"/>
              </w:rPr>
              <w:t>Weaknesses / Risks (VRIO)</w:t>
            </w:r>
          </w:p>
        </w:tc>
        <w:tc>
          <w:tcPr>
            <w:tcW w:w="0" w:type="auto"/>
            <w:shd w:val="clear" w:color="auto" w:fill="F2F5D7" w:themeFill="accent3" w:themeFillTint="33"/>
            <w:hideMark/>
          </w:tcPr>
          <w:p w14:paraId="3128FF90" w14:textId="77777777" w:rsidR="00167C1D" w:rsidRPr="00167C1D" w:rsidRDefault="00167C1D" w:rsidP="00167C1D">
            <w:pPr>
              <w:spacing w:after="120" w:line="264" w:lineRule="auto"/>
              <w:rPr>
                <w:sz w:val="20"/>
                <w:szCs w:val="20"/>
                <w:lang w:val="en-GB"/>
              </w:rPr>
            </w:pPr>
            <w:r w:rsidRPr="00167C1D">
              <w:rPr>
                <w:sz w:val="20"/>
                <w:szCs w:val="20"/>
                <w:lang w:val="en-GB"/>
              </w:rPr>
              <w:t>Moderate dependence on fossil fuel legacy and capital intensity.</w:t>
            </w:r>
          </w:p>
        </w:tc>
        <w:tc>
          <w:tcPr>
            <w:tcW w:w="0" w:type="auto"/>
            <w:shd w:val="clear" w:color="auto" w:fill="F2F5D7" w:themeFill="accent3" w:themeFillTint="33"/>
            <w:hideMark/>
          </w:tcPr>
          <w:p w14:paraId="0CE114AD" w14:textId="77777777" w:rsidR="00167C1D" w:rsidRPr="00167C1D" w:rsidRDefault="00167C1D" w:rsidP="00167C1D">
            <w:pPr>
              <w:spacing w:after="120" w:line="264" w:lineRule="auto"/>
              <w:rPr>
                <w:sz w:val="20"/>
                <w:szCs w:val="20"/>
                <w:lang w:val="en-GB"/>
              </w:rPr>
            </w:pPr>
            <w:r w:rsidRPr="00167C1D">
              <w:rPr>
                <w:sz w:val="20"/>
                <w:szCs w:val="20"/>
                <w:lang w:val="en-GB"/>
              </w:rPr>
              <w:t>Mitigate through diversification and digital transformation.</w:t>
            </w:r>
          </w:p>
        </w:tc>
      </w:tr>
    </w:tbl>
    <w:p w14:paraId="14C1E16E" w14:textId="13182AD6" w:rsidR="00EE274B" w:rsidRDefault="00DD0447" w:rsidP="00D37DE5">
      <w:pPr>
        <w:rPr>
          <w:lang w:val="en-GB"/>
        </w:rPr>
      </w:pPr>
      <w:r w:rsidRPr="00DD0447">
        <w:rPr>
          <w:lang w:val="en-GB"/>
        </w:rPr>
        <w:t>Source: Compiled by author based on BP (2024), IEA (2023), and internal strategic frameworks.</w:t>
      </w:r>
    </w:p>
    <w:p w14:paraId="663F102A" w14:textId="77777777" w:rsidR="00C5159D" w:rsidRPr="00C5159D" w:rsidRDefault="00C5159D" w:rsidP="00C5159D">
      <w:pPr>
        <w:rPr>
          <w:lang w:val="en-GB"/>
        </w:rPr>
      </w:pPr>
      <w:r w:rsidRPr="00C5159D">
        <w:rPr>
          <w:lang w:val="en-GB"/>
        </w:rPr>
        <w:t>Overall, BP is strategically positioned to capitalise on India’s energy transformation. The macro-environment (PESTLE) presents enabling conditions such as favourable government policy and strong demand growth. The competitive landscape (Porter’s Five Forces) is challenging but offers growth potential through innovation and alliances. BP’s internal capabilities (VRIO) provide a solid foundation for differentiation, particularly through its partnership with Reliance and its expertise in sustainable technologies.</w:t>
      </w:r>
    </w:p>
    <w:p w14:paraId="440C5F76" w14:textId="7E83C3EF" w:rsidR="00EE274B" w:rsidRDefault="00C5159D" w:rsidP="00C5159D">
      <w:pPr>
        <w:rPr>
          <w:lang w:val="en-GB"/>
        </w:rPr>
      </w:pPr>
      <w:r w:rsidRPr="00C5159D">
        <w:rPr>
          <w:lang w:val="en-GB"/>
        </w:rPr>
        <w:t>The convergence of these factors suggests that BP should pursue a differentiation and partnership-led growth strategy, focusing on renewable energy investments, green mobility, and digital energy ecosystems. Such an approach would enable BP to maintain relevance in India’s fast-evolving energy sector while reinforcing its global sustainability commitments.</w:t>
      </w:r>
    </w:p>
    <w:p w14:paraId="16344DAF" w14:textId="77777777" w:rsidR="00C23DBA" w:rsidRPr="00C23DBA" w:rsidRDefault="00C23DBA" w:rsidP="00C23DBA">
      <w:pPr>
        <w:pStyle w:val="Heading1"/>
        <w:rPr>
          <w:lang w:val="en-GB"/>
        </w:rPr>
      </w:pPr>
      <w:bookmarkStart w:id="18" w:name="_Toc215236119"/>
      <w:r w:rsidRPr="00C23DBA">
        <w:rPr>
          <w:lang w:val="en-GB"/>
        </w:rPr>
        <w:lastRenderedPageBreak/>
        <w:t>4. Strategic Options and Recommendations</w:t>
      </w:r>
      <w:bookmarkEnd w:id="18"/>
    </w:p>
    <w:p w14:paraId="6F94E8E5" w14:textId="77777777" w:rsidR="00C23DBA" w:rsidRPr="00C23DBA" w:rsidRDefault="00C23DBA" w:rsidP="00C23DBA">
      <w:pPr>
        <w:rPr>
          <w:lang w:val="en-GB"/>
        </w:rPr>
      </w:pPr>
    </w:p>
    <w:p w14:paraId="3EB78D7B" w14:textId="77777777" w:rsidR="00C23DBA" w:rsidRDefault="00C23DBA" w:rsidP="00C23DBA">
      <w:pPr>
        <w:rPr>
          <w:lang w:val="en-GB"/>
        </w:rPr>
      </w:pPr>
      <w:r w:rsidRPr="00C23DBA">
        <w:rPr>
          <w:lang w:val="en-GB"/>
        </w:rPr>
        <w:t>Following the comprehensive external and internal analyses, BP can pursue several strategic pathways to strengthen its competitive position in the Indian market. The following options are derived from the alignment of BP’s capabilities (VRIO) and India’s market conditions (PESTLE and Porter frameworks).</w:t>
      </w:r>
    </w:p>
    <w:p w14:paraId="791B6CF8" w14:textId="77777777" w:rsidR="002F5278" w:rsidRPr="00C23DBA" w:rsidRDefault="002F5278" w:rsidP="00C23DBA">
      <w:pPr>
        <w:rPr>
          <w:lang w:val="en-GB"/>
        </w:rPr>
      </w:pPr>
    </w:p>
    <w:p w14:paraId="0DDAC990" w14:textId="77777777" w:rsidR="00C23DBA" w:rsidRPr="00C23DBA" w:rsidRDefault="00C23DBA" w:rsidP="00C23DBA">
      <w:pPr>
        <w:rPr>
          <w:lang w:val="en-GB"/>
        </w:rPr>
      </w:pPr>
      <w:r w:rsidRPr="00C23DBA">
        <w:rPr>
          <w:lang w:val="en-GB"/>
        </w:rPr>
        <w:t>Option 1: Expansion through Renewable Energy Investments (Solar, Wind, and Hydrogen)</w:t>
      </w:r>
    </w:p>
    <w:p w14:paraId="6C2A697B" w14:textId="77777777" w:rsidR="00C23DBA" w:rsidRPr="00C23DBA" w:rsidRDefault="00C23DBA" w:rsidP="00C23DBA">
      <w:pPr>
        <w:rPr>
          <w:lang w:val="en-GB"/>
        </w:rPr>
      </w:pPr>
      <w:r w:rsidRPr="00C23DBA">
        <w:rPr>
          <w:lang w:val="en-GB"/>
        </w:rPr>
        <w:t>This strategy involves large-scale investment in renewable energy production and green hydrogen infrastructure in collaboration with Indian public and private entities. BP could expand beyond its Jio-bp joint venture to form strategic alliances with Adani Green, NTPC, or Tata Power for technology co-development and local integration.</w:t>
      </w:r>
    </w:p>
    <w:p w14:paraId="33F8BAA0" w14:textId="77777777" w:rsidR="00C23DBA" w:rsidRPr="00C23DBA" w:rsidRDefault="00C23DBA" w:rsidP="00C23DBA">
      <w:pPr>
        <w:rPr>
          <w:lang w:val="en-GB"/>
        </w:rPr>
      </w:pPr>
      <w:r w:rsidRPr="00C23DBA">
        <w:rPr>
          <w:lang w:val="en-GB"/>
        </w:rPr>
        <w:t>Suitability: Aligns with India’s Renewable Energy Target (500 GW by 2030) and BP’s 2050 net-zero ambition.</w:t>
      </w:r>
    </w:p>
    <w:p w14:paraId="24A024FB" w14:textId="77777777" w:rsidR="00C23DBA" w:rsidRPr="00C23DBA" w:rsidRDefault="00C23DBA" w:rsidP="00C23DBA">
      <w:pPr>
        <w:rPr>
          <w:lang w:val="en-GB"/>
        </w:rPr>
      </w:pPr>
      <w:r w:rsidRPr="00C23DBA">
        <w:rPr>
          <w:lang w:val="en-GB"/>
        </w:rPr>
        <w:t>Acceptability: High investor and governmental support due to ESG alignment.</w:t>
      </w:r>
    </w:p>
    <w:p w14:paraId="5140A3A7" w14:textId="77777777" w:rsidR="00C23DBA" w:rsidRPr="00C23DBA" w:rsidRDefault="00C23DBA" w:rsidP="00C23DBA">
      <w:pPr>
        <w:rPr>
          <w:lang w:val="en-GB"/>
        </w:rPr>
      </w:pPr>
      <w:r w:rsidRPr="00C23DBA">
        <w:rPr>
          <w:lang w:val="en-GB"/>
        </w:rPr>
        <w:t>Feasibility: Requires significant capital but feasible through BP’s strong financial base and existing partnerships.</w:t>
      </w:r>
    </w:p>
    <w:p w14:paraId="3BCE9EA5" w14:textId="77777777" w:rsidR="00C23DBA" w:rsidRDefault="00C23DBA" w:rsidP="00C23DBA">
      <w:pPr>
        <w:rPr>
          <w:lang w:val="en-GB"/>
        </w:rPr>
      </w:pPr>
      <w:r w:rsidRPr="00C23DBA">
        <w:rPr>
          <w:lang w:val="en-GB"/>
        </w:rPr>
        <w:t>Expected Outcome: Strengthened leadership in India’s green transition and diversification of BP’s global energy portfolio.</w:t>
      </w:r>
    </w:p>
    <w:p w14:paraId="56B4B015" w14:textId="77777777" w:rsidR="002F5278" w:rsidRPr="00C23DBA" w:rsidRDefault="002F5278" w:rsidP="00C23DBA">
      <w:pPr>
        <w:rPr>
          <w:lang w:val="en-GB"/>
        </w:rPr>
      </w:pPr>
    </w:p>
    <w:p w14:paraId="6BE831D2" w14:textId="77777777" w:rsidR="00C23DBA" w:rsidRPr="00C23DBA" w:rsidRDefault="00C23DBA" w:rsidP="00C23DBA">
      <w:pPr>
        <w:rPr>
          <w:lang w:val="en-GB"/>
        </w:rPr>
      </w:pPr>
      <w:r w:rsidRPr="00C23DBA">
        <w:rPr>
          <w:lang w:val="en-GB"/>
        </w:rPr>
        <w:t>Option 2: Digital Transformation and Smart Mobility Services</w:t>
      </w:r>
    </w:p>
    <w:p w14:paraId="44D59B0D" w14:textId="77777777" w:rsidR="00C23DBA" w:rsidRPr="00C23DBA" w:rsidRDefault="00C23DBA" w:rsidP="00C23DBA">
      <w:pPr>
        <w:rPr>
          <w:lang w:val="en-GB"/>
        </w:rPr>
      </w:pPr>
      <w:r w:rsidRPr="00C23DBA">
        <w:rPr>
          <w:lang w:val="en-GB"/>
        </w:rPr>
        <w:t>This option focuses on developing digital platforms for EV charging, fleet management, and customer engagement, leveraging the Jio-bp network. It combines renewable energy supply with data-driven mobility services and IoT-enabled charging infrastructure.</w:t>
      </w:r>
    </w:p>
    <w:p w14:paraId="046666B5" w14:textId="77777777" w:rsidR="00C23DBA" w:rsidRPr="00C23DBA" w:rsidRDefault="00C23DBA" w:rsidP="00C23DBA">
      <w:pPr>
        <w:rPr>
          <w:lang w:val="en-GB"/>
        </w:rPr>
      </w:pPr>
      <w:r w:rsidRPr="00C23DBA">
        <w:rPr>
          <w:lang w:val="en-GB"/>
        </w:rPr>
        <w:t>Suitability: Matches India’s rapid urbanisation and the government’s EV adoption targets (30% of new vehicles by 2030).</w:t>
      </w:r>
    </w:p>
    <w:p w14:paraId="07E159A3" w14:textId="77777777" w:rsidR="00C23DBA" w:rsidRPr="00C23DBA" w:rsidRDefault="00C23DBA" w:rsidP="00C23DBA">
      <w:pPr>
        <w:rPr>
          <w:lang w:val="en-GB"/>
        </w:rPr>
      </w:pPr>
      <w:r w:rsidRPr="00C23DBA">
        <w:rPr>
          <w:lang w:val="en-GB"/>
        </w:rPr>
        <w:t>Acceptability: Positive consumer perception of innovation and convenience; supports brand differentiation.</w:t>
      </w:r>
    </w:p>
    <w:p w14:paraId="713B6B22" w14:textId="77777777" w:rsidR="00C23DBA" w:rsidRPr="00C23DBA" w:rsidRDefault="00C23DBA" w:rsidP="00C23DBA">
      <w:pPr>
        <w:rPr>
          <w:lang w:val="en-GB"/>
        </w:rPr>
      </w:pPr>
      <w:r w:rsidRPr="00C23DBA">
        <w:rPr>
          <w:lang w:val="en-GB"/>
        </w:rPr>
        <w:t>Feasibility: High, given BP’s global expertise in digital energy platforms and access to Reliance’s telecom network.</w:t>
      </w:r>
    </w:p>
    <w:p w14:paraId="380535B3" w14:textId="77777777" w:rsidR="00C23DBA" w:rsidRPr="00C23DBA" w:rsidRDefault="00C23DBA" w:rsidP="00C23DBA">
      <w:pPr>
        <w:rPr>
          <w:lang w:val="en-GB"/>
        </w:rPr>
      </w:pPr>
      <w:r w:rsidRPr="00C23DBA">
        <w:rPr>
          <w:lang w:val="en-GB"/>
        </w:rPr>
        <w:t>Expected Outcome: Enhanced brand loyalty and long-term digital capability positioning BP as a leader in India’s smart mobility ecosystem.</w:t>
      </w:r>
    </w:p>
    <w:p w14:paraId="3AAD96F3" w14:textId="77777777" w:rsidR="00C23DBA" w:rsidRPr="00C23DBA" w:rsidRDefault="00C23DBA" w:rsidP="00C23DBA">
      <w:pPr>
        <w:rPr>
          <w:lang w:val="en-GB"/>
        </w:rPr>
      </w:pPr>
      <w:r w:rsidRPr="00C23DBA">
        <w:rPr>
          <w:lang w:val="en-GB"/>
        </w:rPr>
        <w:lastRenderedPageBreak/>
        <w:t>Option 3: Green Hydrogen and Industrial Decarbonisation Partnerships</w:t>
      </w:r>
    </w:p>
    <w:p w14:paraId="71F7D4F8" w14:textId="77777777" w:rsidR="00C23DBA" w:rsidRPr="00C23DBA" w:rsidRDefault="00C23DBA" w:rsidP="00C23DBA">
      <w:pPr>
        <w:rPr>
          <w:lang w:val="en-GB"/>
        </w:rPr>
      </w:pPr>
      <w:r w:rsidRPr="00C23DBA">
        <w:rPr>
          <w:lang w:val="en-GB"/>
        </w:rPr>
        <w:t>BP can capitalise on India’s National Hydrogen Mission by establishing green hydrogen production hubs near industrial zones, targeting high-emission sectors such as steel and cement.</w:t>
      </w:r>
    </w:p>
    <w:p w14:paraId="0DEEC80D" w14:textId="77777777" w:rsidR="00C23DBA" w:rsidRPr="00C23DBA" w:rsidRDefault="00C23DBA" w:rsidP="00C23DBA">
      <w:pPr>
        <w:rPr>
          <w:lang w:val="en-GB"/>
        </w:rPr>
      </w:pPr>
      <w:r w:rsidRPr="00C23DBA">
        <w:rPr>
          <w:lang w:val="en-GB"/>
        </w:rPr>
        <w:t>Suitability: Supports both India’s decarbonisation policy and BP’s low-carbon strategic pillar.</w:t>
      </w:r>
    </w:p>
    <w:p w14:paraId="0FEB5828" w14:textId="77777777" w:rsidR="00C23DBA" w:rsidRPr="00C23DBA" w:rsidRDefault="00C23DBA" w:rsidP="00C23DBA">
      <w:pPr>
        <w:rPr>
          <w:lang w:val="en-GB"/>
        </w:rPr>
      </w:pPr>
      <w:r w:rsidRPr="00C23DBA">
        <w:rPr>
          <w:lang w:val="en-GB"/>
        </w:rPr>
        <w:t>Acceptability: Strong policy incentives and increasing corporate demand for low-carbon energy.</w:t>
      </w:r>
    </w:p>
    <w:p w14:paraId="20F52A07" w14:textId="77777777" w:rsidR="00C23DBA" w:rsidRPr="00C23DBA" w:rsidRDefault="00C23DBA" w:rsidP="00C23DBA">
      <w:pPr>
        <w:rPr>
          <w:lang w:val="en-GB"/>
        </w:rPr>
      </w:pPr>
      <w:r w:rsidRPr="00C23DBA">
        <w:rPr>
          <w:lang w:val="en-GB"/>
        </w:rPr>
        <w:t>Feasibility: Moderate – high technology and infrastructure costs require consortia-based investment.</w:t>
      </w:r>
    </w:p>
    <w:p w14:paraId="211802FC" w14:textId="325F50B8" w:rsidR="00C5159D" w:rsidRDefault="00C23DBA" w:rsidP="00C23DBA">
      <w:pPr>
        <w:rPr>
          <w:lang w:val="en-GB"/>
        </w:rPr>
      </w:pPr>
      <w:r w:rsidRPr="00C23DBA">
        <w:rPr>
          <w:lang w:val="en-GB"/>
        </w:rPr>
        <w:t>Expected Outcome: Establishes BP as a pioneer in India’s hydrogen economy, enhancing technological credibility and long-term market presence.</w:t>
      </w:r>
    </w:p>
    <w:p w14:paraId="2E347194" w14:textId="1D8A7B54" w:rsidR="00C5159D" w:rsidRPr="00C75DAD" w:rsidRDefault="00D74F10" w:rsidP="00D74F10">
      <w:pPr>
        <w:rPr>
          <w:sz w:val="20"/>
          <w:szCs w:val="20"/>
          <w:lang w:val="en-GB"/>
        </w:rPr>
      </w:pPr>
      <w:r w:rsidRPr="00D74F10">
        <w:rPr>
          <w:lang w:val="en-GB"/>
        </w:rPr>
        <w:t xml:space="preserve">Table </w:t>
      </w:r>
      <w:r w:rsidR="00E774F9">
        <w:rPr>
          <w:lang w:val="en-GB"/>
        </w:rPr>
        <w:t>5</w:t>
      </w:r>
      <w:r w:rsidRPr="00D74F10">
        <w:rPr>
          <w:lang w:val="en-GB"/>
        </w:rPr>
        <w:t xml:space="preserve">: </w:t>
      </w:r>
      <w:r w:rsidRPr="00C75DAD">
        <w:rPr>
          <w:sz w:val="20"/>
          <w:szCs w:val="20"/>
          <w:lang w:val="en-GB"/>
        </w:rPr>
        <w:t>Evaluation of Strategic Options Using SAF Framework</w:t>
      </w:r>
      <w:r w:rsidR="00C75DAD">
        <w:rPr>
          <w:sz w:val="20"/>
          <w:szCs w:val="20"/>
          <w:lang w:val="en-GB"/>
        </w:rPr>
        <w:t xml:space="preserve"> </w:t>
      </w:r>
      <w:r w:rsidRPr="00C75DAD">
        <w:rPr>
          <w:sz w:val="20"/>
          <w:szCs w:val="20"/>
          <w:lang w:val="en-GB"/>
        </w:rPr>
        <w:t>Option</w:t>
      </w:r>
      <w:r w:rsidRPr="00C75DAD">
        <w:rPr>
          <w:sz w:val="20"/>
          <w:szCs w:val="20"/>
          <w:lang w:val="en-GB"/>
        </w:rPr>
        <w:tab/>
        <w:t>Suitability</w:t>
      </w:r>
      <w:r w:rsidR="00C75DAD">
        <w:rPr>
          <w:sz w:val="20"/>
          <w:szCs w:val="20"/>
          <w:lang w:val="en-GB"/>
        </w:rPr>
        <w:t xml:space="preserve"> </w:t>
      </w:r>
      <w:r w:rsidRPr="00C75DAD">
        <w:rPr>
          <w:sz w:val="20"/>
          <w:szCs w:val="20"/>
          <w:lang w:val="en-GB"/>
        </w:rPr>
        <w:t>Acceptability</w:t>
      </w:r>
    </w:p>
    <w:tbl>
      <w:tblPr>
        <w:tblStyle w:val="GridTable5Dark-Accent1"/>
        <w:tblW w:w="0" w:type="auto"/>
        <w:tblLook w:val="04A0" w:firstRow="1" w:lastRow="0" w:firstColumn="1" w:lastColumn="0" w:noHBand="0" w:noVBand="1"/>
      </w:tblPr>
      <w:tblGrid>
        <w:gridCol w:w="2270"/>
        <w:gridCol w:w="1363"/>
        <w:gridCol w:w="1710"/>
        <w:gridCol w:w="1390"/>
        <w:gridCol w:w="2123"/>
      </w:tblGrid>
      <w:tr w:rsidR="00D74F10" w:rsidRPr="00D74F10" w14:paraId="70263EE4" w14:textId="77777777" w:rsidTr="002B701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8FB01D4" w14:textId="77777777" w:rsidR="00D74F10" w:rsidRPr="00D74F10" w:rsidRDefault="00D74F10" w:rsidP="00D74F10">
            <w:pPr>
              <w:spacing w:after="120" w:line="264" w:lineRule="auto"/>
              <w:rPr>
                <w:lang w:val="en-GB"/>
              </w:rPr>
            </w:pPr>
            <w:r w:rsidRPr="00D74F10">
              <w:rPr>
                <w:lang w:val="en-GB"/>
              </w:rPr>
              <w:t>Option</w:t>
            </w:r>
          </w:p>
        </w:tc>
        <w:tc>
          <w:tcPr>
            <w:tcW w:w="0" w:type="auto"/>
            <w:hideMark/>
          </w:tcPr>
          <w:p w14:paraId="6081F855" w14:textId="77777777" w:rsidR="00D74F10" w:rsidRPr="00D74F10" w:rsidRDefault="00D74F10" w:rsidP="00D74F10">
            <w:pPr>
              <w:spacing w:after="120" w:line="264" w:lineRule="auto"/>
              <w:cnfStyle w:val="100000000000" w:firstRow="1" w:lastRow="0" w:firstColumn="0" w:lastColumn="0" w:oddVBand="0" w:evenVBand="0" w:oddHBand="0" w:evenHBand="0" w:firstRowFirstColumn="0" w:firstRowLastColumn="0" w:lastRowFirstColumn="0" w:lastRowLastColumn="0"/>
              <w:rPr>
                <w:lang w:val="en-GB"/>
              </w:rPr>
            </w:pPr>
            <w:r w:rsidRPr="00D74F10">
              <w:rPr>
                <w:lang w:val="en-GB"/>
              </w:rPr>
              <w:t>Suitability</w:t>
            </w:r>
          </w:p>
        </w:tc>
        <w:tc>
          <w:tcPr>
            <w:tcW w:w="0" w:type="auto"/>
            <w:hideMark/>
          </w:tcPr>
          <w:p w14:paraId="7520B84E" w14:textId="77777777" w:rsidR="00D74F10" w:rsidRPr="00D74F10" w:rsidRDefault="00D74F10" w:rsidP="00D74F10">
            <w:pPr>
              <w:spacing w:after="120" w:line="264" w:lineRule="auto"/>
              <w:cnfStyle w:val="100000000000" w:firstRow="1" w:lastRow="0" w:firstColumn="0" w:lastColumn="0" w:oddVBand="0" w:evenVBand="0" w:oddHBand="0" w:evenHBand="0" w:firstRowFirstColumn="0" w:firstRowLastColumn="0" w:lastRowFirstColumn="0" w:lastRowLastColumn="0"/>
              <w:rPr>
                <w:lang w:val="en-GB"/>
              </w:rPr>
            </w:pPr>
            <w:r w:rsidRPr="00D74F10">
              <w:rPr>
                <w:lang w:val="en-GB"/>
              </w:rPr>
              <w:t>Acceptability</w:t>
            </w:r>
          </w:p>
        </w:tc>
        <w:tc>
          <w:tcPr>
            <w:tcW w:w="0" w:type="auto"/>
            <w:hideMark/>
          </w:tcPr>
          <w:p w14:paraId="034B89F7" w14:textId="77777777" w:rsidR="00D74F10" w:rsidRPr="00D74F10" w:rsidRDefault="00D74F10" w:rsidP="00D74F10">
            <w:pPr>
              <w:spacing w:after="120" w:line="264" w:lineRule="auto"/>
              <w:cnfStyle w:val="100000000000" w:firstRow="1" w:lastRow="0" w:firstColumn="0" w:lastColumn="0" w:oddVBand="0" w:evenVBand="0" w:oddHBand="0" w:evenHBand="0" w:firstRowFirstColumn="0" w:firstRowLastColumn="0" w:lastRowFirstColumn="0" w:lastRowLastColumn="0"/>
              <w:rPr>
                <w:lang w:val="en-GB"/>
              </w:rPr>
            </w:pPr>
            <w:r w:rsidRPr="00D74F10">
              <w:rPr>
                <w:lang w:val="en-GB"/>
              </w:rPr>
              <w:t>Feasibility</w:t>
            </w:r>
          </w:p>
        </w:tc>
        <w:tc>
          <w:tcPr>
            <w:tcW w:w="0" w:type="auto"/>
            <w:hideMark/>
          </w:tcPr>
          <w:p w14:paraId="03F88580" w14:textId="77777777" w:rsidR="00D74F10" w:rsidRPr="00D74F10" w:rsidRDefault="00D74F10" w:rsidP="00D74F10">
            <w:pPr>
              <w:spacing w:after="120" w:line="264" w:lineRule="auto"/>
              <w:cnfStyle w:val="100000000000" w:firstRow="1" w:lastRow="0" w:firstColumn="0" w:lastColumn="0" w:oddVBand="0" w:evenVBand="0" w:oddHBand="0" w:evenHBand="0" w:firstRowFirstColumn="0" w:firstRowLastColumn="0" w:lastRowFirstColumn="0" w:lastRowLastColumn="0"/>
              <w:rPr>
                <w:lang w:val="en-GB"/>
              </w:rPr>
            </w:pPr>
            <w:r w:rsidRPr="00D74F10">
              <w:rPr>
                <w:lang w:val="en-GB"/>
              </w:rPr>
              <w:t>Overall Assessment</w:t>
            </w:r>
          </w:p>
        </w:tc>
      </w:tr>
      <w:tr w:rsidR="00D74F10" w:rsidRPr="00D74F10" w14:paraId="668BC567" w14:textId="77777777" w:rsidTr="002B701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64794ED" w14:textId="77777777" w:rsidR="00D74F10" w:rsidRPr="00D74F10" w:rsidRDefault="00D74F10" w:rsidP="00D74F10">
            <w:pPr>
              <w:spacing w:after="120" w:line="264" w:lineRule="auto"/>
              <w:rPr>
                <w:lang w:val="en-GB"/>
              </w:rPr>
            </w:pPr>
            <w:r w:rsidRPr="00D74F10">
              <w:rPr>
                <w:lang w:val="en-GB"/>
              </w:rPr>
              <w:t>Renewable Energy Expansion</w:t>
            </w:r>
          </w:p>
        </w:tc>
        <w:tc>
          <w:tcPr>
            <w:tcW w:w="0" w:type="auto"/>
            <w:hideMark/>
          </w:tcPr>
          <w:p w14:paraId="03290638" w14:textId="77777777" w:rsidR="00D74F10" w:rsidRPr="00D74F10" w:rsidRDefault="00D74F10" w:rsidP="00D74F10">
            <w:pPr>
              <w:spacing w:after="120" w:line="264" w:lineRule="auto"/>
              <w:cnfStyle w:val="000000100000" w:firstRow="0" w:lastRow="0" w:firstColumn="0" w:lastColumn="0" w:oddVBand="0" w:evenVBand="0" w:oddHBand="1" w:evenHBand="0" w:firstRowFirstColumn="0" w:firstRowLastColumn="0" w:lastRowFirstColumn="0" w:lastRowLastColumn="0"/>
              <w:rPr>
                <w:lang w:val="en-GB"/>
              </w:rPr>
            </w:pPr>
            <w:r w:rsidRPr="00D74F10">
              <w:rPr>
                <w:lang w:val="en-GB"/>
              </w:rPr>
              <w:t>High</w:t>
            </w:r>
          </w:p>
        </w:tc>
        <w:tc>
          <w:tcPr>
            <w:tcW w:w="0" w:type="auto"/>
            <w:hideMark/>
          </w:tcPr>
          <w:p w14:paraId="57E035B5" w14:textId="77777777" w:rsidR="00D74F10" w:rsidRPr="00D74F10" w:rsidRDefault="00D74F10" w:rsidP="00D74F10">
            <w:pPr>
              <w:spacing w:after="120" w:line="264" w:lineRule="auto"/>
              <w:cnfStyle w:val="000000100000" w:firstRow="0" w:lastRow="0" w:firstColumn="0" w:lastColumn="0" w:oddVBand="0" w:evenVBand="0" w:oddHBand="1" w:evenHBand="0" w:firstRowFirstColumn="0" w:firstRowLastColumn="0" w:lastRowFirstColumn="0" w:lastRowLastColumn="0"/>
              <w:rPr>
                <w:lang w:val="en-GB"/>
              </w:rPr>
            </w:pPr>
            <w:r w:rsidRPr="00D74F10">
              <w:rPr>
                <w:lang w:val="en-GB"/>
              </w:rPr>
              <w:t>High</w:t>
            </w:r>
          </w:p>
        </w:tc>
        <w:tc>
          <w:tcPr>
            <w:tcW w:w="0" w:type="auto"/>
            <w:hideMark/>
          </w:tcPr>
          <w:p w14:paraId="4F7956C5" w14:textId="77777777" w:rsidR="00D74F10" w:rsidRPr="00D74F10" w:rsidRDefault="00D74F10" w:rsidP="00D74F10">
            <w:pPr>
              <w:spacing w:after="120" w:line="264" w:lineRule="auto"/>
              <w:cnfStyle w:val="000000100000" w:firstRow="0" w:lastRow="0" w:firstColumn="0" w:lastColumn="0" w:oddVBand="0" w:evenVBand="0" w:oddHBand="1" w:evenHBand="0" w:firstRowFirstColumn="0" w:firstRowLastColumn="0" w:lastRowFirstColumn="0" w:lastRowLastColumn="0"/>
              <w:rPr>
                <w:lang w:val="en-GB"/>
              </w:rPr>
            </w:pPr>
            <w:r w:rsidRPr="00D74F10">
              <w:rPr>
                <w:lang w:val="en-GB"/>
              </w:rPr>
              <w:t>High</w:t>
            </w:r>
          </w:p>
        </w:tc>
        <w:tc>
          <w:tcPr>
            <w:tcW w:w="0" w:type="auto"/>
            <w:hideMark/>
          </w:tcPr>
          <w:p w14:paraId="7D029143" w14:textId="77777777" w:rsidR="00D74F10" w:rsidRPr="00D74F10" w:rsidRDefault="00D74F10" w:rsidP="00D74F10">
            <w:pPr>
              <w:spacing w:after="120" w:line="264" w:lineRule="auto"/>
              <w:cnfStyle w:val="000000100000" w:firstRow="0" w:lastRow="0" w:firstColumn="0" w:lastColumn="0" w:oddVBand="0" w:evenVBand="0" w:oddHBand="1" w:evenHBand="0" w:firstRowFirstColumn="0" w:firstRowLastColumn="0" w:lastRowFirstColumn="0" w:lastRowLastColumn="0"/>
              <w:rPr>
                <w:lang w:val="en-GB"/>
              </w:rPr>
            </w:pPr>
            <w:r w:rsidRPr="00D74F10">
              <w:rPr>
                <w:lang w:val="en-GB"/>
              </w:rPr>
              <w:t>Strongly Recommended</w:t>
            </w:r>
          </w:p>
        </w:tc>
      </w:tr>
      <w:tr w:rsidR="00D74F10" w:rsidRPr="00D74F10" w14:paraId="45CEC165" w14:textId="77777777" w:rsidTr="002B7019">
        <w:tc>
          <w:tcPr>
            <w:cnfStyle w:val="001000000000" w:firstRow="0" w:lastRow="0" w:firstColumn="1" w:lastColumn="0" w:oddVBand="0" w:evenVBand="0" w:oddHBand="0" w:evenHBand="0" w:firstRowFirstColumn="0" w:firstRowLastColumn="0" w:lastRowFirstColumn="0" w:lastRowLastColumn="0"/>
            <w:tcW w:w="0" w:type="auto"/>
            <w:hideMark/>
          </w:tcPr>
          <w:p w14:paraId="1B20E93F" w14:textId="77777777" w:rsidR="00D74F10" w:rsidRPr="00D74F10" w:rsidRDefault="00D74F10" w:rsidP="00D74F10">
            <w:pPr>
              <w:spacing w:after="120" w:line="264" w:lineRule="auto"/>
              <w:rPr>
                <w:lang w:val="en-GB"/>
              </w:rPr>
            </w:pPr>
            <w:r w:rsidRPr="00D74F10">
              <w:rPr>
                <w:lang w:val="en-GB"/>
              </w:rPr>
              <w:t>Digital Transformation and Smart Mobility</w:t>
            </w:r>
          </w:p>
        </w:tc>
        <w:tc>
          <w:tcPr>
            <w:tcW w:w="0" w:type="auto"/>
            <w:hideMark/>
          </w:tcPr>
          <w:p w14:paraId="58A0CDC8" w14:textId="77777777" w:rsidR="00D74F10" w:rsidRPr="00D74F10" w:rsidRDefault="00D74F10" w:rsidP="00D74F10">
            <w:pPr>
              <w:spacing w:after="120" w:line="264" w:lineRule="auto"/>
              <w:cnfStyle w:val="000000000000" w:firstRow="0" w:lastRow="0" w:firstColumn="0" w:lastColumn="0" w:oddVBand="0" w:evenVBand="0" w:oddHBand="0" w:evenHBand="0" w:firstRowFirstColumn="0" w:firstRowLastColumn="0" w:lastRowFirstColumn="0" w:lastRowLastColumn="0"/>
              <w:rPr>
                <w:lang w:val="en-GB"/>
              </w:rPr>
            </w:pPr>
            <w:r w:rsidRPr="00D74F10">
              <w:rPr>
                <w:lang w:val="en-GB"/>
              </w:rPr>
              <w:t>High</w:t>
            </w:r>
          </w:p>
        </w:tc>
        <w:tc>
          <w:tcPr>
            <w:tcW w:w="0" w:type="auto"/>
            <w:hideMark/>
          </w:tcPr>
          <w:p w14:paraId="2C035ED4" w14:textId="77777777" w:rsidR="00D74F10" w:rsidRPr="00D74F10" w:rsidRDefault="00D74F10" w:rsidP="00D74F10">
            <w:pPr>
              <w:spacing w:after="120" w:line="264" w:lineRule="auto"/>
              <w:cnfStyle w:val="000000000000" w:firstRow="0" w:lastRow="0" w:firstColumn="0" w:lastColumn="0" w:oddVBand="0" w:evenVBand="0" w:oddHBand="0" w:evenHBand="0" w:firstRowFirstColumn="0" w:firstRowLastColumn="0" w:lastRowFirstColumn="0" w:lastRowLastColumn="0"/>
              <w:rPr>
                <w:lang w:val="en-GB"/>
              </w:rPr>
            </w:pPr>
            <w:r w:rsidRPr="00D74F10">
              <w:rPr>
                <w:lang w:val="en-GB"/>
              </w:rPr>
              <w:t>High</w:t>
            </w:r>
          </w:p>
        </w:tc>
        <w:tc>
          <w:tcPr>
            <w:tcW w:w="0" w:type="auto"/>
            <w:hideMark/>
          </w:tcPr>
          <w:p w14:paraId="1859B772" w14:textId="77777777" w:rsidR="00D74F10" w:rsidRPr="00D74F10" w:rsidRDefault="00D74F10" w:rsidP="00D74F10">
            <w:pPr>
              <w:spacing w:after="120" w:line="264" w:lineRule="auto"/>
              <w:cnfStyle w:val="000000000000" w:firstRow="0" w:lastRow="0" w:firstColumn="0" w:lastColumn="0" w:oddVBand="0" w:evenVBand="0" w:oddHBand="0" w:evenHBand="0" w:firstRowFirstColumn="0" w:firstRowLastColumn="0" w:lastRowFirstColumn="0" w:lastRowLastColumn="0"/>
              <w:rPr>
                <w:lang w:val="en-GB"/>
              </w:rPr>
            </w:pPr>
            <w:r w:rsidRPr="00D74F10">
              <w:rPr>
                <w:lang w:val="en-GB"/>
              </w:rPr>
              <w:t>High</w:t>
            </w:r>
          </w:p>
        </w:tc>
        <w:tc>
          <w:tcPr>
            <w:tcW w:w="0" w:type="auto"/>
            <w:hideMark/>
          </w:tcPr>
          <w:p w14:paraId="44DF4E61" w14:textId="77777777" w:rsidR="00D74F10" w:rsidRPr="00D74F10" w:rsidRDefault="00D74F10" w:rsidP="00D74F10">
            <w:pPr>
              <w:spacing w:after="120" w:line="264" w:lineRule="auto"/>
              <w:cnfStyle w:val="000000000000" w:firstRow="0" w:lastRow="0" w:firstColumn="0" w:lastColumn="0" w:oddVBand="0" w:evenVBand="0" w:oddHBand="0" w:evenHBand="0" w:firstRowFirstColumn="0" w:firstRowLastColumn="0" w:lastRowFirstColumn="0" w:lastRowLastColumn="0"/>
              <w:rPr>
                <w:lang w:val="en-GB"/>
              </w:rPr>
            </w:pPr>
            <w:r w:rsidRPr="00D74F10">
              <w:rPr>
                <w:lang w:val="en-GB"/>
              </w:rPr>
              <w:t>Strongly Recommended</w:t>
            </w:r>
          </w:p>
        </w:tc>
      </w:tr>
      <w:tr w:rsidR="00D74F10" w:rsidRPr="00D74F10" w14:paraId="68C6AC57" w14:textId="77777777" w:rsidTr="002B701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7DE1796" w14:textId="77777777" w:rsidR="00D74F10" w:rsidRPr="00D74F10" w:rsidRDefault="00D74F10" w:rsidP="00D74F10">
            <w:pPr>
              <w:spacing w:after="120" w:line="264" w:lineRule="auto"/>
              <w:rPr>
                <w:lang w:val="en-GB"/>
              </w:rPr>
            </w:pPr>
            <w:r w:rsidRPr="00D74F10">
              <w:rPr>
                <w:lang w:val="en-GB"/>
              </w:rPr>
              <w:t>Green Hydrogen Partnerships</w:t>
            </w:r>
          </w:p>
        </w:tc>
        <w:tc>
          <w:tcPr>
            <w:tcW w:w="0" w:type="auto"/>
            <w:hideMark/>
          </w:tcPr>
          <w:p w14:paraId="0E3B8B72" w14:textId="77777777" w:rsidR="00D74F10" w:rsidRPr="00D74F10" w:rsidRDefault="00D74F10" w:rsidP="00D74F10">
            <w:pPr>
              <w:spacing w:after="120" w:line="264" w:lineRule="auto"/>
              <w:cnfStyle w:val="000000100000" w:firstRow="0" w:lastRow="0" w:firstColumn="0" w:lastColumn="0" w:oddVBand="0" w:evenVBand="0" w:oddHBand="1" w:evenHBand="0" w:firstRowFirstColumn="0" w:firstRowLastColumn="0" w:lastRowFirstColumn="0" w:lastRowLastColumn="0"/>
              <w:rPr>
                <w:lang w:val="en-GB"/>
              </w:rPr>
            </w:pPr>
            <w:r w:rsidRPr="00D74F10">
              <w:rPr>
                <w:lang w:val="en-GB"/>
              </w:rPr>
              <w:t>High</w:t>
            </w:r>
          </w:p>
        </w:tc>
        <w:tc>
          <w:tcPr>
            <w:tcW w:w="0" w:type="auto"/>
            <w:hideMark/>
          </w:tcPr>
          <w:p w14:paraId="1D613F80" w14:textId="77777777" w:rsidR="00D74F10" w:rsidRPr="00D74F10" w:rsidRDefault="00D74F10" w:rsidP="00D74F10">
            <w:pPr>
              <w:spacing w:after="120" w:line="264" w:lineRule="auto"/>
              <w:cnfStyle w:val="000000100000" w:firstRow="0" w:lastRow="0" w:firstColumn="0" w:lastColumn="0" w:oddVBand="0" w:evenVBand="0" w:oddHBand="1" w:evenHBand="0" w:firstRowFirstColumn="0" w:firstRowLastColumn="0" w:lastRowFirstColumn="0" w:lastRowLastColumn="0"/>
              <w:rPr>
                <w:lang w:val="en-GB"/>
              </w:rPr>
            </w:pPr>
            <w:r w:rsidRPr="00D74F10">
              <w:rPr>
                <w:lang w:val="en-GB"/>
              </w:rPr>
              <w:t>Moderate</w:t>
            </w:r>
          </w:p>
        </w:tc>
        <w:tc>
          <w:tcPr>
            <w:tcW w:w="0" w:type="auto"/>
            <w:hideMark/>
          </w:tcPr>
          <w:p w14:paraId="36CDD5FC" w14:textId="77777777" w:rsidR="00D74F10" w:rsidRPr="00D74F10" w:rsidRDefault="00D74F10" w:rsidP="00D74F10">
            <w:pPr>
              <w:spacing w:after="120" w:line="264" w:lineRule="auto"/>
              <w:cnfStyle w:val="000000100000" w:firstRow="0" w:lastRow="0" w:firstColumn="0" w:lastColumn="0" w:oddVBand="0" w:evenVBand="0" w:oddHBand="1" w:evenHBand="0" w:firstRowFirstColumn="0" w:firstRowLastColumn="0" w:lastRowFirstColumn="0" w:lastRowLastColumn="0"/>
              <w:rPr>
                <w:lang w:val="en-GB"/>
              </w:rPr>
            </w:pPr>
            <w:r w:rsidRPr="00D74F10">
              <w:rPr>
                <w:lang w:val="en-GB"/>
              </w:rPr>
              <w:t>Moderate</w:t>
            </w:r>
          </w:p>
        </w:tc>
        <w:tc>
          <w:tcPr>
            <w:tcW w:w="0" w:type="auto"/>
            <w:hideMark/>
          </w:tcPr>
          <w:p w14:paraId="1196FF23" w14:textId="77777777" w:rsidR="00D74F10" w:rsidRPr="00D74F10" w:rsidRDefault="00D74F10" w:rsidP="00D74F10">
            <w:pPr>
              <w:spacing w:after="120" w:line="264" w:lineRule="auto"/>
              <w:cnfStyle w:val="000000100000" w:firstRow="0" w:lastRow="0" w:firstColumn="0" w:lastColumn="0" w:oddVBand="0" w:evenVBand="0" w:oddHBand="1" w:evenHBand="0" w:firstRowFirstColumn="0" w:firstRowLastColumn="0" w:lastRowFirstColumn="0" w:lastRowLastColumn="0"/>
              <w:rPr>
                <w:lang w:val="en-GB"/>
              </w:rPr>
            </w:pPr>
            <w:r w:rsidRPr="00D74F10">
              <w:rPr>
                <w:lang w:val="en-GB"/>
              </w:rPr>
              <w:t>Selective Implementation Recommended</w:t>
            </w:r>
          </w:p>
        </w:tc>
      </w:tr>
    </w:tbl>
    <w:p w14:paraId="3AEAD1E0" w14:textId="4AC853A2" w:rsidR="00C5159D" w:rsidRDefault="000F1AD2" w:rsidP="00C5159D">
      <w:pPr>
        <w:rPr>
          <w:sz w:val="20"/>
          <w:szCs w:val="20"/>
          <w:lang w:val="en-GB"/>
        </w:rPr>
      </w:pPr>
      <w:r w:rsidRPr="000F1AD2">
        <w:rPr>
          <w:sz w:val="20"/>
          <w:szCs w:val="20"/>
          <w:lang w:val="en-GB"/>
        </w:rPr>
        <w:t>Source: Author's Analysis (2025)</w:t>
      </w:r>
    </w:p>
    <w:p w14:paraId="7D3713C4" w14:textId="77777777" w:rsidR="0001688C" w:rsidRPr="0001688C" w:rsidRDefault="0001688C" w:rsidP="0001688C">
      <w:pPr>
        <w:rPr>
          <w:lang w:val="en-GB"/>
        </w:rPr>
      </w:pPr>
      <w:r w:rsidRPr="0001688C">
        <w:rPr>
          <w:lang w:val="en-GB"/>
        </w:rPr>
        <w:t>The SAF evaluation highlights that Renewable Energy Expansion and Digital Transformation represent the most strategically sound options for BP’s growth in India. Both align closely with BP’s global sustainability objectives while addressing India’s evolving energy needs.</w:t>
      </w:r>
    </w:p>
    <w:p w14:paraId="69083F26" w14:textId="77777777" w:rsidR="0001688C" w:rsidRPr="0001688C" w:rsidRDefault="0001688C" w:rsidP="0001688C">
      <w:pPr>
        <w:rPr>
          <w:lang w:val="en-GB"/>
        </w:rPr>
      </w:pPr>
      <w:r w:rsidRPr="0001688C">
        <w:rPr>
          <w:lang w:val="en-GB"/>
        </w:rPr>
        <w:t>The Green Hydrogen strategy remains a valuable long-term investment but should be approached gradually, with pilot projects and government-backed partnerships to manage feasibility risks.</w:t>
      </w:r>
    </w:p>
    <w:p w14:paraId="4086DB1D" w14:textId="46825C6D" w:rsidR="00C5159D" w:rsidRDefault="0001688C" w:rsidP="0001688C">
      <w:pPr>
        <w:rPr>
          <w:lang w:val="en-GB"/>
        </w:rPr>
      </w:pPr>
      <w:r w:rsidRPr="0001688C">
        <w:rPr>
          <w:lang w:val="en-GB"/>
        </w:rPr>
        <w:t>In conclusion, BP should adopt a dual-focus strategy combining renewable energy expansion and digital mobility transformation. This integrated approach enhances profitability, stakeholder value, and resilience while reinforcing BP’s identity as a global leader in sustainable energy transition.</w:t>
      </w:r>
    </w:p>
    <w:p w14:paraId="08F196A5" w14:textId="77777777" w:rsidR="003D578C" w:rsidRPr="003D578C" w:rsidRDefault="003D578C" w:rsidP="003D578C">
      <w:pPr>
        <w:pStyle w:val="Heading2"/>
        <w:rPr>
          <w:lang w:val="en-GB"/>
        </w:rPr>
      </w:pPr>
      <w:bookmarkStart w:id="19" w:name="_Toc215236120"/>
      <w:r w:rsidRPr="003D578C">
        <w:rPr>
          <w:lang w:val="en-GB"/>
        </w:rPr>
        <w:lastRenderedPageBreak/>
        <w:t>4.1 Performance Evaluation Framework: Balanced Scorecard for Strategic Execution</w:t>
      </w:r>
      <w:bookmarkEnd w:id="19"/>
    </w:p>
    <w:p w14:paraId="372CEF8A" w14:textId="77777777" w:rsidR="003D578C" w:rsidRPr="003D578C" w:rsidRDefault="003D578C" w:rsidP="003D578C">
      <w:pPr>
        <w:rPr>
          <w:lang w:val="en-GB"/>
        </w:rPr>
      </w:pPr>
    </w:p>
    <w:p w14:paraId="239A0997" w14:textId="77777777" w:rsidR="00135750" w:rsidRPr="00135750" w:rsidRDefault="00135750" w:rsidP="00135750">
      <w:pPr>
        <w:rPr>
          <w:lang w:val="en-GB"/>
        </w:rPr>
      </w:pPr>
      <w:r w:rsidRPr="00135750">
        <w:rPr>
          <w:lang w:val="en-GB"/>
        </w:rPr>
        <w:t>The Balanced Scorecard enables BP to align its strategic performance in India with measurable operational targets across sustainability, digitalisation, and customer adoption. The financial perspective not only targets return on renewables, but also seeks resilience against oil price volatility through diversified green revenue streams (IEA, 2023). This is vital given India's recent removal of fossil fuel subsidies and the planned introduction of carbon trading markets (World Bank, 2024).</w:t>
      </w:r>
    </w:p>
    <w:p w14:paraId="1B6A079E" w14:textId="77777777" w:rsidR="00135750" w:rsidRPr="00135750" w:rsidRDefault="00135750" w:rsidP="00135750">
      <w:pPr>
        <w:rPr>
          <w:lang w:val="en-GB"/>
        </w:rPr>
      </w:pPr>
      <w:r w:rsidRPr="00135750">
        <w:rPr>
          <w:lang w:val="en-GB"/>
        </w:rPr>
        <w:t>From the customer perspective, India's urban EV adoption is expected to grow by over 40% by 2030, fuelled by the government’s FAME-II scheme and consumer preference for shared mobility solutions (BP, 2025). BP’s collaboration with Reliance through Jio-bp offers a scalable retail platform to deliver energy services via digital channels.</w:t>
      </w:r>
    </w:p>
    <w:p w14:paraId="68934E0E" w14:textId="77777777" w:rsidR="00135750" w:rsidRPr="00135750" w:rsidRDefault="00135750" w:rsidP="00135750">
      <w:pPr>
        <w:rPr>
          <w:lang w:val="en-GB"/>
        </w:rPr>
      </w:pPr>
      <w:r w:rsidRPr="00135750">
        <w:rPr>
          <w:lang w:val="en-GB"/>
        </w:rPr>
        <w:t>The internal process perspective centres on reliability of EV infrastructure and traceability of supply chains. Emerging regulatory compliance on ESG reporting, such as the Business Responsibility and Sustainability Report (BRSR), now mandates carbon transparency even for international firms (World Bank, 2024). This further strengthens BP’s focus on automated, auditable energy systems.</w:t>
      </w:r>
    </w:p>
    <w:p w14:paraId="7E85438F" w14:textId="77777777" w:rsidR="001B6A56" w:rsidRDefault="00135750" w:rsidP="00325C06">
      <w:pPr>
        <w:rPr>
          <w:lang w:val="en-GB"/>
        </w:rPr>
      </w:pPr>
      <w:r w:rsidRPr="00135750">
        <w:rPr>
          <w:lang w:val="en-GB"/>
        </w:rPr>
        <w:t xml:space="preserve">Lastly, the learning and growth perspective </w:t>
      </w:r>
      <w:r w:rsidR="00325C06" w:rsidRPr="00135750">
        <w:rPr>
          <w:lang w:val="en-GB"/>
        </w:rPr>
        <w:t xml:space="preserve">education, joint R&amp;D centres, and skills partnerships with local institutions (IEA, 2023). As BP transitions from a traditional oil major to an “integrated energy company,” embedding a learning culture will be critical for sustaining competitive advantage in emerging markets </w:t>
      </w:r>
      <w:r w:rsidR="001B6A56" w:rsidRPr="00135750">
        <w:rPr>
          <w:lang w:val="en-GB"/>
        </w:rPr>
        <w:t>(BP, 2025).</w:t>
      </w:r>
    </w:p>
    <w:p w14:paraId="3AA73E44" w14:textId="77777777" w:rsidR="00C75DAD" w:rsidRDefault="00C75DAD" w:rsidP="00325C06">
      <w:pPr>
        <w:rPr>
          <w:lang w:val="en-GB"/>
        </w:rPr>
      </w:pPr>
    </w:p>
    <w:p w14:paraId="226040B8" w14:textId="77777777" w:rsidR="00C75DAD" w:rsidRDefault="00C75DAD" w:rsidP="00325C06">
      <w:pPr>
        <w:rPr>
          <w:lang w:val="en-GB"/>
        </w:rPr>
      </w:pPr>
    </w:p>
    <w:p w14:paraId="41D6939B" w14:textId="77777777" w:rsidR="00C75DAD" w:rsidRDefault="00C75DAD" w:rsidP="00325C06">
      <w:pPr>
        <w:rPr>
          <w:lang w:val="en-GB"/>
        </w:rPr>
      </w:pPr>
    </w:p>
    <w:p w14:paraId="1A31DD79" w14:textId="77777777" w:rsidR="00C75DAD" w:rsidRDefault="00C75DAD" w:rsidP="00325C06">
      <w:pPr>
        <w:rPr>
          <w:lang w:val="en-GB"/>
        </w:rPr>
      </w:pPr>
    </w:p>
    <w:p w14:paraId="4DEDB21B" w14:textId="77777777" w:rsidR="00C75DAD" w:rsidRDefault="00C75DAD" w:rsidP="00325C06">
      <w:pPr>
        <w:rPr>
          <w:lang w:val="en-GB"/>
        </w:rPr>
      </w:pPr>
    </w:p>
    <w:p w14:paraId="6ED2A822" w14:textId="77777777" w:rsidR="00C75DAD" w:rsidRDefault="00C75DAD" w:rsidP="00325C06">
      <w:pPr>
        <w:rPr>
          <w:lang w:val="en-GB"/>
        </w:rPr>
      </w:pPr>
    </w:p>
    <w:p w14:paraId="01E39710" w14:textId="77777777" w:rsidR="00C75DAD" w:rsidRDefault="00C75DAD" w:rsidP="00325C06">
      <w:pPr>
        <w:rPr>
          <w:lang w:val="en-GB"/>
        </w:rPr>
      </w:pPr>
    </w:p>
    <w:p w14:paraId="596521D2" w14:textId="77777777" w:rsidR="00C75DAD" w:rsidRDefault="00C75DAD" w:rsidP="00325C06">
      <w:pPr>
        <w:rPr>
          <w:lang w:val="en-GB"/>
        </w:rPr>
      </w:pPr>
    </w:p>
    <w:p w14:paraId="0AF84A2D" w14:textId="77777777" w:rsidR="00C75DAD" w:rsidRDefault="00C75DAD" w:rsidP="00325C06">
      <w:pPr>
        <w:rPr>
          <w:lang w:val="en-GB"/>
        </w:rPr>
      </w:pPr>
    </w:p>
    <w:p w14:paraId="75CA54FE" w14:textId="77777777" w:rsidR="00C75DAD" w:rsidRDefault="00C75DAD" w:rsidP="00325C06">
      <w:pPr>
        <w:rPr>
          <w:lang w:val="en-GB"/>
        </w:rPr>
      </w:pPr>
    </w:p>
    <w:p w14:paraId="193C5A73" w14:textId="77777777" w:rsidR="00C75DAD" w:rsidRDefault="00C75DAD" w:rsidP="00325C06">
      <w:pPr>
        <w:rPr>
          <w:lang w:val="en-GB"/>
        </w:rPr>
      </w:pPr>
    </w:p>
    <w:p w14:paraId="17FE0DC6" w14:textId="2CA62FD2" w:rsidR="00325C06" w:rsidRDefault="00325C06" w:rsidP="00325C06">
      <w:r w:rsidRPr="00B6777A">
        <w:lastRenderedPageBreak/>
        <w:t xml:space="preserve">Table </w:t>
      </w:r>
      <w:r>
        <w:t>6</w:t>
      </w:r>
      <w:r w:rsidRPr="00B6777A">
        <w:t>: Balanced Scorecard – Strategic KPIs for BP’s India Expansion</w:t>
      </w:r>
    </w:p>
    <w:p w14:paraId="30C90809" w14:textId="77777777" w:rsidR="006F3D79" w:rsidRDefault="006F3D79" w:rsidP="00325C06"/>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63"/>
        <w:gridCol w:w="2111"/>
        <w:gridCol w:w="2018"/>
        <w:gridCol w:w="1200"/>
        <w:gridCol w:w="1958"/>
      </w:tblGrid>
      <w:tr w:rsidR="001B6A56" w:rsidRPr="00700132" w14:paraId="2B9A65FD" w14:textId="77777777" w:rsidTr="003E2368">
        <w:trPr>
          <w:tblHeader/>
          <w:tblCellSpacing w:w="15" w:type="dxa"/>
        </w:trPr>
        <w:tc>
          <w:tcPr>
            <w:tcW w:w="1418" w:type="dxa"/>
            <w:tcBorders>
              <w:top w:val="single" w:sz="4" w:space="0" w:color="auto"/>
              <w:left w:val="single" w:sz="4" w:space="0" w:color="auto"/>
              <w:bottom w:val="single" w:sz="4" w:space="0" w:color="auto"/>
              <w:right w:val="single" w:sz="4" w:space="0" w:color="auto"/>
            </w:tcBorders>
            <w:shd w:val="clear" w:color="auto" w:fill="DAEFD3" w:themeFill="accent1" w:themeFillTint="33"/>
            <w:vAlign w:val="center"/>
            <w:hideMark/>
          </w:tcPr>
          <w:p w14:paraId="680B5BE4" w14:textId="77777777" w:rsidR="001B6A56" w:rsidRPr="00700132" w:rsidRDefault="001B6A56" w:rsidP="003E2368">
            <w:pPr>
              <w:rPr>
                <w:b/>
                <w:bCs/>
                <w:lang w:val="en-GB"/>
              </w:rPr>
            </w:pPr>
            <w:r w:rsidRPr="00700132">
              <w:rPr>
                <w:b/>
                <w:bCs/>
                <w:lang w:val="en-GB"/>
              </w:rPr>
              <w:t>Perspective</w:t>
            </w:r>
          </w:p>
        </w:tc>
        <w:tc>
          <w:tcPr>
            <w:tcW w:w="2081" w:type="dxa"/>
            <w:tcBorders>
              <w:top w:val="single" w:sz="4" w:space="0" w:color="auto"/>
              <w:left w:val="single" w:sz="4" w:space="0" w:color="auto"/>
              <w:bottom w:val="single" w:sz="4" w:space="0" w:color="auto"/>
              <w:right w:val="single" w:sz="4" w:space="0" w:color="auto"/>
            </w:tcBorders>
            <w:shd w:val="clear" w:color="auto" w:fill="DAEFD3" w:themeFill="accent1" w:themeFillTint="33"/>
            <w:vAlign w:val="center"/>
            <w:hideMark/>
          </w:tcPr>
          <w:p w14:paraId="16D13936" w14:textId="77777777" w:rsidR="001B6A56" w:rsidRPr="00700132" w:rsidRDefault="001B6A56" w:rsidP="003E2368">
            <w:pPr>
              <w:rPr>
                <w:b/>
                <w:bCs/>
                <w:lang w:val="en-GB"/>
              </w:rPr>
            </w:pPr>
            <w:r w:rsidRPr="00700132">
              <w:rPr>
                <w:b/>
                <w:bCs/>
                <w:lang w:val="en-GB"/>
              </w:rPr>
              <w:t>Strategic Objective</w:t>
            </w:r>
          </w:p>
        </w:tc>
        <w:tc>
          <w:tcPr>
            <w:tcW w:w="0" w:type="auto"/>
            <w:tcBorders>
              <w:top w:val="single" w:sz="4" w:space="0" w:color="auto"/>
              <w:left w:val="single" w:sz="4" w:space="0" w:color="auto"/>
              <w:bottom w:val="single" w:sz="4" w:space="0" w:color="auto"/>
              <w:right w:val="single" w:sz="4" w:space="0" w:color="auto"/>
            </w:tcBorders>
            <w:shd w:val="clear" w:color="auto" w:fill="DAEFD3" w:themeFill="accent1" w:themeFillTint="33"/>
            <w:vAlign w:val="center"/>
            <w:hideMark/>
          </w:tcPr>
          <w:p w14:paraId="738C77FF" w14:textId="77777777" w:rsidR="001B6A56" w:rsidRPr="00700132" w:rsidRDefault="001B6A56" w:rsidP="003E2368">
            <w:pPr>
              <w:rPr>
                <w:b/>
                <w:bCs/>
                <w:lang w:val="en-GB"/>
              </w:rPr>
            </w:pPr>
            <w:r w:rsidRPr="0068627A">
              <w:rPr>
                <w:b/>
                <w:bCs/>
                <w:shd w:val="clear" w:color="auto" w:fill="DAEFD3" w:themeFill="accent1" w:themeFillTint="33"/>
                <w:lang w:val="en-GB"/>
              </w:rPr>
              <w:t>Key Performance Indicator (KPI</w:t>
            </w:r>
            <w:r w:rsidRPr="00700132">
              <w:rPr>
                <w:b/>
                <w:bCs/>
                <w:lang w:val="en-GB"/>
              </w:rPr>
              <w:t>)</w:t>
            </w:r>
          </w:p>
        </w:tc>
        <w:tc>
          <w:tcPr>
            <w:tcW w:w="0" w:type="auto"/>
            <w:tcBorders>
              <w:top w:val="single" w:sz="4" w:space="0" w:color="auto"/>
              <w:left w:val="single" w:sz="4" w:space="0" w:color="auto"/>
              <w:bottom w:val="single" w:sz="4" w:space="0" w:color="auto"/>
              <w:right w:val="single" w:sz="4" w:space="0" w:color="auto"/>
            </w:tcBorders>
            <w:shd w:val="clear" w:color="auto" w:fill="DAEFD3" w:themeFill="accent1" w:themeFillTint="33"/>
            <w:vAlign w:val="center"/>
            <w:hideMark/>
          </w:tcPr>
          <w:p w14:paraId="6EE4785B" w14:textId="77777777" w:rsidR="001B6A56" w:rsidRPr="00700132" w:rsidRDefault="001B6A56" w:rsidP="003E2368">
            <w:pPr>
              <w:rPr>
                <w:b/>
                <w:bCs/>
                <w:lang w:val="en-GB"/>
              </w:rPr>
            </w:pPr>
            <w:r w:rsidRPr="00700132">
              <w:rPr>
                <w:b/>
                <w:bCs/>
                <w:lang w:val="en-GB"/>
              </w:rPr>
              <w:t>Target (by 2030)</w:t>
            </w:r>
          </w:p>
        </w:tc>
        <w:tc>
          <w:tcPr>
            <w:tcW w:w="0" w:type="auto"/>
            <w:tcBorders>
              <w:top w:val="single" w:sz="4" w:space="0" w:color="auto"/>
              <w:left w:val="single" w:sz="4" w:space="0" w:color="auto"/>
              <w:bottom w:val="single" w:sz="4" w:space="0" w:color="auto"/>
              <w:right w:val="single" w:sz="4" w:space="0" w:color="auto"/>
            </w:tcBorders>
            <w:shd w:val="clear" w:color="auto" w:fill="DAEFD3" w:themeFill="accent1" w:themeFillTint="33"/>
            <w:vAlign w:val="center"/>
            <w:hideMark/>
          </w:tcPr>
          <w:p w14:paraId="4DEA2BAD" w14:textId="77777777" w:rsidR="001B6A56" w:rsidRPr="00700132" w:rsidRDefault="001B6A56" w:rsidP="003E2368">
            <w:pPr>
              <w:rPr>
                <w:b/>
                <w:bCs/>
                <w:lang w:val="en-GB"/>
              </w:rPr>
            </w:pPr>
            <w:r w:rsidRPr="00700132">
              <w:rPr>
                <w:b/>
                <w:bCs/>
                <w:lang w:val="en-GB"/>
              </w:rPr>
              <w:t>Measurement Method</w:t>
            </w:r>
          </w:p>
        </w:tc>
      </w:tr>
      <w:tr w:rsidR="001B6A56" w:rsidRPr="00700132" w14:paraId="614BD6EC" w14:textId="77777777" w:rsidTr="003E2368">
        <w:trPr>
          <w:tblCellSpacing w:w="15" w:type="dxa"/>
        </w:trPr>
        <w:tc>
          <w:tcPr>
            <w:tcW w:w="1418" w:type="dxa"/>
            <w:tcBorders>
              <w:top w:val="single" w:sz="4" w:space="0" w:color="auto"/>
              <w:left w:val="single" w:sz="4" w:space="0" w:color="auto"/>
              <w:right w:val="single" w:sz="4" w:space="0" w:color="auto"/>
            </w:tcBorders>
            <w:shd w:val="clear" w:color="auto" w:fill="AEC4B8" w:themeFill="text2" w:themeFillTint="66"/>
            <w:vAlign w:val="center"/>
            <w:hideMark/>
          </w:tcPr>
          <w:p w14:paraId="5D476217" w14:textId="77777777" w:rsidR="001B6A56" w:rsidRPr="00700132" w:rsidRDefault="001B6A56" w:rsidP="003E2368">
            <w:pPr>
              <w:rPr>
                <w:lang w:val="en-GB"/>
              </w:rPr>
            </w:pPr>
            <w:r w:rsidRPr="00700132">
              <w:rPr>
                <w:b/>
                <w:bCs/>
                <w:lang w:val="en-GB"/>
              </w:rPr>
              <w:t>Financial</w:t>
            </w:r>
          </w:p>
        </w:tc>
        <w:tc>
          <w:tcPr>
            <w:tcW w:w="2081" w:type="dxa"/>
            <w:tcBorders>
              <w:top w:val="single" w:sz="4" w:space="0" w:color="auto"/>
              <w:left w:val="single" w:sz="4" w:space="0" w:color="auto"/>
              <w:bottom w:val="single" w:sz="4" w:space="0" w:color="auto"/>
              <w:right w:val="single" w:sz="4" w:space="0" w:color="auto"/>
            </w:tcBorders>
            <w:shd w:val="clear" w:color="auto" w:fill="AEC4B8" w:themeFill="text2" w:themeFillTint="66"/>
            <w:vAlign w:val="center"/>
            <w:hideMark/>
          </w:tcPr>
          <w:p w14:paraId="168AFBA0" w14:textId="77777777" w:rsidR="001B6A56" w:rsidRPr="00700132" w:rsidRDefault="001B6A56" w:rsidP="003E2368">
            <w:pPr>
              <w:rPr>
                <w:sz w:val="20"/>
                <w:szCs w:val="20"/>
                <w:lang w:val="en-GB"/>
              </w:rPr>
            </w:pPr>
            <w:r w:rsidRPr="00700132">
              <w:rPr>
                <w:sz w:val="20"/>
                <w:szCs w:val="20"/>
                <w:lang w:val="en-GB"/>
              </w:rPr>
              <w:t>Achieve profitable growth in Indian energy operations</w:t>
            </w:r>
          </w:p>
        </w:tc>
        <w:tc>
          <w:tcPr>
            <w:tcW w:w="0" w:type="auto"/>
            <w:tcBorders>
              <w:top w:val="single" w:sz="4" w:space="0" w:color="auto"/>
              <w:left w:val="single" w:sz="4" w:space="0" w:color="auto"/>
              <w:bottom w:val="single" w:sz="4" w:space="0" w:color="auto"/>
              <w:right w:val="single" w:sz="4" w:space="0" w:color="auto"/>
            </w:tcBorders>
            <w:shd w:val="clear" w:color="auto" w:fill="AEC4B8" w:themeFill="text2" w:themeFillTint="66"/>
            <w:vAlign w:val="center"/>
            <w:hideMark/>
          </w:tcPr>
          <w:p w14:paraId="6CE3F8D9" w14:textId="77777777" w:rsidR="001B6A56" w:rsidRPr="00700132" w:rsidRDefault="001B6A56" w:rsidP="003E2368">
            <w:pPr>
              <w:rPr>
                <w:sz w:val="20"/>
                <w:szCs w:val="20"/>
                <w:lang w:val="en-GB"/>
              </w:rPr>
            </w:pPr>
            <w:r w:rsidRPr="00700132">
              <w:rPr>
                <w:sz w:val="20"/>
                <w:szCs w:val="20"/>
                <w:lang w:val="en-GB"/>
              </w:rPr>
              <w:t>ROI from Indian renewables and EV projects</w:t>
            </w:r>
          </w:p>
        </w:tc>
        <w:tc>
          <w:tcPr>
            <w:tcW w:w="0" w:type="auto"/>
            <w:tcBorders>
              <w:top w:val="single" w:sz="4" w:space="0" w:color="auto"/>
              <w:left w:val="single" w:sz="4" w:space="0" w:color="auto"/>
              <w:bottom w:val="single" w:sz="4" w:space="0" w:color="auto"/>
              <w:right w:val="single" w:sz="4" w:space="0" w:color="auto"/>
            </w:tcBorders>
            <w:shd w:val="clear" w:color="auto" w:fill="AEC4B8" w:themeFill="text2" w:themeFillTint="66"/>
            <w:vAlign w:val="center"/>
            <w:hideMark/>
          </w:tcPr>
          <w:p w14:paraId="00CE80DE" w14:textId="77777777" w:rsidR="001B6A56" w:rsidRPr="00700132" w:rsidRDefault="001B6A56" w:rsidP="003E2368">
            <w:pPr>
              <w:rPr>
                <w:sz w:val="20"/>
                <w:szCs w:val="20"/>
                <w:lang w:val="en-GB"/>
              </w:rPr>
            </w:pPr>
            <w:r w:rsidRPr="00700132">
              <w:rPr>
                <w:sz w:val="20"/>
                <w:szCs w:val="20"/>
                <w:lang w:val="en-GB"/>
              </w:rPr>
              <w:t>≥ 12% annually</w:t>
            </w:r>
          </w:p>
        </w:tc>
        <w:tc>
          <w:tcPr>
            <w:tcW w:w="0" w:type="auto"/>
            <w:tcBorders>
              <w:top w:val="single" w:sz="4" w:space="0" w:color="auto"/>
              <w:left w:val="single" w:sz="4" w:space="0" w:color="auto"/>
              <w:bottom w:val="single" w:sz="4" w:space="0" w:color="auto"/>
              <w:right w:val="single" w:sz="4" w:space="0" w:color="auto"/>
            </w:tcBorders>
            <w:shd w:val="clear" w:color="auto" w:fill="AEC4B8" w:themeFill="text2" w:themeFillTint="66"/>
            <w:vAlign w:val="center"/>
            <w:hideMark/>
          </w:tcPr>
          <w:p w14:paraId="0D3264A5" w14:textId="77777777" w:rsidR="001B6A56" w:rsidRPr="00700132" w:rsidRDefault="001B6A56" w:rsidP="003E2368">
            <w:pPr>
              <w:rPr>
                <w:sz w:val="20"/>
                <w:szCs w:val="20"/>
                <w:lang w:val="en-GB"/>
              </w:rPr>
            </w:pPr>
            <w:r w:rsidRPr="00700132">
              <w:rPr>
                <w:sz w:val="20"/>
                <w:szCs w:val="20"/>
                <w:lang w:val="en-GB"/>
              </w:rPr>
              <w:t>Internal financial reporting and project audits</w:t>
            </w:r>
          </w:p>
        </w:tc>
      </w:tr>
      <w:tr w:rsidR="001B6A56" w:rsidRPr="00700132" w14:paraId="62DBD1D8" w14:textId="77777777" w:rsidTr="003E2368">
        <w:trPr>
          <w:tblCellSpacing w:w="15" w:type="dxa"/>
        </w:trPr>
        <w:tc>
          <w:tcPr>
            <w:tcW w:w="1418" w:type="dxa"/>
            <w:tcBorders>
              <w:left w:val="single" w:sz="4" w:space="0" w:color="auto"/>
              <w:bottom w:val="single" w:sz="4" w:space="0" w:color="auto"/>
              <w:right w:val="single" w:sz="4" w:space="0" w:color="auto"/>
            </w:tcBorders>
            <w:shd w:val="clear" w:color="auto" w:fill="AEC4B8" w:themeFill="text2" w:themeFillTint="66"/>
            <w:vAlign w:val="center"/>
            <w:hideMark/>
          </w:tcPr>
          <w:p w14:paraId="3580FDEE" w14:textId="77777777" w:rsidR="001B6A56" w:rsidRPr="00700132" w:rsidRDefault="001B6A56" w:rsidP="003E2368">
            <w:pPr>
              <w:rPr>
                <w:lang w:val="en-GB"/>
              </w:rPr>
            </w:pPr>
          </w:p>
        </w:tc>
        <w:tc>
          <w:tcPr>
            <w:tcW w:w="2081" w:type="dxa"/>
            <w:tcBorders>
              <w:top w:val="single" w:sz="4" w:space="0" w:color="auto"/>
              <w:left w:val="single" w:sz="4" w:space="0" w:color="auto"/>
              <w:bottom w:val="single" w:sz="4" w:space="0" w:color="auto"/>
              <w:right w:val="single" w:sz="4" w:space="0" w:color="auto"/>
            </w:tcBorders>
            <w:shd w:val="clear" w:color="auto" w:fill="AEC4B8" w:themeFill="text2" w:themeFillTint="66"/>
            <w:vAlign w:val="center"/>
            <w:hideMark/>
          </w:tcPr>
          <w:p w14:paraId="309A5BB1" w14:textId="77777777" w:rsidR="001B6A56" w:rsidRPr="00700132" w:rsidRDefault="001B6A56" w:rsidP="003E2368">
            <w:pPr>
              <w:rPr>
                <w:sz w:val="20"/>
                <w:szCs w:val="20"/>
                <w:lang w:val="en-GB"/>
              </w:rPr>
            </w:pPr>
            <w:r w:rsidRPr="00700132">
              <w:rPr>
                <w:sz w:val="20"/>
                <w:szCs w:val="20"/>
                <w:lang w:val="en-GB"/>
              </w:rPr>
              <w:t>Increase market share in clean energy</w:t>
            </w:r>
          </w:p>
        </w:tc>
        <w:tc>
          <w:tcPr>
            <w:tcW w:w="0" w:type="auto"/>
            <w:tcBorders>
              <w:top w:val="single" w:sz="4" w:space="0" w:color="auto"/>
              <w:left w:val="single" w:sz="4" w:space="0" w:color="auto"/>
              <w:bottom w:val="single" w:sz="4" w:space="0" w:color="auto"/>
              <w:right w:val="single" w:sz="4" w:space="0" w:color="auto"/>
            </w:tcBorders>
            <w:shd w:val="clear" w:color="auto" w:fill="AEC4B8" w:themeFill="text2" w:themeFillTint="66"/>
            <w:vAlign w:val="center"/>
            <w:hideMark/>
          </w:tcPr>
          <w:p w14:paraId="2CBC730A" w14:textId="77777777" w:rsidR="001B6A56" w:rsidRPr="00700132" w:rsidRDefault="001B6A56" w:rsidP="003E2368">
            <w:pPr>
              <w:rPr>
                <w:sz w:val="20"/>
                <w:szCs w:val="20"/>
                <w:lang w:val="en-GB"/>
              </w:rPr>
            </w:pPr>
            <w:r w:rsidRPr="00700132">
              <w:rPr>
                <w:sz w:val="20"/>
                <w:szCs w:val="20"/>
                <w:lang w:val="en-GB"/>
              </w:rPr>
              <w:t>Market share in EV charging and solar energy</w:t>
            </w:r>
          </w:p>
        </w:tc>
        <w:tc>
          <w:tcPr>
            <w:tcW w:w="0" w:type="auto"/>
            <w:tcBorders>
              <w:top w:val="single" w:sz="4" w:space="0" w:color="auto"/>
              <w:left w:val="single" w:sz="4" w:space="0" w:color="auto"/>
              <w:bottom w:val="single" w:sz="4" w:space="0" w:color="auto"/>
              <w:right w:val="single" w:sz="4" w:space="0" w:color="auto"/>
            </w:tcBorders>
            <w:shd w:val="clear" w:color="auto" w:fill="AEC4B8" w:themeFill="text2" w:themeFillTint="66"/>
            <w:vAlign w:val="center"/>
            <w:hideMark/>
          </w:tcPr>
          <w:p w14:paraId="54960306" w14:textId="77777777" w:rsidR="001B6A56" w:rsidRPr="00700132" w:rsidRDefault="001B6A56" w:rsidP="003E2368">
            <w:pPr>
              <w:rPr>
                <w:sz w:val="20"/>
                <w:szCs w:val="20"/>
                <w:lang w:val="en-GB"/>
              </w:rPr>
            </w:pPr>
            <w:r w:rsidRPr="00700132">
              <w:rPr>
                <w:sz w:val="20"/>
                <w:szCs w:val="20"/>
                <w:lang w:val="en-GB"/>
              </w:rPr>
              <w:t>≥ 8% in respective segments</w:t>
            </w:r>
          </w:p>
        </w:tc>
        <w:tc>
          <w:tcPr>
            <w:tcW w:w="0" w:type="auto"/>
            <w:tcBorders>
              <w:top w:val="single" w:sz="4" w:space="0" w:color="auto"/>
              <w:left w:val="single" w:sz="4" w:space="0" w:color="auto"/>
              <w:bottom w:val="single" w:sz="4" w:space="0" w:color="auto"/>
              <w:right w:val="single" w:sz="4" w:space="0" w:color="auto"/>
            </w:tcBorders>
            <w:shd w:val="clear" w:color="auto" w:fill="AEC4B8" w:themeFill="text2" w:themeFillTint="66"/>
            <w:vAlign w:val="center"/>
            <w:hideMark/>
          </w:tcPr>
          <w:p w14:paraId="19FEE675" w14:textId="77777777" w:rsidR="001B6A56" w:rsidRPr="00700132" w:rsidRDefault="001B6A56" w:rsidP="003E2368">
            <w:pPr>
              <w:rPr>
                <w:sz w:val="20"/>
                <w:szCs w:val="20"/>
                <w:lang w:val="en-GB"/>
              </w:rPr>
            </w:pPr>
            <w:r w:rsidRPr="00700132">
              <w:rPr>
                <w:sz w:val="20"/>
                <w:szCs w:val="20"/>
                <w:lang w:val="en-GB"/>
              </w:rPr>
              <w:t>Industry benchmarks and government reports</w:t>
            </w:r>
          </w:p>
        </w:tc>
      </w:tr>
      <w:tr w:rsidR="001B6A56" w:rsidRPr="00700132" w14:paraId="564F81F9" w14:textId="77777777" w:rsidTr="003E2368">
        <w:trPr>
          <w:tblCellSpacing w:w="15" w:type="dxa"/>
        </w:trPr>
        <w:tc>
          <w:tcPr>
            <w:tcW w:w="1418" w:type="dxa"/>
            <w:tcBorders>
              <w:top w:val="single" w:sz="4" w:space="0" w:color="auto"/>
              <w:left w:val="single" w:sz="4" w:space="0" w:color="auto"/>
              <w:right w:val="single" w:sz="4" w:space="0" w:color="auto"/>
            </w:tcBorders>
            <w:shd w:val="clear" w:color="auto" w:fill="DAEFD3" w:themeFill="accent1" w:themeFillTint="33"/>
            <w:vAlign w:val="center"/>
            <w:hideMark/>
          </w:tcPr>
          <w:p w14:paraId="260E4647" w14:textId="77777777" w:rsidR="001B6A56" w:rsidRPr="00700132" w:rsidRDefault="001B6A56" w:rsidP="003E2368">
            <w:pPr>
              <w:rPr>
                <w:lang w:val="en-GB"/>
              </w:rPr>
            </w:pPr>
            <w:r w:rsidRPr="00700132">
              <w:rPr>
                <w:b/>
                <w:bCs/>
                <w:lang w:val="en-GB"/>
              </w:rPr>
              <w:t>Customer</w:t>
            </w:r>
          </w:p>
        </w:tc>
        <w:tc>
          <w:tcPr>
            <w:tcW w:w="2081" w:type="dxa"/>
            <w:tcBorders>
              <w:top w:val="single" w:sz="4" w:space="0" w:color="auto"/>
              <w:left w:val="single" w:sz="4" w:space="0" w:color="auto"/>
              <w:bottom w:val="single" w:sz="4" w:space="0" w:color="auto"/>
              <w:right w:val="single" w:sz="4" w:space="0" w:color="auto"/>
            </w:tcBorders>
            <w:shd w:val="clear" w:color="auto" w:fill="DAEFD3" w:themeFill="accent1" w:themeFillTint="33"/>
            <w:vAlign w:val="center"/>
            <w:hideMark/>
          </w:tcPr>
          <w:p w14:paraId="0CAAE079" w14:textId="77777777" w:rsidR="001B6A56" w:rsidRPr="00700132" w:rsidRDefault="001B6A56" w:rsidP="003E2368">
            <w:pPr>
              <w:rPr>
                <w:sz w:val="20"/>
                <w:szCs w:val="20"/>
                <w:lang w:val="en-GB"/>
              </w:rPr>
            </w:pPr>
            <w:r w:rsidRPr="00700132">
              <w:rPr>
                <w:sz w:val="20"/>
                <w:szCs w:val="20"/>
                <w:lang w:val="en-GB"/>
              </w:rPr>
              <w:t>Enhance customer satisfaction and loyalty in mobility solutions</w:t>
            </w:r>
          </w:p>
        </w:tc>
        <w:tc>
          <w:tcPr>
            <w:tcW w:w="0" w:type="auto"/>
            <w:tcBorders>
              <w:top w:val="single" w:sz="4" w:space="0" w:color="auto"/>
              <w:left w:val="single" w:sz="4" w:space="0" w:color="auto"/>
              <w:bottom w:val="single" w:sz="4" w:space="0" w:color="auto"/>
              <w:right w:val="single" w:sz="4" w:space="0" w:color="auto"/>
            </w:tcBorders>
            <w:shd w:val="clear" w:color="auto" w:fill="DAEFD3" w:themeFill="accent1" w:themeFillTint="33"/>
            <w:vAlign w:val="center"/>
            <w:hideMark/>
          </w:tcPr>
          <w:p w14:paraId="12722ACC" w14:textId="77777777" w:rsidR="001B6A56" w:rsidRPr="00700132" w:rsidRDefault="001B6A56" w:rsidP="003E2368">
            <w:pPr>
              <w:rPr>
                <w:sz w:val="20"/>
                <w:szCs w:val="20"/>
                <w:lang w:val="en-GB"/>
              </w:rPr>
            </w:pPr>
            <w:r w:rsidRPr="00700132">
              <w:rPr>
                <w:sz w:val="20"/>
                <w:szCs w:val="20"/>
                <w:lang w:val="en-GB"/>
              </w:rPr>
              <w:t>Net Promoter Score (NPS) for Jio-bp services</w:t>
            </w:r>
          </w:p>
        </w:tc>
        <w:tc>
          <w:tcPr>
            <w:tcW w:w="0" w:type="auto"/>
            <w:tcBorders>
              <w:top w:val="single" w:sz="4" w:space="0" w:color="auto"/>
              <w:left w:val="single" w:sz="4" w:space="0" w:color="auto"/>
              <w:bottom w:val="single" w:sz="4" w:space="0" w:color="auto"/>
              <w:right w:val="single" w:sz="4" w:space="0" w:color="auto"/>
            </w:tcBorders>
            <w:shd w:val="clear" w:color="auto" w:fill="DAEFD3" w:themeFill="accent1" w:themeFillTint="33"/>
            <w:vAlign w:val="center"/>
            <w:hideMark/>
          </w:tcPr>
          <w:p w14:paraId="40E0875C" w14:textId="77777777" w:rsidR="001B6A56" w:rsidRPr="00700132" w:rsidRDefault="001B6A56" w:rsidP="003E2368">
            <w:pPr>
              <w:rPr>
                <w:sz w:val="20"/>
                <w:szCs w:val="20"/>
                <w:lang w:val="en-GB"/>
              </w:rPr>
            </w:pPr>
            <w:r w:rsidRPr="00700132">
              <w:rPr>
                <w:sz w:val="20"/>
                <w:szCs w:val="20"/>
                <w:lang w:val="en-GB"/>
              </w:rPr>
              <w:t>≥ 65</w:t>
            </w:r>
          </w:p>
        </w:tc>
        <w:tc>
          <w:tcPr>
            <w:tcW w:w="0" w:type="auto"/>
            <w:tcBorders>
              <w:top w:val="single" w:sz="4" w:space="0" w:color="auto"/>
              <w:left w:val="single" w:sz="4" w:space="0" w:color="auto"/>
              <w:bottom w:val="single" w:sz="4" w:space="0" w:color="auto"/>
              <w:right w:val="single" w:sz="4" w:space="0" w:color="auto"/>
            </w:tcBorders>
            <w:shd w:val="clear" w:color="auto" w:fill="DAEFD3" w:themeFill="accent1" w:themeFillTint="33"/>
            <w:vAlign w:val="center"/>
            <w:hideMark/>
          </w:tcPr>
          <w:p w14:paraId="00B5B78E" w14:textId="77777777" w:rsidR="001B6A56" w:rsidRPr="00700132" w:rsidRDefault="001B6A56" w:rsidP="003E2368">
            <w:pPr>
              <w:rPr>
                <w:sz w:val="20"/>
                <w:szCs w:val="20"/>
                <w:lang w:val="en-GB"/>
              </w:rPr>
            </w:pPr>
            <w:r w:rsidRPr="00700132">
              <w:rPr>
                <w:sz w:val="20"/>
                <w:szCs w:val="20"/>
                <w:lang w:val="en-GB"/>
              </w:rPr>
              <w:t>Annual customer surveys</w:t>
            </w:r>
          </w:p>
        </w:tc>
      </w:tr>
      <w:tr w:rsidR="001B6A56" w:rsidRPr="00700132" w14:paraId="27D69FD3" w14:textId="77777777" w:rsidTr="003E2368">
        <w:trPr>
          <w:tblCellSpacing w:w="15" w:type="dxa"/>
        </w:trPr>
        <w:tc>
          <w:tcPr>
            <w:tcW w:w="1418" w:type="dxa"/>
            <w:tcBorders>
              <w:left w:val="single" w:sz="4" w:space="0" w:color="auto"/>
              <w:bottom w:val="single" w:sz="4" w:space="0" w:color="auto"/>
              <w:right w:val="single" w:sz="4" w:space="0" w:color="auto"/>
            </w:tcBorders>
            <w:shd w:val="clear" w:color="auto" w:fill="DAEFD3" w:themeFill="accent1" w:themeFillTint="33"/>
            <w:vAlign w:val="center"/>
            <w:hideMark/>
          </w:tcPr>
          <w:p w14:paraId="433A20EC" w14:textId="77777777" w:rsidR="001B6A56" w:rsidRPr="00700132" w:rsidRDefault="001B6A56" w:rsidP="003E2368">
            <w:pPr>
              <w:rPr>
                <w:lang w:val="en-GB"/>
              </w:rPr>
            </w:pPr>
          </w:p>
        </w:tc>
        <w:tc>
          <w:tcPr>
            <w:tcW w:w="2081" w:type="dxa"/>
            <w:tcBorders>
              <w:top w:val="single" w:sz="4" w:space="0" w:color="auto"/>
              <w:left w:val="single" w:sz="4" w:space="0" w:color="auto"/>
              <w:bottom w:val="single" w:sz="4" w:space="0" w:color="auto"/>
              <w:right w:val="single" w:sz="4" w:space="0" w:color="auto"/>
            </w:tcBorders>
            <w:shd w:val="clear" w:color="auto" w:fill="DAEFD3" w:themeFill="accent1" w:themeFillTint="33"/>
            <w:vAlign w:val="center"/>
            <w:hideMark/>
          </w:tcPr>
          <w:p w14:paraId="280DDF85" w14:textId="77777777" w:rsidR="001B6A56" w:rsidRPr="00700132" w:rsidRDefault="001B6A56" w:rsidP="003E2368">
            <w:pPr>
              <w:rPr>
                <w:sz w:val="20"/>
                <w:szCs w:val="20"/>
                <w:lang w:val="en-GB"/>
              </w:rPr>
            </w:pPr>
            <w:r w:rsidRPr="00700132">
              <w:rPr>
                <w:sz w:val="20"/>
                <w:szCs w:val="20"/>
                <w:lang w:val="en-GB"/>
              </w:rPr>
              <w:t>Expand customer base through digital energy services</w:t>
            </w:r>
          </w:p>
        </w:tc>
        <w:tc>
          <w:tcPr>
            <w:tcW w:w="0" w:type="auto"/>
            <w:tcBorders>
              <w:top w:val="single" w:sz="4" w:space="0" w:color="auto"/>
              <w:left w:val="single" w:sz="4" w:space="0" w:color="auto"/>
              <w:bottom w:val="single" w:sz="4" w:space="0" w:color="auto"/>
              <w:right w:val="single" w:sz="4" w:space="0" w:color="auto"/>
            </w:tcBorders>
            <w:shd w:val="clear" w:color="auto" w:fill="DAEFD3" w:themeFill="accent1" w:themeFillTint="33"/>
            <w:vAlign w:val="center"/>
            <w:hideMark/>
          </w:tcPr>
          <w:p w14:paraId="3744A65E" w14:textId="77777777" w:rsidR="001B6A56" w:rsidRPr="00700132" w:rsidRDefault="001B6A56" w:rsidP="003E2368">
            <w:pPr>
              <w:rPr>
                <w:sz w:val="20"/>
                <w:szCs w:val="20"/>
                <w:lang w:val="en-GB"/>
              </w:rPr>
            </w:pPr>
            <w:r w:rsidRPr="00700132">
              <w:rPr>
                <w:sz w:val="20"/>
                <w:szCs w:val="20"/>
                <w:lang w:val="en-GB"/>
              </w:rPr>
              <w:t>Number of active users on digital platform</w:t>
            </w:r>
          </w:p>
        </w:tc>
        <w:tc>
          <w:tcPr>
            <w:tcW w:w="0" w:type="auto"/>
            <w:tcBorders>
              <w:top w:val="single" w:sz="4" w:space="0" w:color="auto"/>
              <w:left w:val="single" w:sz="4" w:space="0" w:color="auto"/>
              <w:bottom w:val="single" w:sz="4" w:space="0" w:color="auto"/>
              <w:right w:val="single" w:sz="4" w:space="0" w:color="auto"/>
            </w:tcBorders>
            <w:shd w:val="clear" w:color="auto" w:fill="DAEFD3" w:themeFill="accent1" w:themeFillTint="33"/>
            <w:vAlign w:val="center"/>
            <w:hideMark/>
          </w:tcPr>
          <w:p w14:paraId="5FAF2EB3" w14:textId="77777777" w:rsidR="001B6A56" w:rsidRPr="00700132" w:rsidRDefault="001B6A56" w:rsidP="003E2368">
            <w:pPr>
              <w:rPr>
                <w:sz w:val="20"/>
                <w:szCs w:val="20"/>
                <w:lang w:val="en-GB"/>
              </w:rPr>
            </w:pPr>
            <w:r w:rsidRPr="00700132">
              <w:rPr>
                <w:sz w:val="20"/>
                <w:szCs w:val="20"/>
                <w:lang w:val="en-GB"/>
              </w:rPr>
              <w:t>≥ 5 million</w:t>
            </w:r>
          </w:p>
        </w:tc>
        <w:tc>
          <w:tcPr>
            <w:tcW w:w="0" w:type="auto"/>
            <w:tcBorders>
              <w:top w:val="single" w:sz="4" w:space="0" w:color="auto"/>
              <w:left w:val="single" w:sz="4" w:space="0" w:color="auto"/>
              <w:bottom w:val="single" w:sz="4" w:space="0" w:color="auto"/>
              <w:right w:val="single" w:sz="4" w:space="0" w:color="auto"/>
            </w:tcBorders>
            <w:shd w:val="clear" w:color="auto" w:fill="DAEFD3" w:themeFill="accent1" w:themeFillTint="33"/>
            <w:vAlign w:val="center"/>
            <w:hideMark/>
          </w:tcPr>
          <w:p w14:paraId="5E9F7EF7" w14:textId="77777777" w:rsidR="001B6A56" w:rsidRPr="00700132" w:rsidRDefault="001B6A56" w:rsidP="003E2368">
            <w:pPr>
              <w:rPr>
                <w:sz w:val="20"/>
                <w:szCs w:val="20"/>
                <w:lang w:val="en-GB"/>
              </w:rPr>
            </w:pPr>
            <w:r w:rsidRPr="00700132">
              <w:rPr>
                <w:sz w:val="20"/>
                <w:szCs w:val="20"/>
                <w:lang w:val="en-GB"/>
              </w:rPr>
              <w:t>CRM and platform analytics</w:t>
            </w:r>
          </w:p>
        </w:tc>
      </w:tr>
      <w:tr w:rsidR="001B6A56" w:rsidRPr="00700132" w14:paraId="2F0ED3E0" w14:textId="77777777" w:rsidTr="003E2368">
        <w:trPr>
          <w:tblCellSpacing w:w="15" w:type="dxa"/>
        </w:trPr>
        <w:tc>
          <w:tcPr>
            <w:tcW w:w="1418" w:type="dxa"/>
            <w:tcBorders>
              <w:top w:val="single" w:sz="4" w:space="0" w:color="auto"/>
              <w:left w:val="single" w:sz="4" w:space="0" w:color="auto"/>
              <w:right w:val="single" w:sz="4" w:space="0" w:color="auto"/>
            </w:tcBorders>
            <w:shd w:val="clear" w:color="auto" w:fill="AEC4B8" w:themeFill="text2" w:themeFillTint="66"/>
            <w:vAlign w:val="center"/>
            <w:hideMark/>
          </w:tcPr>
          <w:p w14:paraId="6FBE302D" w14:textId="77777777" w:rsidR="001B6A56" w:rsidRPr="00700132" w:rsidRDefault="001B6A56" w:rsidP="003E2368">
            <w:pPr>
              <w:rPr>
                <w:lang w:val="en-GB"/>
              </w:rPr>
            </w:pPr>
            <w:r w:rsidRPr="00700132">
              <w:rPr>
                <w:b/>
                <w:bCs/>
                <w:lang w:val="en-GB"/>
              </w:rPr>
              <w:t>Internal Business Processes</w:t>
            </w:r>
          </w:p>
        </w:tc>
        <w:tc>
          <w:tcPr>
            <w:tcW w:w="2081" w:type="dxa"/>
            <w:tcBorders>
              <w:top w:val="single" w:sz="4" w:space="0" w:color="auto"/>
              <w:left w:val="single" w:sz="4" w:space="0" w:color="auto"/>
              <w:bottom w:val="single" w:sz="4" w:space="0" w:color="auto"/>
              <w:right w:val="single" w:sz="4" w:space="0" w:color="auto"/>
            </w:tcBorders>
            <w:shd w:val="clear" w:color="auto" w:fill="AEC4B8" w:themeFill="text2" w:themeFillTint="66"/>
            <w:vAlign w:val="center"/>
            <w:hideMark/>
          </w:tcPr>
          <w:p w14:paraId="6E4B15F9" w14:textId="77777777" w:rsidR="001B6A56" w:rsidRPr="00700132" w:rsidRDefault="001B6A56" w:rsidP="003E2368">
            <w:pPr>
              <w:rPr>
                <w:sz w:val="20"/>
                <w:szCs w:val="20"/>
                <w:lang w:val="en-GB"/>
              </w:rPr>
            </w:pPr>
            <w:r w:rsidRPr="00700132">
              <w:rPr>
                <w:sz w:val="20"/>
                <w:szCs w:val="20"/>
                <w:lang w:val="en-GB"/>
              </w:rPr>
              <w:t>Improve operational efficiency in new energy infrastructure</w:t>
            </w:r>
          </w:p>
        </w:tc>
        <w:tc>
          <w:tcPr>
            <w:tcW w:w="0" w:type="auto"/>
            <w:tcBorders>
              <w:top w:val="single" w:sz="4" w:space="0" w:color="auto"/>
              <w:left w:val="single" w:sz="4" w:space="0" w:color="auto"/>
              <w:bottom w:val="single" w:sz="4" w:space="0" w:color="auto"/>
              <w:right w:val="single" w:sz="4" w:space="0" w:color="auto"/>
            </w:tcBorders>
            <w:shd w:val="clear" w:color="auto" w:fill="AEC4B8" w:themeFill="text2" w:themeFillTint="66"/>
            <w:vAlign w:val="center"/>
            <w:hideMark/>
          </w:tcPr>
          <w:p w14:paraId="5196D363" w14:textId="77777777" w:rsidR="001B6A56" w:rsidRPr="00700132" w:rsidRDefault="001B6A56" w:rsidP="003E2368">
            <w:pPr>
              <w:rPr>
                <w:sz w:val="20"/>
                <w:szCs w:val="20"/>
                <w:lang w:val="en-GB"/>
              </w:rPr>
            </w:pPr>
            <w:r w:rsidRPr="00700132">
              <w:rPr>
                <w:sz w:val="20"/>
                <w:szCs w:val="20"/>
                <w:lang w:val="en-GB"/>
              </w:rPr>
              <w:t>Average downtime per EV charging station</w:t>
            </w:r>
          </w:p>
        </w:tc>
        <w:tc>
          <w:tcPr>
            <w:tcW w:w="0" w:type="auto"/>
            <w:tcBorders>
              <w:top w:val="single" w:sz="4" w:space="0" w:color="auto"/>
              <w:left w:val="single" w:sz="4" w:space="0" w:color="auto"/>
              <w:bottom w:val="single" w:sz="4" w:space="0" w:color="auto"/>
              <w:right w:val="single" w:sz="4" w:space="0" w:color="auto"/>
            </w:tcBorders>
            <w:shd w:val="clear" w:color="auto" w:fill="AEC4B8" w:themeFill="text2" w:themeFillTint="66"/>
            <w:vAlign w:val="center"/>
            <w:hideMark/>
          </w:tcPr>
          <w:p w14:paraId="22386664" w14:textId="77777777" w:rsidR="001B6A56" w:rsidRPr="00700132" w:rsidRDefault="001B6A56" w:rsidP="003E2368">
            <w:pPr>
              <w:rPr>
                <w:sz w:val="20"/>
                <w:szCs w:val="20"/>
                <w:lang w:val="en-GB"/>
              </w:rPr>
            </w:pPr>
            <w:r w:rsidRPr="00700132">
              <w:rPr>
                <w:sz w:val="20"/>
                <w:szCs w:val="20"/>
                <w:lang w:val="en-GB"/>
              </w:rPr>
              <w:t>≤ 1%</w:t>
            </w:r>
          </w:p>
        </w:tc>
        <w:tc>
          <w:tcPr>
            <w:tcW w:w="0" w:type="auto"/>
            <w:tcBorders>
              <w:top w:val="single" w:sz="4" w:space="0" w:color="auto"/>
              <w:left w:val="single" w:sz="4" w:space="0" w:color="auto"/>
              <w:bottom w:val="single" w:sz="4" w:space="0" w:color="auto"/>
              <w:right w:val="single" w:sz="4" w:space="0" w:color="auto"/>
            </w:tcBorders>
            <w:shd w:val="clear" w:color="auto" w:fill="AEC4B8" w:themeFill="text2" w:themeFillTint="66"/>
            <w:vAlign w:val="center"/>
            <w:hideMark/>
          </w:tcPr>
          <w:p w14:paraId="68BCD39B" w14:textId="77777777" w:rsidR="001B6A56" w:rsidRPr="00700132" w:rsidRDefault="001B6A56" w:rsidP="003E2368">
            <w:pPr>
              <w:rPr>
                <w:sz w:val="20"/>
                <w:szCs w:val="20"/>
                <w:lang w:val="en-GB"/>
              </w:rPr>
            </w:pPr>
            <w:r w:rsidRPr="00700132">
              <w:rPr>
                <w:sz w:val="20"/>
                <w:szCs w:val="20"/>
                <w:lang w:val="en-GB"/>
              </w:rPr>
              <w:t>IoT-based infrastructure monitoring</w:t>
            </w:r>
          </w:p>
        </w:tc>
      </w:tr>
      <w:tr w:rsidR="001B6A56" w:rsidRPr="00700132" w14:paraId="67CFE1ED" w14:textId="77777777" w:rsidTr="003E2368">
        <w:trPr>
          <w:tblCellSpacing w:w="15" w:type="dxa"/>
        </w:trPr>
        <w:tc>
          <w:tcPr>
            <w:tcW w:w="1418" w:type="dxa"/>
            <w:tcBorders>
              <w:left w:val="single" w:sz="4" w:space="0" w:color="auto"/>
              <w:bottom w:val="single" w:sz="4" w:space="0" w:color="auto"/>
              <w:right w:val="single" w:sz="4" w:space="0" w:color="auto"/>
            </w:tcBorders>
            <w:shd w:val="clear" w:color="auto" w:fill="AEC4B8" w:themeFill="text2" w:themeFillTint="66"/>
            <w:vAlign w:val="center"/>
            <w:hideMark/>
          </w:tcPr>
          <w:p w14:paraId="66E307CC" w14:textId="77777777" w:rsidR="001B6A56" w:rsidRPr="00700132" w:rsidRDefault="001B6A56" w:rsidP="003E2368">
            <w:pPr>
              <w:rPr>
                <w:lang w:val="en-GB"/>
              </w:rPr>
            </w:pPr>
          </w:p>
        </w:tc>
        <w:tc>
          <w:tcPr>
            <w:tcW w:w="2081" w:type="dxa"/>
            <w:tcBorders>
              <w:top w:val="single" w:sz="4" w:space="0" w:color="auto"/>
              <w:left w:val="single" w:sz="4" w:space="0" w:color="auto"/>
              <w:bottom w:val="single" w:sz="4" w:space="0" w:color="auto"/>
              <w:right w:val="single" w:sz="4" w:space="0" w:color="auto"/>
            </w:tcBorders>
            <w:shd w:val="clear" w:color="auto" w:fill="AEC4B8" w:themeFill="text2" w:themeFillTint="66"/>
            <w:vAlign w:val="center"/>
            <w:hideMark/>
          </w:tcPr>
          <w:p w14:paraId="2EAF0BA1" w14:textId="77777777" w:rsidR="001B6A56" w:rsidRPr="00700132" w:rsidRDefault="001B6A56" w:rsidP="003E2368">
            <w:pPr>
              <w:rPr>
                <w:sz w:val="20"/>
                <w:szCs w:val="20"/>
                <w:lang w:val="en-GB"/>
              </w:rPr>
            </w:pPr>
            <w:r w:rsidRPr="00700132">
              <w:rPr>
                <w:sz w:val="20"/>
                <w:szCs w:val="20"/>
                <w:lang w:val="en-GB"/>
              </w:rPr>
              <w:t>Strengthen regulatory compliance and local integration</w:t>
            </w:r>
          </w:p>
        </w:tc>
        <w:tc>
          <w:tcPr>
            <w:tcW w:w="0" w:type="auto"/>
            <w:tcBorders>
              <w:top w:val="single" w:sz="4" w:space="0" w:color="auto"/>
              <w:left w:val="single" w:sz="4" w:space="0" w:color="auto"/>
              <w:bottom w:val="single" w:sz="4" w:space="0" w:color="auto"/>
              <w:right w:val="single" w:sz="4" w:space="0" w:color="auto"/>
            </w:tcBorders>
            <w:shd w:val="clear" w:color="auto" w:fill="AEC4B8" w:themeFill="text2" w:themeFillTint="66"/>
            <w:vAlign w:val="center"/>
            <w:hideMark/>
          </w:tcPr>
          <w:p w14:paraId="0C5DF642" w14:textId="77777777" w:rsidR="001B6A56" w:rsidRPr="00700132" w:rsidRDefault="001B6A56" w:rsidP="003E2368">
            <w:pPr>
              <w:rPr>
                <w:sz w:val="20"/>
                <w:szCs w:val="20"/>
                <w:lang w:val="en-GB"/>
              </w:rPr>
            </w:pPr>
            <w:r w:rsidRPr="00700132">
              <w:rPr>
                <w:sz w:val="20"/>
                <w:szCs w:val="20"/>
                <w:lang w:val="en-GB"/>
              </w:rPr>
              <w:t>% compliance with Indian energy laws and ESG standards</w:t>
            </w:r>
          </w:p>
        </w:tc>
        <w:tc>
          <w:tcPr>
            <w:tcW w:w="0" w:type="auto"/>
            <w:tcBorders>
              <w:top w:val="single" w:sz="4" w:space="0" w:color="auto"/>
              <w:left w:val="single" w:sz="4" w:space="0" w:color="auto"/>
              <w:bottom w:val="single" w:sz="4" w:space="0" w:color="auto"/>
              <w:right w:val="single" w:sz="4" w:space="0" w:color="auto"/>
            </w:tcBorders>
            <w:shd w:val="clear" w:color="auto" w:fill="AEC4B8" w:themeFill="text2" w:themeFillTint="66"/>
            <w:vAlign w:val="center"/>
            <w:hideMark/>
          </w:tcPr>
          <w:p w14:paraId="0BBD027E" w14:textId="77777777" w:rsidR="001B6A56" w:rsidRPr="00700132" w:rsidRDefault="001B6A56" w:rsidP="003E2368">
            <w:pPr>
              <w:rPr>
                <w:sz w:val="20"/>
                <w:szCs w:val="20"/>
                <w:lang w:val="en-GB"/>
              </w:rPr>
            </w:pPr>
            <w:r w:rsidRPr="00700132">
              <w:rPr>
                <w:sz w:val="20"/>
                <w:szCs w:val="20"/>
                <w:lang w:val="en-GB"/>
              </w:rPr>
              <w:t>100%</w:t>
            </w:r>
          </w:p>
        </w:tc>
        <w:tc>
          <w:tcPr>
            <w:tcW w:w="0" w:type="auto"/>
            <w:tcBorders>
              <w:top w:val="single" w:sz="4" w:space="0" w:color="auto"/>
              <w:left w:val="single" w:sz="4" w:space="0" w:color="auto"/>
              <w:bottom w:val="single" w:sz="4" w:space="0" w:color="auto"/>
              <w:right w:val="single" w:sz="4" w:space="0" w:color="auto"/>
            </w:tcBorders>
            <w:shd w:val="clear" w:color="auto" w:fill="AEC4B8" w:themeFill="text2" w:themeFillTint="66"/>
            <w:vAlign w:val="center"/>
            <w:hideMark/>
          </w:tcPr>
          <w:p w14:paraId="6D155E4F" w14:textId="77777777" w:rsidR="001B6A56" w:rsidRPr="00700132" w:rsidRDefault="001B6A56" w:rsidP="003E2368">
            <w:pPr>
              <w:rPr>
                <w:sz w:val="20"/>
                <w:szCs w:val="20"/>
                <w:lang w:val="en-GB"/>
              </w:rPr>
            </w:pPr>
            <w:r w:rsidRPr="00700132">
              <w:rPr>
                <w:sz w:val="20"/>
                <w:szCs w:val="20"/>
                <w:lang w:val="en-GB"/>
              </w:rPr>
              <w:t>Internal audits &amp; third-party ESG assurance</w:t>
            </w:r>
          </w:p>
        </w:tc>
      </w:tr>
      <w:tr w:rsidR="001B6A56" w:rsidRPr="00700132" w14:paraId="77D9762E" w14:textId="77777777" w:rsidTr="003E2368">
        <w:trPr>
          <w:tblCellSpacing w:w="15" w:type="dxa"/>
        </w:trPr>
        <w:tc>
          <w:tcPr>
            <w:tcW w:w="1418" w:type="dxa"/>
            <w:tcBorders>
              <w:top w:val="single" w:sz="4" w:space="0" w:color="auto"/>
              <w:left w:val="single" w:sz="4" w:space="0" w:color="auto"/>
              <w:right w:val="single" w:sz="4" w:space="0" w:color="auto"/>
            </w:tcBorders>
            <w:shd w:val="clear" w:color="auto" w:fill="DAEFD3" w:themeFill="accent1" w:themeFillTint="33"/>
            <w:vAlign w:val="center"/>
            <w:hideMark/>
          </w:tcPr>
          <w:p w14:paraId="2D1B2A39" w14:textId="77777777" w:rsidR="001B6A56" w:rsidRPr="00700132" w:rsidRDefault="001B6A56" w:rsidP="003E2368">
            <w:pPr>
              <w:rPr>
                <w:lang w:val="en-GB"/>
              </w:rPr>
            </w:pPr>
            <w:r w:rsidRPr="00700132">
              <w:rPr>
                <w:b/>
                <w:bCs/>
                <w:lang w:val="en-GB"/>
              </w:rPr>
              <w:t>Learning &amp; Growth</w:t>
            </w:r>
          </w:p>
        </w:tc>
        <w:tc>
          <w:tcPr>
            <w:tcW w:w="2081" w:type="dxa"/>
            <w:tcBorders>
              <w:top w:val="single" w:sz="4" w:space="0" w:color="auto"/>
              <w:left w:val="single" w:sz="4" w:space="0" w:color="auto"/>
              <w:bottom w:val="single" w:sz="4" w:space="0" w:color="auto"/>
              <w:right w:val="single" w:sz="4" w:space="0" w:color="auto"/>
            </w:tcBorders>
            <w:shd w:val="clear" w:color="auto" w:fill="DAEFD3" w:themeFill="accent1" w:themeFillTint="33"/>
            <w:vAlign w:val="center"/>
            <w:hideMark/>
          </w:tcPr>
          <w:p w14:paraId="062FA07B" w14:textId="77777777" w:rsidR="001B6A56" w:rsidRPr="00700132" w:rsidRDefault="001B6A56" w:rsidP="003E2368">
            <w:pPr>
              <w:rPr>
                <w:sz w:val="20"/>
                <w:szCs w:val="20"/>
                <w:lang w:val="en-GB"/>
              </w:rPr>
            </w:pPr>
            <w:r w:rsidRPr="00700132">
              <w:rPr>
                <w:sz w:val="20"/>
                <w:szCs w:val="20"/>
                <w:lang w:val="en-GB"/>
              </w:rPr>
              <w:t>Build local technical capability and innovation</w:t>
            </w:r>
          </w:p>
        </w:tc>
        <w:tc>
          <w:tcPr>
            <w:tcW w:w="0" w:type="auto"/>
            <w:tcBorders>
              <w:top w:val="single" w:sz="4" w:space="0" w:color="auto"/>
              <w:left w:val="single" w:sz="4" w:space="0" w:color="auto"/>
              <w:bottom w:val="single" w:sz="4" w:space="0" w:color="auto"/>
              <w:right w:val="single" w:sz="4" w:space="0" w:color="auto"/>
            </w:tcBorders>
            <w:shd w:val="clear" w:color="auto" w:fill="DAEFD3" w:themeFill="accent1" w:themeFillTint="33"/>
            <w:vAlign w:val="center"/>
            <w:hideMark/>
          </w:tcPr>
          <w:p w14:paraId="6C2C4501" w14:textId="77777777" w:rsidR="001B6A56" w:rsidRPr="00700132" w:rsidRDefault="001B6A56" w:rsidP="003E2368">
            <w:pPr>
              <w:rPr>
                <w:sz w:val="20"/>
                <w:szCs w:val="20"/>
                <w:lang w:val="en-GB"/>
              </w:rPr>
            </w:pPr>
            <w:r w:rsidRPr="00700132">
              <w:rPr>
                <w:sz w:val="20"/>
                <w:szCs w:val="20"/>
                <w:lang w:val="en-GB"/>
              </w:rPr>
              <w:t>Number of joint R&amp;D projects with Indian partners</w:t>
            </w:r>
          </w:p>
        </w:tc>
        <w:tc>
          <w:tcPr>
            <w:tcW w:w="0" w:type="auto"/>
            <w:tcBorders>
              <w:top w:val="single" w:sz="4" w:space="0" w:color="auto"/>
              <w:left w:val="single" w:sz="4" w:space="0" w:color="auto"/>
              <w:bottom w:val="single" w:sz="4" w:space="0" w:color="auto"/>
              <w:right w:val="single" w:sz="4" w:space="0" w:color="auto"/>
            </w:tcBorders>
            <w:shd w:val="clear" w:color="auto" w:fill="DAEFD3" w:themeFill="accent1" w:themeFillTint="33"/>
            <w:vAlign w:val="center"/>
            <w:hideMark/>
          </w:tcPr>
          <w:p w14:paraId="79602BA6" w14:textId="77777777" w:rsidR="001B6A56" w:rsidRPr="00700132" w:rsidRDefault="001B6A56" w:rsidP="003E2368">
            <w:pPr>
              <w:rPr>
                <w:sz w:val="20"/>
                <w:szCs w:val="20"/>
                <w:lang w:val="en-GB"/>
              </w:rPr>
            </w:pPr>
            <w:r w:rsidRPr="00700132">
              <w:rPr>
                <w:sz w:val="20"/>
                <w:szCs w:val="20"/>
                <w:lang w:val="en-GB"/>
              </w:rPr>
              <w:t>≥ 10 by 2030</w:t>
            </w:r>
          </w:p>
        </w:tc>
        <w:tc>
          <w:tcPr>
            <w:tcW w:w="0" w:type="auto"/>
            <w:tcBorders>
              <w:top w:val="single" w:sz="4" w:space="0" w:color="auto"/>
              <w:left w:val="single" w:sz="4" w:space="0" w:color="auto"/>
              <w:bottom w:val="single" w:sz="4" w:space="0" w:color="auto"/>
              <w:right w:val="single" w:sz="4" w:space="0" w:color="auto"/>
            </w:tcBorders>
            <w:shd w:val="clear" w:color="auto" w:fill="DAEFD3" w:themeFill="accent1" w:themeFillTint="33"/>
            <w:vAlign w:val="center"/>
            <w:hideMark/>
          </w:tcPr>
          <w:p w14:paraId="79777BE8" w14:textId="77777777" w:rsidR="001B6A56" w:rsidRPr="00700132" w:rsidRDefault="001B6A56" w:rsidP="003E2368">
            <w:pPr>
              <w:rPr>
                <w:sz w:val="20"/>
                <w:szCs w:val="20"/>
                <w:lang w:val="en-GB"/>
              </w:rPr>
            </w:pPr>
            <w:r w:rsidRPr="00700132">
              <w:rPr>
                <w:sz w:val="20"/>
                <w:szCs w:val="20"/>
                <w:lang w:val="en-GB"/>
              </w:rPr>
              <w:t>R&amp;D unit reports and partnership reviews</w:t>
            </w:r>
          </w:p>
        </w:tc>
      </w:tr>
      <w:tr w:rsidR="001B6A56" w:rsidRPr="00700132" w14:paraId="7E943F22" w14:textId="77777777" w:rsidTr="003E2368">
        <w:trPr>
          <w:tblCellSpacing w:w="15" w:type="dxa"/>
        </w:trPr>
        <w:tc>
          <w:tcPr>
            <w:tcW w:w="1418" w:type="dxa"/>
            <w:tcBorders>
              <w:left w:val="single" w:sz="4" w:space="0" w:color="auto"/>
              <w:bottom w:val="single" w:sz="4" w:space="0" w:color="auto"/>
              <w:right w:val="single" w:sz="4" w:space="0" w:color="auto"/>
            </w:tcBorders>
            <w:shd w:val="clear" w:color="auto" w:fill="DAEFD3" w:themeFill="accent1" w:themeFillTint="33"/>
            <w:vAlign w:val="center"/>
            <w:hideMark/>
          </w:tcPr>
          <w:p w14:paraId="6C97A923" w14:textId="77777777" w:rsidR="001B6A56" w:rsidRPr="00700132" w:rsidRDefault="001B6A56" w:rsidP="003E2368">
            <w:pPr>
              <w:rPr>
                <w:lang w:val="en-GB"/>
              </w:rPr>
            </w:pPr>
          </w:p>
        </w:tc>
        <w:tc>
          <w:tcPr>
            <w:tcW w:w="2081" w:type="dxa"/>
            <w:tcBorders>
              <w:top w:val="single" w:sz="4" w:space="0" w:color="auto"/>
              <w:left w:val="single" w:sz="4" w:space="0" w:color="auto"/>
              <w:bottom w:val="single" w:sz="4" w:space="0" w:color="auto"/>
              <w:right w:val="single" w:sz="4" w:space="0" w:color="auto"/>
            </w:tcBorders>
            <w:shd w:val="clear" w:color="auto" w:fill="DAEFD3" w:themeFill="accent1" w:themeFillTint="33"/>
            <w:vAlign w:val="center"/>
            <w:hideMark/>
          </w:tcPr>
          <w:p w14:paraId="1140893F" w14:textId="77777777" w:rsidR="001B6A56" w:rsidRPr="00700132" w:rsidRDefault="001B6A56" w:rsidP="003E2368">
            <w:pPr>
              <w:rPr>
                <w:sz w:val="20"/>
                <w:szCs w:val="20"/>
                <w:lang w:val="en-GB"/>
              </w:rPr>
            </w:pPr>
            <w:r w:rsidRPr="00700132">
              <w:rPr>
                <w:sz w:val="20"/>
                <w:szCs w:val="20"/>
                <w:lang w:val="en-GB"/>
              </w:rPr>
              <w:t>Upskill workforce for clean energy transformation</w:t>
            </w:r>
          </w:p>
        </w:tc>
        <w:tc>
          <w:tcPr>
            <w:tcW w:w="0" w:type="auto"/>
            <w:tcBorders>
              <w:top w:val="single" w:sz="4" w:space="0" w:color="auto"/>
              <w:left w:val="single" w:sz="4" w:space="0" w:color="auto"/>
              <w:bottom w:val="single" w:sz="4" w:space="0" w:color="auto"/>
              <w:right w:val="single" w:sz="4" w:space="0" w:color="auto"/>
            </w:tcBorders>
            <w:shd w:val="clear" w:color="auto" w:fill="DAEFD3" w:themeFill="accent1" w:themeFillTint="33"/>
            <w:vAlign w:val="center"/>
            <w:hideMark/>
          </w:tcPr>
          <w:p w14:paraId="73DDEE28" w14:textId="77777777" w:rsidR="001B6A56" w:rsidRPr="00700132" w:rsidRDefault="001B6A56" w:rsidP="003E2368">
            <w:pPr>
              <w:rPr>
                <w:sz w:val="20"/>
                <w:szCs w:val="20"/>
                <w:lang w:val="en-GB"/>
              </w:rPr>
            </w:pPr>
            <w:r w:rsidRPr="00700132">
              <w:rPr>
                <w:sz w:val="20"/>
                <w:szCs w:val="20"/>
                <w:lang w:val="en-GB"/>
              </w:rPr>
              <w:t>% of employees trained in renewable tech annually</w:t>
            </w:r>
          </w:p>
        </w:tc>
        <w:tc>
          <w:tcPr>
            <w:tcW w:w="0" w:type="auto"/>
            <w:tcBorders>
              <w:top w:val="single" w:sz="4" w:space="0" w:color="auto"/>
              <w:left w:val="single" w:sz="4" w:space="0" w:color="auto"/>
              <w:bottom w:val="single" w:sz="4" w:space="0" w:color="auto"/>
              <w:right w:val="single" w:sz="4" w:space="0" w:color="auto"/>
            </w:tcBorders>
            <w:shd w:val="clear" w:color="auto" w:fill="DAEFD3" w:themeFill="accent1" w:themeFillTint="33"/>
            <w:vAlign w:val="center"/>
            <w:hideMark/>
          </w:tcPr>
          <w:p w14:paraId="24065E2F" w14:textId="77777777" w:rsidR="001B6A56" w:rsidRPr="00700132" w:rsidRDefault="001B6A56" w:rsidP="003E2368">
            <w:pPr>
              <w:rPr>
                <w:sz w:val="20"/>
                <w:szCs w:val="20"/>
                <w:lang w:val="en-GB"/>
              </w:rPr>
            </w:pPr>
            <w:r w:rsidRPr="00700132">
              <w:rPr>
                <w:sz w:val="20"/>
                <w:szCs w:val="20"/>
                <w:lang w:val="en-GB"/>
              </w:rPr>
              <w:t>≥ 85%</w:t>
            </w:r>
          </w:p>
        </w:tc>
        <w:tc>
          <w:tcPr>
            <w:tcW w:w="0" w:type="auto"/>
            <w:tcBorders>
              <w:top w:val="single" w:sz="4" w:space="0" w:color="auto"/>
              <w:left w:val="single" w:sz="4" w:space="0" w:color="auto"/>
              <w:bottom w:val="single" w:sz="4" w:space="0" w:color="auto"/>
              <w:right w:val="single" w:sz="4" w:space="0" w:color="auto"/>
            </w:tcBorders>
            <w:shd w:val="clear" w:color="auto" w:fill="DAEFD3" w:themeFill="accent1" w:themeFillTint="33"/>
            <w:vAlign w:val="center"/>
            <w:hideMark/>
          </w:tcPr>
          <w:p w14:paraId="2357E90C" w14:textId="77777777" w:rsidR="001B6A56" w:rsidRPr="00700132" w:rsidRDefault="001B6A56" w:rsidP="003E2368">
            <w:pPr>
              <w:rPr>
                <w:sz w:val="20"/>
                <w:szCs w:val="20"/>
                <w:lang w:val="en-GB"/>
              </w:rPr>
            </w:pPr>
            <w:r w:rsidRPr="00700132">
              <w:rPr>
                <w:sz w:val="20"/>
                <w:szCs w:val="20"/>
                <w:lang w:val="en-GB"/>
              </w:rPr>
              <w:t>HR learning system metrics</w:t>
            </w:r>
          </w:p>
        </w:tc>
      </w:tr>
    </w:tbl>
    <w:p w14:paraId="666D5199" w14:textId="0642BEC7" w:rsidR="001B6A56" w:rsidRPr="000331E6" w:rsidRDefault="0049500B" w:rsidP="00325C06">
      <w:pPr>
        <w:rPr>
          <w:sz w:val="16"/>
          <w:szCs w:val="16"/>
        </w:rPr>
      </w:pPr>
      <w:r w:rsidRPr="000331E6">
        <w:rPr>
          <w:sz w:val="16"/>
          <w:szCs w:val="16"/>
        </w:rPr>
        <w:t xml:space="preserve">Source: Adapted from Kaplan, R.S. and Norton, D.P. (1996) </w:t>
      </w:r>
      <w:r w:rsidRPr="000331E6">
        <w:rPr>
          <w:i/>
          <w:iCs/>
          <w:sz w:val="16"/>
          <w:szCs w:val="16"/>
        </w:rPr>
        <w:t>The Balanced Scorecard: Translating Strategy into Action.</w:t>
      </w:r>
      <w:r w:rsidRPr="000331E6">
        <w:rPr>
          <w:sz w:val="16"/>
          <w:szCs w:val="16"/>
        </w:rPr>
        <w:t xml:space="preserve"> Boston: Harvard Business School Press; and BP (2024) </w:t>
      </w:r>
      <w:r w:rsidRPr="000331E6">
        <w:rPr>
          <w:i/>
          <w:iCs/>
          <w:sz w:val="16"/>
          <w:szCs w:val="16"/>
        </w:rPr>
        <w:t>Annual Report and Form 20-F 2024: Reimagining Energy.</w:t>
      </w:r>
      <w:r w:rsidRPr="000331E6">
        <w:rPr>
          <w:sz w:val="16"/>
          <w:szCs w:val="16"/>
        </w:rPr>
        <w:t xml:space="preserve"> Author’s analysis.</w:t>
      </w:r>
    </w:p>
    <w:p w14:paraId="0863175C" w14:textId="77777777" w:rsidR="00325C06" w:rsidRDefault="00325C06" w:rsidP="00325C06">
      <w:r w:rsidRPr="00165C1D">
        <w:t>This framework provides a robust system for evaluating the success of BP’s strategic expansion, ensuring that value creation is not only financial but also operational, environmental, and social.</w:t>
      </w:r>
    </w:p>
    <w:p w14:paraId="22659DD1" w14:textId="77777777" w:rsidR="002D75E5" w:rsidRDefault="002D75E5" w:rsidP="002D75E5">
      <w:r>
        <w:t>In alignment with BP’s global sustainability agenda, the proposed expansion strategy is evaluated through the Triple Bottom Line (TBL) framework (Elkington, 1997), which emphasises value creation across People, Planet, and Profit.</w:t>
      </w:r>
    </w:p>
    <w:p w14:paraId="31C7BAB2" w14:textId="77777777" w:rsidR="002D75E5" w:rsidRDefault="002D75E5" w:rsidP="002D75E5">
      <w:r>
        <w:lastRenderedPageBreak/>
        <w:t>People: BP’s collaboration with local partners such as Reliance and Indian universities fosters employment, skills development, and community inclusion. The proposed clean-tech R&amp;D and workforce training programmes directly contribute to local human capital development.</w:t>
      </w:r>
    </w:p>
    <w:p w14:paraId="257D4A4E" w14:textId="77777777" w:rsidR="002D75E5" w:rsidRDefault="002D75E5" w:rsidP="002D75E5">
      <w:r>
        <w:t>Planet: Investment in renewable energy infrastructure, hydrogen production, and EV charging networks supports India’s decarbonisation goals and aligns with the UN Sustainable Development Goals (SDGs 7 and 13).</w:t>
      </w:r>
    </w:p>
    <w:p w14:paraId="3B1EFBAB" w14:textId="77777777" w:rsidR="002D75E5" w:rsidRDefault="002D75E5" w:rsidP="002D75E5">
      <w:r>
        <w:t>Profit: The strategy ensures financial viability through diversified revenue streams from green energy services, mitigating oil price volatility and ensuring long-term shareholder value.</w:t>
      </w:r>
    </w:p>
    <w:p w14:paraId="2E55871F" w14:textId="3DAF97F2" w:rsidR="00604C6F" w:rsidRDefault="002D75E5" w:rsidP="002D75E5">
      <w:r>
        <w:t>By embedding the TBL framework into BP’s strategic scorecard, the company ensures that performance evaluation goes beyond financial metrics and captures broader environmental and social impact, consistent with contemporary CSR expectations.</w:t>
      </w:r>
    </w:p>
    <w:p w14:paraId="35427515" w14:textId="7366A6B7" w:rsidR="00DE522C" w:rsidRDefault="002468D5" w:rsidP="002F1A60">
      <w:pPr>
        <w:pStyle w:val="Heading2"/>
      </w:pPr>
      <w:bookmarkStart w:id="20" w:name="_Toc215236121"/>
      <w:r w:rsidRPr="002468D5">
        <w:t>4.2 Portfolio Evaluation Using the BCG Matrix</w:t>
      </w:r>
      <w:bookmarkEnd w:id="20"/>
    </w:p>
    <w:p w14:paraId="72A89135" w14:textId="77777777" w:rsidR="00C75DAD" w:rsidRPr="00C75DAD" w:rsidRDefault="00C75DAD" w:rsidP="00C75DAD"/>
    <w:p w14:paraId="26C9260E" w14:textId="17F56445" w:rsidR="000D5B6D" w:rsidRDefault="000D5B6D" w:rsidP="000D5B6D">
      <w:r>
        <w:t>The Boston Consulting Group (BCG) Matrix (Henderson, 1970) provides a portfolio-based evaluation of BP’s strategic business units (SBUs) in the context of its expansion into India. By assessing market growth rate and relative market share, the model helps prioritise resource allocation across BP’s emerging and mature business segments.</w:t>
      </w:r>
    </w:p>
    <w:p w14:paraId="330907BD" w14:textId="1EF04BF0" w:rsidR="002468D5" w:rsidRDefault="000D5B6D" w:rsidP="000D5B6D">
      <w:r>
        <w:t xml:space="preserve">The following classification summarises </w:t>
      </w:r>
    </w:p>
    <w:p w14:paraId="1CF91334" w14:textId="77777777" w:rsidR="002955AE" w:rsidRDefault="008F3447" w:rsidP="002955AE">
      <w:r>
        <w:t>Table 7</w:t>
      </w:r>
      <w:r w:rsidR="00A867E9">
        <w:t>:</w:t>
      </w:r>
      <w:r w:rsidR="002955AE">
        <w:t xml:space="preserve"> BP’s strategic positioning across four quadrants:</w:t>
      </w:r>
    </w:p>
    <w:tbl>
      <w:tblPr>
        <w:tblStyle w:val="GridTable5Dark-Accent2"/>
        <w:tblW w:w="0" w:type="auto"/>
        <w:tblLook w:val="04A0" w:firstRow="1" w:lastRow="0" w:firstColumn="1" w:lastColumn="0" w:noHBand="0" w:noVBand="1"/>
      </w:tblPr>
      <w:tblGrid>
        <w:gridCol w:w="1425"/>
        <w:gridCol w:w="2601"/>
        <w:gridCol w:w="1070"/>
        <w:gridCol w:w="1230"/>
        <w:gridCol w:w="2530"/>
      </w:tblGrid>
      <w:tr w:rsidR="008F3447" w:rsidRPr="008F3447" w14:paraId="7CA256A4" w14:textId="77777777" w:rsidTr="008F344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725AD97" w14:textId="77777777" w:rsidR="008F3447" w:rsidRPr="008F3447" w:rsidRDefault="008F3447" w:rsidP="008F3447">
            <w:pPr>
              <w:spacing w:after="120" w:line="264" w:lineRule="auto"/>
              <w:rPr>
                <w:lang w:val="en-GB"/>
              </w:rPr>
            </w:pPr>
            <w:r w:rsidRPr="008F3447">
              <w:rPr>
                <w:lang w:val="en-GB"/>
              </w:rPr>
              <w:t>Category</w:t>
            </w:r>
          </w:p>
        </w:tc>
        <w:tc>
          <w:tcPr>
            <w:tcW w:w="0" w:type="auto"/>
            <w:hideMark/>
          </w:tcPr>
          <w:p w14:paraId="7B816826" w14:textId="77777777" w:rsidR="008F3447" w:rsidRPr="008F3447" w:rsidRDefault="008F3447" w:rsidP="008F3447">
            <w:pPr>
              <w:spacing w:after="120" w:line="264" w:lineRule="auto"/>
              <w:cnfStyle w:val="100000000000" w:firstRow="1" w:lastRow="0" w:firstColumn="0" w:lastColumn="0" w:oddVBand="0" w:evenVBand="0" w:oddHBand="0" w:evenHBand="0" w:firstRowFirstColumn="0" w:firstRowLastColumn="0" w:lastRowFirstColumn="0" w:lastRowLastColumn="0"/>
              <w:rPr>
                <w:lang w:val="en-GB"/>
              </w:rPr>
            </w:pPr>
            <w:r w:rsidRPr="008F3447">
              <w:rPr>
                <w:lang w:val="en-GB"/>
              </w:rPr>
              <w:t>BP Segment (India)</w:t>
            </w:r>
          </w:p>
        </w:tc>
        <w:tc>
          <w:tcPr>
            <w:tcW w:w="0" w:type="auto"/>
            <w:hideMark/>
          </w:tcPr>
          <w:p w14:paraId="2E856208" w14:textId="77777777" w:rsidR="008F3447" w:rsidRPr="008F3447" w:rsidRDefault="008F3447" w:rsidP="008F3447">
            <w:pPr>
              <w:spacing w:after="120" w:line="264" w:lineRule="auto"/>
              <w:cnfStyle w:val="100000000000" w:firstRow="1" w:lastRow="0" w:firstColumn="0" w:lastColumn="0" w:oddVBand="0" w:evenVBand="0" w:oddHBand="0" w:evenHBand="0" w:firstRowFirstColumn="0" w:firstRowLastColumn="0" w:lastRowFirstColumn="0" w:lastRowLastColumn="0"/>
              <w:rPr>
                <w:lang w:val="en-GB"/>
              </w:rPr>
            </w:pPr>
            <w:r w:rsidRPr="008F3447">
              <w:rPr>
                <w:lang w:val="en-GB"/>
              </w:rPr>
              <w:t>Growth</w:t>
            </w:r>
          </w:p>
        </w:tc>
        <w:tc>
          <w:tcPr>
            <w:tcW w:w="0" w:type="auto"/>
            <w:hideMark/>
          </w:tcPr>
          <w:p w14:paraId="4E0E99DB" w14:textId="77777777" w:rsidR="008F3447" w:rsidRPr="008F3447" w:rsidRDefault="008F3447" w:rsidP="008F3447">
            <w:pPr>
              <w:spacing w:after="120" w:line="264" w:lineRule="auto"/>
              <w:cnfStyle w:val="100000000000" w:firstRow="1" w:lastRow="0" w:firstColumn="0" w:lastColumn="0" w:oddVBand="0" w:evenVBand="0" w:oddHBand="0" w:evenHBand="0" w:firstRowFirstColumn="0" w:firstRowLastColumn="0" w:lastRowFirstColumn="0" w:lastRowLastColumn="0"/>
              <w:rPr>
                <w:lang w:val="en-GB"/>
              </w:rPr>
            </w:pPr>
            <w:r w:rsidRPr="008F3447">
              <w:rPr>
                <w:lang w:val="en-GB"/>
              </w:rPr>
              <w:t>Share</w:t>
            </w:r>
          </w:p>
        </w:tc>
        <w:tc>
          <w:tcPr>
            <w:tcW w:w="0" w:type="auto"/>
            <w:hideMark/>
          </w:tcPr>
          <w:p w14:paraId="2131554E" w14:textId="77777777" w:rsidR="008F3447" w:rsidRPr="008F3447" w:rsidRDefault="008F3447" w:rsidP="008F3447">
            <w:pPr>
              <w:spacing w:after="120" w:line="264" w:lineRule="auto"/>
              <w:cnfStyle w:val="100000000000" w:firstRow="1" w:lastRow="0" w:firstColumn="0" w:lastColumn="0" w:oddVBand="0" w:evenVBand="0" w:oddHBand="0" w:evenHBand="0" w:firstRowFirstColumn="0" w:firstRowLastColumn="0" w:lastRowFirstColumn="0" w:lastRowLastColumn="0"/>
              <w:rPr>
                <w:lang w:val="en-GB"/>
              </w:rPr>
            </w:pPr>
            <w:r w:rsidRPr="008F3447">
              <w:rPr>
                <w:lang w:val="en-GB"/>
              </w:rPr>
              <w:t>Strategic Implication</w:t>
            </w:r>
          </w:p>
        </w:tc>
      </w:tr>
      <w:tr w:rsidR="008F3447" w:rsidRPr="008F3447" w14:paraId="203BB586" w14:textId="77777777" w:rsidTr="008F34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AE2D274" w14:textId="77777777" w:rsidR="008F3447" w:rsidRPr="008F3447" w:rsidRDefault="008F3447" w:rsidP="008F3447">
            <w:pPr>
              <w:spacing w:after="120" w:line="264" w:lineRule="auto"/>
              <w:rPr>
                <w:lang w:val="en-GB"/>
              </w:rPr>
            </w:pPr>
            <w:r w:rsidRPr="008F3447">
              <w:rPr>
                <w:lang w:val="en-GB"/>
              </w:rPr>
              <w:t>Stars</w:t>
            </w:r>
          </w:p>
        </w:tc>
        <w:tc>
          <w:tcPr>
            <w:tcW w:w="0" w:type="auto"/>
            <w:hideMark/>
          </w:tcPr>
          <w:p w14:paraId="6AB09629" w14:textId="77777777" w:rsidR="008F3447" w:rsidRPr="008F3447" w:rsidRDefault="008F3447" w:rsidP="008F3447">
            <w:pPr>
              <w:spacing w:after="120" w:line="264" w:lineRule="auto"/>
              <w:cnfStyle w:val="000000100000" w:firstRow="0" w:lastRow="0" w:firstColumn="0" w:lastColumn="0" w:oddVBand="0" w:evenVBand="0" w:oddHBand="1" w:evenHBand="0" w:firstRowFirstColumn="0" w:firstRowLastColumn="0" w:lastRowFirstColumn="0" w:lastRowLastColumn="0"/>
              <w:rPr>
                <w:lang w:val="en-GB"/>
              </w:rPr>
            </w:pPr>
            <w:r w:rsidRPr="008F3447">
              <w:rPr>
                <w:lang w:val="en-GB"/>
              </w:rPr>
              <w:t>Renewable energy (solar &amp; wind); EV charging (Jio-bp)</w:t>
            </w:r>
          </w:p>
        </w:tc>
        <w:tc>
          <w:tcPr>
            <w:tcW w:w="0" w:type="auto"/>
            <w:hideMark/>
          </w:tcPr>
          <w:p w14:paraId="137DA400" w14:textId="77777777" w:rsidR="008F3447" w:rsidRPr="008F3447" w:rsidRDefault="008F3447" w:rsidP="008F3447">
            <w:pPr>
              <w:spacing w:after="120" w:line="264" w:lineRule="auto"/>
              <w:cnfStyle w:val="000000100000" w:firstRow="0" w:lastRow="0" w:firstColumn="0" w:lastColumn="0" w:oddVBand="0" w:evenVBand="0" w:oddHBand="1" w:evenHBand="0" w:firstRowFirstColumn="0" w:firstRowLastColumn="0" w:lastRowFirstColumn="0" w:lastRowLastColumn="0"/>
              <w:rPr>
                <w:lang w:val="en-GB"/>
              </w:rPr>
            </w:pPr>
            <w:r w:rsidRPr="008F3447">
              <w:rPr>
                <w:lang w:val="en-GB"/>
              </w:rPr>
              <w:t>High</w:t>
            </w:r>
          </w:p>
        </w:tc>
        <w:tc>
          <w:tcPr>
            <w:tcW w:w="0" w:type="auto"/>
            <w:hideMark/>
          </w:tcPr>
          <w:p w14:paraId="56094633" w14:textId="77777777" w:rsidR="008F3447" w:rsidRPr="008F3447" w:rsidRDefault="008F3447" w:rsidP="008F3447">
            <w:pPr>
              <w:spacing w:after="120" w:line="264" w:lineRule="auto"/>
              <w:cnfStyle w:val="000000100000" w:firstRow="0" w:lastRow="0" w:firstColumn="0" w:lastColumn="0" w:oddVBand="0" w:evenVBand="0" w:oddHBand="1" w:evenHBand="0" w:firstRowFirstColumn="0" w:firstRowLastColumn="0" w:lastRowFirstColumn="0" w:lastRowLastColumn="0"/>
              <w:rPr>
                <w:lang w:val="en-GB"/>
              </w:rPr>
            </w:pPr>
            <w:r w:rsidRPr="008F3447">
              <w:rPr>
                <w:lang w:val="en-GB"/>
              </w:rPr>
              <w:t>Moderate</w:t>
            </w:r>
          </w:p>
        </w:tc>
        <w:tc>
          <w:tcPr>
            <w:tcW w:w="0" w:type="auto"/>
            <w:hideMark/>
          </w:tcPr>
          <w:p w14:paraId="3CD70731" w14:textId="77777777" w:rsidR="008F3447" w:rsidRPr="008F3447" w:rsidRDefault="008F3447" w:rsidP="008F3447">
            <w:pPr>
              <w:spacing w:after="120" w:line="264" w:lineRule="auto"/>
              <w:cnfStyle w:val="000000100000" w:firstRow="0" w:lastRow="0" w:firstColumn="0" w:lastColumn="0" w:oddVBand="0" w:evenVBand="0" w:oddHBand="1" w:evenHBand="0" w:firstRowFirstColumn="0" w:firstRowLastColumn="0" w:lastRowFirstColumn="0" w:lastRowLastColumn="0"/>
              <w:rPr>
                <w:lang w:val="en-GB"/>
              </w:rPr>
            </w:pPr>
            <w:r w:rsidRPr="008F3447">
              <w:rPr>
                <w:lang w:val="en-GB"/>
              </w:rPr>
              <w:t>Continue heavy investment to secure leadership.</w:t>
            </w:r>
          </w:p>
        </w:tc>
      </w:tr>
      <w:tr w:rsidR="008F3447" w:rsidRPr="008F3447" w14:paraId="5F6E6596" w14:textId="77777777" w:rsidTr="008F3447">
        <w:tc>
          <w:tcPr>
            <w:cnfStyle w:val="001000000000" w:firstRow="0" w:lastRow="0" w:firstColumn="1" w:lastColumn="0" w:oddVBand="0" w:evenVBand="0" w:oddHBand="0" w:evenHBand="0" w:firstRowFirstColumn="0" w:firstRowLastColumn="0" w:lastRowFirstColumn="0" w:lastRowLastColumn="0"/>
            <w:tcW w:w="0" w:type="auto"/>
            <w:hideMark/>
          </w:tcPr>
          <w:p w14:paraId="2DAF9D8A" w14:textId="77777777" w:rsidR="008F3447" w:rsidRPr="008F3447" w:rsidRDefault="008F3447" w:rsidP="008F3447">
            <w:pPr>
              <w:spacing w:after="120" w:line="264" w:lineRule="auto"/>
              <w:rPr>
                <w:lang w:val="en-GB"/>
              </w:rPr>
            </w:pPr>
            <w:r w:rsidRPr="008F3447">
              <w:rPr>
                <w:lang w:val="en-GB"/>
              </w:rPr>
              <w:t>Question Marks</w:t>
            </w:r>
          </w:p>
        </w:tc>
        <w:tc>
          <w:tcPr>
            <w:tcW w:w="0" w:type="auto"/>
            <w:hideMark/>
          </w:tcPr>
          <w:p w14:paraId="453B7207" w14:textId="77777777" w:rsidR="008F3447" w:rsidRPr="008F3447" w:rsidRDefault="008F3447" w:rsidP="008F3447">
            <w:pPr>
              <w:spacing w:after="120" w:line="264" w:lineRule="auto"/>
              <w:cnfStyle w:val="000000000000" w:firstRow="0" w:lastRow="0" w:firstColumn="0" w:lastColumn="0" w:oddVBand="0" w:evenVBand="0" w:oddHBand="0" w:evenHBand="0" w:firstRowFirstColumn="0" w:firstRowLastColumn="0" w:lastRowFirstColumn="0" w:lastRowLastColumn="0"/>
              <w:rPr>
                <w:lang w:val="en-GB"/>
              </w:rPr>
            </w:pPr>
            <w:r w:rsidRPr="008F3447">
              <w:rPr>
                <w:lang w:val="en-GB"/>
              </w:rPr>
              <w:t>Green hydrogen; digital energy services</w:t>
            </w:r>
          </w:p>
        </w:tc>
        <w:tc>
          <w:tcPr>
            <w:tcW w:w="0" w:type="auto"/>
            <w:hideMark/>
          </w:tcPr>
          <w:p w14:paraId="1492478B" w14:textId="77777777" w:rsidR="008F3447" w:rsidRPr="008F3447" w:rsidRDefault="008F3447" w:rsidP="008F3447">
            <w:pPr>
              <w:spacing w:after="120" w:line="264" w:lineRule="auto"/>
              <w:cnfStyle w:val="000000000000" w:firstRow="0" w:lastRow="0" w:firstColumn="0" w:lastColumn="0" w:oddVBand="0" w:evenVBand="0" w:oddHBand="0" w:evenHBand="0" w:firstRowFirstColumn="0" w:firstRowLastColumn="0" w:lastRowFirstColumn="0" w:lastRowLastColumn="0"/>
              <w:rPr>
                <w:lang w:val="en-GB"/>
              </w:rPr>
            </w:pPr>
            <w:r w:rsidRPr="008F3447">
              <w:rPr>
                <w:lang w:val="en-GB"/>
              </w:rPr>
              <w:t>High</w:t>
            </w:r>
          </w:p>
        </w:tc>
        <w:tc>
          <w:tcPr>
            <w:tcW w:w="0" w:type="auto"/>
            <w:hideMark/>
          </w:tcPr>
          <w:p w14:paraId="4ACF6089" w14:textId="77777777" w:rsidR="008F3447" w:rsidRPr="008F3447" w:rsidRDefault="008F3447" w:rsidP="008F3447">
            <w:pPr>
              <w:spacing w:after="120" w:line="264" w:lineRule="auto"/>
              <w:cnfStyle w:val="000000000000" w:firstRow="0" w:lastRow="0" w:firstColumn="0" w:lastColumn="0" w:oddVBand="0" w:evenVBand="0" w:oddHBand="0" w:evenHBand="0" w:firstRowFirstColumn="0" w:firstRowLastColumn="0" w:lastRowFirstColumn="0" w:lastRowLastColumn="0"/>
              <w:rPr>
                <w:lang w:val="en-GB"/>
              </w:rPr>
            </w:pPr>
            <w:r w:rsidRPr="008F3447">
              <w:rPr>
                <w:lang w:val="en-GB"/>
              </w:rPr>
              <w:t>Low</w:t>
            </w:r>
          </w:p>
        </w:tc>
        <w:tc>
          <w:tcPr>
            <w:tcW w:w="0" w:type="auto"/>
            <w:hideMark/>
          </w:tcPr>
          <w:p w14:paraId="10B734B9" w14:textId="77777777" w:rsidR="008F3447" w:rsidRPr="008F3447" w:rsidRDefault="008F3447" w:rsidP="008F3447">
            <w:pPr>
              <w:spacing w:after="120" w:line="264" w:lineRule="auto"/>
              <w:cnfStyle w:val="000000000000" w:firstRow="0" w:lastRow="0" w:firstColumn="0" w:lastColumn="0" w:oddVBand="0" w:evenVBand="0" w:oddHBand="0" w:evenHBand="0" w:firstRowFirstColumn="0" w:firstRowLastColumn="0" w:lastRowFirstColumn="0" w:lastRowLastColumn="0"/>
              <w:rPr>
                <w:lang w:val="en-GB"/>
              </w:rPr>
            </w:pPr>
            <w:r w:rsidRPr="008F3447">
              <w:rPr>
                <w:lang w:val="en-GB"/>
              </w:rPr>
              <w:t>Selective investment and partnerships to test viability.</w:t>
            </w:r>
          </w:p>
        </w:tc>
      </w:tr>
      <w:tr w:rsidR="008F3447" w:rsidRPr="008F3447" w14:paraId="2368C0B1" w14:textId="77777777" w:rsidTr="008F34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93C172A" w14:textId="77777777" w:rsidR="008F3447" w:rsidRPr="008F3447" w:rsidRDefault="008F3447" w:rsidP="008F3447">
            <w:pPr>
              <w:spacing w:after="120" w:line="264" w:lineRule="auto"/>
              <w:rPr>
                <w:lang w:val="en-GB"/>
              </w:rPr>
            </w:pPr>
            <w:r w:rsidRPr="008F3447">
              <w:rPr>
                <w:lang w:val="en-GB"/>
              </w:rPr>
              <w:t>Cash Cows</w:t>
            </w:r>
          </w:p>
        </w:tc>
        <w:tc>
          <w:tcPr>
            <w:tcW w:w="0" w:type="auto"/>
            <w:hideMark/>
          </w:tcPr>
          <w:p w14:paraId="015180C6" w14:textId="77777777" w:rsidR="008F3447" w:rsidRPr="008F3447" w:rsidRDefault="008F3447" w:rsidP="008F3447">
            <w:pPr>
              <w:spacing w:after="120" w:line="264" w:lineRule="auto"/>
              <w:cnfStyle w:val="000000100000" w:firstRow="0" w:lastRow="0" w:firstColumn="0" w:lastColumn="0" w:oddVBand="0" w:evenVBand="0" w:oddHBand="1" w:evenHBand="0" w:firstRowFirstColumn="0" w:firstRowLastColumn="0" w:lastRowFirstColumn="0" w:lastRowLastColumn="0"/>
              <w:rPr>
                <w:lang w:val="en-GB"/>
              </w:rPr>
            </w:pPr>
            <w:r w:rsidRPr="008F3447">
              <w:rPr>
                <w:lang w:val="en-GB"/>
              </w:rPr>
              <w:t>Conventional fuel retail via Jio-bp stations</w:t>
            </w:r>
          </w:p>
        </w:tc>
        <w:tc>
          <w:tcPr>
            <w:tcW w:w="0" w:type="auto"/>
            <w:hideMark/>
          </w:tcPr>
          <w:p w14:paraId="2EC5EF97" w14:textId="77777777" w:rsidR="008F3447" w:rsidRPr="008F3447" w:rsidRDefault="008F3447" w:rsidP="008F3447">
            <w:pPr>
              <w:spacing w:after="120" w:line="264" w:lineRule="auto"/>
              <w:cnfStyle w:val="000000100000" w:firstRow="0" w:lastRow="0" w:firstColumn="0" w:lastColumn="0" w:oddVBand="0" w:evenVBand="0" w:oddHBand="1" w:evenHBand="0" w:firstRowFirstColumn="0" w:firstRowLastColumn="0" w:lastRowFirstColumn="0" w:lastRowLastColumn="0"/>
              <w:rPr>
                <w:lang w:val="en-GB"/>
              </w:rPr>
            </w:pPr>
            <w:r w:rsidRPr="008F3447">
              <w:rPr>
                <w:lang w:val="en-GB"/>
              </w:rPr>
              <w:t>Medium</w:t>
            </w:r>
          </w:p>
        </w:tc>
        <w:tc>
          <w:tcPr>
            <w:tcW w:w="0" w:type="auto"/>
            <w:hideMark/>
          </w:tcPr>
          <w:p w14:paraId="7A854E84" w14:textId="77777777" w:rsidR="008F3447" w:rsidRPr="008F3447" w:rsidRDefault="008F3447" w:rsidP="008F3447">
            <w:pPr>
              <w:spacing w:after="120" w:line="264" w:lineRule="auto"/>
              <w:cnfStyle w:val="000000100000" w:firstRow="0" w:lastRow="0" w:firstColumn="0" w:lastColumn="0" w:oddVBand="0" w:evenVBand="0" w:oddHBand="1" w:evenHBand="0" w:firstRowFirstColumn="0" w:firstRowLastColumn="0" w:lastRowFirstColumn="0" w:lastRowLastColumn="0"/>
              <w:rPr>
                <w:lang w:val="en-GB"/>
              </w:rPr>
            </w:pPr>
            <w:r w:rsidRPr="008F3447">
              <w:rPr>
                <w:lang w:val="en-GB"/>
              </w:rPr>
              <w:t>High</w:t>
            </w:r>
          </w:p>
        </w:tc>
        <w:tc>
          <w:tcPr>
            <w:tcW w:w="0" w:type="auto"/>
            <w:hideMark/>
          </w:tcPr>
          <w:p w14:paraId="6722216A" w14:textId="77777777" w:rsidR="008F3447" w:rsidRPr="008F3447" w:rsidRDefault="008F3447" w:rsidP="008F3447">
            <w:pPr>
              <w:spacing w:after="120" w:line="264" w:lineRule="auto"/>
              <w:cnfStyle w:val="000000100000" w:firstRow="0" w:lastRow="0" w:firstColumn="0" w:lastColumn="0" w:oddVBand="0" w:evenVBand="0" w:oddHBand="1" w:evenHBand="0" w:firstRowFirstColumn="0" w:firstRowLastColumn="0" w:lastRowFirstColumn="0" w:lastRowLastColumn="0"/>
              <w:rPr>
                <w:lang w:val="en-GB"/>
              </w:rPr>
            </w:pPr>
            <w:r w:rsidRPr="008F3447">
              <w:rPr>
                <w:lang w:val="en-GB"/>
              </w:rPr>
              <w:t>Use profits to fund renewables and digital transition.</w:t>
            </w:r>
          </w:p>
        </w:tc>
      </w:tr>
      <w:tr w:rsidR="008F3447" w:rsidRPr="008F3447" w14:paraId="0CD40114" w14:textId="77777777" w:rsidTr="008F3447">
        <w:tc>
          <w:tcPr>
            <w:cnfStyle w:val="001000000000" w:firstRow="0" w:lastRow="0" w:firstColumn="1" w:lastColumn="0" w:oddVBand="0" w:evenVBand="0" w:oddHBand="0" w:evenHBand="0" w:firstRowFirstColumn="0" w:firstRowLastColumn="0" w:lastRowFirstColumn="0" w:lastRowLastColumn="0"/>
            <w:tcW w:w="0" w:type="auto"/>
            <w:hideMark/>
          </w:tcPr>
          <w:p w14:paraId="04B51055" w14:textId="77777777" w:rsidR="008F3447" w:rsidRPr="008F3447" w:rsidRDefault="008F3447" w:rsidP="008F3447">
            <w:pPr>
              <w:spacing w:after="120" w:line="264" w:lineRule="auto"/>
              <w:rPr>
                <w:lang w:val="en-GB"/>
              </w:rPr>
            </w:pPr>
            <w:r w:rsidRPr="008F3447">
              <w:rPr>
                <w:lang w:val="en-GB"/>
              </w:rPr>
              <w:t>Dogs</w:t>
            </w:r>
          </w:p>
        </w:tc>
        <w:tc>
          <w:tcPr>
            <w:tcW w:w="0" w:type="auto"/>
            <w:hideMark/>
          </w:tcPr>
          <w:p w14:paraId="3140520A" w14:textId="77777777" w:rsidR="008F3447" w:rsidRPr="008F3447" w:rsidRDefault="008F3447" w:rsidP="008F3447">
            <w:pPr>
              <w:spacing w:after="120" w:line="264" w:lineRule="auto"/>
              <w:cnfStyle w:val="000000000000" w:firstRow="0" w:lastRow="0" w:firstColumn="0" w:lastColumn="0" w:oddVBand="0" w:evenVBand="0" w:oddHBand="0" w:evenHBand="0" w:firstRowFirstColumn="0" w:firstRowLastColumn="0" w:lastRowFirstColumn="0" w:lastRowLastColumn="0"/>
              <w:rPr>
                <w:lang w:val="en-GB"/>
              </w:rPr>
            </w:pPr>
            <w:r w:rsidRPr="008F3447">
              <w:rPr>
                <w:lang w:val="en-GB"/>
              </w:rPr>
              <w:t>Legacy hydrocarbon operations</w:t>
            </w:r>
          </w:p>
        </w:tc>
        <w:tc>
          <w:tcPr>
            <w:tcW w:w="0" w:type="auto"/>
            <w:hideMark/>
          </w:tcPr>
          <w:p w14:paraId="0B981637" w14:textId="77777777" w:rsidR="008F3447" w:rsidRPr="008F3447" w:rsidRDefault="008F3447" w:rsidP="008F3447">
            <w:pPr>
              <w:spacing w:after="120" w:line="264" w:lineRule="auto"/>
              <w:cnfStyle w:val="000000000000" w:firstRow="0" w:lastRow="0" w:firstColumn="0" w:lastColumn="0" w:oddVBand="0" w:evenVBand="0" w:oddHBand="0" w:evenHBand="0" w:firstRowFirstColumn="0" w:firstRowLastColumn="0" w:lastRowFirstColumn="0" w:lastRowLastColumn="0"/>
              <w:rPr>
                <w:lang w:val="en-GB"/>
              </w:rPr>
            </w:pPr>
            <w:r w:rsidRPr="008F3447">
              <w:rPr>
                <w:lang w:val="en-GB"/>
              </w:rPr>
              <w:t>Low</w:t>
            </w:r>
          </w:p>
        </w:tc>
        <w:tc>
          <w:tcPr>
            <w:tcW w:w="0" w:type="auto"/>
            <w:hideMark/>
          </w:tcPr>
          <w:p w14:paraId="6498E185" w14:textId="77777777" w:rsidR="008F3447" w:rsidRPr="008F3447" w:rsidRDefault="008F3447" w:rsidP="008F3447">
            <w:pPr>
              <w:spacing w:after="120" w:line="264" w:lineRule="auto"/>
              <w:cnfStyle w:val="000000000000" w:firstRow="0" w:lastRow="0" w:firstColumn="0" w:lastColumn="0" w:oddVBand="0" w:evenVBand="0" w:oddHBand="0" w:evenHBand="0" w:firstRowFirstColumn="0" w:firstRowLastColumn="0" w:lastRowFirstColumn="0" w:lastRowLastColumn="0"/>
              <w:rPr>
                <w:lang w:val="en-GB"/>
              </w:rPr>
            </w:pPr>
            <w:r w:rsidRPr="008F3447">
              <w:rPr>
                <w:lang w:val="en-GB"/>
              </w:rPr>
              <w:t>Low</w:t>
            </w:r>
          </w:p>
        </w:tc>
        <w:tc>
          <w:tcPr>
            <w:tcW w:w="0" w:type="auto"/>
            <w:hideMark/>
          </w:tcPr>
          <w:p w14:paraId="5810853B" w14:textId="77777777" w:rsidR="008F3447" w:rsidRPr="008F3447" w:rsidRDefault="008F3447" w:rsidP="008F3447">
            <w:pPr>
              <w:spacing w:after="120" w:line="264" w:lineRule="auto"/>
              <w:cnfStyle w:val="000000000000" w:firstRow="0" w:lastRow="0" w:firstColumn="0" w:lastColumn="0" w:oddVBand="0" w:evenVBand="0" w:oddHBand="0" w:evenHBand="0" w:firstRowFirstColumn="0" w:firstRowLastColumn="0" w:lastRowFirstColumn="0" w:lastRowLastColumn="0"/>
              <w:rPr>
                <w:lang w:val="en-GB"/>
              </w:rPr>
            </w:pPr>
            <w:r w:rsidRPr="008F3447">
              <w:rPr>
                <w:lang w:val="en-GB"/>
              </w:rPr>
              <w:t>Gradually divest or repurpose into low-carbon projects.</w:t>
            </w:r>
          </w:p>
        </w:tc>
      </w:tr>
    </w:tbl>
    <w:p w14:paraId="56BD099F" w14:textId="30F39E03" w:rsidR="00E514D8" w:rsidRPr="00C75DAD" w:rsidRDefault="00C16B38" w:rsidP="000D5B6D">
      <w:pPr>
        <w:rPr>
          <w:sz w:val="20"/>
          <w:szCs w:val="20"/>
        </w:rPr>
      </w:pPr>
      <w:r w:rsidRPr="00C75DAD">
        <w:rPr>
          <w:sz w:val="20"/>
          <w:szCs w:val="20"/>
        </w:rPr>
        <w:lastRenderedPageBreak/>
        <w:t xml:space="preserve">Source: Adapted from Boston Consulting Group (Henderson, 1970); BP Annual Report (2024); IEA </w:t>
      </w:r>
      <w:r w:rsidRPr="00C75DAD">
        <w:rPr>
          <w:i/>
          <w:iCs/>
          <w:sz w:val="20"/>
          <w:szCs w:val="20"/>
        </w:rPr>
        <w:t>India Energy Outlook</w:t>
      </w:r>
      <w:r w:rsidRPr="00C75DAD">
        <w:rPr>
          <w:sz w:val="20"/>
          <w:szCs w:val="20"/>
        </w:rPr>
        <w:t xml:space="preserve"> (2023); and author’s analysis.</w:t>
      </w:r>
    </w:p>
    <w:p w14:paraId="5AF5E840" w14:textId="77777777" w:rsidR="00592B97" w:rsidRDefault="00592B97" w:rsidP="00592B97">
      <w:r>
        <w:t>The BCG analysis indicates that BP should prioritise Stars (renewables, EVs) for accelerated investment and transform promising Question Marks (hydrogen, digital energy) into future growth engines. Meanwhile, profits from Cash Cows can finance these new ventures, while Dogs should be strategically divested or converted into low-carbon operations.</w:t>
      </w:r>
    </w:p>
    <w:p w14:paraId="5732EF33" w14:textId="77777777" w:rsidR="00592B97" w:rsidRDefault="00592B97" w:rsidP="00592B97">
      <w:r>
        <w:t>Integrating the BCG Matrix with the SAF and Balanced Scorecard frameworks strengthens BP’s resource allocation logic, ensuring that capital investment aligns with both financial performance and sustainability objectives.</w:t>
      </w:r>
    </w:p>
    <w:p w14:paraId="43620150" w14:textId="5DAEA075" w:rsidR="00005993" w:rsidRDefault="00592B97" w:rsidP="00592B97">
      <w:r>
        <w:t>This analysis further reinforces the dual-focus strategy recommended earlier — expanding renewable capacity and digital mobility platforms — by demonstrating how BP can achieve both profitability and strategic balance within its Indian portfolio.</w:t>
      </w:r>
    </w:p>
    <w:p w14:paraId="24057E14" w14:textId="35836EA7" w:rsidR="00F11A63" w:rsidRDefault="00F11A63" w:rsidP="00F11A63">
      <w:pPr>
        <w:pStyle w:val="Heading2"/>
      </w:pPr>
      <w:bookmarkStart w:id="21" w:name="_Toc215236122"/>
      <w:r w:rsidRPr="00F11A63">
        <w:t>4.</w:t>
      </w:r>
      <w:r w:rsidR="002468D5">
        <w:t>3</w:t>
      </w:r>
      <w:r w:rsidRPr="00F11A63">
        <w:t xml:space="preserve"> Implementation Roadmap and Change Management</w:t>
      </w:r>
      <w:bookmarkEnd w:id="21"/>
    </w:p>
    <w:p w14:paraId="0570BB91" w14:textId="77777777" w:rsidR="00F11A63" w:rsidRDefault="00F11A63" w:rsidP="00F11A63"/>
    <w:p w14:paraId="5C83E143" w14:textId="74ACCB70" w:rsidR="00325C06" w:rsidRDefault="00325C06" w:rsidP="00325C06">
      <w:r w:rsidRPr="00DD3CAE">
        <w:rPr>
          <w:lang w:val="en-GB"/>
        </w:rPr>
        <w:t>Figure 4</w:t>
      </w:r>
      <w:r>
        <w:rPr>
          <w:lang w:val="en-GB"/>
        </w:rPr>
        <w:t xml:space="preserve">. </w:t>
      </w:r>
      <w:r>
        <w:t>S</w:t>
      </w:r>
      <w:r w:rsidRPr="00681E76">
        <w:t>trategic Performance Dimensions of BP’s Expansion Plan in India</w:t>
      </w:r>
    </w:p>
    <w:p w14:paraId="6787812E" w14:textId="77777777" w:rsidR="001B6A56" w:rsidRDefault="001B6A56" w:rsidP="00325C06"/>
    <w:p w14:paraId="38D20AC3" w14:textId="6CF3A3F8" w:rsidR="006F3D79" w:rsidRDefault="006F3D79" w:rsidP="00325C06">
      <w:r>
        <w:rPr>
          <w:noProof/>
          <w:lang w:val="en-GB"/>
        </w:rPr>
        <w:drawing>
          <wp:inline distT="0" distB="0" distL="0" distR="0" wp14:anchorId="59E645B9" wp14:editId="04ED55F3">
            <wp:extent cx="5486400" cy="3670935"/>
            <wp:effectExtent l="0" t="0" r="0" b="5715"/>
            <wp:docPr id="962306735" name="Picture 1" descr="A diagram of a company's strate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2306735" name="Picture 1" descr="A diagram of a company's strategy"/>
                    <pic:cNvPicPr/>
                  </pic:nvPicPr>
                  <pic:blipFill>
                    <a:blip r:embed="rId26"/>
                    <a:stretch>
                      <a:fillRect/>
                    </a:stretch>
                  </pic:blipFill>
                  <pic:spPr>
                    <a:xfrm>
                      <a:off x="0" y="0"/>
                      <a:ext cx="5486400" cy="3670935"/>
                    </a:xfrm>
                    <a:prstGeom prst="rect">
                      <a:avLst/>
                    </a:prstGeom>
                  </pic:spPr>
                </pic:pic>
              </a:graphicData>
            </a:graphic>
          </wp:inline>
        </w:drawing>
      </w:r>
    </w:p>
    <w:p w14:paraId="6D536E96" w14:textId="77777777" w:rsidR="006F3D79" w:rsidRDefault="006F3D79" w:rsidP="00DD3CAE">
      <w:pPr>
        <w:rPr>
          <w:lang w:val="en-GB"/>
        </w:rPr>
      </w:pPr>
    </w:p>
    <w:p w14:paraId="13515F3F" w14:textId="77777777" w:rsidR="00463D32" w:rsidRDefault="00463D32" w:rsidP="00DD3CAE">
      <w:pPr>
        <w:rPr>
          <w:lang w:val="en-GB"/>
        </w:rPr>
      </w:pPr>
    </w:p>
    <w:p w14:paraId="70E648F0" w14:textId="77777777" w:rsidR="00463D32" w:rsidRPr="00463D32" w:rsidRDefault="00463D32" w:rsidP="00463D32">
      <w:pPr>
        <w:rPr>
          <w:lang w:val="en-GB"/>
        </w:rPr>
      </w:pPr>
      <w:r w:rsidRPr="00463D32">
        <w:rPr>
          <w:lang w:val="en-GB"/>
        </w:rPr>
        <w:lastRenderedPageBreak/>
        <w:t>Successful execution of the strategic options (Renewable Energy Expansion and Digital Transformation in Smart Mobility) requires a rigorous and adaptive implementation roadmap that reflects the complexities of the Indian market. BP’s success in India will depend on its ability to combine global expertise with local collaboration, ensuring agility in a fast-changing policy environment.</w:t>
      </w:r>
    </w:p>
    <w:p w14:paraId="4D8902FE" w14:textId="77777777" w:rsidR="00463D32" w:rsidRPr="00272BD7" w:rsidRDefault="00463D32" w:rsidP="00463D32">
      <w:pPr>
        <w:rPr>
          <w:lang w:val="en-GB"/>
        </w:rPr>
      </w:pPr>
      <w:r w:rsidRPr="00272BD7">
        <w:rPr>
          <w:lang w:val="en-GB"/>
        </w:rPr>
        <w:t>Phased Investment and Market Prioritisation</w:t>
      </w:r>
    </w:p>
    <w:p w14:paraId="1C44A204" w14:textId="77777777" w:rsidR="00463D32" w:rsidRPr="00463D32" w:rsidRDefault="00463D32" w:rsidP="00463D32">
      <w:pPr>
        <w:rPr>
          <w:lang w:val="en-GB"/>
        </w:rPr>
      </w:pPr>
      <w:r w:rsidRPr="00463D32">
        <w:rPr>
          <w:lang w:val="en-GB"/>
        </w:rPr>
        <w:t>Execution must follow a phased investment approach to mitigate capital risk. BP should prioritise regions demonstrating mature Electric Vehicle (EV) demand and favourable infrastructure readiness, such as Maharashtra and Karnataka (World Bank, 2024).</w:t>
      </w:r>
    </w:p>
    <w:p w14:paraId="100841D5" w14:textId="77777777" w:rsidR="00463D32" w:rsidRPr="00463D32" w:rsidRDefault="00463D32" w:rsidP="00463D32">
      <w:pPr>
        <w:rPr>
          <w:lang w:val="en-GB"/>
        </w:rPr>
      </w:pPr>
      <w:r w:rsidRPr="00463D32">
        <w:rPr>
          <w:lang w:val="en-GB"/>
        </w:rPr>
        <w:t>The initial phase must focus on leveraging the Jio-bp digital retail ecosystem. This partnership is crucial for execution, enabling BP to rapidly scale energy-as-a-service solutions and collect real-time user data to optimise pricing and energy load management. This localising of the integrated energy model, while embedding global Environmental, Social, and Governance (ESG) standards, will define the company’s competitive edge. The Green Hydrogen initiative, while strategic, should be developed through phased investment supported by governmental and industrial partnerships.</w:t>
      </w:r>
    </w:p>
    <w:p w14:paraId="27D23BB5" w14:textId="77777777" w:rsidR="00463D32" w:rsidRPr="00272BD7" w:rsidRDefault="00463D32" w:rsidP="00463D32">
      <w:pPr>
        <w:rPr>
          <w:lang w:val="en-GB"/>
        </w:rPr>
      </w:pPr>
      <w:r w:rsidRPr="00272BD7">
        <w:rPr>
          <w:lang w:val="en-GB"/>
        </w:rPr>
        <w:t>Risk Management and Organisational Alignment</w:t>
      </w:r>
    </w:p>
    <w:p w14:paraId="4749527D" w14:textId="77777777" w:rsidR="00463D32" w:rsidRPr="00463D32" w:rsidRDefault="00463D32" w:rsidP="00463D32">
      <w:pPr>
        <w:rPr>
          <w:lang w:val="en-GB"/>
        </w:rPr>
      </w:pPr>
      <w:r w:rsidRPr="00463D32">
        <w:rPr>
          <w:lang w:val="en-GB"/>
        </w:rPr>
        <w:t>BP must institutionalise robust risk management mechanisms, particularly related to fluctuating policy incentives, complex land acquisition challenges, and technology obsolescence (IEA, 2023). External analysis showed that despite the opportunities, the market remains highly competitive, necessitating a coordinated organisational response.</w:t>
      </w:r>
    </w:p>
    <w:p w14:paraId="62EE670A" w14:textId="77777777" w:rsidR="00463D32" w:rsidRPr="00463D32" w:rsidRDefault="00463D32" w:rsidP="00463D32">
      <w:pPr>
        <w:rPr>
          <w:lang w:val="en-GB"/>
        </w:rPr>
      </w:pPr>
      <w:r w:rsidRPr="00463D32">
        <w:rPr>
          <w:lang w:val="en-GB"/>
        </w:rPr>
        <w:t>A dedicated India Strategy Office is recommended to coordinate between operations, compliance, and innovation streams to ensure consistent delivery. This office should specifically monitor local regulatory and cultural dynamics, ensuring BP continues to innovate and adapt. The internal analysis (VRIO) confirmed that BP possesses distinctive capabilities (brand, finance, partnerships) that must be strategically leveraged during this implementation phase.</w:t>
      </w:r>
    </w:p>
    <w:p w14:paraId="6EF3DE78" w14:textId="77777777" w:rsidR="00463D32" w:rsidRPr="00272BD7" w:rsidRDefault="00463D32" w:rsidP="00463D32">
      <w:pPr>
        <w:rPr>
          <w:lang w:val="en-GB"/>
        </w:rPr>
      </w:pPr>
      <w:r w:rsidRPr="00272BD7">
        <w:rPr>
          <w:lang w:val="en-GB"/>
        </w:rPr>
        <w:t>Human Capital and Change Culture</w:t>
      </w:r>
    </w:p>
    <w:p w14:paraId="1CAA9AC1" w14:textId="77777777" w:rsidR="00463D32" w:rsidRPr="00463D32" w:rsidRDefault="00463D32" w:rsidP="00463D32">
      <w:pPr>
        <w:rPr>
          <w:lang w:val="en-GB"/>
        </w:rPr>
      </w:pPr>
      <w:r w:rsidRPr="00463D32">
        <w:rPr>
          <w:lang w:val="en-GB"/>
        </w:rPr>
        <w:t>The transition from a traditional oil major to an “integrated energy company” requires significant human capital development. The internal focus must shift to embedding a learning culture to sustain competitive advantage in emerging markets (BP, 2025).</w:t>
      </w:r>
    </w:p>
    <w:p w14:paraId="57FFAD03" w14:textId="77777777" w:rsidR="00463D32" w:rsidRPr="00463D32" w:rsidRDefault="00463D32" w:rsidP="00463D32">
      <w:pPr>
        <w:rPr>
          <w:lang w:val="en-GB"/>
        </w:rPr>
      </w:pPr>
      <w:r w:rsidRPr="00463D32">
        <w:rPr>
          <w:lang w:val="en-GB"/>
        </w:rPr>
        <w:t xml:space="preserve">India's renewable sector is projected to require over 1 million trained workers by 2030, opening opportunities for BP to invest strategically. BP must invest in clean-tech education, joint R&amp;D centres, and skills partnerships with local </w:t>
      </w:r>
      <w:r w:rsidRPr="00463D32">
        <w:rPr>
          <w:lang w:val="en-GB"/>
        </w:rPr>
        <w:lastRenderedPageBreak/>
        <w:t>institutions (IEA, 2023). Ongoing collaboration with state agencies, universities, and start-ups can enhance adaptability and innovation.</w:t>
      </w:r>
    </w:p>
    <w:p w14:paraId="069D3033" w14:textId="77777777" w:rsidR="00463D32" w:rsidRPr="00463D32" w:rsidRDefault="00463D32" w:rsidP="00463D32">
      <w:pPr>
        <w:rPr>
          <w:lang w:val="en-GB"/>
        </w:rPr>
      </w:pPr>
      <w:r w:rsidRPr="00463D32">
        <w:rPr>
          <w:lang w:val="en-GB"/>
        </w:rPr>
        <w:t>By embedding sustainability, digital innovation, and inclusive growth within its operations, BP can contribute meaningfully to India’s clean energy transformation, reflecting its vision of “reimagining energy for people and the planet.”</w:t>
      </w:r>
    </w:p>
    <w:p w14:paraId="5A452F4D" w14:textId="77777777" w:rsidR="00463D32" w:rsidRDefault="00463D32" w:rsidP="00DD3CAE">
      <w:pPr>
        <w:rPr>
          <w:lang w:val="en-GB"/>
        </w:rPr>
      </w:pPr>
    </w:p>
    <w:p w14:paraId="1652958C" w14:textId="77777777" w:rsidR="00463D32" w:rsidRDefault="00463D32" w:rsidP="00DD3CAE">
      <w:pPr>
        <w:rPr>
          <w:lang w:val="en-GB"/>
        </w:rPr>
      </w:pPr>
    </w:p>
    <w:p w14:paraId="1EC8AD04" w14:textId="77777777" w:rsidR="00463D32" w:rsidRDefault="00463D32" w:rsidP="00DD3CAE">
      <w:pPr>
        <w:rPr>
          <w:lang w:val="en-GB"/>
        </w:rPr>
      </w:pPr>
    </w:p>
    <w:p w14:paraId="476525C8" w14:textId="77777777" w:rsidR="00463D32" w:rsidRDefault="00463D32" w:rsidP="00DD3CAE">
      <w:pPr>
        <w:rPr>
          <w:lang w:val="en-GB"/>
        </w:rPr>
      </w:pPr>
    </w:p>
    <w:p w14:paraId="3BEC07D3" w14:textId="77777777" w:rsidR="00463D32" w:rsidRDefault="00463D32" w:rsidP="00DD3CAE">
      <w:pPr>
        <w:rPr>
          <w:lang w:val="en-GB"/>
        </w:rPr>
      </w:pPr>
    </w:p>
    <w:p w14:paraId="5AB51B35" w14:textId="77777777" w:rsidR="00463D32" w:rsidRDefault="00463D32" w:rsidP="00DD3CAE">
      <w:pPr>
        <w:rPr>
          <w:lang w:val="en-GB"/>
        </w:rPr>
      </w:pPr>
    </w:p>
    <w:p w14:paraId="181F37E1" w14:textId="77777777" w:rsidR="00463D32" w:rsidRDefault="00463D32" w:rsidP="00DD3CAE">
      <w:pPr>
        <w:rPr>
          <w:lang w:val="en-GB"/>
        </w:rPr>
      </w:pPr>
    </w:p>
    <w:p w14:paraId="5BFCF387" w14:textId="77777777" w:rsidR="00463D32" w:rsidRDefault="00463D32" w:rsidP="00DD3CAE">
      <w:pPr>
        <w:rPr>
          <w:lang w:val="en-GB"/>
        </w:rPr>
      </w:pPr>
    </w:p>
    <w:p w14:paraId="791BFCF3" w14:textId="77777777" w:rsidR="00463D32" w:rsidRDefault="00463D32" w:rsidP="00DD3CAE">
      <w:pPr>
        <w:rPr>
          <w:lang w:val="en-GB"/>
        </w:rPr>
      </w:pPr>
    </w:p>
    <w:p w14:paraId="64D057D2" w14:textId="77777777" w:rsidR="00463D32" w:rsidRDefault="00463D32" w:rsidP="00DD3CAE">
      <w:pPr>
        <w:rPr>
          <w:lang w:val="en-GB"/>
        </w:rPr>
      </w:pPr>
    </w:p>
    <w:p w14:paraId="330E6D0B" w14:textId="77777777" w:rsidR="00463D32" w:rsidRDefault="00463D32" w:rsidP="00DD3CAE">
      <w:pPr>
        <w:rPr>
          <w:lang w:val="en-GB"/>
        </w:rPr>
      </w:pPr>
    </w:p>
    <w:p w14:paraId="1E81A426" w14:textId="77777777" w:rsidR="00463D32" w:rsidRDefault="00463D32" w:rsidP="00DD3CAE">
      <w:pPr>
        <w:rPr>
          <w:lang w:val="en-GB"/>
        </w:rPr>
      </w:pPr>
    </w:p>
    <w:p w14:paraId="440B8658" w14:textId="77777777" w:rsidR="00463D32" w:rsidRDefault="00463D32" w:rsidP="00DD3CAE">
      <w:pPr>
        <w:rPr>
          <w:lang w:val="en-GB"/>
        </w:rPr>
      </w:pPr>
    </w:p>
    <w:p w14:paraId="66FD9B9C" w14:textId="77777777" w:rsidR="00463D32" w:rsidRDefault="00463D32" w:rsidP="00DD3CAE">
      <w:pPr>
        <w:rPr>
          <w:lang w:val="en-GB"/>
        </w:rPr>
      </w:pPr>
    </w:p>
    <w:p w14:paraId="59B3FDDA" w14:textId="77777777" w:rsidR="00463D32" w:rsidRDefault="00463D32" w:rsidP="00DD3CAE">
      <w:pPr>
        <w:rPr>
          <w:lang w:val="en-GB"/>
        </w:rPr>
      </w:pPr>
    </w:p>
    <w:p w14:paraId="3CC4A14C" w14:textId="77777777" w:rsidR="00463D32" w:rsidRDefault="00463D32" w:rsidP="00DD3CAE">
      <w:pPr>
        <w:rPr>
          <w:lang w:val="en-GB"/>
        </w:rPr>
      </w:pPr>
    </w:p>
    <w:p w14:paraId="1519799D" w14:textId="77777777" w:rsidR="00463D32" w:rsidRDefault="00463D32" w:rsidP="00DD3CAE">
      <w:pPr>
        <w:rPr>
          <w:lang w:val="en-GB"/>
        </w:rPr>
      </w:pPr>
    </w:p>
    <w:p w14:paraId="3224A6CC" w14:textId="77777777" w:rsidR="00463D32" w:rsidRDefault="00463D32" w:rsidP="00DD3CAE">
      <w:pPr>
        <w:rPr>
          <w:lang w:val="en-GB"/>
        </w:rPr>
      </w:pPr>
    </w:p>
    <w:p w14:paraId="70578D2F" w14:textId="77777777" w:rsidR="00463D32" w:rsidRDefault="00463D32" w:rsidP="00DD3CAE">
      <w:pPr>
        <w:rPr>
          <w:lang w:val="en-GB"/>
        </w:rPr>
      </w:pPr>
    </w:p>
    <w:p w14:paraId="33B1E660" w14:textId="77777777" w:rsidR="00463D32" w:rsidRDefault="00463D32" w:rsidP="00DD3CAE">
      <w:pPr>
        <w:rPr>
          <w:lang w:val="en-GB"/>
        </w:rPr>
      </w:pPr>
    </w:p>
    <w:p w14:paraId="00C8E6E5" w14:textId="77777777" w:rsidR="00463D32" w:rsidRDefault="00463D32" w:rsidP="00DD3CAE">
      <w:pPr>
        <w:rPr>
          <w:lang w:val="en-GB"/>
        </w:rPr>
      </w:pPr>
    </w:p>
    <w:p w14:paraId="1EBFA6AF" w14:textId="77777777" w:rsidR="00463D32" w:rsidRDefault="00463D32" w:rsidP="00DD3CAE">
      <w:pPr>
        <w:rPr>
          <w:lang w:val="en-GB"/>
        </w:rPr>
      </w:pPr>
    </w:p>
    <w:p w14:paraId="6C27042B" w14:textId="77777777" w:rsidR="00463D32" w:rsidRDefault="00463D32" w:rsidP="00DD3CAE">
      <w:pPr>
        <w:rPr>
          <w:lang w:val="en-GB"/>
        </w:rPr>
      </w:pPr>
    </w:p>
    <w:p w14:paraId="72DD87C9" w14:textId="77777777" w:rsidR="00463D32" w:rsidRDefault="00463D32" w:rsidP="00DD3CAE">
      <w:pPr>
        <w:rPr>
          <w:lang w:val="en-GB"/>
        </w:rPr>
      </w:pPr>
    </w:p>
    <w:p w14:paraId="5A2AAE27" w14:textId="77777777" w:rsidR="001C45DD" w:rsidRPr="001C45DD" w:rsidRDefault="001C45DD" w:rsidP="001C45DD">
      <w:pPr>
        <w:pStyle w:val="Heading1"/>
        <w:rPr>
          <w:lang w:val="en-GB"/>
        </w:rPr>
      </w:pPr>
      <w:bookmarkStart w:id="22" w:name="_Toc215236123"/>
      <w:r w:rsidRPr="001C45DD">
        <w:rPr>
          <w:lang w:val="en-GB"/>
        </w:rPr>
        <w:lastRenderedPageBreak/>
        <w:t>5. Conclusion and Strategic Outlook</w:t>
      </w:r>
      <w:bookmarkEnd w:id="22"/>
    </w:p>
    <w:p w14:paraId="3267E742" w14:textId="77777777" w:rsidR="001C45DD" w:rsidRPr="001C45DD" w:rsidRDefault="001C45DD" w:rsidP="001C45DD">
      <w:pPr>
        <w:rPr>
          <w:lang w:val="en-GB"/>
        </w:rPr>
      </w:pPr>
    </w:p>
    <w:p w14:paraId="571FA7B1" w14:textId="77777777" w:rsidR="001C45DD" w:rsidRPr="001C45DD" w:rsidRDefault="001C45DD" w:rsidP="001C45DD">
      <w:pPr>
        <w:rPr>
          <w:lang w:val="en-GB"/>
        </w:rPr>
      </w:pPr>
      <w:r w:rsidRPr="001C45DD">
        <w:rPr>
          <w:lang w:val="en-GB"/>
        </w:rPr>
        <w:t>BP’s strategic evaluation for entry and expansion in the Indian energy market demonstrates a strong alignment between its global transformation objectives and India’s national energy transition agenda. The external analysis (PESTLE and Porter) revealed that India offers substantial long-term opportunities due to its rapidly growing economy, supportive renewable policies, and technological advancement. However, the market remains highly competitive, with strong domestic players such as Adani Green and Tata Power, and global rivals including Shell and TotalEnergies.</w:t>
      </w:r>
    </w:p>
    <w:p w14:paraId="74710D89" w14:textId="77777777" w:rsidR="001C45DD" w:rsidRPr="001C45DD" w:rsidRDefault="001C45DD" w:rsidP="001C45DD">
      <w:pPr>
        <w:rPr>
          <w:lang w:val="en-GB"/>
        </w:rPr>
      </w:pPr>
    </w:p>
    <w:p w14:paraId="3021319D" w14:textId="77777777" w:rsidR="001C45DD" w:rsidRPr="001C45DD" w:rsidRDefault="001C45DD" w:rsidP="001C45DD">
      <w:pPr>
        <w:rPr>
          <w:lang w:val="en-GB"/>
        </w:rPr>
      </w:pPr>
      <w:r w:rsidRPr="001C45DD">
        <w:rPr>
          <w:lang w:val="en-GB"/>
        </w:rPr>
        <w:t>The internal analysis (VRIO) confirmed that BP possesses distinctive capabilities in brand reputation, financial capacity, partnerships, and technological expertise. These strengths enable BP to pursue a sustainable growth strategy, provided it continues to innovate and adapt to the local market’s regulatory and cultural dynamics.</w:t>
      </w:r>
    </w:p>
    <w:p w14:paraId="04791CCB" w14:textId="77777777" w:rsidR="001C45DD" w:rsidRPr="001C45DD" w:rsidRDefault="001C45DD" w:rsidP="001C45DD">
      <w:pPr>
        <w:rPr>
          <w:lang w:val="en-GB"/>
        </w:rPr>
      </w:pPr>
    </w:p>
    <w:p w14:paraId="35525989" w14:textId="77777777" w:rsidR="001C45DD" w:rsidRPr="001C45DD" w:rsidRDefault="001C45DD" w:rsidP="001C45DD">
      <w:pPr>
        <w:rPr>
          <w:lang w:val="en-GB"/>
        </w:rPr>
      </w:pPr>
      <w:r w:rsidRPr="001C45DD">
        <w:rPr>
          <w:lang w:val="en-GB"/>
        </w:rPr>
        <w:t>The evaluation of strategic options using the SAF framework identified Renewable Energy Expansion and Digital Transformation in Smart Mobility as the most suitable and feasible directions for BP. These strategies align directly with BP’s global net-zero mission, enhance customer engagement, and contribute to India’s green growth objectives. The Green Hydrogen initiative, while promising, should be developed through phased investment supported by governmental and industrial partnerships.</w:t>
      </w:r>
    </w:p>
    <w:p w14:paraId="3341A2AE" w14:textId="77777777" w:rsidR="001C45DD" w:rsidRPr="001C45DD" w:rsidRDefault="001C45DD" w:rsidP="001C45DD">
      <w:pPr>
        <w:rPr>
          <w:lang w:val="en-GB"/>
        </w:rPr>
      </w:pPr>
    </w:p>
    <w:p w14:paraId="5F0A2C5D" w14:textId="780AB2BE" w:rsidR="00C5159D" w:rsidRDefault="001C45DD" w:rsidP="001C45DD">
      <w:pPr>
        <w:rPr>
          <w:lang w:val="en-GB"/>
        </w:rPr>
      </w:pPr>
      <w:r w:rsidRPr="001C45DD">
        <w:rPr>
          <w:lang w:val="en-GB"/>
        </w:rPr>
        <w:t>Looking forward, BP’s success in India will depend on its ability to combine global expertise with local collaboration, ensuring agility in a fast-changing policy environment. By embedding sustainability, digital innovation, and inclusive growth within its operations, BP can not only strengthen its competitive position but also contribute meaningfully to India’s clean energy transformation. This strategic alignment reflects BP’s broader vision of “reimagining energy for people and the planet”—transforming both corporate performance and societal impact.</w:t>
      </w:r>
    </w:p>
    <w:p w14:paraId="3236A0D9" w14:textId="77777777" w:rsidR="001C45DD" w:rsidRDefault="001C45DD" w:rsidP="001C45DD">
      <w:pPr>
        <w:rPr>
          <w:lang w:val="en-GB"/>
        </w:rPr>
      </w:pPr>
    </w:p>
    <w:p w14:paraId="3AADA417" w14:textId="77777777" w:rsidR="004B4479" w:rsidRPr="004B4479" w:rsidRDefault="004B4479" w:rsidP="004B4479">
      <w:pPr>
        <w:rPr>
          <w:lang w:val="en-GB"/>
        </w:rPr>
      </w:pPr>
      <w:r w:rsidRPr="004B4479">
        <w:rPr>
          <w:lang w:val="en-GB"/>
        </w:rPr>
        <w:t xml:space="preserve">In addition to the recommended strategy, BP should adopt a phased investment approach, prioritising regions with mature EV demand and favourable infrastructure readiness, such as Maharashtra and Karnataka (World Bank, 2024). By leveraging Jio-bp’s digital retail ecosystem, BP can rapidly scale </w:t>
      </w:r>
      <w:r w:rsidRPr="004B4479">
        <w:rPr>
          <w:lang w:val="en-GB"/>
        </w:rPr>
        <w:lastRenderedPageBreak/>
        <w:t>energy-as-a-service solutions and collect real-time user data to optimise pricing and energy load management.</w:t>
      </w:r>
    </w:p>
    <w:p w14:paraId="327CE5E4" w14:textId="77777777" w:rsidR="004B4479" w:rsidRPr="004B4479" w:rsidRDefault="004B4479" w:rsidP="004B4479">
      <w:pPr>
        <w:rPr>
          <w:lang w:val="en-GB"/>
        </w:rPr>
      </w:pPr>
    </w:p>
    <w:p w14:paraId="7C8C2601" w14:textId="77777777" w:rsidR="004B4479" w:rsidRPr="004B4479" w:rsidRDefault="004B4479" w:rsidP="004B4479">
      <w:pPr>
        <w:rPr>
          <w:lang w:val="en-GB"/>
        </w:rPr>
      </w:pPr>
      <w:r w:rsidRPr="004B4479">
        <w:rPr>
          <w:lang w:val="en-GB"/>
        </w:rPr>
        <w:t>Furthermore, BP should institutionalise risk management mechanisms, particularly related to fluctuating policy incentives, land acquisition challenges, and technology obsolescence (IEA, 2023). A dedicated India Strategy Office could coordinate between operations, compliance, and innovation streams to ensure consistent delivery.</w:t>
      </w:r>
    </w:p>
    <w:p w14:paraId="279AEDD3" w14:textId="77777777" w:rsidR="004B4479" w:rsidRPr="004B4479" w:rsidRDefault="004B4479" w:rsidP="004B4479">
      <w:pPr>
        <w:rPr>
          <w:lang w:val="en-GB"/>
        </w:rPr>
      </w:pPr>
    </w:p>
    <w:p w14:paraId="302DF032" w14:textId="7DA27C0F" w:rsidR="001B7632" w:rsidRDefault="004B4479" w:rsidP="004B4479">
      <w:pPr>
        <w:rPr>
          <w:lang w:val="en-GB"/>
        </w:rPr>
      </w:pPr>
      <w:r w:rsidRPr="004B4479">
        <w:rPr>
          <w:lang w:val="en-GB"/>
        </w:rPr>
        <w:t>Ultimately, BP’s ability to localise its integrated energy model, while embedding global ESG standards, will define its competitive edge. Ongoing collaboration with state agencies, universities, and start-ups can enhance adaptability and innovation. This approach not only supports India’s net-zero journey, but reinforces BP’s transformation into a future-ready energy company (BP, 2025).</w:t>
      </w:r>
    </w:p>
    <w:p w14:paraId="7B6B444E" w14:textId="77777777" w:rsidR="001B7632" w:rsidRDefault="001B7632" w:rsidP="001C45DD">
      <w:pPr>
        <w:rPr>
          <w:lang w:val="en-GB"/>
        </w:rPr>
      </w:pPr>
    </w:p>
    <w:p w14:paraId="742AE6CD" w14:textId="77777777" w:rsidR="004B4479" w:rsidRDefault="004B4479" w:rsidP="001C45DD">
      <w:pPr>
        <w:rPr>
          <w:lang w:val="en-GB"/>
        </w:rPr>
      </w:pPr>
    </w:p>
    <w:p w14:paraId="713CFEF5" w14:textId="77777777" w:rsidR="004B4479" w:rsidRDefault="004B4479" w:rsidP="001C45DD">
      <w:pPr>
        <w:rPr>
          <w:lang w:val="en-GB"/>
        </w:rPr>
      </w:pPr>
    </w:p>
    <w:p w14:paraId="00ABE950" w14:textId="77777777" w:rsidR="004B4479" w:rsidRDefault="004B4479" w:rsidP="001C45DD">
      <w:pPr>
        <w:rPr>
          <w:lang w:val="en-GB"/>
        </w:rPr>
      </w:pPr>
    </w:p>
    <w:p w14:paraId="3DE185A5" w14:textId="77777777" w:rsidR="004B4479" w:rsidRDefault="004B4479" w:rsidP="001C45DD">
      <w:pPr>
        <w:rPr>
          <w:lang w:val="en-GB"/>
        </w:rPr>
      </w:pPr>
    </w:p>
    <w:p w14:paraId="253E7144" w14:textId="77777777" w:rsidR="004B4479" w:rsidRDefault="004B4479" w:rsidP="001C45DD">
      <w:pPr>
        <w:rPr>
          <w:lang w:val="en-GB"/>
        </w:rPr>
      </w:pPr>
    </w:p>
    <w:p w14:paraId="19DE3C80" w14:textId="77777777" w:rsidR="004B4479" w:rsidRDefault="004B4479" w:rsidP="001C45DD">
      <w:pPr>
        <w:rPr>
          <w:lang w:val="en-GB"/>
        </w:rPr>
      </w:pPr>
    </w:p>
    <w:p w14:paraId="68CB43E6" w14:textId="77777777" w:rsidR="004B4479" w:rsidRDefault="004B4479" w:rsidP="001C45DD">
      <w:pPr>
        <w:rPr>
          <w:lang w:val="en-GB"/>
        </w:rPr>
      </w:pPr>
    </w:p>
    <w:p w14:paraId="651C85A0" w14:textId="77777777" w:rsidR="004B4479" w:rsidRDefault="004B4479" w:rsidP="001C45DD">
      <w:pPr>
        <w:rPr>
          <w:lang w:val="en-GB"/>
        </w:rPr>
      </w:pPr>
    </w:p>
    <w:p w14:paraId="2E1BE437" w14:textId="77777777" w:rsidR="004B4479" w:rsidRDefault="004B4479" w:rsidP="001C45DD">
      <w:pPr>
        <w:rPr>
          <w:lang w:val="en-GB"/>
        </w:rPr>
      </w:pPr>
    </w:p>
    <w:p w14:paraId="3AE74FC8" w14:textId="77777777" w:rsidR="004B4479" w:rsidRDefault="004B4479" w:rsidP="001C45DD">
      <w:pPr>
        <w:rPr>
          <w:lang w:val="en-GB"/>
        </w:rPr>
      </w:pPr>
    </w:p>
    <w:p w14:paraId="368BEA71" w14:textId="77777777" w:rsidR="004B4479" w:rsidRDefault="004B4479" w:rsidP="001C45DD">
      <w:pPr>
        <w:rPr>
          <w:lang w:val="en-GB"/>
        </w:rPr>
      </w:pPr>
    </w:p>
    <w:p w14:paraId="1C3606B8" w14:textId="77777777" w:rsidR="004B4479" w:rsidRDefault="004B4479" w:rsidP="001C45DD">
      <w:pPr>
        <w:rPr>
          <w:lang w:val="en-GB"/>
        </w:rPr>
      </w:pPr>
    </w:p>
    <w:p w14:paraId="2EDB7D13" w14:textId="77777777" w:rsidR="00CF1B48" w:rsidRDefault="00CF1B48" w:rsidP="001C45DD">
      <w:pPr>
        <w:rPr>
          <w:lang w:val="en-GB"/>
        </w:rPr>
      </w:pPr>
    </w:p>
    <w:p w14:paraId="59C23DE8" w14:textId="77777777" w:rsidR="00CF1B48" w:rsidRDefault="00CF1B48" w:rsidP="001C45DD">
      <w:pPr>
        <w:rPr>
          <w:lang w:val="en-GB"/>
        </w:rPr>
      </w:pPr>
    </w:p>
    <w:p w14:paraId="70BE7D89" w14:textId="77777777" w:rsidR="00CF1B48" w:rsidRDefault="00CF1B48" w:rsidP="001C45DD">
      <w:pPr>
        <w:rPr>
          <w:lang w:val="en-GB"/>
        </w:rPr>
      </w:pPr>
    </w:p>
    <w:p w14:paraId="5771FE2C" w14:textId="77777777" w:rsidR="00CF1B48" w:rsidRDefault="00CF1B48" w:rsidP="001C45DD">
      <w:pPr>
        <w:rPr>
          <w:lang w:val="en-GB"/>
        </w:rPr>
      </w:pPr>
    </w:p>
    <w:p w14:paraId="2B055D6A" w14:textId="77777777" w:rsidR="00CF1B48" w:rsidRDefault="00CF1B48" w:rsidP="001C45DD">
      <w:pPr>
        <w:rPr>
          <w:lang w:val="en-GB"/>
        </w:rPr>
      </w:pPr>
    </w:p>
    <w:p w14:paraId="5779E2B4" w14:textId="77777777" w:rsidR="00CF1B48" w:rsidRDefault="00CF1B48" w:rsidP="001C45DD">
      <w:pPr>
        <w:rPr>
          <w:lang w:val="en-GB"/>
        </w:rPr>
      </w:pPr>
    </w:p>
    <w:p w14:paraId="6E335066" w14:textId="2BA2A2DA" w:rsidR="00BB416B" w:rsidRPr="00BB416B" w:rsidRDefault="001B7632" w:rsidP="001200FF">
      <w:pPr>
        <w:pStyle w:val="Heading1"/>
        <w:rPr>
          <w:lang w:val="en-GB"/>
        </w:rPr>
      </w:pPr>
      <w:bookmarkStart w:id="23" w:name="_Toc215236124"/>
      <w:r>
        <w:rPr>
          <w:lang w:val="en-GB"/>
        </w:rPr>
        <w:lastRenderedPageBreak/>
        <w:t>6</w:t>
      </w:r>
      <w:r w:rsidR="00E3593C">
        <w:rPr>
          <w:lang w:val="en-GB"/>
        </w:rPr>
        <w:t>.</w:t>
      </w:r>
      <w:r w:rsidR="00C36664">
        <w:rPr>
          <w:lang w:val="en-GB"/>
        </w:rPr>
        <w:t xml:space="preserve"> </w:t>
      </w:r>
      <w:r w:rsidR="001200FF">
        <w:rPr>
          <w:lang w:val="en-GB"/>
        </w:rPr>
        <w:t>Reference</w:t>
      </w:r>
      <w:bookmarkEnd w:id="23"/>
      <w:r w:rsidR="001200FF">
        <w:rPr>
          <w:lang w:val="en-GB"/>
        </w:rPr>
        <w:t xml:space="preserve"> </w:t>
      </w:r>
    </w:p>
    <w:p w14:paraId="5FA86F46" w14:textId="77777777" w:rsidR="00EF2670" w:rsidRDefault="00EF2670" w:rsidP="00033608"/>
    <w:p w14:paraId="501085C6" w14:textId="77777777" w:rsidR="00033608" w:rsidRDefault="00033608" w:rsidP="00033608">
      <w:pPr>
        <w:pStyle w:val="ListParagraph"/>
        <w:numPr>
          <w:ilvl w:val="0"/>
          <w:numId w:val="13"/>
        </w:numPr>
      </w:pPr>
      <w:r>
        <w:t>Barney, J. (1991) ‘Firm resources and sustained competitive advantage’, Journal of Management, 17(1), pp. 99–120.</w:t>
      </w:r>
    </w:p>
    <w:p w14:paraId="16303676" w14:textId="77777777" w:rsidR="00033608" w:rsidRDefault="00033608" w:rsidP="00033608">
      <w:pPr>
        <w:pStyle w:val="ListParagraph"/>
        <w:numPr>
          <w:ilvl w:val="0"/>
          <w:numId w:val="13"/>
        </w:numPr>
      </w:pPr>
      <w:r>
        <w:t>BP (2023) Jio-bp: Transforming Mobility in India. BP India Official Website. Available at: https://www.bp.com/en_in/ (Accessed: 5 October 2025).</w:t>
      </w:r>
    </w:p>
    <w:p w14:paraId="47D4E5B5" w14:textId="77777777" w:rsidR="00033608" w:rsidRDefault="00033608" w:rsidP="00033608">
      <w:pPr>
        <w:pStyle w:val="ListParagraph"/>
        <w:numPr>
          <w:ilvl w:val="0"/>
          <w:numId w:val="13"/>
        </w:numPr>
      </w:pPr>
      <w:r>
        <w:t>BP (2024) BP Annual Report and Form 20-F 2024: Reimagining Energy. London: BP plc. Available at: https://www.bp.com/ (Accessed: 5 October 2025).</w:t>
      </w:r>
    </w:p>
    <w:p w14:paraId="549BA91E" w14:textId="77777777" w:rsidR="00033608" w:rsidRDefault="00033608" w:rsidP="00033608">
      <w:pPr>
        <w:pStyle w:val="ListParagraph"/>
        <w:numPr>
          <w:ilvl w:val="0"/>
          <w:numId w:val="13"/>
        </w:numPr>
      </w:pPr>
      <w:r>
        <w:t>EY (2024) India: Energy sector at crossroads. New Delhi: Ernst &amp; Young. Available at: https://www.ey.com/en_in/energy-resources (Accessed: 10 November 2025).</w:t>
      </w:r>
    </w:p>
    <w:p w14:paraId="73635A43" w14:textId="77777777" w:rsidR="00033608" w:rsidRDefault="00033608" w:rsidP="00033608">
      <w:pPr>
        <w:pStyle w:val="ListParagraph"/>
        <w:numPr>
          <w:ilvl w:val="0"/>
          <w:numId w:val="13"/>
        </w:numPr>
      </w:pPr>
      <w:r>
        <w:t>Government of India (2024) National Hydrogen Mission: Policy Framework for Clean Energy Transition. Ministry of New and Renewable Energy. Available at: https://mnre.gov.in/ (Accessed: 5 October 2025).</w:t>
      </w:r>
    </w:p>
    <w:p w14:paraId="74E903D4" w14:textId="77777777" w:rsidR="00033608" w:rsidRDefault="00033608" w:rsidP="00033608">
      <w:pPr>
        <w:pStyle w:val="ListParagraph"/>
        <w:numPr>
          <w:ilvl w:val="0"/>
          <w:numId w:val="13"/>
        </w:numPr>
      </w:pPr>
      <w:r>
        <w:t>Grundy, T. (2006) ‘Rethinking and reinventing Michael Porter’s five forces model’, Strategic Change, 15(5), pp. 213–229.</w:t>
      </w:r>
    </w:p>
    <w:p w14:paraId="2D7C50C8" w14:textId="77777777" w:rsidR="00033608" w:rsidRDefault="00033608" w:rsidP="00033608">
      <w:pPr>
        <w:pStyle w:val="ListParagraph"/>
        <w:numPr>
          <w:ilvl w:val="0"/>
          <w:numId w:val="13"/>
        </w:numPr>
      </w:pPr>
      <w:r>
        <w:t>IEA (2023) India Energy Outlook 2023. Paris: International Energy Agency. Available at: https://www.iea.org/ (Accessed: 5 October 2025).</w:t>
      </w:r>
    </w:p>
    <w:p w14:paraId="7F96B58F" w14:textId="77777777" w:rsidR="00033608" w:rsidRDefault="00033608" w:rsidP="00033608">
      <w:pPr>
        <w:pStyle w:val="ListParagraph"/>
        <w:numPr>
          <w:ilvl w:val="0"/>
          <w:numId w:val="13"/>
        </w:numPr>
      </w:pPr>
      <w:r>
        <w:t>IMF (2024) World Economic Outlook: Navigating Global Divergences. Washington, D.C.: International Monetary Fund.</w:t>
      </w:r>
    </w:p>
    <w:p w14:paraId="0F031B29" w14:textId="77777777" w:rsidR="00033608" w:rsidRDefault="00033608" w:rsidP="00033608">
      <w:pPr>
        <w:pStyle w:val="ListParagraph"/>
        <w:numPr>
          <w:ilvl w:val="0"/>
          <w:numId w:val="13"/>
        </w:numPr>
      </w:pPr>
      <w:r>
        <w:t>Johnson, G., Scholes, K. and Whittington, R. (2020) Exploring Corporate Strategy, 12th edn. Harlow: Pearson Education.</w:t>
      </w:r>
    </w:p>
    <w:p w14:paraId="79C9B1FF" w14:textId="77777777" w:rsidR="00033608" w:rsidRDefault="00033608" w:rsidP="00033608">
      <w:pPr>
        <w:pStyle w:val="ListParagraph"/>
        <w:numPr>
          <w:ilvl w:val="0"/>
          <w:numId w:val="13"/>
        </w:numPr>
      </w:pPr>
      <w:r>
        <w:t>Kaplan, R.S. and Norton, D.P. (1996) The Balanced Scorecard: Translating Strategy into Action. Boston: Harvard Business School Press.</w:t>
      </w:r>
    </w:p>
    <w:p w14:paraId="299BA5E5" w14:textId="77777777" w:rsidR="00033608" w:rsidRDefault="00033608" w:rsidP="00033608">
      <w:pPr>
        <w:pStyle w:val="ListParagraph"/>
        <w:numPr>
          <w:ilvl w:val="0"/>
          <w:numId w:val="13"/>
        </w:numPr>
      </w:pPr>
      <w:r>
        <w:t>Kaplan, R.S. and Norton, D.P. (2004) Strategy Maps: Converting Intangible Assets into Tangible Outcomes. Boston: Harvard Business School Press.</w:t>
      </w:r>
    </w:p>
    <w:p w14:paraId="298CDC9B" w14:textId="77777777" w:rsidR="00033608" w:rsidRDefault="00033608" w:rsidP="00033608">
      <w:pPr>
        <w:pStyle w:val="ListParagraph"/>
        <w:numPr>
          <w:ilvl w:val="0"/>
          <w:numId w:val="13"/>
        </w:numPr>
      </w:pPr>
      <w:r>
        <w:t>Kim, W.C. and Mauborgne, R. (2005) Blue Ocean Strategy: How to Create Uncontested Market Space and Make the Competition Irrelevant. Boston: Harvard Business School Press.</w:t>
      </w:r>
    </w:p>
    <w:p w14:paraId="140AE4E7" w14:textId="77777777" w:rsidR="00033608" w:rsidRDefault="00033608" w:rsidP="00033608">
      <w:pPr>
        <w:pStyle w:val="ListParagraph"/>
        <w:numPr>
          <w:ilvl w:val="0"/>
          <w:numId w:val="13"/>
        </w:numPr>
      </w:pPr>
      <w:r>
        <w:t>Mendelow, A.L. (1991) ‘Environmental scanning: The impact of the stakeholder concept’, Proceedings of the Second International Conference on Information Systems, Cambridge, MA.</w:t>
      </w:r>
    </w:p>
    <w:p w14:paraId="652D7A1C" w14:textId="77777777" w:rsidR="00033608" w:rsidRDefault="00033608" w:rsidP="00033608">
      <w:pPr>
        <w:pStyle w:val="ListParagraph"/>
        <w:numPr>
          <w:ilvl w:val="0"/>
          <w:numId w:val="13"/>
        </w:numPr>
      </w:pPr>
      <w:r>
        <w:t>Ministry of Power (2024) National Electricity Plan 2024–2030. Government of India. Available at: https://powermin.gov.in/ (Accessed: 5 October 2025).</w:t>
      </w:r>
    </w:p>
    <w:p w14:paraId="057F2BAE" w14:textId="77777777" w:rsidR="00033608" w:rsidRDefault="00033608" w:rsidP="00033608">
      <w:pPr>
        <w:pStyle w:val="ListParagraph"/>
        <w:numPr>
          <w:ilvl w:val="0"/>
          <w:numId w:val="13"/>
        </w:numPr>
      </w:pPr>
      <w:r>
        <w:t>OECD (2024) Investment Policy Review: India 2024. Organisation for Economic Co-operation and Development. Paris: OECD Publishing.</w:t>
      </w:r>
    </w:p>
    <w:p w14:paraId="04BCC5A5" w14:textId="77777777" w:rsidR="00033608" w:rsidRDefault="00033608" w:rsidP="00033608">
      <w:pPr>
        <w:pStyle w:val="ListParagraph"/>
        <w:numPr>
          <w:ilvl w:val="0"/>
          <w:numId w:val="13"/>
        </w:numPr>
      </w:pPr>
      <w:r>
        <w:t>Prahalad, C.K. and Doz, Y.L. (1987) The Multinational Mission: Balancing Local Demands and Global Vision. New York: Free Press.</w:t>
      </w:r>
    </w:p>
    <w:p w14:paraId="1623A534" w14:textId="77777777" w:rsidR="00033608" w:rsidRDefault="00033608" w:rsidP="00033608">
      <w:pPr>
        <w:pStyle w:val="ListParagraph"/>
        <w:numPr>
          <w:ilvl w:val="0"/>
          <w:numId w:val="13"/>
        </w:numPr>
      </w:pPr>
      <w:r>
        <w:lastRenderedPageBreak/>
        <w:t>Shell (2023) Shell Energy India: Building the Future of Clean Mobility. Shell Global. Available at: https://www.shell.in/ (Accessed: 5 October 2025).</w:t>
      </w:r>
    </w:p>
    <w:p w14:paraId="49398464" w14:textId="77777777" w:rsidR="00033608" w:rsidRDefault="00033608" w:rsidP="00033608">
      <w:pPr>
        <w:pStyle w:val="ListParagraph"/>
        <w:numPr>
          <w:ilvl w:val="0"/>
          <w:numId w:val="13"/>
        </w:numPr>
      </w:pPr>
      <w:r>
        <w:t>Teece, D.J. (2007) ‘Explicating dynamic capabilities: the nature and microfoundations of (sustainable) enterprise performance’, Strategic Management Journal, 28(13), pp. 1319–1350.</w:t>
      </w:r>
    </w:p>
    <w:p w14:paraId="0634A96F" w14:textId="77777777" w:rsidR="00033608" w:rsidRDefault="00033608" w:rsidP="00033608">
      <w:pPr>
        <w:pStyle w:val="ListParagraph"/>
        <w:numPr>
          <w:ilvl w:val="0"/>
          <w:numId w:val="13"/>
        </w:numPr>
      </w:pPr>
      <w:r>
        <w:t>Teece, D.J., Peteraf, M. and Leih, S. (2016) ‘Dynamic capabilities and organizational agility: Risk, uncertainty, and strategy in the innovation economy’, California Management Review, 58(4), pp. 13–35.</w:t>
      </w:r>
    </w:p>
    <w:p w14:paraId="2901BFF4" w14:textId="77777777" w:rsidR="00033608" w:rsidRDefault="00033608" w:rsidP="00033608">
      <w:pPr>
        <w:pStyle w:val="ListParagraph"/>
        <w:numPr>
          <w:ilvl w:val="0"/>
          <w:numId w:val="13"/>
        </w:numPr>
      </w:pPr>
      <w:r>
        <w:t>Teece, D.J., Pisano, G. and Shuen, A. (1997) ‘Dynamic capabilities and strategic management’, Strategic Management Journal, 18(7), pp. 509–533.</w:t>
      </w:r>
    </w:p>
    <w:p w14:paraId="4CB855CF" w14:textId="77777777" w:rsidR="00033608" w:rsidRDefault="00033608" w:rsidP="00033608">
      <w:pPr>
        <w:pStyle w:val="ListParagraph"/>
        <w:numPr>
          <w:ilvl w:val="0"/>
          <w:numId w:val="13"/>
        </w:numPr>
      </w:pPr>
      <w:r>
        <w:t>TotalEnergies (2024) Adani Green Energy Partnership Report 2024. Paris: TotalEnergies SE. Available at: https://totalenergies.com/ (Accessed: 5 October 2025).</w:t>
      </w:r>
    </w:p>
    <w:p w14:paraId="39666A65" w14:textId="77777777" w:rsidR="00033608" w:rsidRDefault="00033608" w:rsidP="00033608">
      <w:pPr>
        <w:pStyle w:val="ListParagraph"/>
        <w:numPr>
          <w:ilvl w:val="0"/>
          <w:numId w:val="13"/>
        </w:numPr>
      </w:pPr>
      <w:r>
        <w:t>World Bank (2024) Sustainable Growth and Energy Access in South Asia. Washington, D.C.: The World Bank Group. Available at: https://www.worldbank.org/ (Accessed: 5 October 2025).</w:t>
      </w:r>
    </w:p>
    <w:p w14:paraId="00AA4CB1" w14:textId="5E620475" w:rsidR="00033608" w:rsidRDefault="00033608" w:rsidP="00033608">
      <w:pPr>
        <w:pStyle w:val="ListParagraph"/>
        <w:numPr>
          <w:ilvl w:val="0"/>
          <w:numId w:val="13"/>
        </w:numPr>
      </w:pPr>
      <w:r>
        <w:t>Yüksel, I. (2012) ‘Developing a multi-criteria decision making model for PESTEL analysis’, International Journal of Business and Management, 7(24), pp. 52–66.</w:t>
      </w:r>
    </w:p>
    <w:sectPr w:rsidR="00033608" w:rsidSect="00EF2670">
      <w:footerReference w:type="default" r:id="rId27"/>
      <w:pgSz w:w="12240" w:h="15840"/>
      <w:pgMar w:top="1440" w:right="1800" w:bottom="1440" w:left="180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3D7ADB" w14:textId="77777777" w:rsidR="002966BB" w:rsidRDefault="002966BB" w:rsidP="000D313E">
      <w:pPr>
        <w:spacing w:after="0" w:line="240" w:lineRule="auto"/>
      </w:pPr>
      <w:r>
        <w:separator/>
      </w:r>
    </w:p>
  </w:endnote>
  <w:endnote w:type="continuationSeparator" w:id="0">
    <w:p w14:paraId="0A4D3EB4" w14:textId="77777777" w:rsidR="002966BB" w:rsidRDefault="002966BB" w:rsidP="000D31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47632104"/>
      <w:docPartObj>
        <w:docPartGallery w:val="Page Numbers (Bottom of Page)"/>
        <w:docPartUnique/>
      </w:docPartObj>
    </w:sdtPr>
    <w:sdtEndPr>
      <w:rPr>
        <w:color w:val="7F7F7F" w:themeColor="background1" w:themeShade="7F"/>
        <w:spacing w:val="60"/>
      </w:rPr>
    </w:sdtEndPr>
    <w:sdtContent>
      <w:p w14:paraId="32FE1618" w14:textId="6162B12D" w:rsidR="000D313E" w:rsidRDefault="000D313E">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6B8A517B" w14:textId="77777777" w:rsidR="000D313E" w:rsidRDefault="000D31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AC16C1" w14:textId="77777777" w:rsidR="002966BB" w:rsidRDefault="002966BB" w:rsidP="000D313E">
      <w:pPr>
        <w:spacing w:after="0" w:line="240" w:lineRule="auto"/>
      </w:pPr>
      <w:r>
        <w:separator/>
      </w:r>
    </w:p>
  </w:footnote>
  <w:footnote w:type="continuationSeparator" w:id="0">
    <w:p w14:paraId="77B51C49" w14:textId="77777777" w:rsidR="002966BB" w:rsidRDefault="002966BB" w:rsidP="000D31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02963E9"/>
    <w:multiLevelType w:val="multilevel"/>
    <w:tmpl w:val="243208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A077D35"/>
    <w:multiLevelType w:val="multilevel"/>
    <w:tmpl w:val="6706B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3B07B75"/>
    <w:multiLevelType w:val="multilevel"/>
    <w:tmpl w:val="243208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E694D1A"/>
    <w:multiLevelType w:val="hybridMultilevel"/>
    <w:tmpl w:val="02DACA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25092256">
    <w:abstractNumId w:val="8"/>
  </w:num>
  <w:num w:numId="2" w16cid:durableId="1224946912">
    <w:abstractNumId w:val="6"/>
  </w:num>
  <w:num w:numId="3" w16cid:durableId="1708333680">
    <w:abstractNumId w:val="5"/>
  </w:num>
  <w:num w:numId="4" w16cid:durableId="49043032">
    <w:abstractNumId w:val="4"/>
  </w:num>
  <w:num w:numId="5" w16cid:durableId="229852463">
    <w:abstractNumId w:val="7"/>
  </w:num>
  <w:num w:numId="6" w16cid:durableId="736441974">
    <w:abstractNumId w:val="3"/>
  </w:num>
  <w:num w:numId="7" w16cid:durableId="3628649">
    <w:abstractNumId w:val="2"/>
  </w:num>
  <w:num w:numId="8" w16cid:durableId="514735561">
    <w:abstractNumId w:val="1"/>
  </w:num>
  <w:num w:numId="9" w16cid:durableId="1969387051">
    <w:abstractNumId w:val="0"/>
  </w:num>
  <w:num w:numId="10" w16cid:durableId="1247421410">
    <w:abstractNumId w:val="11"/>
  </w:num>
  <w:num w:numId="11" w16cid:durableId="2119443900">
    <w:abstractNumId w:val="12"/>
  </w:num>
  <w:num w:numId="12" w16cid:durableId="644161509">
    <w:abstractNumId w:val="10"/>
  </w:num>
  <w:num w:numId="13" w16cid:durableId="214106926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05993"/>
    <w:rsid w:val="000061A4"/>
    <w:rsid w:val="00006EDD"/>
    <w:rsid w:val="0001688C"/>
    <w:rsid w:val="000244BC"/>
    <w:rsid w:val="00032B46"/>
    <w:rsid w:val="000331E6"/>
    <w:rsid w:val="00033608"/>
    <w:rsid w:val="00034616"/>
    <w:rsid w:val="00043FDB"/>
    <w:rsid w:val="00057E3D"/>
    <w:rsid w:val="0006063C"/>
    <w:rsid w:val="000767C3"/>
    <w:rsid w:val="00077F15"/>
    <w:rsid w:val="000960EE"/>
    <w:rsid w:val="000A202C"/>
    <w:rsid w:val="000A28CC"/>
    <w:rsid w:val="000C0F6E"/>
    <w:rsid w:val="000C3D2D"/>
    <w:rsid w:val="000D313E"/>
    <w:rsid w:val="000D588B"/>
    <w:rsid w:val="000D5B6D"/>
    <w:rsid w:val="000D7576"/>
    <w:rsid w:val="000E2032"/>
    <w:rsid w:val="000F1AD2"/>
    <w:rsid w:val="001200FF"/>
    <w:rsid w:val="001224E5"/>
    <w:rsid w:val="00127122"/>
    <w:rsid w:val="001271B0"/>
    <w:rsid w:val="00132813"/>
    <w:rsid w:val="00135750"/>
    <w:rsid w:val="00140D5E"/>
    <w:rsid w:val="0014703F"/>
    <w:rsid w:val="0015074B"/>
    <w:rsid w:val="00152DC4"/>
    <w:rsid w:val="00160423"/>
    <w:rsid w:val="0016330D"/>
    <w:rsid w:val="00165C1D"/>
    <w:rsid w:val="00167C1D"/>
    <w:rsid w:val="00192022"/>
    <w:rsid w:val="0019679F"/>
    <w:rsid w:val="001A409D"/>
    <w:rsid w:val="001B1E1C"/>
    <w:rsid w:val="001B6A56"/>
    <w:rsid w:val="001B7632"/>
    <w:rsid w:val="001C11AB"/>
    <w:rsid w:val="001C45DD"/>
    <w:rsid w:val="001C792D"/>
    <w:rsid w:val="001D1A8A"/>
    <w:rsid w:val="00222526"/>
    <w:rsid w:val="0023730A"/>
    <w:rsid w:val="00240667"/>
    <w:rsid w:val="00242295"/>
    <w:rsid w:val="002468D5"/>
    <w:rsid w:val="00254A7C"/>
    <w:rsid w:val="00272BD7"/>
    <w:rsid w:val="002955AE"/>
    <w:rsid w:val="0029639D"/>
    <w:rsid w:val="002966BB"/>
    <w:rsid w:val="002A08AA"/>
    <w:rsid w:val="002B54CC"/>
    <w:rsid w:val="002B7019"/>
    <w:rsid w:val="002D5ED9"/>
    <w:rsid w:val="002D75E5"/>
    <w:rsid w:val="002F1A60"/>
    <w:rsid w:val="002F5278"/>
    <w:rsid w:val="00302193"/>
    <w:rsid w:val="00317752"/>
    <w:rsid w:val="0032359A"/>
    <w:rsid w:val="00325C06"/>
    <w:rsid w:val="00326F90"/>
    <w:rsid w:val="00331B2F"/>
    <w:rsid w:val="003420A2"/>
    <w:rsid w:val="003556C1"/>
    <w:rsid w:val="003625F5"/>
    <w:rsid w:val="00390ADB"/>
    <w:rsid w:val="003B3E9F"/>
    <w:rsid w:val="003C11C0"/>
    <w:rsid w:val="003C288F"/>
    <w:rsid w:val="003D43FA"/>
    <w:rsid w:val="003D578C"/>
    <w:rsid w:val="00405CF6"/>
    <w:rsid w:val="004275D8"/>
    <w:rsid w:val="004350AF"/>
    <w:rsid w:val="00440968"/>
    <w:rsid w:val="00444116"/>
    <w:rsid w:val="00463D32"/>
    <w:rsid w:val="00474C3F"/>
    <w:rsid w:val="0049500B"/>
    <w:rsid w:val="00496FD8"/>
    <w:rsid w:val="004A0567"/>
    <w:rsid w:val="004B377D"/>
    <w:rsid w:val="004B4479"/>
    <w:rsid w:val="00503963"/>
    <w:rsid w:val="005105D6"/>
    <w:rsid w:val="00514DB0"/>
    <w:rsid w:val="0052572C"/>
    <w:rsid w:val="00544282"/>
    <w:rsid w:val="00546AF3"/>
    <w:rsid w:val="005626CC"/>
    <w:rsid w:val="00575A0B"/>
    <w:rsid w:val="00587D15"/>
    <w:rsid w:val="00592B97"/>
    <w:rsid w:val="00593550"/>
    <w:rsid w:val="00595426"/>
    <w:rsid w:val="005A35C0"/>
    <w:rsid w:val="005C63D3"/>
    <w:rsid w:val="005D1162"/>
    <w:rsid w:val="005D3C31"/>
    <w:rsid w:val="005E0092"/>
    <w:rsid w:val="005E5600"/>
    <w:rsid w:val="005F7B7F"/>
    <w:rsid w:val="00604C6F"/>
    <w:rsid w:val="00617F96"/>
    <w:rsid w:val="00633453"/>
    <w:rsid w:val="0064245A"/>
    <w:rsid w:val="00645619"/>
    <w:rsid w:val="00646E75"/>
    <w:rsid w:val="0066082E"/>
    <w:rsid w:val="00661EFF"/>
    <w:rsid w:val="00667B2E"/>
    <w:rsid w:val="0067331F"/>
    <w:rsid w:val="00681E76"/>
    <w:rsid w:val="006859D4"/>
    <w:rsid w:val="00685E30"/>
    <w:rsid w:val="0068627A"/>
    <w:rsid w:val="006920BE"/>
    <w:rsid w:val="00692397"/>
    <w:rsid w:val="00696BD1"/>
    <w:rsid w:val="006D7F2E"/>
    <w:rsid w:val="006E4810"/>
    <w:rsid w:val="006F28DC"/>
    <w:rsid w:val="006F3B92"/>
    <w:rsid w:val="006F3D79"/>
    <w:rsid w:val="006F3F86"/>
    <w:rsid w:val="00700132"/>
    <w:rsid w:val="00712B97"/>
    <w:rsid w:val="00736116"/>
    <w:rsid w:val="0073745E"/>
    <w:rsid w:val="00737E8D"/>
    <w:rsid w:val="007A70D9"/>
    <w:rsid w:val="007B53D2"/>
    <w:rsid w:val="007D0237"/>
    <w:rsid w:val="00802A40"/>
    <w:rsid w:val="008103AA"/>
    <w:rsid w:val="00824FE8"/>
    <w:rsid w:val="0085756E"/>
    <w:rsid w:val="0089142D"/>
    <w:rsid w:val="008A0B9C"/>
    <w:rsid w:val="008B032D"/>
    <w:rsid w:val="008B359F"/>
    <w:rsid w:val="008B6417"/>
    <w:rsid w:val="008D5F5F"/>
    <w:rsid w:val="008F3447"/>
    <w:rsid w:val="008F3E67"/>
    <w:rsid w:val="00940DE7"/>
    <w:rsid w:val="00943172"/>
    <w:rsid w:val="00944C81"/>
    <w:rsid w:val="00947F96"/>
    <w:rsid w:val="00953EFD"/>
    <w:rsid w:val="0096183E"/>
    <w:rsid w:val="0096349F"/>
    <w:rsid w:val="00963C2D"/>
    <w:rsid w:val="00976943"/>
    <w:rsid w:val="009A5780"/>
    <w:rsid w:val="009A6E23"/>
    <w:rsid w:val="009C1242"/>
    <w:rsid w:val="009E3EAC"/>
    <w:rsid w:val="009E6515"/>
    <w:rsid w:val="009F4FA7"/>
    <w:rsid w:val="00A4360A"/>
    <w:rsid w:val="00A44798"/>
    <w:rsid w:val="00A46211"/>
    <w:rsid w:val="00A61517"/>
    <w:rsid w:val="00A867E9"/>
    <w:rsid w:val="00AA1D8D"/>
    <w:rsid w:val="00AA4880"/>
    <w:rsid w:val="00AD3957"/>
    <w:rsid w:val="00AD5876"/>
    <w:rsid w:val="00AE1D1F"/>
    <w:rsid w:val="00B00093"/>
    <w:rsid w:val="00B03311"/>
    <w:rsid w:val="00B05DC1"/>
    <w:rsid w:val="00B06C13"/>
    <w:rsid w:val="00B263B8"/>
    <w:rsid w:val="00B37FFD"/>
    <w:rsid w:val="00B463C9"/>
    <w:rsid w:val="00B47730"/>
    <w:rsid w:val="00B55F28"/>
    <w:rsid w:val="00B62845"/>
    <w:rsid w:val="00B66AD9"/>
    <w:rsid w:val="00B6777A"/>
    <w:rsid w:val="00B708D7"/>
    <w:rsid w:val="00B73150"/>
    <w:rsid w:val="00B76CF6"/>
    <w:rsid w:val="00B91225"/>
    <w:rsid w:val="00B928AE"/>
    <w:rsid w:val="00BB416B"/>
    <w:rsid w:val="00BC4C8A"/>
    <w:rsid w:val="00BF1F54"/>
    <w:rsid w:val="00BF6C7E"/>
    <w:rsid w:val="00C00EF2"/>
    <w:rsid w:val="00C0299B"/>
    <w:rsid w:val="00C135EE"/>
    <w:rsid w:val="00C14317"/>
    <w:rsid w:val="00C16B38"/>
    <w:rsid w:val="00C23DBA"/>
    <w:rsid w:val="00C36664"/>
    <w:rsid w:val="00C5159D"/>
    <w:rsid w:val="00C674CF"/>
    <w:rsid w:val="00C75DAD"/>
    <w:rsid w:val="00C77BE2"/>
    <w:rsid w:val="00C97038"/>
    <w:rsid w:val="00CA4B2E"/>
    <w:rsid w:val="00CB0664"/>
    <w:rsid w:val="00CB61F8"/>
    <w:rsid w:val="00CC1EC6"/>
    <w:rsid w:val="00CE161A"/>
    <w:rsid w:val="00CE704A"/>
    <w:rsid w:val="00CE7B74"/>
    <w:rsid w:val="00CF0C05"/>
    <w:rsid w:val="00CF1B48"/>
    <w:rsid w:val="00D1274E"/>
    <w:rsid w:val="00D177B3"/>
    <w:rsid w:val="00D2304C"/>
    <w:rsid w:val="00D27118"/>
    <w:rsid w:val="00D37DE5"/>
    <w:rsid w:val="00D567CD"/>
    <w:rsid w:val="00D568ED"/>
    <w:rsid w:val="00D57403"/>
    <w:rsid w:val="00D57C91"/>
    <w:rsid w:val="00D74F10"/>
    <w:rsid w:val="00D84194"/>
    <w:rsid w:val="00D967AE"/>
    <w:rsid w:val="00DD0447"/>
    <w:rsid w:val="00DD3CAE"/>
    <w:rsid w:val="00DE522C"/>
    <w:rsid w:val="00E1403C"/>
    <w:rsid w:val="00E2157F"/>
    <w:rsid w:val="00E2184B"/>
    <w:rsid w:val="00E30046"/>
    <w:rsid w:val="00E34ECF"/>
    <w:rsid w:val="00E3593C"/>
    <w:rsid w:val="00E3763B"/>
    <w:rsid w:val="00E41522"/>
    <w:rsid w:val="00E446A9"/>
    <w:rsid w:val="00E514D8"/>
    <w:rsid w:val="00E774F9"/>
    <w:rsid w:val="00E832DF"/>
    <w:rsid w:val="00E83B11"/>
    <w:rsid w:val="00E844F5"/>
    <w:rsid w:val="00EA11A0"/>
    <w:rsid w:val="00EC0460"/>
    <w:rsid w:val="00EC37B6"/>
    <w:rsid w:val="00EE2416"/>
    <w:rsid w:val="00EE274B"/>
    <w:rsid w:val="00EF2670"/>
    <w:rsid w:val="00F11A63"/>
    <w:rsid w:val="00F30B5D"/>
    <w:rsid w:val="00F37DAE"/>
    <w:rsid w:val="00F452EF"/>
    <w:rsid w:val="00F56105"/>
    <w:rsid w:val="00F720F9"/>
    <w:rsid w:val="00F74AB9"/>
    <w:rsid w:val="00F82627"/>
    <w:rsid w:val="00FC1297"/>
    <w:rsid w:val="00FC26C7"/>
    <w:rsid w:val="00FC693F"/>
    <w:rsid w:val="00FE33A1"/>
    <w:rsid w:val="00FF4B86"/>
    <w:rsid w:val="00FF760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F145BDA"/>
  <w14:defaultImageDpi w14:val="300"/>
  <w15:docId w15:val="{B46A537C-1646-44E9-B3BF-0BD52B16ED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US"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403C"/>
    <w:rPr>
      <w:rFonts w:ascii="Arial" w:hAnsi="Arial"/>
      <w:sz w:val="24"/>
    </w:rPr>
  </w:style>
  <w:style w:type="paragraph" w:styleId="Heading1">
    <w:name w:val="heading 1"/>
    <w:basedOn w:val="Normal"/>
    <w:next w:val="Normal"/>
    <w:link w:val="Heading1Char"/>
    <w:uiPriority w:val="9"/>
    <w:qFormat/>
    <w:rsid w:val="00E1403C"/>
    <w:pPr>
      <w:keepNext/>
      <w:keepLines/>
      <w:pBdr>
        <w:bottom w:val="single" w:sz="4" w:space="1" w:color="549E39" w:themeColor="accent1"/>
      </w:pBdr>
      <w:spacing w:before="400" w:after="40" w:line="240" w:lineRule="auto"/>
      <w:outlineLvl w:val="0"/>
    </w:pPr>
    <w:rPr>
      <w:rFonts w:eastAsiaTheme="majorEastAsia" w:cstheme="majorBidi"/>
      <w:color w:val="3E762A" w:themeColor="accent1" w:themeShade="BF"/>
      <w:sz w:val="36"/>
      <w:szCs w:val="36"/>
    </w:rPr>
  </w:style>
  <w:style w:type="paragraph" w:styleId="Heading2">
    <w:name w:val="heading 2"/>
    <w:basedOn w:val="Normal"/>
    <w:next w:val="Normal"/>
    <w:link w:val="Heading2Char"/>
    <w:uiPriority w:val="9"/>
    <w:unhideWhenUsed/>
    <w:qFormat/>
    <w:rsid w:val="00E1403C"/>
    <w:pPr>
      <w:keepNext/>
      <w:keepLines/>
      <w:spacing w:before="160" w:after="0" w:line="240" w:lineRule="auto"/>
      <w:outlineLvl w:val="1"/>
    </w:pPr>
    <w:rPr>
      <w:rFonts w:eastAsiaTheme="majorEastAsia" w:cstheme="majorBidi"/>
      <w:color w:val="3E762A" w:themeColor="accent1" w:themeShade="BF"/>
      <w:sz w:val="28"/>
      <w:szCs w:val="28"/>
    </w:rPr>
  </w:style>
  <w:style w:type="paragraph" w:styleId="Heading3">
    <w:name w:val="heading 3"/>
    <w:basedOn w:val="Normal"/>
    <w:next w:val="Normal"/>
    <w:link w:val="Heading3Char"/>
    <w:uiPriority w:val="9"/>
    <w:unhideWhenUsed/>
    <w:qFormat/>
    <w:rsid w:val="00E1403C"/>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Heading4">
    <w:name w:val="heading 4"/>
    <w:basedOn w:val="Normal"/>
    <w:next w:val="Normal"/>
    <w:link w:val="Heading4Char"/>
    <w:uiPriority w:val="9"/>
    <w:semiHidden/>
    <w:unhideWhenUsed/>
    <w:qFormat/>
    <w:rsid w:val="00E1403C"/>
    <w:pPr>
      <w:keepNext/>
      <w:keepLines/>
      <w:spacing w:before="80" w:after="0"/>
      <w:outlineLvl w:val="3"/>
    </w:pPr>
    <w:rPr>
      <w:rFonts w:asciiTheme="majorHAnsi" w:eastAsiaTheme="majorEastAsia" w:hAnsiTheme="majorHAnsi" w:cstheme="majorBidi"/>
      <w:szCs w:val="24"/>
    </w:rPr>
  </w:style>
  <w:style w:type="paragraph" w:styleId="Heading5">
    <w:name w:val="heading 5"/>
    <w:basedOn w:val="Normal"/>
    <w:next w:val="Normal"/>
    <w:link w:val="Heading5Char"/>
    <w:uiPriority w:val="9"/>
    <w:semiHidden/>
    <w:unhideWhenUsed/>
    <w:qFormat/>
    <w:rsid w:val="00E1403C"/>
    <w:pPr>
      <w:keepNext/>
      <w:keepLines/>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semiHidden/>
    <w:unhideWhenUsed/>
    <w:qFormat/>
    <w:rsid w:val="00E1403C"/>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E1403C"/>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E1403C"/>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E1403C"/>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E1403C"/>
    <w:pPr>
      <w:spacing w:after="0" w:line="240" w:lineRule="auto"/>
    </w:pPr>
  </w:style>
  <w:style w:type="character" w:customStyle="1" w:styleId="Heading1Char">
    <w:name w:val="Heading 1 Char"/>
    <w:basedOn w:val="DefaultParagraphFont"/>
    <w:link w:val="Heading1"/>
    <w:uiPriority w:val="9"/>
    <w:rsid w:val="00E1403C"/>
    <w:rPr>
      <w:rFonts w:ascii="Arial" w:eastAsiaTheme="majorEastAsia" w:hAnsi="Arial" w:cstheme="majorBidi"/>
      <w:color w:val="3E762A" w:themeColor="accent1" w:themeShade="BF"/>
      <w:sz w:val="36"/>
      <w:szCs w:val="36"/>
    </w:rPr>
  </w:style>
  <w:style w:type="character" w:customStyle="1" w:styleId="Heading2Char">
    <w:name w:val="Heading 2 Char"/>
    <w:basedOn w:val="DefaultParagraphFont"/>
    <w:link w:val="Heading2"/>
    <w:uiPriority w:val="9"/>
    <w:rsid w:val="00E1403C"/>
    <w:rPr>
      <w:rFonts w:ascii="Arial" w:eastAsiaTheme="majorEastAsia" w:hAnsi="Arial" w:cstheme="majorBidi"/>
      <w:color w:val="3E762A" w:themeColor="accent1" w:themeShade="BF"/>
      <w:sz w:val="28"/>
      <w:szCs w:val="28"/>
    </w:rPr>
  </w:style>
  <w:style w:type="character" w:customStyle="1" w:styleId="Heading3Char">
    <w:name w:val="Heading 3 Char"/>
    <w:basedOn w:val="DefaultParagraphFont"/>
    <w:link w:val="Heading3"/>
    <w:uiPriority w:val="9"/>
    <w:rsid w:val="00E1403C"/>
    <w:rPr>
      <w:rFonts w:asciiTheme="majorHAnsi" w:eastAsiaTheme="majorEastAsia" w:hAnsiTheme="majorHAnsi" w:cstheme="majorBidi"/>
      <w:color w:val="404040" w:themeColor="text1" w:themeTint="BF"/>
      <w:sz w:val="26"/>
      <w:szCs w:val="26"/>
    </w:rPr>
  </w:style>
  <w:style w:type="paragraph" w:styleId="Title">
    <w:name w:val="Title"/>
    <w:basedOn w:val="Normal"/>
    <w:next w:val="Normal"/>
    <w:link w:val="TitleChar"/>
    <w:uiPriority w:val="10"/>
    <w:qFormat/>
    <w:rsid w:val="00E1403C"/>
    <w:pPr>
      <w:spacing w:after="0" w:line="240" w:lineRule="auto"/>
      <w:contextualSpacing/>
    </w:pPr>
    <w:rPr>
      <w:rFonts w:asciiTheme="majorHAnsi" w:eastAsiaTheme="majorEastAsia" w:hAnsiTheme="majorHAnsi" w:cstheme="majorBidi"/>
      <w:color w:val="3E762A" w:themeColor="accent1" w:themeShade="BF"/>
      <w:spacing w:val="-7"/>
      <w:sz w:val="80"/>
      <w:szCs w:val="80"/>
    </w:rPr>
  </w:style>
  <w:style w:type="character" w:customStyle="1" w:styleId="TitleChar">
    <w:name w:val="Title Char"/>
    <w:basedOn w:val="DefaultParagraphFont"/>
    <w:link w:val="Title"/>
    <w:uiPriority w:val="10"/>
    <w:rsid w:val="00E1403C"/>
    <w:rPr>
      <w:rFonts w:asciiTheme="majorHAnsi" w:eastAsiaTheme="majorEastAsia" w:hAnsiTheme="majorHAnsi" w:cstheme="majorBidi"/>
      <w:color w:val="3E762A" w:themeColor="accent1" w:themeShade="BF"/>
      <w:spacing w:val="-7"/>
      <w:sz w:val="80"/>
      <w:szCs w:val="80"/>
    </w:rPr>
  </w:style>
  <w:style w:type="paragraph" w:styleId="Subtitle">
    <w:name w:val="Subtitle"/>
    <w:basedOn w:val="Normal"/>
    <w:next w:val="Normal"/>
    <w:link w:val="SubtitleChar"/>
    <w:uiPriority w:val="11"/>
    <w:qFormat/>
    <w:rsid w:val="00E1403C"/>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rsid w:val="00E1403C"/>
    <w:rPr>
      <w:rFonts w:asciiTheme="majorHAnsi" w:eastAsiaTheme="majorEastAsia" w:hAnsiTheme="majorHAnsi" w:cstheme="majorBidi"/>
      <w:color w:val="404040" w:themeColor="text1" w:themeTint="BF"/>
      <w:sz w:val="30"/>
      <w:szCs w:val="30"/>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E1403C"/>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E1403C"/>
    <w:rPr>
      <w:i/>
      <w:iCs/>
    </w:rPr>
  </w:style>
  <w:style w:type="character" w:customStyle="1" w:styleId="Heading4Char">
    <w:name w:val="Heading 4 Char"/>
    <w:basedOn w:val="DefaultParagraphFont"/>
    <w:link w:val="Heading4"/>
    <w:uiPriority w:val="9"/>
    <w:semiHidden/>
    <w:rsid w:val="00E1403C"/>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semiHidden/>
    <w:rsid w:val="00E1403C"/>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sid w:val="00E1403C"/>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rsid w:val="00E1403C"/>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E1403C"/>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sid w:val="00E1403C"/>
    <w:rPr>
      <w:rFonts w:asciiTheme="majorHAnsi" w:eastAsiaTheme="majorEastAsia" w:hAnsiTheme="majorHAnsi" w:cstheme="majorBidi"/>
      <w:i/>
      <w:iCs/>
      <w:smallCaps/>
      <w:color w:val="595959" w:themeColor="text1" w:themeTint="A6"/>
    </w:rPr>
  </w:style>
  <w:style w:type="paragraph" w:styleId="Caption">
    <w:name w:val="caption"/>
    <w:basedOn w:val="Normal"/>
    <w:next w:val="Normal"/>
    <w:uiPriority w:val="35"/>
    <w:semiHidden/>
    <w:unhideWhenUsed/>
    <w:qFormat/>
    <w:rsid w:val="00E1403C"/>
    <w:pPr>
      <w:spacing w:line="240" w:lineRule="auto"/>
    </w:pPr>
    <w:rPr>
      <w:b/>
      <w:bCs/>
      <w:color w:val="404040" w:themeColor="text1" w:themeTint="BF"/>
      <w:sz w:val="20"/>
      <w:szCs w:val="20"/>
    </w:rPr>
  </w:style>
  <w:style w:type="character" w:styleId="Strong">
    <w:name w:val="Strong"/>
    <w:basedOn w:val="DefaultParagraphFont"/>
    <w:uiPriority w:val="22"/>
    <w:qFormat/>
    <w:rsid w:val="00E1403C"/>
    <w:rPr>
      <w:b/>
      <w:bCs/>
    </w:rPr>
  </w:style>
  <w:style w:type="character" w:styleId="Emphasis">
    <w:name w:val="Emphasis"/>
    <w:basedOn w:val="DefaultParagraphFont"/>
    <w:uiPriority w:val="20"/>
    <w:qFormat/>
    <w:rsid w:val="00E1403C"/>
    <w:rPr>
      <w:i/>
      <w:iCs/>
    </w:rPr>
  </w:style>
  <w:style w:type="paragraph" w:styleId="IntenseQuote">
    <w:name w:val="Intense Quote"/>
    <w:basedOn w:val="Normal"/>
    <w:next w:val="Normal"/>
    <w:link w:val="IntenseQuoteChar"/>
    <w:uiPriority w:val="30"/>
    <w:qFormat/>
    <w:rsid w:val="00E1403C"/>
    <w:pPr>
      <w:spacing w:before="100" w:beforeAutospacing="1" w:after="240"/>
      <w:ind w:left="864" w:right="864"/>
      <w:jc w:val="center"/>
    </w:pPr>
    <w:rPr>
      <w:rFonts w:asciiTheme="majorHAnsi" w:eastAsiaTheme="majorEastAsia" w:hAnsiTheme="majorHAnsi" w:cstheme="majorBidi"/>
      <w:color w:val="549E39" w:themeColor="accent1"/>
      <w:sz w:val="28"/>
      <w:szCs w:val="28"/>
    </w:rPr>
  </w:style>
  <w:style w:type="character" w:customStyle="1" w:styleId="IntenseQuoteChar">
    <w:name w:val="Intense Quote Char"/>
    <w:basedOn w:val="DefaultParagraphFont"/>
    <w:link w:val="IntenseQuote"/>
    <w:uiPriority w:val="30"/>
    <w:rsid w:val="00E1403C"/>
    <w:rPr>
      <w:rFonts w:asciiTheme="majorHAnsi" w:eastAsiaTheme="majorEastAsia" w:hAnsiTheme="majorHAnsi" w:cstheme="majorBidi"/>
      <w:color w:val="549E39" w:themeColor="accent1"/>
      <w:sz w:val="28"/>
      <w:szCs w:val="28"/>
    </w:rPr>
  </w:style>
  <w:style w:type="character" w:styleId="SubtleEmphasis">
    <w:name w:val="Subtle Emphasis"/>
    <w:basedOn w:val="DefaultParagraphFont"/>
    <w:uiPriority w:val="19"/>
    <w:qFormat/>
    <w:rsid w:val="00E1403C"/>
    <w:rPr>
      <w:i/>
      <w:iCs/>
      <w:color w:val="595959" w:themeColor="text1" w:themeTint="A6"/>
    </w:rPr>
  </w:style>
  <w:style w:type="character" w:styleId="IntenseEmphasis">
    <w:name w:val="Intense Emphasis"/>
    <w:basedOn w:val="DefaultParagraphFont"/>
    <w:uiPriority w:val="21"/>
    <w:qFormat/>
    <w:rsid w:val="00E1403C"/>
    <w:rPr>
      <w:b/>
      <w:bCs/>
      <w:i/>
      <w:iCs/>
    </w:rPr>
  </w:style>
  <w:style w:type="character" w:styleId="SubtleReference">
    <w:name w:val="Subtle Reference"/>
    <w:basedOn w:val="DefaultParagraphFont"/>
    <w:uiPriority w:val="31"/>
    <w:qFormat/>
    <w:rsid w:val="00E1403C"/>
    <w:rPr>
      <w:smallCaps/>
      <w:color w:val="404040" w:themeColor="text1" w:themeTint="BF"/>
    </w:rPr>
  </w:style>
  <w:style w:type="character" w:styleId="IntenseReference">
    <w:name w:val="Intense Reference"/>
    <w:basedOn w:val="DefaultParagraphFont"/>
    <w:uiPriority w:val="32"/>
    <w:qFormat/>
    <w:rsid w:val="00E1403C"/>
    <w:rPr>
      <w:b/>
      <w:bCs/>
      <w:smallCaps/>
      <w:u w:val="single"/>
    </w:rPr>
  </w:style>
  <w:style w:type="character" w:styleId="BookTitle">
    <w:name w:val="Book Title"/>
    <w:basedOn w:val="DefaultParagraphFont"/>
    <w:uiPriority w:val="33"/>
    <w:qFormat/>
    <w:rsid w:val="00E1403C"/>
    <w:rPr>
      <w:b/>
      <w:bCs/>
      <w:smallCaps/>
    </w:rPr>
  </w:style>
  <w:style w:type="paragraph" w:styleId="TOCHeading">
    <w:name w:val="TOC Heading"/>
    <w:basedOn w:val="Heading1"/>
    <w:next w:val="Normal"/>
    <w:uiPriority w:val="39"/>
    <w:unhideWhenUsed/>
    <w:qFormat/>
    <w:rsid w:val="00E1403C"/>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E762A" w:themeColor="accent1" w:themeShade="BF"/>
    </w:rPr>
    <w:tblPr>
      <w:tblStyleRowBandSize w:val="1"/>
      <w:tblStyleColBandSize w:val="1"/>
      <w:tblBorders>
        <w:top w:val="single" w:sz="8" w:space="0" w:color="549E39" w:themeColor="accent1"/>
        <w:bottom w:val="single" w:sz="8" w:space="0" w:color="549E39" w:themeColor="accent1"/>
      </w:tblBorders>
    </w:tblPr>
    <w:tblStylePr w:type="firstRow">
      <w:pPr>
        <w:spacing w:before="0" w:after="0" w:line="240" w:lineRule="auto"/>
      </w:pPr>
      <w:rPr>
        <w:b/>
        <w:bCs/>
      </w:rPr>
      <w:tblPr/>
      <w:tcPr>
        <w:tcBorders>
          <w:top w:val="single" w:sz="8" w:space="0" w:color="549E39" w:themeColor="accent1"/>
          <w:left w:val="nil"/>
          <w:bottom w:val="single" w:sz="8" w:space="0" w:color="549E39" w:themeColor="accent1"/>
          <w:right w:val="nil"/>
          <w:insideH w:val="nil"/>
          <w:insideV w:val="nil"/>
        </w:tcBorders>
      </w:tcPr>
    </w:tblStylePr>
    <w:tblStylePr w:type="lastRow">
      <w:pPr>
        <w:spacing w:before="0" w:after="0" w:line="240" w:lineRule="auto"/>
      </w:pPr>
      <w:rPr>
        <w:b/>
        <w:bCs/>
      </w:rPr>
      <w:tblPr/>
      <w:tcPr>
        <w:tcBorders>
          <w:top w:val="single" w:sz="8" w:space="0" w:color="549E39" w:themeColor="accent1"/>
          <w:left w:val="nil"/>
          <w:bottom w:val="single" w:sz="8" w:space="0" w:color="549E39"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BC9" w:themeFill="accent1" w:themeFillTint="3F"/>
      </w:tcPr>
    </w:tblStylePr>
    <w:tblStylePr w:type="band1Horz">
      <w:tblPr/>
      <w:tcPr>
        <w:tcBorders>
          <w:left w:val="nil"/>
          <w:right w:val="nil"/>
          <w:insideH w:val="nil"/>
          <w:insideV w:val="nil"/>
        </w:tcBorders>
        <w:shd w:val="clear" w:color="auto" w:fill="D2EBC9" w:themeFill="accent1" w:themeFillTint="3F"/>
      </w:tcPr>
    </w:tblStylePr>
  </w:style>
  <w:style w:type="table" w:styleId="LightShading-Accent2">
    <w:name w:val="Light Shading Accent 2"/>
    <w:basedOn w:val="TableNormal"/>
    <w:uiPriority w:val="60"/>
    <w:rsid w:val="00FC693F"/>
    <w:pPr>
      <w:spacing w:after="0" w:line="240" w:lineRule="auto"/>
    </w:pPr>
    <w:rPr>
      <w:color w:val="668926" w:themeColor="accent2" w:themeShade="BF"/>
    </w:rPr>
    <w:tblPr>
      <w:tblStyleRowBandSize w:val="1"/>
      <w:tblStyleColBandSize w:val="1"/>
      <w:tblBorders>
        <w:top w:val="single" w:sz="8" w:space="0" w:color="8AB833" w:themeColor="accent2"/>
        <w:bottom w:val="single" w:sz="8" w:space="0" w:color="8AB833" w:themeColor="accent2"/>
      </w:tblBorders>
    </w:tblPr>
    <w:tblStylePr w:type="firstRow">
      <w:pPr>
        <w:spacing w:before="0" w:after="0" w:line="240" w:lineRule="auto"/>
      </w:pPr>
      <w:rPr>
        <w:b/>
        <w:bCs/>
      </w:rPr>
      <w:tblPr/>
      <w:tcPr>
        <w:tcBorders>
          <w:top w:val="single" w:sz="8" w:space="0" w:color="8AB833" w:themeColor="accent2"/>
          <w:left w:val="nil"/>
          <w:bottom w:val="single" w:sz="8" w:space="0" w:color="8AB833" w:themeColor="accent2"/>
          <w:right w:val="nil"/>
          <w:insideH w:val="nil"/>
          <w:insideV w:val="nil"/>
        </w:tcBorders>
      </w:tcPr>
    </w:tblStylePr>
    <w:tblStylePr w:type="lastRow">
      <w:pPr>
        <w:spacing w:before="0" w:after="0" w:line="240" w:lineRule="auto"/>
      </w:pPr>
      <w:rPr>
        <w:b/>
        <w:bCs/>
      </w:rPr>
      <w:tblPr/>
      <w:tcPr>
        <w:tcBorders>
          <w:top w:val="single" w:sz="8" w:space="0" w:color="8AB833" w:themeColor="accent2"/>
          <w:left w:val="nil"/>
          <w:bottom w:val="single" w:sz="8" w:space="0" w:color="8AB833"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2F0C9" w:themeFill="accent2" w:themeFillTint="3F"/>
      </w:tcPr>
    </w:tblStylePr>
    <w:tblStylePr w:type="band1Horz">
      <w:tblPr/>
      <w:tcPr>
        <w:tcBorders>
          <w:left w:val="nil"/>
          <w:right w:val="nil"/>
          <w:insideH w:val="nil"/>
          <w:insideV w:val="nil"/>
        </w:tcBorders>
        <w:shd w:val="clear" w:color="auto" w:fill="E2F0C9" w:themeFill="accent2" w:themeFillTint="3F"/>
      </w:tcPr>
    </w:tblStylePr>
  </w:style>
  <w:style w:type="table" w:styleId="LightShading-Accent3">
    <w:name w:val="Light Shading Accent 3"/>
    <w:basedOn w:val="TableNormal"/>
    <w:uiPriority w:val="60"/>
    <w:rsid w:val="00FC693F"/>
    <w:pPr>
      <w:spacing w:after="0" w:line="240" w:lineRule="auto"/>
    </w:pPr>
    <w:rPr>
      <w:color w:val="939F27" w:themeColor="accent3" w:themeShade="BF"/>
    </w:rPr>
    <w:tblPr>
      <w:tblStyleRowBandSize w:val="1"/>
      <w:tblStyleColBandSize w:val="1"/>
      <w:tblBorders>
        <w:top w:val="single" w:sz="8" w:space="0" w:color="C0CF3A" w:themeColor="accent3"/>
        <w:bottom w:val="single" w:sz="8" w:space="0" w:color="C0CF3A" w:themeColor="accent3"/>
      </w:tblBorders>
    </w:tblPr>
    <w:tblStylePr w:type="firstRow">
      <w:pPr>
        <w:spacing w:before="0" w:after="0" w:line="240" w:lineRule="auto"/>
      </w:pPr>
      <w:rPr>
        <w:b/>
        <w:bCs/>
      </w:rPr>
      <w:tblPr/>
      <w:tcPr>
        <w:tcBorders>
          <w:top w:val="single" w:sz="8" w:space="0" w:color="C0CF3A" w:themeColor="accent3"/>
          <w:left w:val="nil"/>
          <w:bottom w:val="single" w:sz="8" w:space="0" w:color="C0CF3A" w:themeColor="accent3"/>
          <w:right w:val="nil"/>
          <w:insideH w:val="nil"/>
          <w:insideV w:val="nil"/>
        </w:tcBorders>
      </w:tcPr>
    </w:tblStylePr>
    <w:tblStylePr w:type="lastRow">
      <w:pPr>
        <w:spacing w:before="0" w:after="0" w:line="240" w:lineRule="auto"/>
      </w:pPr>
      <w:rPr>
        <w:b/>
        <w:bCs/>
      </w:rPr>
      <w:tblPr/>
      <w:tcPr>
        <w:tcBorders>
          <w:top w:val="single" w:sz="8" w:space="0" w:color="C0CF3A" w:themeColor="accent3"/>
          <w:left w:val="nil"/>
          <w:bottom w:val="single" w:sz="8" w:space="0" w:color="C0CF3A"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F3CE" w:themeFill="accent3" w:themeFillTint="3F"/>
      </w:tcPr>
    </w:tblStylePr>
    <w:tblStylePr w:type="band1Horz">
      <w:tblPr/>
      <w:tcPr>
        <w:tcBorders>
          <w:left w:val="nil"/>
          <w:right w:val="nil"/>
          <w:insideH w:val="nil"/>
          <w:insideV w:val="nil"/>
        </w:tcBorders>
        <w:shd w:val="clear" w:color="auto" w:fill="EFF3CE" w:themeFill="accent3" w:themeFillTint="3F"/>
      </w:tcPr>
    </w:tblStylePr>
  </w:style>
  <w:style w:type="table" w:styleId="LightShading-Accent4">
    <w:name w:val="Light Shading Accent 4"/>
    <w:basedOn w:val="TableNormal"/>
    <w:uiPriority w:val="60"/>
    <w:rsid w:val="00FC693F"/>
    <w:pPr>
      <w:spacing w:after="0" w:line="240" w:lineRule="auto"/>
    </w:pPr>
    <w:rPr>
      <w:color w:val="017057" w:themeColor="accent4" w:themeShade="BF"/>
    </w:rPr>
    <w:tblPr>
      <w:tblStyleRowBandSize w:val="1"/>
      <w:tblStyleColBandSize w:val="1"/>
      <w:tblBorders>
        <w:top w:val="single" w:sz="8" w:space="0" w:color="029676" w:themeColor="accent4"/>
        <w:bottom w:val="single" w:sz="8" w:space="0" w:color="029676" w:themeColor="accent4"/>
      </w:tblBorders>
    </w:tblPr>
    <w:tblStylePr w:type="firstRow">
      <w:pPr>
        <w:spacing w:before="0" w:after="0" w:line="240" w:lineRule="auto"/>
      </w:pPr>
      <w:rPr>
        <w:b/>
        <w:bCs/>
      </w:rPr>
      <w:tblPr/>
      <w:tcPr>
        <w:tcBorders>
          <w:top w:val="single" w:sz="8" w:space="0" w:color="029676" w:themeColor="accent4"/>
          <w:left w:val="nil"/>
          <w:bottom w:val="single" w:sz="8" w:space="0" w:color="029676" w:themeColor="accent4"/>
          <w:right w:val="nil"/>
          <w:insideH w:val="nil"/>
          <w:insideV w:val="nil"/>
        </w:tcBorders>
      </w:tcPr>
    </w:tblStylePr>
    <w:tblStylePr w:type="lastRow">
      <w:pPr>
        <w:spacing w:before="0" w:after="0" w:line="240" w:lineRule="auto"/>
      </w:pPr>
      <w:rPr>
        <w:b/>
        <w:bCs/>
      </w:rPr>
      <w:tblPr/>
      <w:tcPr>
        <w:tcBorders>
          <w:top w:val="single" w:sz="8" w:space="0" w:color="029676" w:themeColor="accent4"/>
          <w:left w:val="nil"/>
          <w:bottom w:val="single" w:sz="8" w:space="0" w:color="02967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7FDEA" w:themeFill="accent4" w:themeFillTint="3F"/>
      </w:tcPr>
    </w:tblStylePr>
    <w:tblStylePr w:type="band1Horz">
      <w:tblPr/>
      <w:tcPr>
        <w:tcBorders>
          <w:left w:val="nil"/>
          <w:right w:val="nil"/>
          <w:insideH w:val="nil"/>
          <w:insideV w:val="nil"/>
        </w:tcBorders>
        <w:shd w:val="clear" w:color="auto" w:fill="A7FDEA" w:themeFill="accent4" w:themeFillTint="3F"/>
      </w:tcPr>
    </w:tblStylePr>
  </w:style>
  <w:style w:type="table" w:styleId="LightShading-Accent5">
    <w:name w:val="Light Shading Accent 5"/>
    <w:basedOn w:val="TableNormal"/>
    <w:uiPriority w:val="60"/>
    <w:rsid w:val="00FC693F"/>
    <w:pPr>
      <w:spacing w:after="0" w:line="240" w:lineRule="auto"/>
    </w:pPr>
    <w:rPr>
      <w:color w:val="318B98" w:themeColor="accent5" w:themeShade="BF"/>
    </w:rPr>
    <w:tblPr>
      <w:tblStyleRowBandSize w:val="1"/>
      <w:tblStyleColBandSize w:val="1"/>
      <w:tblBorders>
        <w:top w:val="single" w:sz="8" w:space="0" w:color="4AB5C4" w:themeColor="accent5"/>
        <w:bottom w:val="single" w:sz="8" w:space="0" w:color="4AB5C4" w:themeColor="accent5"/>
      </w:tblBorders>
    </w:tblPr>
    <w:tblStylePr w:type="firstRow">
      <w:pPr>
        <w:spacing w:before="0" w:after="0" w:line="240" w:lineRule="auto"/>
      </w:pPr>
      <w:rPr>
        <w:b/>
        <w:bCs/>
      </w:rPr>
      <w:tblPr/>
      <w:tcPr>
        <w:tcBorders>
          <w:top w:val="single" w:sz="8" w:space="0" w:color="4AB5C4" w:themeColor="accent5"/>
          <w:left w:val="nil"/>
          <w:bottom w:val="single" w:sz="8" w:space="0" w:color="4AB5C4" w:themeColor="accent5"/>
          <w:right w:val="nil"/>
          <w:insideH w:val="nil"/>
          <w:insideV w:val="nil"/>
        </w:tcBorders>
      </w:tcPr>
    </w:tblStylePr>
    <w:tblStylePr w:type="lastRow">
      <w:pPr>
        <w:spacing w:before="0" w:after="0" w:line="240" w:lineRule="auto"/>
      </w:pPr>
      <w:rPr>
        <w:b/>
        <w:bCs/>
      </w:rPr>
      <w:tblPr/>
      <w:tcPr>
        <w:tcBorders>
          <w:top w:val="single" w:sz="8" w:space="0" w:color="4AB5C4" w:themeColor="accent5"/>
          <w:left w:val="nil"/>
          <w:bottom w:val="single" w:sz="8" w:space="0" w:color="4AB5C4"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CF0" w:themeFill="accent5" w:themeFillTint="3F"/>
      </w:tcPr>
    </w:tblStylePr>
    <w:tblStylePr w:type="band1Horz">
      <w:tblPr/>
      <w:tcPr>
        <w:tcBorders>
          <w:left w:val="nil"/>
          <w:right w:val="nil"/>
          <w:insideH w:val="nil"/>
          <w:insideV w:val="nil"/>
        </w:tcBorders>
        <w:shd w:val="clear" w:color="auto" w:fill="D2ECF0" w:themeFill="accent5" w:themeFillTint="3F"/>
      </w:tcPr>
    </w:tblStylePr>
  </w:style>
  <w:style w:type="table" w:styleId="LightShading-Accent6">
    <w:name w:val="Light Shading Accent 6"/>
    <w:basedOn w:val="TableNormal"/>
    <w:uiPriority w:val="60"/>
    <w:rsid w:val="00FC693F"/>
    <w:pPr>
      <w:spacing w:after="0" w:line="240" w:lineRule="auto"/>
    </w:pPr>
    <w:rPr>
      <w:color w:val="066684" w:themeColor="accent6" w:themeShade="BF"/>
    </w:rPr>
    <w:tblPr>
      <w:tblStyleRowBandSize w:val="1"/>
      <w:tblStyleColBandSize w:val="1"/>
      <w:tblBorders>
        <w:top w:val="single" w:sz="8" w:space="0" w:color="0989B1" w:themeColor="accent6"/>
        <w:bottom w:val="single" w:sz="8" w:space="0" w:color="0989B1" w:themeColor="accent6"/>
      </w:tblBorders>
    </w:tblPr>
    <w:tblStylePr w:type="firstRow">
      <w:pPr>
        <w:spacing w:before="0" w:after="0" w:line="240" w:lineRule="auto"/>
      </w:pPr>
      <w:rPr>
        <w:b/>
        <w:bCs/>
      </w:rPr>
      <w:tblPr/>
      <w:tcPr>
        <w:tcBorders>
          <w:top w:val="single" w:sz="8" w:space="0" w:color="0989B1" w:themeColor="accent6"/>
          <w:left w:val="nil"/>
          <w:bottom w:val="single" w:sz="8" w:space="0" w:color="0989B1" w:themeColor="accent6"/>
          <w:right w:val="nil"/>
          <w:insideH w:val="nil"/>
          <w:insideV w:val="nil"/>
        </w:tcBorders>
      </w:tcPr>
    </w:tblStylePr>
    <w:tblStylePr w:type="lastRow">
      <w:pPr>
        <w:spacing w:before="0" w:after="0" w:line="240" w:lineRule="auto"/>
      </w:pPr>
      <w:rPr>
        <w:b/>
        <w:bCs/>
      </w:rPr>
      <w:tblPr/>
      <w:tcPr>
        <w:tcBorders>
          <w:top w:val="single" w:sz="8" w:space="0" w:color="0989B1" w:themeColor="accent6"/>
          <w:left w:val="nil"/>
          <w:bottom w:val="single" w:sz="8" w:space="0" w:color="0989B1"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E9FB" w:themeFill="accent6" w:themeFillTint="3F"/>
      </w:tcPr>
    </w:tblStylePr>
    <w:tblStylePr w:type="band1Horz">
      <w:tblPr/>
      <w:tcPr>
        <w:tcBorders>
          <w:left w:val="nil"/>
          <w:right w:val="nil"/>
          <w:insideH w:val="nil"/>
          <w:insideV w:val="nil"/>
        </w:tcBorders>
        <w:shd w:val="clear" w:color="auto" w:fill="B2E9FB"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549E39" w:themeColor="accent1"/>
        <w:left w:val="single" w:sz="8" w:space="0" w:color="549E39" w:themeColor="accent1"/>
        <w:bottom w:val="single" w:sz="8" w:space="0" w:color="549E39" w:themeColor="accent1"/>
        <w:right w:val="single" w:sz="8" w:space="0" w:color="549E39" w:themeColor="accent1"/>
      </w:tblBorders>
    </w:tblPr>
    <w:tblStylePr w:type="firstRow">
      <w:pPr>
        <w:spacing w:before="0" w:after="0" w:line="240" w:lineRule="auto"/>
      </w:pPr>
      <w:rPr>
        <w:b/>
        <w:bCs/>
        <w:color w:val="FFFFFF" w:themeColor="background1"/>
      </w:rPr>
      <w:tblPr/>
      <w:tcPr>
        <w:shd w:val="clear" w:color="auto" w:fill="549E39" w:themeFill="accent1"/>
      </w:tcPr>
    </w:tblStylePr>
    <w:tblStylePr w:type="lastRow">
      <w:pPr>
        <w:spacing w:before="0" w:after="0" w:line="240" w:lineRule="auto"/>
      </w:pPr>
      <w:rPr>
        <w:b/>
        <w:bCs/>
      </w:rPr>
      <w:tblPr/>
      <w:tcPr>
        <w:tcBorders>
          <w:top w:val="double" w:sz="6" w:space="0" w:color="549E39" w:themeColor="accent1"/>
          <w:left w:val="single" w:sz="8" w:space="0" w:color="549E39" w:themeColor="accent1"/>
          <w:bottom w:val="single" w:sz="8" w:space="0" w:color="549E39" w:themeColor="accent1"/>
          <w:right w:val="single" w:sz="8" w:space="0" w:color="549E39" w:themeColor="accent1"/>
        </w:tcBorders>
      </w:tcPr>
    </w:tblStylePr>
    <w:tblStylePr w:type="firstCol">
      <w:rPr>
        <w:b/>
        <w:bCs/>
      </w:rPr>
    </w:tblStylePr>
    <w:tblStylePr w:type="lastCol">
      <w:rPr>
        <w:b/>
        <w:bCs/>
      </w:rPr>
    </w:tblStylePr>
    <w:tblStylePr w:type="band1Vert">
      <w:tblPr/>
      <w:tcPr>
        <w:tcBorders>
          <w:top w:val="single" w:sz="8" w:space="0" w:color="549E39" w:themeColor="accent1"/>
          <w:left w:val="single" w:sz="8" w:space="0" w:color="549E39" w:themeColor="accent1"/>
          <w:bottom w:val="single" w:sz="8" w:space="0" w:color="549E39" w:themeColor="accent1"/>
          <w:right w:val="single" w:sz="8" w:space="0" w:color="549E39" w:themeColor="accent1"/>
        </w:tcBorders>
      </w:tcPr>
    </w:tblStylePr>
    <w:tblStylePr w:type="band1Horz">
      <w:tblPr/>
      <w:tcPr>
        <w:tcBorders>
          <w:top w:val="single" w:sz="8" w:space="0" w:color="549E39" w:themeColor="accent1"/>
          <w:left w:val="single" w:sz="8" w:space="0" w:color="549E39" w:themeColor="accent1"/>
          <w:bottom w:val="single" w:sz="8" w:space="0" w:color="549E39" w:themeColor="accent1"/>
          <w:right w:val="single" w:sz="8" w:space="0" w:color="549E39"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8AB833" w:themeColor="accent2"/>
        <w:left w:val="single" w:sz="8" w:space="0" w:color="8AB833" w:themeColor="accent2"/>
        <w:bottom w:val="single" w:sz="8" w:space="0" w:color="8AB833" w:themeColor="accent2"/>
        <w:right w:val="single" w:sz="8" w:space="0" w:color="8AB833" w:themeColor="accent2"/>
      </w:tblBorders>
    </w:tblPr>
    <w:tblStylePr w:type="firstRow">
      <w:pPr>
        <w:spacing w:before="0" w:after="0" w:line="240" w:lineRule="auto"/>
      </w:pPr>
      <w:rPr>
        <w:b/>
        <w:bCs/>
        <w:color w:val="FFFFFF" w:themeColor="background1"/>
      </w:rPr>
      <w:tblPr/>
      <w:tcPr>
        <w:shd w:val="clear" w:color="auto" w:fill="8AB833" w:themeFill="accent2"/>
      </w:tcPr>
    </w:tblStylePr>
    <w:tblStylePr w:type="lastRow">
      <w:pPr>
        <w:spacing w:before="0" w:after="0" w:line="240" w:lineRule="auto"/>
      </w:pPr>
      <w:rPr>
        <w:b/>
        <w:bCs/>
      </w:rPr>
      <w:tblPr/>
      <w:tcPr>
        <w:tcBorders>
          <w:top w:val="double" w:sz="6" w:space="0" w:color="8AB833" w:themeColor="accent2"/>
          <w:left w:val="single" w:sz="8" w:space="0" w:color="8AB833" w:themeColor="accent2"/>
          <w:bottom w:val="single" w:sz="8" w:space="0" w:color="8AB833" w:themeColor="accent2"/>
          <w:right w:val="single" w:sz="8" w:space="0" w:color="8AB833" w:themeColor="accent2"/>
        </w:tcBorders>
      </w:tcPr>
    </w:tblStylePr>
    <w:tblStylePr w:type="firstCol">
      <w:rPr>
        <w:b/>
        <w:bCs/>
      </w:rPr>
    </w:tblStylePr>
    <w:tblStylePr w:type="lastCol">
      <w:rPr>
        <w:b/>
        <w:bCs/>
      </w:rPr>
    </w:tblStylePr>
    <w:tblStylePr w:type="band1Vert">
      <w:tblPr/>
      <w:tcPr>
        <w:tcBorders>
          <w:top w:val="single" w:sz="8" w:space="0" w:color="8AB833" w:themeColor="accent2"/>
          <w:left w:val="single" w:sz="8" w:space="0" w:color="8AB833" w:themeColor="accent2"/>
          <w:bottom w:val="single" w:sz="8" w:space="0" w:color="8AB833" w:themeColor="accent2"/>
          <w:right w:val="single" w:sz="8" w:space="0" w:color="8AB833" w:themeColor="accent2"/>
        </w:tcBorders>
      </w:tcPr>
    </w:tblStylePr>
    <w:tblStylePr w:type="band1Horz">
      <w:tblPr/>
      <w:tcPr>
        <w:tcBorders>
          <w:top w:val="single" w:sz="8" w:space="0" w:color="8AB833" w:themeColor="accent2"/>
          <w:left w:val="single" w:sz="8" w:space="0" w:color="8AB833" w:themeColor="accent2"/>
          <w:bottom w:val="single" w:sz="8" w:space="0" w:color="8AB833" w:themeColor="accent2"/>
          <w:right w:val="single" w:sz="8" w:space="0" w:color="8AB833"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C0CF3A" w:themeColor="accent3"/>
        <w:left w:val="single" w:sz="8" w:space="0" w:color="C0CF3A" w:themeColor="accent3"/>
        <w:bottom w:val="single" w:sz="8" w:space="0" w:color="C0CF3A" w:themeColor="accent3"/>
        <w:right w:val="single" w:sz="8" w:space="0" w:color="C0CF3A" w:themeColor="accent3"/>
      </w:tblBorders>
    </w:tblPr>
    <w:tblStylePr w:type="firstRow">
      <w:pPr>
        <w:spacing w:before="0" w:after="0" w:line="240" w:lineRule="auto"/>
      </w:pPr>
      <w:rPr>
        <w:b/>
        <w:bCs/>
        <w:color w:val="FFFFFF" w:themeColor="background1"/>
      </w:rPr>
      <w:tblPr/>
      <w:tcPr>
        <w:shd w:val="clear" w:color="auto" w:fill="C0CF3A" w:themeFill="accent3"/>
      </w:tcPr>
    </w:tblStylePr>
    <w:tblStylePr w:type="lastRow">
      <w:pPr>
        <w:spacing w:before="0" w:after="0" w:line="240" w:lineRule="auto"/>
      </w:pPr>
      <w:rPr>
        <w:b/>
        <w:bCs/>
      </w:rPr>
      <w:tblPr/>
      <w:tcPr>
        <w:tcBorders>
          <w:top w:val="double" w:sz="6" w:space="0" w:color="C0CF3A" w:themeColor="accent3"/>
          <w:left w:val="single" w:sz="8" w:space="0" w:color="C0CF3A" w:themeColor="accent3"/>
          <w:bottom w:val="single" w:sz="8" w:space="0" w:color="C0CF3A" w:themeColor="accent3"/>
          <w:right w:val="single" w:sz="8" w:space="0" w:color="C0CF3A" w:themeColor="accent3"/>
        </w:tcBorders>
      </w:tcPr>
    </w:tblStylePr>
    <w:tblStylePr w:type="firstCol">
      <w:rPr>
        <w:b/>
        <w:bCs/>
      </w:rPr>
    </w:tblStylePr>
    <w:tblStylePr w:type="lastCol">
      <w:rPr>
        <w:b/>
        <w:bCs/>
      </w:rPr>
    </w:tblStylePr>
    <w:tblStylePr w:type="band1Vert">
      <w:tblPr/>
      <w:tcPr>
        <w:tcBorders>
          <w:top w:val="single" w:sz="8" w:space="0" w:color="C0CF3A" w:themeColor="accent3"/>
          <w:left w:val="single" w:sz="8" w:space="0" w:color="C0CF3A" w:themeColor="accent3"/>
          <w:bottom w:val="single" w:sz="8" w:space="0" w:color="C0CF3A" w:themeColor="accent3"/>
          <w:right w:val="single" w:sz="8" w:space="0" w:color="C0CF3A" w:themeColor="accent3"/>
        </w:tcBorders>
      </w:tcPr>
    </w:tblStylePr>
    <w:tblStylePr w:type="band1Horz">
      <w:tblPr/>
      <w:tcPr>
        <w:tcBorders>
          <w:top w:val="single" w:sz="8" w:space="0" w:color="C0CF3A" w:themeColor="accent3"/>
          <w:left w:val="single" w:sz="8" w:space="0" w:color="C0CF3A" w:themeColor="accent3"/>
          <w:bottom w:val="single" w:sz="8" w:space="0" w:color="C0CF3A" w:themeColor="accent3"/>
          <w:right w:val="single" w:sz="8" w:space="0" w:color="C0CF3A"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29676" w:themeColor="accent4"/>
        <w:left w:val="single" w:sz="8" w:space="0" w:color="029676" w:themeColor="accent4"/>
        <w:bottom w:val="single" w:sz="8" w:space="0" w:color="029676" w:themeColor="accent4"/>
        <w:right w:val="single" w:sz="8" w:space="0" w:color="029676" w:themeColor="accent4"/>
      </w:tblBorders>
    </w:tblPr>
    <w:tblStylePr w:type="firstRow">
      <w:pPr>
        <w:spacing w:before="0" w:after="0" w:line="240" w:lineRule="auto"/>
      </w:pPr>
      <w:rPr>
        <w:b/>
        <w:bCs/>
        <w:color w:val="FFFFFF" w:themeColor="background1"/>
      </w:rPr>
      <w:tblPr/>
      <w:tcPr>
        <w:shd w:val="clear" w:color="auto" w:fill="029676" w:themeFill="accent4"/>
      </w:tcPr>
    </w:tblStylePr>
    <w:tblStylePr w:type="lastRow">
      <w:pPr>
        <w:spacing w:before="0" w:after="0" w:line="240" w:lineRule="auto"/>
      </w:pPr>
      <w:rPr>
        <w:b/>
        <w:bCs/>
      </w:rPr>
      <w:tblPr/>
      <w:tcPr>
        <w:tcBorders>
          <w:top w:val="double" w:sz="6" w:space="0" w:color="029676" w:themeColor="accent4"/>
          <w:left w:val="single" w:sz="8" w:space="0" w:color="029676" w:themeColor="accent4"/>
          <w:bottom w:val="single" w:sz="8" w:space="0" w:color="029676" w:themeColor="accent4"/>
          <w:right w:val="single" w:sz="8" w:space="0" w:color="029676" w:themeColor="accent4"/>
        </w:tcBorders>
      </w:tcPr>
    </w:tblStylePr>
    <w:tblStylePr w:type="firstCol">
      <w:rPr>
        <w:b/>
        <w:bCs/>
      </w:rPr>
    </w:tblStylePr>
    <w:tblStylePr w:type="lastCol">
      <w:rPr>
        <w:b/>
        <w:bCs/>
      </w:rPr>
    </w:tblStylePr>
    <w:tblStylePr w:type="band1Vert">
      <w:tblPr/>
      <w:tcPr>
        <w:tcBorders>
          <w:top w:val="single" w:sz="8" w:space="0" w:color="029676" w:themeColor="accent4"/>
          <w:left w:val="single" w:sz="8" w:space="0" w:color="029676" w:themeColor="accent4"/>
          <w:bottom w:val="single" w:sz="8" w:space="0" w:color="029676" w:themeColor="accent4"/>
          <w:right w:val="single" w:sz="8" w:space="0" w:color="029676" w:themeColor="accent4"/>
        </w:tcBorders>
      </w:tcPr>
    </w:tblStylePr>
    <w:tblStylePr w:type="band1Horz">
      <w:tblPr/>
      <w:tcPr>
        <w:tcBorders>
          <w:top w:val="single" w:sz="8" w:space="0" w:color="029676" w:themeColor="accent4"/>
          <w:left w:val="single" w:sz="8" w:space="0" w:color="029676" w:themeColor="accent4"/>
          <w:bottom w:val="single" w:sz="8" w:space="0" w:color="029676" w:themeColor="accent4"/>
          <w:right w:val="single" w:sz="8" w:space="0" w:color="029676"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AB5C4" w:themeColor="accent5"/>
        <w:left w:val="single" w:sz="8" w:space="0" w:color="4AB5C4" w:themeColor="accent5"/>
        <w:bottom w:val="single" w:sz="8" w:space="0" w:color="4AB5C4" w:themeColor="accent5"/>
        <w:right w:val="single" w:sz="8" w:space="0" w:color="4AB5C4" w:themeColor="accent5"/>
      </w:tblBorders>
    </w:tblPr>
    <w:tblStylePr w:type="firstRow">
      <w:pPr>
        <w:spacing w:before="0" w:after="0" w:line="240" w:lineRule="auto"/>
      </w:pPr>
      <w:rPr>
        <w:b/>
        <w:bCs/>
        <w:color w:val="FFFFFF" w:themeColor="background1"/>
      </w:rPr>
      <w:tblPr/>
      <w:tcPr>
        <w:shd w:val="clear" w:color="auto" w:fill="4AB5C4" w:themeFill="accent5"/>
      </w:tcPr>
    </w:tblStylePr>
    <w:tblStylePr w:type="lastRow">
      <w:pPr>
        <w:spacing w:before="0" w:after="0" w:line="240" w:lineRule="auto"/>
      </w:pPr>
      <w:rPr>
        <w:b/>
        <w:bCs/>
      </w:rPr>
      <w:tblPr/>
      <w:tcPr>
        <w:tcBorders>
          <w:top w:val="double" w:sz="6" w:space="0" w:color="4AB5C4" w:themeColor="accent5"/>
          <w:left w:val="single" w:sz="8" w:space="0" w:color="4AB5C4" w:themeColor="accent5"/>
          <w:bottom w:val="single" w:sz="8" w:space="0" w:color="4AB5C4" w:themeColor="accent5"/>
          <w:right w:val="single" w:sz="8" w:space="0" w:color="4AB5C4" w:themeColor="accent5"/>
        </w:tcBorders>
      </w:tcPr>
    </w:tblStylePr>
    <w:tblStylePr w:type="firstCol">
      <w:rPr>
        <w:b/>
        <w:bCs/>
      </w:rPr>
    </w:tblStylePr>
    <w:tblStylePr w:type="lastCol">
      <w:rPr>
        <w:b/>
        <w:bCs/>
      </w:rPr>
    </w:tblStylePr>
    <w:tblStylePr w:type="band1Vert">
      <w:tblPr/>
      <w:tcPr>
        <w:tcBorders>
          <w:top w:val="single" w:sz="8" w:space="0" w:color="4AB5C4" w:themeColor="accent5"/>
          <w:left w:val="single" w:sz="8" w:space="0" w:color="4AB5C4" w:themeColor="accent5"/>
          <w:bottom w:val="single" w:sz="8" w:space="0" w:color="4AB5C4" w:themeColor="accent5"/>
          <w:right w:val="single" w:sz="8" w:space="0" w:color="4AB5C4" w:themeColor="accent5"/>
        </w:tcBorders>
      </w:tcPr>
    </w:tblStylePr>
    <w:tblStylePr w:type="band1Horz">
      <w:tblPr/>
      <w:tcPr>
        <w:tcBorders>
          <w:top w:val="single" w:sz="8" w:space="0" w:color="4AB5C4" w:themeColor="accent5"/>
          <w:left w:val="single" w:sz="8" w:space="0" w:color="4AB5C4" w:themeColor="accent5"/>
          <w:bottom w:val="single" w:sz="8" w:space="0" w:color="4AB5C4" w:themeColor="accent5"/>
          <w:right w:val="single" w:sz="8" w:space="0" w:color="4AB5C4"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0989B1" w:themeColor="accent6"/>
        <w:left w:val="single" w:sz="8" w:space="0" w:color="0989B1" w:themeColor="accent6"/>
        <w:bottom w:val="single" w:sz="8" w:space="0" w:color="0989B1" w:themeColor="accent6"/>
        <w:right w:val="single" w:sz="8" w:space="0" w:color="0989B1" w:themeColor="accent6"/>
      </w:tblBorders>
    </w:tblPr>
    <w:tblStylePr w:type="firstRow">
      <w:pPr>
        <w:spacing w:before="0" w:after="0" w:line="240" w:lineRule="auto"/>
      </w:pPr>
      <w:rPr>
        <w:b/>
        <w:bCs/>
        <w:color w:val="FFFFFF" w:themeColor="background1"/>
      </w:rPr>
      <w:tblPr/>
      <w:tcPr>
        <w:shd w:val="clear" w:color="auto" w:fill="0989B1" w:themeFill="accent6"/>
      </w:tcPr>
    </w:tblStylePr>
    <w:tblStylePr w:type="lastRow">
      <w:pPr>
        <w:spacing w:before="0" w:after="0" w:line="240" w:lineRule="auto"/>
      </w:pPr>
      <w:rPr>
        <w:b/>
        <w:bCs/>
      </w:rPr>
      <w:tblPr/>
      <w:tcPr>
        <w:tcBorders>
          <w:top w:val="double" w:sz="6" w:space="0" w:color="0989B1" w:themeColor="accent6"/>
          <w:left w:val="single" w:sz="8" w:space="0" w:color="0989B1" w:themeColor="accent6"/>
          <w:bottom w:val="single" w:sz="8" w:space="0" w:color="0989B1" w:themeColor="accent6"/>
          <w:right w:val="single" w:sz="8" w:space="0" w:color="0989B1" w:themeColor="accent6"/>
        </w:tcBorders>
      </w:tcPr>
    </w:tblStylePr>
    <w:tblStylePr w:type="firstCol">
      <w:rPr>
        <w:b/>
        <w:bCs/>
      </w:rPr>
    </w:tblStylePr>
    <w:tblStylePr w:type="lastCol">
      <w:rPr>
        <w:b/>
        <w:bCs/>
      </w:rPr>
    </w:tblStylePr>
    <w:tblStylePr w:type="band1Vert">
      <w:tblPr/>
      <w:tcPr>
        <w:tcBorders>
          <w:top w:val="single" w:sz="8" w:space="0" w:color="0989B1" w:themeColor="accent6"/>
          <w:left w:val="single" w:sz="8" w:space="0" w:color="0989B1" w:themeColor="accent6"/>
          <w:bottom w:val="single" w:sz="8" w:space="0" w:color="0989B1" w:themeColor="accent6"/>
          <w:right w:val="single" w:sz="8" w:space="0" w:color="0989B1" w:themeColor="accent6"/>
        </w:tcBorders>
      </w:tcPr>
    </w:tblStylePr>
    <w:tblStylePr w:type="band1Horz">
      <w:tblPr/>
      <w:tcPr>
        <w:tcBorders>
          <w:top w:val="single" w:sz="8" w:space="0" w:color="0989B1" w:themeColor="accent6"/>
          <w:left w:val="single" w:sz="8" w:space="0" w:color="0989B1" w:themeColor="accent6"/>
          <w:bottom w:val="single" w:sz="8" w:space="0" w:color="0989B1" w:themeColor="accent6"/>
          <w:right w:val="single" w:sz="8" w:space="0" w:color="0989B1"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549E39" w:themeColor="accent1"/>
        <w:left w:val="single" w:sz="8" w:space="0" w:color="549E39" w:themeColor="accent1"/>
        <w:bottom w:val="single" w:sz="8" w:space="0" w:color="549E39" w:themeColor="accent1"/>
        <w:right w:val="single" w:sz="8" w:space="0" w:color="549E39" w:themeColor="accent1"/>
        <w:insideH w:val="single" w:sz="8" w:space="0" w:color="549E39" w:themeColor="accent1"/>
        <w:insideV w:val="single" w:sz="8" w:space="0" w:color="549E39"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49E39" w:themeColor="accent1"/>
          <w:left w:val="single" w:sz="8" w:space="0" w:color="549E39" w:themeColor="accent1"/>
          <w:bottom w:val="single" w:sz="18" w:space="0" w:color="549E39" w:themeColor="accent1"/>
          <w:right w:val="single" w:sz="8" w:space="0" w:color="549E39" w:themeColor="accent1"/>
          <w:insideH w:val="nil"/>
          <w:insideV w:val="single" w:sz="8" w:space="0" w:color="549E39"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49E39" w:themeColor="accent1"/>
          <w:left w:val="single" w:sz="8" w:space="0" w:color="549E39" w:themeColor="accent1"/>
          <w:bottom w:val="single" w:sz="8" w:space="0" w:color="549E39" w:themeColor="accent1"/>
          <w:right w:val="single" w:sz="8" w:space="0" w:color="549E39" w:themeColor="accent1"/>
          <w:insideH w:val="nil"/>
          <w:insideV w:val="single" w:sz="8" w:space="0" w:color="549E39"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49E39" w:themeColor="accent1"/>
          <w:left w:val="single" w:sz="8" w:space="0" w:color="549E39" w:themeColor="accent1"/>
          <w:bottom w:val="single" w:sz="8" w:space="0" w:color="549E39" w:themeColor="accent1"/>
          <w:right w:val="single" w:sz="8" w:space="0" w:color="549E39" w:themeColor="accent1"/>
        </w:tcBorders>
      </w:tcPr>
    </w:tblStylePr>
    <w:tblStylePr w:type="band1Vert">
      <w:tblPr/>
      <w:tcPr>
        <w:tcBorders>
          <w:top w:val="single" w:sz="8" w:space="0" w:color="549E39" w:themeColor="accent1"/>
          <w:left w:val="single" w:sz="8" w:space="0" w:color="549E39" w:themeColor="accent1"/>
          <w:bottom w:val="single" w:sz="8" w:space="0" w:color="549E39" w:themeColor="accent1"/>
          <w:right w:val="single" w:sz="8" w:space="0" w:color="549E39" w:themeColor="accent1"/>
        </w:tcBorders>
        <w:shd w:val="clear" w:color="auto" w:fill="D2EBC9" w:themeFill="accent1" w:themeFillTint="3F"/>
      </w:tcPr>
    </w:tblStylePr>
    <w:tblStylePr w:type="band1Horz">
      <w:tblPr/>
      <w:tcPr>
        <w:tcBorders>
          <w:top w:val="single" w:sz="8" w:space="0" w:color="549E39" w:themeColor="accent1"/>
          <w:left w:val="single" w:sz="8" w:space="0" w:color="549E39" w:themeColor="accent1"/>
          <w:bottom w:val="single" w:sz="8" w:space="0" w:color="549E39" w:themeColor="accent1"/>
          <w:right w:val="single" w:sz="8" w:space="0" w:color="549E39" w:themeColor="accent1"/>
          <w:insideV w:val="single" w:sz="8" w:space="0" w:color="549E39" w:themeColor="accent1"/>
        </w:tcBorders>
        <w:shd w:val="clear" w:color="auto" w:fill="D2EBC9" w:themeFill="accent1" w:themeFillTint="3F"/>
      </w:tcPr>
    </w:tblStylePr>
    <w:tblStylePr w:type="band2Horz">
      <w:tblPr/>
      <w:tcPr>
        <w:tcBorders>
          <w:top w:val="single" w:sz="8" w:space="0" w:color="549E39" w:themeColor="accent1"/>
          <w:left w:val="single" w:sz="8" w:space="0" w:color="549E39" w:themeColor="accent1"/>
          <w:bottom w:val="single" w:sz="8" w:space="0" w:color="549E39" w:themeColor="accent1"/>
          <w:right w:val="single" w:sz="8" w:space="0" w:color="549E39" w:themeColor="accent1"/>
          <w:insideV w:val="single" w:sz="8" w:space="0" w:color="549E39"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8AB833" w:themeColor="accent2"/>
        <w:left w:val="single" w:sz="8" w:space="0" w:color="8AB833" w:themeColor="accent2"/>
        <w:bottom w:val="single" w:sz="8" w:space="0" w:color="8AB833" w:themeColor="accent2"/>
        <w:right w:val="single" w:sz="8" w:space="0" w:color="8AB833" w:themeColor="accent2"/>
        <w:insideH w:val="single" w:sz="8" w:space="0" w:color="8AB833" w:themeColor="accent2"/>
        <w:insideV w:val="single" w:sz="8" w:space="0" w:color="8AB833"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AB833" w:themeColor="accent2"/>
          <w:left w:val="single" w:sz="8" w:space="0" w:color="8AB833" w:themeColor="accent2"/>
          <w:bottom w:val="single" w:sz="18" w:space="0" w:color="8AB833" w:themeColor="accent2"/>
          <w:right w:val="single" w:sz="8" w:space="0" w:color="8AB833" w:themeColor="accent2"/>
          <w:insideH w:val="nil"/>
          <w:insideV w:val="single" w:sz="8" w:space="0" w:color="8AB833"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AB833" w:themeColor="accent2"/>
          <w:left w:val="single" w:sz="8" w:space="0" w:color="8AB833" w:themeColor="accent2"/>
          <w:bottom w:val="single" w:sz="8" w:space="0" w:color="8AB833" w:themeColor="accent2"/>
          <w:right w:val="single" w:sz="8" w:space="0" w:color="8AB833" w:themeColor="accent2"/>
          <w:insideH w:val="nil"/>
          <w:insideV w:val="single" w:sz="8" w:space="0" w:color="8AB833"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AB833" w:themeColor="accent2"/>
          <w:left w:val="single" w:sz="8" w:space="0" w:color="8AB833" w:themeColor="accent2"/>
          <w:bottom w:val="single" w:sz="8" w:space="0" w:color="8AB833" w:themeColor="accent2"/>
          <w:right w:val="single" w:sz="8" w:space="0" w:color="8AB833" w:themeColor="accent2"/>
        </w:tcBorders>
      </w:tcPr>
    </w:tblStylePr>
    <w:tblStylePr w:type="band1Vert">
      <w:tblPr/>
      <w:tcPr>
        <w:tcBorders>
          <w:top w:val="single" w:sz="8" w:space="0" w:color="8AB833" w:themeColor="accent2"/>
          <w:left w:val="single" w:sz="8" w:space="0" w:color="8AB833" w:themeColor="accent2"/>
          <w:bottom w:val="single" w:sz="8" w:space="0" w:color="8AB833" w:themeColor="accent2"/>
          <w:right w:val="single" w:sz="8" w:space="0" w:color="8AB833" w:themeColor="accent2"/>
        </w:tcBorders>
        <w:shd w:val="clear" w:color="auto" w:fill="E2F0C9" w:themeFill="accent2" w:themeFillTint="3F"/>
      </w:tcPr>
    </w:tblStylePr>
    <w:tblStylePr w:type="band1Horz">
      <w:tblPr/>
      <w:tcPr>
        <w:tcBorders>
          <w:top w:val="single" w:sz="8" w:space="0" w:color="8AB833" w:themeColor="accent2"/>
          <w:left w:val="single" w:sz="8" w:space="0" w:color="8AB833" w:themeColor="accent2"/>
          <w:bottom w:val="single" w:sz="8" w:space="0" w:color="8AB833" w:themeColor="accent2"/>
          <w:right w:val="single" w:sz="8" w:space="0" w:color="8AB833" w:themeColor="accent2"/>
          <w:insideV w:val="single" w:sz="8" w:space="0" w:color="8AB833" w:themeColor="accent2"/>
        </w:tcBorders>
        <w:shd w:val="clear" w:color="auto" w:fill="E2F0C9" w:themeFill="accent2" w:themeFillTint="3F"/>
      </w:tcPr>
    </w:tblStylePr>
    <w:tblStylePr w:type="band2Horz">
      <w:tblPr/>
      <w:tcPr>
        <w:tcBorders>
          <w:top w:val="single" w:sz="8" w:space="0" w:color="8AB833" w:themeColor="accent2"/>
          <w:left w:val="single" w:sz="8" w:space="0" w:color="8AB833" w:themeColor="accent2"/>
          <w:bottom w:val="single" w:sz="8" w:space="0" w:color="8AB833" w:themeColor="accent2"/>
          <w:right w:val="single" w:sz="8" w:space="0" w:color="8AB833" w:themeColor="accent2"/>
          <w:insideV w:val="single" w:sz="8" w:space="0" w:color="8AB833"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C0CF3A" w:themeColor="accent3"/>
        <w:left w:val="single" w:sz="8" w:space="0" w:color="C0CF3A" w:themeColor="accent3"/>
        <w:bottom w:val="single" w:sz="8" w:space="0" w:color="C0CF3A" w:themeColor="accent3"/>
        <w:right w:val="single" w:sz="8" w:space="0" w:color="C0CF3A" w:themeColor="accent3"/>
        <w:insideH w:val="single" w:sz="8" w:space="0" w:color="C0CF3A" w:themeColor="accent3"/>
        <w:insideV w:val="single" w:sz="8" w:space="0" w:color="C0CF3A"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CF3A" w:themeColor="accent3"/>
          <w:left w:val="single" w:sz="8" w:space="0" w:color="C0CF3A" w:themeColor="accent3"/>
          <w:bottom w:val="single" w:sz="18" w:space="0" w:color="C0CF3A" w:themeColor="accent3"/>
          <w:right w:val="single" w:sz="8" w:space="0" w:color="C0CF3A" w:themeColor="accent3"/>
          <w:insideH w:val="nil"/>
          <w:insideV w:val="single" w:sz="8" w:space="0" w:color="C0CF3A"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CF3A" w:themeColor="accent3"/>
          <w:left w:val="single" w:sz="8" w:space="0" w:color="C0CF3A" w:themeColor="accent3"/>
          <w:bottom w:val="single" w:sz="8" w:space="0" w:color="C0CF3A" w:themeColor="accent3"/>
          <w:right w:val="single" w:sz="8" w:space="0" w:color="C0CF3A" w:themeColor="accent3"/>
          <w:insideH w:val="nil"/>
          <w:insideV w:val="single" w:sz="8" w:space="0" w:color="C0CF3A"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CF3A" w:themeColor="accent3"/>
          <w:left w:val="single" w:sz="8" w:space="0" w:color="C0CF3A" w:themeColor="accent3"/>
          <w:bottom w:val="single" w:sz="8" w:space="0" w:color="C0CF3A" w:themeColor="accent3"/>
          <w:right w:val="single" w:sz="8" w:space="0" w:color="C0CF3A" w:themeColor="accent3"/>
        </w:tcBorders>
      </w:tcPr>
    </w:tblStylePr>
    <w:tblStylePr w:type="band1Vert">
      <w:tblPr/>
      <w:tcPr>
        <w:tcBorders>
          <w:top w:val="single" w:sz="8" w:space="0" w:color="C0CF3A" w:themeColor="accent3"/>
          <w:left w:val="single" w:sz="8" w:space="0" w:color="C0CF3A" w:themeColor="accent3"/>
          <w:bottom w:val="single" w:sz="8" w:space="0" w:color="C0CF3A" w:themeColor="accent3"/>
          <w:right w:val="single" w:sz="8" w:space="0" w:color="C0CF3A" w:themeColor="accent3"/>
        </w:tcBorders>
        <w:shd w:val="clear" w:color="auto" w:fill="EFF3CE" w:themeFill="accent3" w:themeFillTint="3F"/>
      </w:tcPr>
    </w:tblStylePr>
    <w:tblStylePr w:type="band1Horz">
      <w:tblPr/>
      <w:tcPr>
        <w:tcBorders>
          <w:top w:val="single" w:sz="8" w:space="0" w:color="C0CF3A" w:themeColor="accent3"/>
          <w:left w:val="single" w:sz="8" w:space="0" w:color="C0CF3A" w:themeColor="accent3"/>
          <w:bottom w:val="single" w:sz="8" w:space="0" w:color="C0CF3A" w:themeColor="accent3"/>
          <w:right w:val="single" w:sz="8" w:space="0" w:color="C0CF3A" w:themeColor="accent3"/>
          <w:insideV w:val="single" w:sz="8" w:space="0" w:color="C0CF3A" w:themeColor="accent3"/>
        </w:tcBorders>
        <w:shd w:val="clear" w:color="auto" w:fill="EFF3CE" w:themeFill="accent3" w:themeFillTint="3F"/>
      </w:tcPr>
    </w:tblStylePr>
    <w:tblStylePr w:type="band2Horz">
      <w:tblPr/>
      <w:tcPr>
        <w:tcBorders>
          <w:top w:val="single" w:sz="8" w:space="0" w:color="C0CF3A" w:themeColor="accent3"/>
          <w:left w:val="single" w:sz="8" w:space="0" w:color="C0CF3A" w:themeColor="accent3"/>
          <w:bottom w:val="single" w:sz="8" w:space="0" w:color="C0CF3A" w:themeColor="accent3"/>
          <w:right w:val="single" w:sz="8" w:space="0" w:color="C0CF3A" w:themeColor="accent3"/>
          <w:insideV w:val="single" w:sz="8" w:space="0" w:color="C0CF3A"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29676" w:themeColor="accent4"/>
        <w:left w:val="single" w:sz="8" w:space="0" w:color="029676" w:themeColor="accent4"/>
        <w:bottom w:val="single" w:sz="8" w:space="0" w:color="029676" w:themeColor="accent4"/>
        <w:right w:val="single" w:sz="8" w:space="0" w:color="029676" w:themeColor="accent4"/>
        <w:insideH w:val="single" w:sz="8" w:space="0" w:color="029676" w:themeColor="accent4"/>
        <w:insideV w:val="single" w:sz="8" w:space="0" w:color="02967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29676" w:themeColor="accent4"/>
          <w:left w:val="single" w:sz="8" w:space="0" w:color="029676" w:themeColor="accent4"/>
          <w:bottom w:val="single" w:sz="18" w:space="0" w:color="029676" w:themeColor="accent4"/>
          <w:right w:val="single" w:sz="8" w:space="0" w:color="029676" w:themeColor="accent4"/>
          <w:insideH w:val="nil"/>
          <w:insideV w:val="single" w:sz="8" w:space="0" w:color="02967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29676" w:themeColor="accent4"/>
          <w:left w:val="single" w:sz="8" w:space="0" w:color="029676" w:themeColor="accent4"/>
          <w:bottom w:val="single" w:sz="8" w:space="0" w:color="029676" w:themeColor="accent4"/>
          <w:right w:val="single" w:sz="8" w:space="0" w:color="029676" w:themeColor="accent4"/>
          <w:insideH w:val="nil"/>
          <w:insideV w:val="single" w:sz="8" w:space="0" w:color="02967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29676" w:themeColor="accent4"/>
          <w:left w:val="single" w:sz="8" w:space="0" w:color="029676" w:themeColor="accent4"/>
          <w:bottom w:val="single" w:sz="8" w:space="0" w:color="029676" w:themeColor="accent4"/>
          <w:right w:val="single" w:sz="8" w:space="0" w:color="029676" w:themeColor="accent4"/>
        </w:tcBorders>
      </w:tcPr>
    </w:tblStylePr>
    <w:tblStylePr w:type="band1Vert">
      <w:tblPr/>
      <w:tcPr>
        <w:tcBorders>
          <w:top w:val="single" w:sz="8" w:space="0" w:color="029676" w:themeColor="accent4"/>
          <w:left w:val="single" w:sz="8" w:space="0" w:color="029676" w:themeColor="accent4"/>
          <w:bottom w:val="single" w:sz="8" w:space="0" w:color="029676" w:themeColor="accent4"/>
          <w:right w:val="single" w:sz="8" w:space="0" w:color="029676" w:themeColor="accent4"/>
        </w:tcBorders>
        <w:shd w:val="clear" w:color="auto" w:fill="A7FDEA" w:themeFill="accent4" w:themeFillTint="3F"/>
      </w:tcPr>
    </w:tblStylePr>
    <w:tblStylePr w:type="band1Horz">
      <w:tblPr/>
      <w:tcPr>
        <w:tcBorders>
          <w:top w:val="single" w:sz="8" w:space="0" w:color="029676" w:themeColor="accent4"/>
          <w:left w:val="single" w:sz="8" w:space="0" w:color="029676" w:themeColor="accent4"/>
          <w:bottom w:val="single" w:sz="8" w:space="0" w:color="029676" w:themeColor="accent4"/>
          <w:right w:val="single" w:sz="8" w:space="0" w:color="029676" w:themeColor="accent4"/>
          <w:insideV w:val="single" w:sz="8" w:space="0" w:color="029676" w:themeColor="accent4"/>
        </w:tcBorders>
        <w:shd w:val="clear" w:color="auto" w:fill="A7FDEA" w:themeFill="accent4" w:themeFillTint="3F"/>
      </w:tcPr>
    </w:tblStylePr>
    <w:tblStylePr w:type="band2Horz">
      <w:tblPr/>
      <w:tcPr>
        <w:tcBorders>
          <w:top w:val="single" w:sz="8" w:space="0" w:color="029676" w:themeColor="accent4"/>
          <w:left w:val="single" w:sz="8" w:space="0" w:color="029676" w:themeColor="accent4"/>
          <w:bottom w:val="single" w:sz="8" w:space="0" w:color="029676" w:themeColor="accent4"/>
          <w:right w:val="single" w:sz="8" w:space="0" w:color="029676" w:themeColor="accent4"/>
          <w:insideV w:val="single" w:sz="8" w:space="0" w:color="029676"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AB5C4" w:themeColor="accent5"/>
        <w:left w:val="single" w:sz="8" w:space="0" w:color="4AB5C4" w:themeColor="accent5"/>
        <w:bottom w:val="single" w:sz="8" w:space="0" w:color="4AB5C4" w:themeColor="accent5"/>
        <w:right w:val="single" w:sz="8" w:space="0" w:color="4AB5C4" w:themeColor="accent5"/>
        <w:insideH w:val="single" w:sz="8" w:space="0" w:color="4AB5C4" w:themeColor="accent5"/>
        <w:insideV w:val="single" w:sz="8" w:space="0" w:color="4AB5C4"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AB5C4" w:themeColor="accent5"/>
          <w:left w:val="single" w:sz="8" w:space="0" w:color="4AB5C4" w:themeColor="accent5"/>
          <w:bottom w:val="single" w:sz="18" w:space="0" w:color="4AB5C4" w:themeColor="accent5"/>
          <w:right w:val="single" w:sz="8" w:space="0" w:color="4AB5C4" w:themeColor="accent5"/>
          <w:insideH w:val="nil"/>
          <w:insideV w:val="single" w:sz="8" w:space="0" w:color="4AB5C4"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AB5C4" w:themeColor="accent5"/>
          <w:left w:val="single" w:sz="8" w:space="0" w:color="4AB5C4" w:themeColor="accent5"/>
          <w:bottom w:val="single" w:sz="8" w:space="0" w:color="4AB5C4" w:themeColor="accent5"/>
          <w:right w:val="single" w:sz="8" w:space="0" w:color="4AB5C4" w:themeColor="accent5"/>
          <w:insideH w:val="nil"/>
          <w:insideV w:val="single" w:sz="8" w:space="0" w:color="4AB5C4"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AB5C4" w:themeColor="accent5"/>
          <w:left w:val="single" w:sz="8" w:space="0" w:color="4AB5C4" w:themeColor="accent5"/>
          <w:bottom w:val="single" w:sz="8" w:space="0" w:color="4AB5C4" w:themeColor="accent5"/>
          <w:right w:val="single" w:sz="8" w:space="0" w:color="4AB5C4" w:themeColor="accent5"/>
        </w:tcBorders>
      </w:tcPr>
    </w:tblStylePr>
    <w:tblStylePr w:type="band1Vert">
      <w:tblPr/>
      <w:tcPr>
        <w:tcBorders>
          <w:top w:val="single" w:sz="8" w:space="0" w:color="4AB5C4" w:themeColor="accent5"/>
          <w:left w:val="single" w:sz="8" w:space="0" w:color="4AB5C4" w:themeColor="accent5"/>
          <w:bottom w:val="single" w:sz="8" w:space="0" w:color="4AB5C4" w:themeColor="accent5"/>
          <w:right w:val="single" w:sz="8" w:space="0" w:color="4AB5C4" w:themeColor="accent5"/>
        </w:tcBorders>
        <w:shd w:val="clear" w:color="auto" w:fill="D2ECF0" w:themeFill="accent5" w:themeFillTint="3F"/>
      </w:tcPr>
    </w:tblStylePr>
    <w:tblStylePr w:type="band1Horz">
      <w:tblPr/>
      <w:tcPr>
        <w:tcBorders>
          <w:top w:val="single" w:sz="8" w:space="0" w:color="4AB5C4" w:themeColor="accent5"/>
          <w:left w:val="single" w:sz="8" w:space="0" w:color="4AB5C4" w:themeColor="accent5"/>
          <w:bottom w:val="single" w:sz="8" w:space="0" w:color="4AB5C4" w:themeColor="accent5"/>
          <w:right w:val="single" w:sz="8" w:space="0" w:color="4AB5C4" w:themeColor="accent5"/>
          <w:insideV w:val="single" w:sz="8" w:space="0" w:color="4AB5C4" w:themeColor="accent5"/>
        </w:tcBorders>
        <w:shd w:val="clear" w:color="auto" w:fill="D2ECF0" w:themeFill="accent5" w:themeFillTint="3F"/>
      </w:tcPr>
    </w:tblStylePr>
    <w:tblStylePr w:type="band2Horz">
      <w:tblPr/>
      <w:tcPr>
        <w:tcBorders>
          <w:top w:val="single" w:sz="8" w:space="0" w:color="4AB5C4" w:themeColor="accent5"/>
          <w:left w:val="single" w:sz="8" w:space="0" w:color="4AB5C4" w:themeColor="accent5"/>
          <w:bottom w:val="single" w:sz="8" w:space="0" w:color="4AB5C4" w:themeColor="accent5"/>
          <w:right w:val="single" w:sz="8" w:space="0" w:color="4AB5C4" w:themeColor="accent5"/>
          <w:insideV w:val="single" w:sz="8" w:space="0" w:color="4AB5C4"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0989B1" w:themeColor="accent6"/>
        <w:left w:val="single" w:sz="8" w:space="0" w:color="0989B1" w:themeColor="accent6"/>
        <w:bottom w:val="single" w:sz="8" w:space="0" w:color="0989B1" w:themeColor="accent6"/>
        <w:right w:val="single" w:sz="8" w:space="0" w:color="0989B1" w:themeColor="accent6"/>
        <w:insideH w:val="single" w:sz="8" w:space="0" w:color="0989B1" w:themeColor="accent6"/>
        <w:insideV w:val="single" w:sz="8" w:space="0" w:color="0989B1"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989B1" w:themeColor="accent6"/>
          <w:left w:val="single" w:sz="8" w:space="0" w:color="0989B1" w:themeColor="accent6"/>
          <w:bottom w:val="single" w:sz="18" w:space="0" w:color="0989B1" w:themeColor="accent6"/>
          <w:right w:val="single" w:sz="8" w:space="0" w:color="0989B1" w:themeColor="accent6"/>
          <w:insideH w:val="nil"/>
          <w:insideV w:val="single" w:sz="8" w:space="0" w:color="0989B1"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989B1" w:themeColor="accent6"/>
          <w:left w:val="single" w:sz="8" w:space="0" w:color="0989B1" w:themeColor="accent6"/>
          <w:bottom w:val="single" w:sz="8" w:space="0" w:color="0989B1" w:themeColor="accent6"/>
          <w:right w:val="single" w:sz="8" w:space="0" w:color="0989B1" w:themeColor="accent6"/>
          <w:insideH w:val="nil"/>
          <w:insideV w:val="single" w:sz="8" w:space="0" w:color="0989B1"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989B1" w:themeColor="accent6"/>
          <w:left w:val="single" w:sz="8" w:space="0" w:color="0989B1" w:themeColor="accent6"/>
          <w:bottom w:val="single" w:sz="8" w:space="0" w:color="0989B1" w:themeColor="accent6"/>
          <w:right w:val="single" w:sz="8" w:space="0" w:color="0989B1" w:themeColor="accent6"/>
        </w:tcBorders>
      </w:tcPr>
    </w:tblStylePr>
    <w:tblStylePr w:type="band1Vert">
      <w:tblPr/>
      <w:tcPr>
        <w:tcBorders>
          <w:top w:val="single" w:sz="8" w:space="0" w:color="0989B1" w:themeColor="accent6"/>
          <w:left w:val="single" w:sz="8" w:space="0" w:color="0989B1" w:themeColor="accent6"/>
          <w:bottom w:val="single" w:sz="8" w:space="0" w:color="0989B1" w:themeColor="accent6"/>
          <w:right w:val="single" w:sz="8" w:space="0" w:color="0989B1" w:themeColor="accent6"/>
        </w:tcBorders>
        <w:shd w:val="clear" w:color="auto" w:fill="B2E9FB" w:themeFill="accent6" w:themeFillTint="3F"/>
      </w:tcPr>
    </w:tblStylePr>
    <w:tblStylePr w:type="band1Horz">
      <w:tblPr/>
      <w:tcPr>
        <w:tcBorders>
          <w:top w:val="single" w:sz="8" w:space="0" w:color="0989B1" w:themeColor="accent6"/>
          <w:left w:val="single" w:sz="8" w:space="0" w:color="0989B1" w:themeColor="accent6"/>
          <w:bottom w:val="single" w:sz="8" w:space="0" w:color="0989B1" w:themeColor="accent6"/>
          <w:right w:val="single" w:sz="8" w:space="0" w:color="0989B1" w:themeColor="accent6"/>
          <w:insideV w:val="single" w:sz="8" w:space="0" w:color="0989B1" w:themeColor="accent6"/>
        </w:tcBorders>
        <w:shd w:val="clear" w:color="auto" w:fill="B2E9FB" w:themeFill="accent6" w:themeFillTint="3F"/>
      </w:tcPr>
    </w:tblStylePr>
    <w:tblStylePr w:type="band2Horz">
      <w:tblPr/>
      <w:tcPr>
        <w:tcBorders>
          <w:top w:val="single" w:sz="8" w:space="0" w:color="0989B1" w:themeColor="accent6"/>
          <w:left w:val="single" w:sz="8" w:space="0" w:color="0989B1" w:themeColor="accent6"/>
          <w:bottom w:val="single" w:sz="8" w:space="0" w:color="0989B1" w:themeColor="accent6"/>
          <w:right w:val="single" w:sz="8" w:space="0" w:color="0989B1" w:themeColor="accent6"/>
          <w:insideV w:val="single" w:sz="8" w:space="0" w:color="0989B1"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8C45C" w:themeColor="accent1" w:themeTint="BF"/>
        <w:left w:val="single" w:sz="8" w:space="0" w:color="78C45C" w:themeColor="accent1" w:themeTint="BF"/>
        <w:bottom w:val="single" w:sz="8" w:space="0" w:color="78C45C" w:themeColor="accent1" w:themeTint="BF"/>
        <w:right w:val="single" w:sz="8" w:space="0" w:color="78C45C" w:themeColor="accent1" w:themeTint="BF"/>
        <w:insideH w:val="single" w:sz="8" w:space="0" w:color="78C45C" w:themeColor="accent1" w:themeTint="BF"/>
      </w:tblBorders>
    </w:tblPr>
    <w:tblStylePr w:type="firstRow">
      <w:pPr>
        <w:spacing w:before="0" w:after="0" w:line="240" w:lineRule="auto"/>
      </w:pPr>
      <w:rPr>
        <w:b/>
        <w:bCs/>
        <w:color w:val="FFFFFF" w:themeColor="background1"/>
      </w:rPr>
      <w:tblPr/>
      <w:tcPr>
        <w:tcBorders>
          <w:top w:val="single" w:sz="8" w:space="0" w:color="78C45C" w:themeColor="accent1" w:themeTint="BF"/>
          <w:left w:val="single" w:sz="8" w:space="0" w:color="78C45C" w:themeColor="accent1" w:themeTint="BF"/>
          <w:bottom w:val="single" w:sz="8" w:space="0" w:color="78C45C" w:themeColor="accent1" w:themeTint="BF"/>
          <w:right w:val="single" w:sz="8" w:space="0" w:color="78C45C" w:themeColor="accent1" w:themeTint="BF"/>
          <w:insideH w:val="nil"/>
          <w:insideV w:val="nil"/>
        </w:tcBorders>
        <w:shd w:val="clear" w:color="auto" w:fill="549E39" w:themeFill="accent1"/>
      </w:tcPr>
    </w:tblStylePr>
    <w:tblStylePr w:type="lastRow">
      <w:pPr>
        <w:spacing w:before="0" w:after="0" w:line="240" w:lineRule="auto"/>
      </w:pPr>
      <w:rPr>
        <w:b/>
        <w:bCs/>
      </w:rPr>
      <w:tblPr/>
      <w:tcPr>
        <w:tcBorders>
          <w:top w:val="double" w:sz="6" w:space="0" w:color="78C45C" w:themeColor="accent1" w:themeTint="BF"/>
          <w:left w:val="single" w:sz="8" w:space="0" w:color="78C45C" w:themeColor="accent1" w:themeTint="BF"/>
          <w:bottom w:val="single" w:sz="8" w:space="0" w:color="78C45C" w:themeColor="accent1" w:themeTint="BF"/>
          <w:right w:val="single" w:sz="8" w:space="0" w:color="78C45C" w:themeColor="accent1" w:themeTint="BF"/>
          <w:insideH w:val="nil"/>
          <w:insideV w:val="nil"/>
        </w:tcBorders>
      </w:tcPr>
    </w:tblStylePr>
    <w:tblStylePr w:type="firstCol">
      <w:rPr>
        <w:b/>
        <w:bCs/>
      </w:rPr>
    </w:tblStylePr>
    <w:tblStylePr w:type="lastCol">
      <w:rPr>
        <w:b/>
        <w:bCs/>
      </w:rPr>
    </w:tblStylePr>
    <w:tblStylePr w:type="band1Vert">
      <w:tblPr/>
      <w:tcPr>
        <w:shd w:val="clear" w:color="auto" w:fill="D2EBC9" w:themeFill="accent1" w:themeFillTint="3F"/>
      </w:tcPr>
    </w:tblStylePr>
    <w:tblStylePr w:type="band1Horz">
      <w:tblPr/>
      <w:tcPr>
        <w:tcBorders>
          <w:insideH w:val="nil"/>
          <w:insideV w:val="nil"/>
        </w:tcBorders>
        <w:shd w:val="clear" w:color="auto" w:fill="D2EBC9"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A9D25D" w:themeColor="accent2" w:themeTint="BF"/>
        <w:left w:val="single" w:sz="8" w:space="0" w:color="A9D25D" w:themeColor="accent2" w:themeTint="BF"/>
        <w:bottom w:val="single" w:sz="8" w:space="0" w:color="A9D25D" w:themeColor="accent2" w:themeTint="BF"/>
        <w:right w:val="single" w:sz="8" w:space="0" w:color="A9D25D" w:themeColor="accent2" w:themeTint="BF"/>
        <w:insideH w:val="single" w:sz="8" w:space="0" w:color="A9D25D" w:themeColor="accent2" w:themeTint="BF"/>
      </w:tblBorders>
    </w:tblPr>
    <w:tblStylePr w:type="firstRow">
      <w:pPr>
        <w:spacing w:before="0" w:after="0" w:line="240" w:lineRule="auto"/>
      </w:pPr>
      <w:rPr>
        <w:b/>
        <w:bCs/>
        <w:color w:val="FFFFFF" w:themeColor="background1"/>
      </w:rPr>
      <w:tblPr/>
      <w:tcPr>
        <w:tcBorders>
          <w:top w:val="single" w:sz="8" w:space="0" w:color="A9D25D" w:themeColor="accent2" w:themeTint="BF"/>
          <w:left w:val="single" w:sz="8" w:space="0" w:color="A9D25D" w:themeColor="accent2" w:themeTint="BF"/>
          <w:bottom w:val="single" w:sz="8" w:space="0" w:color="A9D25D" w:themeColor="accent2" w:themeTint="BF"/>
          <w:right w:val="single" w:sz="8" w:space="0" w:color="A9D25D" w:themeColor="accent2" w:themeTint="BF"/>
          <w:insideH w:val="nil"/>
          <w:insideV w:val="nil"/>
        </w:tcBorders>
        <w:shd w:val="clear" w:color="auto" w:fill="8AB833" w:themeFill="accent2"/>
      </w:tcPr>
    </w:tblStylePr>
    <w:tblStylePr w:type="lastRow">
      <w:pPr>
        <w:spacing w:before="0" w:after="0" w:line="240" w:lineRule="auto"/>
      </w:pPr>
      <w:rPr>
        <w:b/>
        <w:bCs/>
      </w:rPr>
      <w:tblPr/>
      <w:tcPr>
        <w:tcBorders>
          <w:top w:val="double" w:sz="6" w:space="0" w:color="A9D25D" w:themeColor="accent2" w:themeTint="BF"/>
          <w:left w:val="single" w:sz="8" w:space="0" w:color="A9D25D" w:themeColor="accent2" w:themeTint="BF"/>
          <w:bottom w:val="single" w:sz="8" w:space="0" w:color="A9D25D" w:themeColor="accent2" w:themeTint="BF"/>
          <w:right w:val="single" w:sz="8" w:space="0" w:color="A9D25D" w:themeColor="accent2" w:themeTint="BF"/>
          <w:insideH w:val="nil"/>
          <w:insideV w:val="nil"/>
        </w:tcBorders>
      </w:tcPr>
    </w:tblStylePr>
    <w:tblStylePr w:type="firstCol">
      <w:rPr>
        <w:b/>
        <w:bCs/>
      </w:rPr>
    </w:tblStylePr>
    <w:tblStylePr w:type="lastCol">
      <w:rPr>
        <w:b/>
        <w:bCs/>
      </w:rPr>
    </w:tblStylePr>
    <w:tblStylePr w:type="band1Vert">
      <w:tblPr/>
      <w:tcPr>
        <w:shd w:val="clear" w:color="auto" w:fill="E2F0C9" w:themeFill="accent2" w:themeFillTint="3F"/>
      </w:tcPr>
    </w:tblStylePr>
    <w:tblStylePr w:type="band1Horz">
      <w:tblPr/>
      <w:tcPr>
        <w:tcBorders>
          <w:insideH w:val="nil"/>
          <w:insideV w:val="nil"/>
        </w:tcBorders>
        <w:shd w:val="clear" w:color="auto" w:fill="E2F0C9"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CFDB6B" w:themeColor="accent3" w:themeTint="BF"/>
        <w:left w:val="single" w:sz="8" w:space="0" w:color="CFDB6B" w:themeColor="accent3" w:themeTint="BF"/>
        <w:bottom w:val="single" w:sz="8" w:space="0" w:color="CFDB6B" w:themeColor="accent3" w:themeTint="BF"/>
        <w:right w:val="single" w:sz="8" w:space="0" w:color="CFDB6B" w:themeColor="accent3" w:themeTint="BF"/>
        <w:insideH w:val="single" w:sz="8" w:space="0" w:color="CFDB6B" w:themeColor="accent3" w:themeTint="BF"/>
      </w:tblBorders>
    </w:tblPr>
    <w:tblStylePr w:type="firstRow">
      <w:pPr>
        <w:spacing w:before="0" w:after="0" w:line="240" w:lineRule="auto"/>
      </w:pPr>
      <w:rPr>
        <w:b/>
        <w:bCs/>
        <w:color w:val="FFFFFF" w:themeColor="background1"/>
      </w:rPr>
      <w:tblPr/>
      <w:tcPr>
        <w:tcBorders>
          <w:top w:val="single" w:sz="8" w:space="0" w:color="CFDB6B" w:themeColor="accent3" w:themeTint="BF"/>
          <w:left w:val="single" w:sz="8" w:space="0" w:color="CFDB6B" w:themeColor="accent3" w:themeTint="BF"/>
          <w:bottom w:val="single" w:sz="8" w:space="0" w:color="CFDB6B" w:themeColor="accent3" w:themeTint="BF"/>
          <w:right w:val="single" w:sz="8" w:space="0" w:color="CFDB6B" w:themeColor="accent3" w:themeTint="BF"/>
          <w:insideH w:val="nil"/>
          <w:insideV w:val="nil"/>
        </w:tcBorders>
        <w:shd w:val="clear" w:color="auto" w:fill="C0CF3A" w:themeFill="accent3"/>
      </w:tcPr>
    </w:tblStylePr>
    <w:tblStylePr w:type="lastRow">
      <w:pPr>
        <w:spacing w:before="0" w:after="0" w:line="240" w:lineRule="auto"/>
      </w:pPr>
      <w:rPr>
        <w:b/>
        <w:bCs/>
      </w:rPr>
      <w:tblPr/>
      <w:tcPr>
        <w:tcBorders>
          <w:top w:val="double" w:sz="6" w:space="0" w:color="CFDB6B" w:themeColor="accent3" w:themeTint="BF"/>
          <w:left w:val="single" w:sz="8" w:space="0" w:color="CFDB6B" w:themeColor="accent3" w:themeTint="BF"/>
          <w:bottom w:val="single" w:sz="8" w:space="0" w:color="CFDB6B" w:themeColor="accent3" w:themeTint="BF"/>
          <w:right w:val="single" w:sz="8" w:space="0" w:color="CFDB6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FF3CE" w:themeFill="accent3" w:themeFillTint="3F"/>
      </w:tcPr>
    </w:tblStylePr>
    <w:tblStylePr w:type="band1Horz">
      <w:tblPr/>
      <w:tcPr>
        <w:tcBorders>
          <w:insideH w:val="nil"/>
          <w:insideV w:val="nil"/>
        </w:tcBorders>
        <w:shd w:val="clear" w:color="auto" w:fill="EFF3CE"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03EEBA" w:themeColor="accent4" w:themeTint="BF"/>
        <w:left w:val="single" w:sz="8" w:space="0" w:color="03EEBA" w:themeColor="accent4" w:themeTint="BF"/>
        <w:bottom w:val="single" w:sz="8" w:space="0" w:color="03EEBA" w:themeColor="accent4" w:themeTint="BF"/>
        <w:right w:val="single" w:sz="8" w:space="0" w:color="03EEBA" w:themeColor="accent4" w:themeTint="BF"/>
        <w:insideH w:val="single" w:sz="8" w:space="0" w:color="03EEBA" w:themeColor="accent4" w:themeTint="BF"/>
      </w:tblBorders>
    </w:tblPr>
    <w:tblStylePr w:type="firstRow">
      <w:pPr>
        <w:spacing w:before="0" w:after="0" w:line="240" w:lineRule="auto"/>
      </w:pPr>
      <w:rPr>
        <w:b/>
        <w:bCs/>
        <w:color w:val="FFFFFF" w:themeColor="background1"/>
      </w:rPr>
      <w:tblPr/>
      <w:tcPr>
        <w:tcBorders>
          <w:top w:val="single" w:sz="8" w:space="0" w:color="03EEBA" w:themeColor="accent4" w:themeTint="BF"/>
          <w:left w:val="single" w:sz="8" w:space="0" w:color="03EEBA" w:themeColor="accent4" w:themeTint="BF"/>
          <w:bottom w:val="single" w:sz="8" w:space="0" w:color="03EEBA" w:themeColor="accent4" w:themeTint="BF"/>
          <w:right w:val="single" w:sz="8" w:space="0" w:color="03EEBA" w:themeColor="accent4" w:themeTint="BF"/>
          <w:insideH w:val="nil"/>
          <w:insideV w:val="nil"/>
        </w:tcBorders>
        <w:shd w:val="clear" w:color="auto" w:fill="029676" w:themeFill="accent4"/>
      </w:tcPr>
    </w:tblStylePr>
    <w:tblStylePr w:type="lastRow">
      <w:pPr>
        <w:spacing w:before="0" w:after="0" w:line="240" w:lineRule="auto"/>
      </w:pPr>
      <w:rPr>
        <w:b/>
        <w:bCs/>
      </w:rPr>
      <w:tblPr/>
      <w:tcPr>
        <w:tcBorders>
          <w:top w:val="double" w:sz="6" w:space="0" w:color="03EEBA" w:themeColor="accent4" w:themeTint="BF"/>
          <w:left w:val="single" w:sz="8" w:space="0" w:color="03EEBA" w:themeColor="accent4" w:themeTint="BF"/>
          <w:bottom w:val="single" w:sz="8" w:space="0" w:color="03EEBA" w:themeColor="accent4" w:themeTint="BF"/>
          <w:right w:val="single" w:sz="8" w:space="0" w:color="03EEBA" w:themeColor="accent4" w:themeTint="BF"/>
          <w:insideH w:val="nil"/>
          <w:insideV w:val="nil"/>
        </w:tcBorders>
      </w:tcPr>
    </w:tblStylePr>
    <w:tblStylePr w:type="firstCol">
      <w:rPr>
        <w:b/>
        <w:bCs/>
      </w:rPr>
    </w:tblStylePr>
    <w:tblStylePr w:type="lastCol">
      <w:rPr>
        <w:b/>
        <w:bCs/>
      </w:rPr>
    </w:tblStylePr>
    <w:tblStylePr w:type="band1Vert">
      <w:tblPr/>
      <w:tcPr>
        <w:shd w:val="clear" w:color="auto" w:fill="A7FDEA" w:themeFill="accent4" w:themeFillTint="3F"/>
      </w:tcPr>
    </w:tblStylePr>
    <w:tblStylePr w:type="band1Horz">
      <w:tblPr/>
      <w:tcPr>
        <w:tcBorders>
          <w:insideH w:val="nil"/>
          <w:insideV w:val="nil"/>
        </w:tcBorders>
        <w:shd w:val="clear" w:color="auto" w:fill="A7FDE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7C7D2" w:themeColor="accent5" w:themeTint="BF"/>
        <w:left w:val="single" w:sz="8" w:space="0" w:color="77C7D2" w:themeColor="accent5" w:themeTint="BF"/>
        <w:bottom w:val="single" w:sz="8" w:space="0" w:color="77C7D2" w:themeColor="accent5" w:themeTint="BF"/>
        <w:right w:val="single" w:sz="8" w:space="0" w:color="77C7D2" w:themeColor="accent5" w:themeTint="BF"/>
        <w:insideH w:val="single" w:sz="8" w:space="0" w:color="77C7D2" w:themeColor="accent5" w:themeTint="BF"/>
      </w:tblBorders>
    </w:tblPr>
    <w:tblStylePr w:type="firstRow">
      <w:pPr>
        <w:spacing w:before="0" w:after="0" w:line="240" w:lineRule="auto"/>
      </w:pPr>
      <w:rPr>
        <w:b/>
        <w:bCs/>
        <w:color w:val="FFFFFF" w:themeColor="background1"/>
      </w:rPr>
      <w:tblPr/>
      <w:tcPr>
        <w:tcBorders>
          <w:top w:val="single" w:sz="8" w:space="0" w:color="77C7D2" w:themeColor="accent5" w:themeTint="BF"/>
          <w:left w:val="single" w:sz="8" w:space="0" w:color="77C7D2" w:themeColor="accent5" w:themeTint="BF"/>
          <w:bottom w:val="single" w:sz="8" w:space="0" w:color="77C7D2" w:themeColor="accent5" w:themeTint="BF"/>
          <w:right w:val="single" w:sz="8" w:space="0" w:color="77C7D2" w:themeColor="accent5" w:themeTint="BF"/>
          <w:insideH w:val="nil"/>
          <w:insideV w:val="nil"/>
        </w:tcBorders>
        <w:shd w:val="clear" w:color="auto" w:fill="4AB5C4" w:themeFill="accent5"/>
      </w:tcPr>
    </w:tblStylePr>
    <w:tblStylePr w:type="lastRow">
      <w:pPr>
        <w:spacing w:before="0" w:after="0" w:line="240" w:lineRule="auto"/>
      </w:pPr>
      <w:rPr>
        <w:b/>
        <w:bCs/>
      </w:rPr>
      <w:tblPr/>
      <w:tcPr>
        <w:tcBorders>
          <w:top w:val="double" w:sz="6" w:space="0" w:color="77C7D2" w:themeColor="accent5" w:themeTint="BF"/>
          <w:left w:val="single" w:sz="8" w:space="0" w:color="77C7D2" w:themeColor="accent5" w:themeTint="BF"/>
          <w:bottom w:val="single" w:sz="8" w:space="0" w:color="77C7D2" w:themeColor="accent5" w:themeTint="BF"/>
          <w:right w:val="single" w:sz="8" w:space="0" w:color="77C7D2"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CF0" w:themeFill="accent5" w:themeFillTint="3F"/>
      </w:tcPr>
    </w:tblStylePr>
    <w:tblStylePr w:type="band1Horz">
      <w:tblPr/>
      <w:tcPr>
        <w:tcBorders>
          <w:insideH w:val="nil"/>
          <w:insideV w:val="nil"/>
        </w:tcBorders>
        <w:shd w:val="clear" w:color="auto" w:fill="D2ECF0"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17BEF3" w:themeColor="accent6" w:themeTint="BF"/>
        <w:left w:val="single" w:sz="8" w:space="0" w:color="17BEF3" w:themeColor="accent6" w:themeTint="BF"/>
        <w:bottom w:val="single" w:sz="8" w:space="0" w:color="17BEF3" w:themeColor="accent6" w:themeTint="BF"/>
        <w:right w:val="single" w:sz="8" w:space="0" w:color="17BEF3" w:themeColor="accent6" w:themeTint="BF"/>
        <w:insideH w:val="single" w:sz="8" w:space="0" w:color="17BEF3" w:themeColor="accent6" w:themeTint="BF"/>
      </w:tblBorders>
    </w:tblPr>
    <w:tblStylePr w:type="firstRow">
      <w:pPr>
        <w:spacing w:before="0" w:after="0" w:line="240" w:lineRule="auto"/>
      </w:pPr>
      <w:rPr>
        <w:b/>
        <w:bCs/>
        <w:color w:val="FFFFFF" w:themeColor="background1"/>
      </w:rPr>
      <w:tblPr/>
      <w:tcPr>
        <w:tcBorders>
          <w:top w:val="single" w:sz="8" w:space="0" w:color="17BEF3" w:themeColor="accent6" w:themeTint="BF"/>
          <w:left w:val="single" w:sz="8" w:space="0" w:color="17BEF3" w:themeColor="accent6" w:themeTint="BF"/>
          <w:bottom w:val="single" w:sz="8" w:space="0" w:color="17BEF3" w:themeColor="accent6" w:themeTint="BF"/>
          <w:right w:val="single" w:sz="8" w:space="0" w:color="17BEF3" w:themeColor="accent6" w:themeTint="BF"/>
          <w:insideH w:val="nil"/>
          <w:insideV w:val="nil"/>
        </w:tcBorders>
        <w:shd w:val="clear" w:color="auto" w:fill="0989B1" w:themeFill="accent6"/>
      </w:tcPr>
    </w:tblStylePr>
    <w:tblStylePr w:type="lastRow">
      <w:pPr>
        <w:spacing w:before="0" w:after="0" w:line="240" w:lineRule="auto"/>
      </w:pPr>
      <w:rPr>
        <w:b/>
        <w:bCs/>
      </w:rPr>
      <w:tblPr/>
      <w:tcPr>
        <w:tcBorders>
          <w:top w:val="double" w:sz="6" w:space="0" w:color="17BEF3" w:themeColor="accent6" w:themeTint="BF"/>
          <w:left w:val="single" w:sz="8" w:space="0" w:color="17BEF3" w:themeColor="accent6" w:themeTint="BF"/>
          <w:bottom w:val="single" w:sz="8" w:space="0" w:color="17BEF3" w:themeColor="accent6" w:themeTint="BF"/>
          <w:right w:val="single" w:sz="8" w:space="0" w:color="17BEF3" w:themeColor="accent6" w:themeTint="BF"/>
          <w:insideH w:val="nil"/>
          <w:insideV w:val="nil"/>
        </w:tcBorders>
      </w:tcPr>
    </w:tblStylePr>
    <w:tblStylePr w:type="firstCol">
      <w:rPr>
        <w:b/>
        <w:bCs/>
      </w:rPr>
    </w:tblStylePr>
    <w:tblStylePr w:type="lastCol">
      <w:rPr>
        <w:b/>
        <w:bCs/>
      </w:rPr>
    </w:tblStylePr>
    <w:tblStylePr w:type="band1Vert">
      <w:tblPr/>
      <w:tcPr>
        <w:shd w:val="clear" w:color="auto" w:fill="B2E9FB" w:themeFill="accent6" w:themeFillTint="3F"/>
      </w:tcPr>
    </w:tblStylePr>
    <w:tblStylePr w:type="band1Horz">
      <w:tblPr/>
      <w:tcPr>
        <w:tcBorders>
          <w:insideH w:val="nil"/>
          <w:insideV w:val="nil"/>
        </w:tcBorders>
        <w:shd w:val="clear" w:color="auto" w:fill="B2E9FB"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49E39"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49E39" w:themeFill="accent1"/>
      </w:tcPr>
    </w:tblStylePr>
    <w:tblStylePr w:type="lastCol">
      <w:rPr>
        <w:b/>
        <w:bCs/>
        <w:color w:val="FFFFFF" w:themeColor="background1"/>
      </w:rPr>
      <w:tblPr/>
      <w:tcPr>
        <w:tcBorders>
          <w:left w:val="nil"/>
          <w:right w:val="nil"/>
          <w:insideH w:val="nil"/>
          <w:insideV w:val="nil"/>
        </w:tcBorders>
        <w:shd w:val="clear" w:color="auto" w:fill="549E39"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AB833"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AB833" w:themeFill="accent2"/>
      </w:tcPr>
    </w:tblStylePr>
    <w:tblStylePr w:type="lastCol">
      <w:rPr>
        <w:b/>
        <w:bCs/>
        <w:color w:val="FFFFFF" w:themeColor="background1"/>
      </w:rPr>
      <w:tblPr/>
      <w:tcPr>
        <w:tcBorders>
          <w:left w:val="nil"/>
          <w:right w:val="nil"/>
          <w:insideH w:val="nil"/>
          <w:insideV w:val="nil"/>
        </w:tcBorders>
        <w:shd w:val="clear" w:color="auto" w:fill="8AB833"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CF3A"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CF3A" w:themeFill="accent3"/>
      </w:tcPr>
    </w:tblStylePr>
    <w:tblStylePr w:type="lastCol">
      <w:rPr>
        <w:b/>
        <w:bCs/>
        <w:color w:val="FFFFFF" w:themeColor="background1"/>
      </w:rPr>
      <w:tblPr/>
      <w:tcPr>
        <w:tcBorders>
          <w:left w:val="nil"/>
          <w:right w:val="nil"/>
          <w:insideH w:val="nil"/>
          <w:insideV w:val="nil"/>
        </w:tcBorders>
        <w:shd w:val="clear" w:color="auto" w:fill="C0CF3A"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2967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29676" w:themeFill="accent4"/>
      </w:tcPr>
    </w:tblStylePr>
    <w:tblStylePr w:type="lastCol">
      <w:rPr>
        <w:b/>
        <w:bCs/>
        <w:color w:val="FFFFFF" w:themeColor="background1"/>
      </w:rPr>
      <w:tblPr/>
      <w:tcPr>
        <w:tcBorders>
          <w:left w:val="nil"/>
          <w:right w:val="nil"/>
          <w:insideH w:val="nil"/>
          <w:insideV w:val="nil"/>
        </w:tcBorders>
        <w:shd w:val="clear" w:color="auto" w:fill="02967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AB5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AB5C4" w:themeFill="accent5"/>
      </w:tcPr>
    </w:tblStylePr>
    <w:tblStylePr w:type="lastCol">
      <w:rPr>
        <w:b/>
        <w:bCs/>
        <w:color w:val="FFFFFF" w:themeColor="background1"/>
      </w:rPr>
      <w:tblPr/>
      <w:tcPr>
        <w:tcBorders>
          <w:left w:val="nil"/>
          <w:right w:val="nil"/>
          <w:insideH w:val="nil"/>
          <w:insideV w:val="nil"/>
        </w:tcBorders>
        <w:shd w:val="clear" w:color="auto" w:fill="4AB5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989B1"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989B1" w:themeFill="accent6"/>
      </w:tcPr>
    </w:tblStylePr>
    <w:tblStylePr w:type="lastCol">
      <w:rPr>
        <w:b/>
        <w:bCs/>
        <w:color w:val="FFFFFF" w:themeColor="background1"/>
      </w:rPr>
      <w:tblPr/>
      <w:tcPr>
        <w:tcBorders>
          <w:left w:val="nil"/>
          <w:right w:val="nil"/>
          <w:insideH w:val="nil"/>
          <w:insideV w:val="nil"/>
        </w:tcBorders>
        <w:shd w:val="clear" w:color="auto" w:fill="0989B1"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55F5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549E39" w:themeColor="accent1"/>
        <w:bottom w:val="single" w:sz="8" w:space="0" w:color="549E39" w:themeColor="accent1"/>
      </w:tblBorders>
    </w:tblPr>
    <w:tblStylePr w:type="firstRow">
      <w:rPr>
        <w:rFonts w:asciiTheme="majorHAnsi" w:eastAsiaTheme="majorEastAsia" w:hAnsiTheme="majorHAnsi" w:cstheme="majorBidi"/>
      </w:rPr>
      <w:tblPr/>
      <w:tcPr>
        <w:tcBorders>
          <w:top w:val="nil"/>
          <w:bottom w:val="single" w:sz="8" w:space="0" w:color="549E39" w:themeColor="accent1"/>
        </w:tcBorders>
      </w:tcPr>
    </w:tblStylePr>
    <w:tblStylePr w:type="lastRow">
      <w:rPr>
        <w:b/>
        <w:bCs/>
        <w:color w:val="455F51" w:themeColor="text2"/>
      </w:rPr>
      <w:tblPr/>
      <w:tcPr>
        <w:tcBorders>
          <w:top w:val="single" w:sz="8" w:space="0" w:color="549E39" w:themeColor="accent1"/>
          <w:bottom w:val="single" w:sz="8" w:space="0" w:color="549E39" w:themeColor="accent1"/>
        </w:tcBorders>
      </w:tcPr>
    </w:tblStylePr>
    <w:tblStylePr w:type="firstCol">
      <w:rPr>
        <w:b/>
        <w:bCs/>
      </w:rPr>
    </w:tblStylePr>
    <w:tblStylePr w:type="lastCol">
      <w:rPr>
        <w:b/>
        <w:bCs/>
      </w:rPr>
      <w:tblPr/>
      <w:tcPr>
        <w:tcBorders>
          <w:top w:val="single" w:sz="8" w:space="0" w:color="549E39" w:themeColor="accent1"/>
          <w:bottom w:val="single" w:sz="8" w:space="0" w:color="549E39" w:themeColor="accent1"/>
        </w:tcBorders>
      </w:tcPr>
    </w:tblStylePr>
    <w:tblStylePr w:type="band1Vert">
      <w:tblPr/>
      <w:tcPr>
        <w:shd w:val="clear" w:color="auto" w:fill="D2EBC9" w:themeFill="accent1" w:themeFillTint="3F"/>
      </w:tcPr>
    </w:tblStylePr>
    <w:tblStylePr w:type="band1Horz">
      <w:tblPr/>
      <w:tcPr>
        <w:shd w:val="clear" w:color="auto" w:fill="D2EBC9"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8AB833" w:themeColor="accent2"/>
        <w:bottom w:val="single" w:sz="8" w:space="0" w:color="8AB833" w:themeColor="accent2"/>
      </w:tblBorders>
    </w:tblPr>
    <w:tblStylePr w:type="firstRow">
      <w:rPr>
        <w:rFonts w:asciiTheme="majorHAnsi" w:eastAsiaTheme="majorEastAsia" w:hAnsiTheme="majorHAnsi" w:cstheme="majorBidi"/>
      </w:rPr>
      <w:tblPr/>
      <w:tcPr>
        <w:tcBorders>
          <w:top w:val="nil"/>
          <w:bottom w:val="single" w:sz="8" w:space="0" w:color="8AB833" w:themeColor="accent2"/>
        </w:tcBorders>
      </w:tcPr>
    </w:tblStylePr>
    <w:tblStylePr w:type="lastRow">
      <w:rPr>
        <w:b/>
        <w:bCs/>
        <w:color w:val="455F51" w:themeColor="text2"/>
      </w:rPr>
      <w:tblPr/>
      <w:tcPr>
        <w:tcBorders>
          <w:top w:val="single" w:sz="8" w:space="0" w:color="8AB833" w:themeColor="accent2"/>
          <w:bottom w:val="single" w:sz="8" w:space="0" w:color="8AB833" w:themeColor="accent2"/>
        </w:tcBorders>
      </w:tcPr>
    </w:tblStylePr>
    <w:tblStylePr w:type="firstCol">
      <w:rPr>
        <w:b/>
        <w:bCs/>
      </w:rPr>
    </w:tblStylePr>
    <w:tblStylePr w:type="lastCol">
      <w:rPr>
        <w:b/>
        <w:bCs/>
      </w:rPr>
      <w:tblPr/>
      <w:tcPr>
        <w:tcBorders>
          <w:top w:val="single" w:sz="8" w:space="0" w:color="8AB833" w:themeColor="accent2"/>
          <w:bottom w:val="single" w:sz="8" w:space="0" w:color="8AB833" w:themeColor="accent2"/>
        </w:tcBorders>
      </w:tcPr>
    </w:tblStylePr>
    <w:tblStylePr w:type="band1Vert">
      <w:tblPr/>
      <w:tcPr>
        <w:shd w:val="clear" w:color="auto" w:fill="E2F0C9" w:themeFill="accent2" w:themeFillTint="3F"/>
      </w:tcPr>
    </w:tblStylePr>
    <w:tblStylePr w:type="band1Horz">
      <w:tblPr/>
      <w:tcPr>
        <w:shd w:val="clear" w:color="auto" w:fill="E2F0C9"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C0CF3A" w:themeColor="accent3"/>
        <w:bottom w:val="single" w:sz="8" w:space="0" w:color="C0CF3A" w:themeColor="accent3"/>
      </w:tblBorders>
    </w:tblPr>
    <w:tblStylePr w:type="firstRow">
      <w:rPr>
        <w:rFonts w:asciiTheme="majorHAnsi" w:eastAsiaTheme="majorEastAsia" w:hAnsiTheme="majorHAnsi" w:cstheme="majorBidi"/>
      </w:rPr>
      <w:tblPr/>
      <w:tcPr>
        <w:tcBorders>
          <w:top w:val="nil"/>
          <w:bottom w:val="single" w:sz="8" w:space="0" w:color="C0CF3A" w:themeColor="accent3"/>
        </w:tcBorders>
      </w:tcPr>
    </w:tblStylePr>
    <w:tblStylePr w:type="lastRow">
      <w:rPr>
        <w:b/>
        <w:bCs/>
        <w:color w:val="455F51" w:themeColor="text2"/>
      </w:rPr>
      <w:tblPr/>
      <w:tcPr>
        <w:tcBorders>
          <w:top w:val="single" w:sz="8" w:space="0" w:color="C0CF3A" w:themeColor="accent3"/>
          <w:bottom w:val="single" w:sz="8" w:space="0" w:color="C0CF3A" w:themeColor="accent3"/>
        </w:tcBorders>
      </w:tcPr>
    </w:tblStylePr>
    <w:tblStylePr w:type="firstCol">
      <w:rPr>
        <w:b/>
        <w:bCs/>
      </w:rPr>
    </w:tblStylePr>
    <w:tblStylePr w:type="lastCol">
      <w:rPr>
        <w:b/>
        <w:bCs/>
      </w:rPr>
      <w:tblPr/>
      <w:tcPr>
        <w:tcBorders>
          <w:top w:val="single" w:sz="8" w:space="0" w:color="C0CF3A" w:themeColor="accent3"/>
          <w:bottom w:val="single" w:sz="8" w:space="0" w:color="C0CF3A" w:themeColor="accent3"/>
        </w:tcBorders>
      </w:tcPr>
    </w:tblStylePr>
    <w:tblStylePr w:type="band1Vert">
      <w:tblPr/>
      <w:tcPr>
        <w:shd w:val="clear" w:color="auto" w:fill="EFF3CE" w:themeFill="accent3" w:themeFillTint="3F"/>
      </w:tcPr>
    </w:tblStylePr>
    <w:tblStylePr w:type="band1Horz">
      <w:tblPr/>
      <w:tcPr>
        <w:shd w:val="clear" w:color="auto" w:fill="EFF3CE"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29676" w:themeColor="accent4"/>
        <w:bottom w:val="single" w:sz="8" w:space="0" w:color="029676" w:themeColor="accent4"/>
      </w:tblBorders>
    </w:tblPr>
    <w:tblStylePr w:type="firstRow">
      <w:rPr>
        <w:rFonts w:asciiTheme="majorHAnsi" w:eastAsiaTheme="majorEastAsia" w:hAnsiTheme="majorHAnsi" w:cstheme="majorBidi"/>
      </w:rPr>
      <w:tblPr/>
      <w:tcPr>
        <w:tcBorders>
          <w:top w:val="nil"/>
          <w:bottom w:val="single" w:sz="8" w:space="0" w:color="029676" w:themeColor="accent4"/>
        </w:tcBorders>
      </w:tcPr>
    </w:tblStylePr>
    <w:tblStylePr w:type="lastRow">
      <w:rPr>
        <w:b/>
        <w:bCs/>
        <w:color w:val="455F51" w:themeColor="text2"/>
      </w:rPr>
      <w:tblPr/>
      <w:tcPr>
        <w:tcBorders>
          <w:top w:val="single" w:sz="8" w:space="0" w:color="029676" w:themeColor="accent4"/>
          <w:bottom w:val="single" w:sz="8" w:space="0" w:color="029676" w:themeColor="accent4"/>
        </w:tcBorders>
      </w:tcPr>
    </w:tblStylePr>
    <w:tblStylePr w:type="firstCol">
      <w:rPr>
        <w:b/>
        <w:bCs/>
      </w:rPr>
    </w:tblStylePr>
    <w:tblStylePr w:type="lastCol">
      <w:rPr>
        <w:b/>
        <w:bCs/>
      </w:rPr>
      <w:tblPr/>
      <w:tcPr>
        <w:tcBorders>
          <w:top w:val="single" w:sz="8" w:space="0" w:color="029676" w:themeColor="accent4"/>
          <w:bottom w:val="single" w:sz="8" w:space="0" w:color="029676" w:themeColor="accent4"/>
        </w:tcBorders>
      </w:tcPr>
    </w:tblStylePr>
    <w:tblStylePr w:type="band1Vert">
      <w:tblPr/>
      <w:tcPr>
        <w:shd w:val="clear" w:color="auto" w:fill="A7FDEA" w:themeFill="accent4" w:themeFillTint="3F"/>
      </w:tcPr>
    </w:tblStylePr>
    <w:tblStylePr w:type="band1Horz">
      <w:tblPr/>
      <w:tcPr>
        <w:shd w:val="clear" w:color="auto" w:fill="A7FDE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AB5C4" w:themeColor="accent5"/>
        <w:bottom w:val="single" w:sz="8" w:space="0" w:color="4AB5C4" w:themeColor="accent5"/>
      </w:tblBorders>
    </w:tblPr>
    <w:tblStylePr w:type="firstRow">
      <w:rPr>
        <w:rFonts w:asciiTheme="majorHAnsi" w:eastAsiaTheme="majorEastAsia" w:hAnsiTheme="majorHAnsi" w:cstheme="majorBidi"/>
      </w:rPr>
      <w:tblPr/>
      <w:tcPr>
        <w:tcBorders>
          <w:top w:val="nil"/>
          <w:bottom w:val="single" w:sz="8" w:space="0" w:color="4AB5C4" w:themeColor="accent5"/>
        </w:tcBorders>
      </w:tcPr>
    </w:tblStylePr>
    <w:tblStylePr w:type="lastRow">
      <w:rPr>
        <w:b/>
        <w:bCs/>
        <w:color w:val="455F51" w:themeColor="text2"/>
      </w:rPr>
      <w:tblPr/>
      <w:tcPr>
        <w:tcBorders>
          <w:top w:val="single" w:sz="8" w:space="0" w:color="4AB5C4" w:themeColor="accent5"/>
          <w:bottom w:val="single" w:sz="8" w:space="0" w:color="4AB5C4" w:themeColor="accent5"/>
        </w:tcBorders>
      </w:tcPr>
    </w:tblStylePr>
    <w:tblStylePr w:type="firstCol">
      <w:rPr>
        <w:b/>
        <w:bCs/>
      </w:rPr>
    </w:tblStylePr>
    <w:tblStylePr w:type="lastCol">
      <w:rPr>
        <w:b/>
        <w:bCs/>
      </w:rPr>
      <w:tblPr/>
      <w:tcPr>
        <w:tcBorders>
          <w:top w:val="single" w:sz="8" w:space="0" w:color="4AB5C4" w:themeColor="accent5"/>
          <w:bottom w:val="single" w:sz="8" w:space="0" w:color="4AB5C4" w:themeColor="accent5"/>
        </w:tcBorders>
      </w:tcPr>
    </w:tblStylePr>
    <w:tblStylePr w:type="band1Vert">
      <w:tblPr/>
      <w:tcPr>
        <w:shd w:val="clear" w:color="auto" w:fill="D2ECF0" w:themeFill="accent5" w:themeFillTint="3F"/>
      </w:tcPr>
    </w:tblStylePr>
    <w:tblStylePr w:type="band1Horz">
      <w:tblPr/>
      <w:tcPr>
        <w:shd w:val="clear" w:color="auto" w:fill="D2ECF0"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0989B1" w:themeColor="accent6"/>
        <w:bottom w:val="single" w:sz="8" w:space="0" w:color="0989B1" w:themeColor="accent6"/>
      </w:tblBorders>
    </w:tblPr>
    <w:tblStylePr w:type="firstRow">
      <w:rPr>
        <w:rFonts w:asciiTheme="majorHAnsi" w:eastAsiaTheme="majorEastAsia" w:hAnsiTheme="majorHAnsi" w:cstheme="majorBidi"/>
      </w:rPr>
      <w:tblPr/>
      <w:tcPr>
        <w:tcBorders>
          <w:top w:val="nil"/>
          <w:bottom w:val="single" w:sz="8" w:space="0" w:color="0989B1" w:themeColor="accent6"/>
        </w:tcBorders>
      </w:tcPr>
    </w:tblStylePr>
    <w:tblStylePr w:type="lastRow">
      <w:rPr>
        <w:b/>
        <w:bCs/>
        <w:color w:val="455F51" w:themeColor="text2"/>
      </w:rPr>
      <w:tblPr/>
      <w:tcPr>
        <w:tcBorders>
          <w:top w:val="single" w:sz="8" w:space="0" w:color="0989B1" w:themeColor="accent6"/>
          <w:bottom w:val="single" w:sz="8" w:space="0" w:color="0989B1" w:themeColor="accent6"/>
        </w:tcBorders>
      </w:tcPr>
    </w:tblStylePr>
    <w:tblStylePr w:type="firstCol">
      <w:rPr>
        <w:b/>
        <w:bCs/>
      </w:rPr>
    </w:tblStylePr>
    <w:tblStylePr w:type="lastCol">
      <w:rPr>
        <w:b/>
        <w:bCs/>
      </w:rPr>
      <w:tblPr/>
      <w:tcPr>
        <w:tcBorders>
          <w:top w:val="single" w:sz="8" w:space="0" w:color="0989B1" w:themeColor="accent6"/>
          <w:bottom w:val="single" w:sz="8" w:space="0" w:color="0989B1" w:themeColor="accent6"/>
        </w:tcBorders>
      </w:tcPr>
    </w:tblStylePr>
    <w:tblStylePr w:type="band1Vert">
      <w:tblPr/>
      <w:tcPr>
        <w:shd w:val="clear" w:color="auto" w:fill="B2E9FB" w:themeFill="accent6" w:themeFillTint="3F"/>
      </w:tcPr>
    </w:tblStylePr>
    <w:tblStylePr w:type="band1Horz">
      <w:tblPr/>
      <w:tcPr>
        <w:shd w:val="clear" w:color="auto" w:fill="B2E9FB"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49E39" w:themeColor="accent1"/>
        <w:left w:val="single" w:sz="8" w:space="0" w:color="549E39" w:themeColor="accent1"/>
        <w:bottom w:val="single" w:sz="8" w:space="0" w:color="549E39" w:themeColor="accent1"/>
        <w:right w:val="single" w:sz="8" w:space="0" w:color="549E39" w:themeColor="accent1"/>
      </w:tblBorders>
    </w:tblPr>
    <w:tblStylePr w:type="firstRow">
      <w:rPr>
        <w:sz w:val="24"/>
        <w:szCs w:val="24"/>
      </w:rPr>
      <w:tblPr/>
      <w:tcPr>
        <w:tcBorders>
          <w:top w:val="nil"/>
          <w:left w:val="nil"/>
          <w:bottom w:val="single" w:sz="24" w:space="0" w:color="549E39" w:themeColor="accent1"/>
          <w:right w:val="nil"/>
          <w:insideH w:val="nil"/>
          <w:insideV w:val="nil"/>
        </w:tcBorders>
        <w:shd w:val="clear" w:color="auto" w:fill="FFFFFF" w:themeFill="background1"/>
      </w:tcPr>
    </w:tblStylePr>
    <w:tblStylePr w:type="lastRow">
      <w:tblPr/>
      <w:tcPr>
        <w:tcBorders>
          <w:top w:val="single" w:sz="8" w:space="0" w:color="549E39"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49E39" w:themeColor="accent1"/>
          <w:insideH w:val="nil"/>
          <w:insideV w:val="nil"/>
        </w:tcBorders>
        <w:shd w:val="clear" w:color="auto" w:fill="FFFFFF" w:themeFill="background1"/>
      </w:tcPr>
    </w:tblStylePr>
    <w:tblStylePr w:type="lastCol">
      <w:tblPr/>
      <w:tcPr>
        <w:tcBorders>
          <w:top w:val="nil"/>
          <w:left w:val="single" w:sz="8" w:space="0" w:color="549E39"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BC9" w:themeFill="accent1" w:themeFillTint="3F"/>
      </w:tcPr>
    </w:tblStylePr>
    <w:tblStylePr w:type="band1Horz">
      <w:tblPr/>
      <w:tcPr>
        <w:tcBorders>
          <w:top w:val="nil"/>
          <w:bottom w:val="nil"/>
          <w:insideH w:val="nil"/>
          <w:insideV w:val="nil"/>
        </w:tcBorders>
        <w:shd w:val="clear" w:color="auto" w:fill="D2EBC9"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AB833" w:themeColor="accent2"/>
        <w:left w:val="single" w:sz="8" w:space="0" w:color="8AB833" w:themeColor="accent2"/>
        <w:bottom w:val="single" w:sz="8" w:space="0" w:color="8AB833" w:themeColor="accent2"/>
        <w:right w:val="single" w:sz="8" w:space="0" w:color="8AB833" w:themeColor="accent2"/>
      </w:tblBorders>
    </w:tblPr>
    <w:tblStylePr w:type="firstRow">
      <w:rPr>
        <w:sz w:val="24"/>
        <w:szCs w:val="24"/>
      </w:rPr>
      <w:tblPr/>
      <w:tcPr>
        <w:tcBorders>
          <w:top w:val="nil"/>
          <w:left w:val="nil"/>
          <w:bottom w:val="single" w:sz="24" w:space="0" w:color="8AB833" w:themeColor="accent2"/>
          <w:right w:val="nil"/>
          <w:insideH w:val="nil"/>
          <w:insideV w:val="nil"/>
        </w:tcBorders>
        <w:shd w:val="clear" w:color="auto" w:fill="FFFFFF" w:themeFill="background1"/>
      </w:tcPr>
    </w:tblStylePr>
    <w:tblStylePr w:type="lastRow">
      <w:tblPr/>
      <w:tcPr>
        <w:tcBorders>
          <w:top w:val="single" w:sz="8" w:space="0" w:color="8AB833"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AB833" w:themeColor="accent2"/>
          <w:insideH w:val="nil"/>
          <w:insideV w:val="nil"/>
        </w:tcBorders>
        <w:shd w:val="clear" w:color="auto" w:fill="FFFFFF" w:themeFill="background1"/>
      </w:tcPr>
    </w:tblStylePr>
    <w:tblStylePr w:type="lastCol">
      <w:tblPr/>
      <w:tcPr>
        <w:tcBorders>
          <w:top w:val="nil"/>
          <w:left w:val="single" w:sz="8" w:space="0" w:color="8AB833"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2F0C9" w:themeFill="accent2" w:themeFillTint="3F"/>
      </w:tcPr>
    </w:tblStylePr>
    <w:tblStylePr w:type="band1Horz">
      <w:tblPr/>
      <w:tcPr>
        <w:tcBorders>
          <w:top w:val="nil"/>
          <w:bottom w:val="nil"/>
          <w:insideH w:val="nil"/>
          <w:insideV w:val="nil"/>
        </w:tcBorders>
        <w:shd w:val="clear" w:color="auto" w:fill="E2F0C9"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CF3A" w:themeColor="accent3"/>
        <w:left w:val="single" w:sz="8" w:space="0" w:color="C0CF3A" w:themeColor="accent3"/>
        <w:bottom w:val="single" w:sz="8" w:space="0" w:color="C0CF3A" w:themeColor="accent3"/>
        <w:right w:val="single" w:sz="8" w:space="0" w:color="C0CF3A" w:themeColor="accent3"/>
      </w:tblBorders>
    </w:tblPr>
    <w:tblStylePr w:type="firstRow">
      <w:rPr>
        <w:sz w:val="24"/>
        <w:szCs w:val="24"/>
      </w:rPr>
      <w:tblPr/>
      <w:tcPr>
        <w:tcBorders>
          <w:top w:val="nil"/>
          <w:left w:val="nil"/>
          <w:bottom w:val="single" w:sz="24" w:space="0" w:color="C0CF3A" w:themeColor="accent3"/>
          <w:right w:val="nil"/>
          <w:insideH w:val="nil"/>
          <w:insideV w:val="nil"/>
        </w:tcBorders>
        <w:shd w:val="clear" w:color="auto" w:fill="FFFFFF" w:themeFill="background1"/>
      </w:tcPr>
    </w:tblStylePr>
    <w:tblStylePr w:type="lastRow">
      <w:tblPr/>
      <w:tcPr>
        <w:tcBorders>
          <w:top w:val="single" w:sz="8" w:space="0" w:color="C0CF3A"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CF3A" w:themeColor="accent3"/>
          <w:insideH w:val="nil"/>
          <w:insideV w:val="nil"/>
        </w:tcBorders>
        <w:shd w:val="clear" w:color="auto" w:fill="FFFFFF" w:themeFill="background1"/>
      </w:tcPr>
    </w:tblStylePr>
    <w:tblStylePr w:type="lastCol">
      <w:tblPr/>
      <w:tcPr>
        <w:tcBorders>
          <w:top w:val="nil"/>
          <w:left w:val="single" w:sz="8" w:space="0" w:color="C0CF3A"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F3CE" w:themeFill="accent3" w:themeFillTint="3F"/>
      </w:tcPr>
    </w:tblStylePr>
    <w:tblStylePr w:type="band1Horz">
      <w:tblPr/>
      <w:tcPr>
        <w:tcBorders>
          <w:top w:val="nil"/>
          <w:bottom w:val="nil"/>
          <w:insideH w:val="nil"/>
          <w:insideV w:val="nil"/>
        </w:tcBorders>
        <w:shd w:val="clear" w:color="auto" w:fill="EFF3CE"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29676" w:themeColor="accent4"/>
        <w:left w:val="single" w:sz="8" w:space="0" w:color="029676" w:themeColor="accent4"/>
        <w:bottom w:val="single" w:sz="8" w:space="0" w:color="029676" w:themeColor="accent4"/>
        <w:right w:val="single" w:sz="8" w:space="0" w:color="029676" w:themeColor="accent4"/>
      </w:tblBorders>
    </w:tblPr>
    <w:tblStylePr w:type="firstRow">
      <w:rPr>
        <w:sz w:val="24"/>
        <w:szCs w:val="24"/>
      </w:rPr>
      <w:tblPr/>
      <w:tcPr>
        <w:tcBorders>
          <w:top w:val="nil"/>
          <w:left w:val="nil"/>
          <w:bottom w:val="single" w:sz="24" w:space="0" w:color="029676" w:themeColor="accent4"/>
          <w:right w:val="nil"/>
          <w:insideH w:val="nil"/>
          <w:insideV w:val="nil"/>
        </w:tcBorders>
        <w:shd w:val="clear" w:color="auto" w:fill="FFFFFF" w:themeFill="background1"/>
      </w:tcPr>
    </w:tblStylePr>
    <w:tblStylePr w:type="lastRow">
      <w:tblPr/>
      <w:tcPr>
        <w:tcBorders>
          <w:top w:val="single" w:sz="8" w:space="0" w:color="02967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29676" w:themeColor="accent4"/>
          <w:insideH w:val="nil"/>
          <w:insideV w:val="nil"/>
        </w:tcBorders>
        <w:shd w:val="clear" w:color="auto" w:fill="FFFFFF" w:themeFill="background1"/>
      </w:tcPr>
    </w:tblStylePr>
    <w:tblStylePr w:type="lastCol">
      <w:tblPr/>
      <w:tcPr>
        <w:tcBorders>
          <w:top w:val="nil"/>
          <w:left w:val="single" w:sz="8" w:space="0" w:color="02967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7FDEA" w:themeFill="accent4" w:themeFillTint="3F"/>
      </w:tcPr>
    </w:tblStylePr>
    <w:tblStylePr w:type="band1Horz">
      <w:tblPr/>
      <w:tcPr>
        <w:tcBorders>
          <w:top w:val="nil"/>
          <w:bottom w:val="nil"/>
          <w:insideH w:val="nil"/>
          <w:insideV w:val="nil"/>
        </w:tcBorders>
        <w:shd w:val="clear" w:color="auto" w:fill="A7FDE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AB5C4" w:themeColor="accent5"/>
        <w:left w:val="single" w:sz="8" w:space="0" w:color="4AB5C4" w:themeColor="accent5"/>
        <w:bottom w:val="single" w:sz="8" w:space="0" w:color="4AB5C4" w:themeColor="accent5"/>
        <w:right w:val="single" w:sz="8" w:space="0" w:color="4AB5C4" w:themeColor="accent5"/>
      </w:tblBorders>
    </w:tblPr>
    <w:tblStylePr w:type="firstRow">
      <w:rPr>
        <w:sz w:val="24"/>
        <w:szCs w:val="24"/>
      </w:rPr>
      <w:tblPr/>
      <w:tcPr>
        <w:tcBorders>
          <w:top w:val="nil"/>
          <w:left w:val="nil"/>
          <w:bottom w:val="single" w:sz="24" w:space="0" w:color="4AB5C4" w:themeColor="accent5"/>
          <w:right w:val="nil"/>
          <w:insideH w:val="nil"/>
          <w:insideV w:val="nil"/>
        </w:tcBorders>
        <w:shd w:val="clear" w:color="auto" w:fill="FFFFFF" w:themeFill="background1"/>
      </w:tcPr>
    </w:tblStylePr>
    <w:tblStylePr w:type="lastRow">
      <w:tblPr/>
      <w:tcPr>
        <w:tcBorders>
          <w:top w:val="single" w:sz="8" w:space="0" w:color="4AB5C4"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AB5C4" w:themeColor="accent5"/>
          <w:insideH w:val="nil"/>
          <w:insideV w:val="nil"/>
        </w:tcBorders>
        <w:shd w:val="clear" w:color="auto" w:fill="FFFFFF" w:themeFill="background1"/>
      </w:tcPr>
    </w:tblStylePr>
    <w:tblStylePr w:type="lastCol">
      <w:tblPr/>
      <w:tcPr>
        <w:tcBorders>
          <w:top w:val="nil"/>
          <w:left w:val="single" w:sz="8" w:space="0" w:color="4AB5C4"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CF0" w:themeFill="accent5" w:themeFillTint="3F"/>
      </w:tcPr>
    </w:tblStylePr>
    <w:tblStylePr w:type="band1Horz">
      <w:tblPr/>
      <w:tcPr>
        <w:tcBorders>
          <w:top w:val="nil"/>
          <w:bottom w:val="nil"/>
          <w:insideH w:val="nil"/>
          <w:insideV w:val="nil"/>
        </w:tcBorders>
        <w:shd w:val="clear" w:color="auto" w:fill="D2ECF0"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989B1" w:themeColor="accent6"/>
        <w:left w:val="single" w:sz="8" w:space="0" w:color="0989B1" w:themeColor="accent6"/>
        <w:bottom w:val="single" w:sz="8" w:space="0" w:color="0989B1" w:themeColor="accent6"/>
        <w:right w:val="single" w:sz="8" w:space="0" w:color="0989B1" w:themeColor="accent6"/>
      </w:tblBorders>
    </w:tblPr>
    <w:tblStylePr w:type="firstRow">
      <w:rPr>
        <w:sz w:val="24"/>
        <w:szCs w:val="24"/>
      </w:rPr>
      <w:tblPr/>
      <w:tcPr>
        <w:tcBorders>
          <w:top w:val="nil"/>
          <w:left w:val="nil"/>
          <w:bottom w:val="single" w:sz="24" w:space="0" w:color="0989B1" w:themeColor="accent6"/>
          <w:right w:val="nil"/>
          <w:insideH w:val="nil"/>
          <w:insideV w:val="nil"/>
        </w:tcBorders>
        <w:shd w:val="clear" w:color="auto" w:fill="FFFFFF" w:themeFill="background1"/>
      </w:tcPr>
    </w:tblStylePr>
    <w:tblStylePr w:type="lastRow">
      <w:tblPr/>
      <w:tcPr>
        <w:tcBorders>
          <w:top w:val="single" w:sz="8" w:space="0" w:color="0989B1"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989B1" w:themeColor="accent6"/>
          <w:insideH w:val="nil"/>
          <w:insideV w:val="nil"/>
        </w:tcBorders>
        <w:shd w:val="clear" w:color="auto" w:fill="FFFFFF" w:themeFill="background1"/>
      </w:tcPr>
    </w:tblStylePr>
    <w:tblStylePr w:type="lastCol">
      <w:tblPr/>
      <w:tcPr>
        <w:tcBorders>
          <w:top w:val="nil"/>
          <w:left w:val="single" w:sz="8" w:space="0" w:color="0989B1"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E9FB" w:themeFill="accent6" w:themeFillTint="3F"/>
      </w:tcPr>
    </w:tblStylePr>
    <w:tblStylePr w:type="band1Horz">
      <w:tblPr/>
      <w:tcPr>
        <w:tcBorders>
          <w:top w:val="nil"/>
          <w:bottom w:val="nil"/>
          <w:insideH w:val="nil"/>
          <w:insideV w:val="nil"/>
        </w:tcBorders>
        <w:shd w:val="clear" w:color="auto" w:fill="B2E9FB"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8C45C" w:themeColor="accent1" w:themeTint="BF"/>
        <w:left w:val="single" w:sz="8" w:space="0" w:color="78C45C" w:themeColor="accent1" w:themeTint="BF"/>
        <w:bottom w:val="single" w:sz="8" w:space="0" w:color="78C45C" w:themeColor="accent1" w:themeTint="BF"/>
        <w:right w:val="single" w:sz="8" w:space="0" w:color="78C45C" w:themeColor="accent1" w:themeTint="BF"/>
        <w:insideH w:val="single" w:sz="8" w:space="0" w:color="78C45C" w:themeColor="accent1" w:themeTint="BF"/>
        <w:insideV w:val="single" w:sz="8" w:space="0" w:color="78C45C" w:themeColor="accent1" w:themeTint="BF"/>
      </w:tblBorders>
    </w:tblPr>
    <w:tcPr>
      <w:shd w:val="clear" w:color="auto" w:fill="D2EBC9" w:themeFill="accent1" w:themeFillTint="3F"/>
    </w:tcPr>
    <w:tblStylePr w:type="firstRow">
      <w:rPr>
        <w:b/>
        <w:bCs/>
      </w:rPr>
    </w:tblStylePr>
    <w:tblStylePr w:type="lastRow">
      <w:rPr>
        <w:b/>
        <w:bCs/>
      </w:rPr>
      <w:tblPr/>
      <w:tcPr>
        <w:tcBorders>
          <w:top w:val="single" w:sz="18" w:space="0" w:color="78C45C" w:themeColor="accent1" w:themeTint="BF"/>
        </w:tcBorders>
      </w:tcPr>
    </w:tblStylePr>
    <w:tblStylePr w:type="firstCol">
      <w:rPr>
        <w:b/>
        <w:bCs/>
      </w:rPr>
    </w:tblStylePr>
    <w:tblStylePr w:type="lastCol">
      <w:rPr>
        <w:b/>
        <w:bCs/>
      </w:rPr>
    </w:tblStylePr>
    <w:tblStylePr w:type="band1Vert">
      <w:tblPr/>
      <w:tcPr>
        <w:shd w:val="clear" w:color="auto" w:fill="A5D893" w:themeFill="accent1" w:themeFillTint="7F"/>
      </w:tcPr>
    </w:tblStylePr>
    <w:tblStylePr w:type="band1Horz">
      <w:tblPr/>
      <w:tcPr>
        <w:shd w:val="clear" w:color="auto" w:fill="A5D893"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A9D25D" w:themeColor="accent2" w:themeTint="BF"/>
        <w:left w:val="single" w:sz="8" w:space="0" w:color="A9D25D" w:themeColor="accent2" w:themeTint="BF"/>
        <w:bottom w:val="single" w:sz="8" w:space="0" w:color="A9D25D" w:themeColor="accent2" w:themeTint="BF"/>
        <w:right w:val="single" w:sz="8" w:space="0" w:color="A9D25D" w:themeColor="accent2" w:themeTint="BF"/>
        <w:insideH w:val="single" w:sz="8" w:space="0" w:color="A9D25D" w:themeColor="accent2" w:themeTint="BF"/>
        <w:insideV w:val="single" w:sz="8" w:space="0" w:color="A9D25D" w:themeColor="accent2" w:themeTint="BF"/>
      </w:tblBorders>
    </w:tblPr>
    <w:tcPr>
      <w:shd w:val="clear" w:color="auto" w:fill="E2F0C9" w:themeFill="accent2" w:themeFillTint="3F"/>
    </w:tcPr>
    <w:tblStylePr w:type="firstRow">
      <w:rPr>
        <w:b/>
        <w:bCs/>
      </w:rPr>
    </w:tblStylePr>
    <w:tblStylePr w:type="lastRow">
      <w:rPr>
        <w:b/>
        <w:bCs/>
      </w:rPr>
      <w:tblPr/>
      <w:tcPr>
        <w:tcBorders>
          <w:top w:val="single" w:sz="18" w:space="0" w:color="A9D25D" w:themeColor="accent2" w:themeTint="BF"/>
        </w:tcBorders>
      </w:tcPr>
    </w:tblStylePr>
    <w:tblStylePr w:type="firstCol">
      <w:rPr>
        <w:b/>
        <w:bCs/>
      </w:rPr>
    </w:tblStylePr>
    <w:tblStylePr w:type="lastCol">
      <w:rPr>
        <w:b/>
        <w:bCs/>
      </w:rPr>
    </w:tblStylePr>
    <w:tblStylePr w:type="band1Vert">
      <w:tblPr/>
      <w:tcPr>
        <w:shd w:val="clear" w:color="auto" w:fill="C6E193" w:themeFill="accent2" w:themeFillTint="7F"/>
      </w:tcPr>
    </w:tblStylePr>
    <w:tblStylePr w:type="band1Horz">
      <w:tblPr/>
      <w:tcPr>
        <w:shd w:val="clear" w:color="auto" w:fill="C6E193"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CFDB6B" w:themeColor="accent3" w:themeTint="BF"/>
        <w:left w:val="single" w:sz="8" w:space="0" w:color="CFDB6B" w:themeColor="accent3" w:themeTint="BF"/>
        <w:bottom w:val="single" w:sz="8" w:space="0" w:color="CFDB6B" w:themeColor="accent3" w:themeTint="BF"/>
        <w:right w:val="single" w:sz="8" w:space="0" w:color="CFDB6B" w:themeColor="accent3" w:themeTint="BF"/>
        <w:insideH w:val="single" w:sz="8" w:space="0" w:color="CFDB6B" w:themeColor="accent3" w:themeTint="BF"/>
        <w:insideV w:val="single" w:sz="8" w:space="0" w:color="CFDB6B" w:themeColor="accent3" w:themeTint="BF"/>
      </w:tblBorders>
    </w:tblPr>
    <w:tcPr>
      <w:shd w:val="clear" w:color="auto" w:fill="EFF3CE" w:themeFill="accent3" w:themeFillTint="3F"/>
    </w:tcPr>
    <w:tblStylePr w:type="firstRow">
      <w:rPr>
        <w:b/>
        <w:bCs/>
      </w:rPr>
    </w:tblStylePr>
    <w:tblStylePr w:type="lastRow">
      <w:rPr>
        <w:b/>
        <w:bCs/>
      </w:rPr>
      <w:tblPr/>
      <w:tcPr>
        <w:tcBorders>
          <w:top w:val="single" w:sz="18" w:space="0" w:color="CFDB6B" w:themeColor="accent3" w:themeTint="BF"/>
        </w:tcBorders>
      </w:tcPr>
    </w:tblStylePr>
    <w:tblStylePr w:type="firstCol">
      <w:rPr>
        <w:b/>
        <w:bCs/>
      </w:rPr>
    </w:tblStylePr>
    <w:tblStylePr w:type="lastCol">
      <w:rPr>
        <w:b/>
        <w:bCs/>
      </w:rPr>
    </w:tblStylePr>
    <w:tblStylePr w:type="band1Vert">
      <w:tblPr/>
      <w:tcPr>
        <w:shd w:val="clear" w:color="auto" w:fill="DFE79C" w:themeFill="accent3" w:themeFillTint="7F"/>
      </w:tcPr>
    </w:tblStylePr>
    <w:tblStylePr w:type="band1Horz">
      <w:tblPr/>
      <w:tcPr>
        <w:shd w:val="clear" w:color="auto" w:fill="DFE79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03EEBA" w:themeColor="accent4" w:themeTint="BF"/>
        <w:left w:val="single" w:sz="8" w:space="0" w:color="03EEBA" w:themeColor="accent4" w:themeTint="BF"/>
        <w:bottom w:val="single" w:sz="8" w:space="0" w:color="03EEBA" w:themeColor="accent4" w:themeTint="BF"/>
        <w:right w:val="single" w:sz="8" w:space="0" w:color="03EEBA" w:themeColor="accent4" w:themeTint="BF"/>
        <w:insideH w:val="single" w:sz="8" w:space="0" w:color="03EEBA" w:themeColor="accent4" w:themeTint="BF"/>
        <w:insideV w:val="single" w:sz="8" w:space="0" w:color="03EEBA" w:themeColor="accent4" w:themeTint="BF"/>
      </w:tblBorders>
    </w:tblPr>
    <w:tcPr>
      <w:shd w:val="clear" w:color="auto" w:fill="A7FDEA" w:themeFill="accent4" w:themeFillTint="3F"/>
    </w:tcPr>
    <w:tblStylePr w:type="firstRow">
      <w:rPr>
        <w:b/>
        <w:bCs/>
      </w:rPr>
    </w:tblStylePr>
    <w:tblStylePr w:type="lastRow">
      <w:rPr>
        <w:b/>
        <w:bCs/>
      </w:rPr>
      <w:tblPr/>
      <w:tcPr>
        <w:tcBorders>
          <w:top w:val="single" w:sz="18" w:space="0" w:color="03EEBA" w:themeColor="accent4" w:themeTint="BF"/>
        </w:tcBorders>
      </w:tcPr>
    </w:tblStylePr>
    <w:tblStylePr w:type="firstCol">
      <w:rPr>
        <w:b/>
        <w:bCs/>
      </w:rPr>
    </w:tblStylePr>
    <w:tblStylePr w:type="lastCol">
      <w:rPr>
        <w:b/>
        <w:bCs/>
      </w:rPr>
    </w:tblStylePr>
    <w:tblStylePr w:type="band1Vert">
      <w:tblPr/>
      <w:tcPr>
        <w:shd w:val="clear" w:color="auto" w:fill="4FFCD6" w:themeFill="accent4" w:themeFillTint="7F"/>
      </w:tcPr>
    </w:tblStylePr>
    <w:tblStylePr w:type="band1Horz">
      <w:tblPr/>
      <w:tcPr>
        <w:shd w:val="clear" w:color="auto" w:fill="4FFCD6"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7C7D2" w:themeColor="accent5" w:themeTint="BF"/>
        <w:left w:val="single" w:sz="8" w:space="0" w:color="77C7D2" w:themeColor="accent5" w:themeTint="BF"/>
        <w:bottom w:val="single" w:sz="8" w:space="0" w:color="77C7D2" w:themeColor="accent5" w:themeTint="BF"/>
        <w:right w:val="single" w:sz="8" w:space="0" w:color="77C7D2" w:themeColor="accent5" w:themeTint="BF"/>
        <w:insideH w:val="single" w:sz="8" w:space="0" w:color="77C7D2" w:themeColor="accent5" w:themeTint="BF"/>
        <w:insideV w:val="single" w:sz="8" w:space="0" w:color="77C7D2" w:themeColor="accent5" w:themeTint="BF"/>
      </w:tblBorders>
    </w:tblPr>
    <w:tcPr>
      <w:shd w:val="clear" w:color="auto" w:fill="D2ECF0" w:themeFill="accent5" w:themeFillTint="3F"/>
    </w:tcPr>
    <w:tblStylePr w:type="firstRow">
      <w:rPr>
        <w:b/>
        <w:bCs/>
      </w:rPr>
    </w:tblStylePr>
    <w:tblStylePr w:type="lastRow">
      <w:rPr>
        <w:b/>
        <w:bCs/>
      </w:rPr>
      <w:tblPr/>
      <w:tcPr>
        <w:tcBorders>
          <w:top w:val="single" w:sz="18" w:space="0" w:color="77C7D2" w:themeColor="accent5" w:themeTint="BF"/>
        </w:tcBorders>
      </w:tcPr>
    </w:tblStylePr>
    <w:tblStylePr w:type="firstCol">
      <w:rPr>
        <w:b/>
        <w:bCs/>
      </w:rPr>
    </w:tblStylePr>
    <w:tblStylePr w:type="lastCol">
      <w:rPr>
        <w:b/>
        <w:bCs/>
      </w:rPr>
    </w:tblStylePr>
    <w:tblStylePr w:type="band1Vert">
      <w:tblPr/>
      <w:tcPr>
        <w:shd w:val="clear" w:color="auto" w:fill="A4DAE1" w:themeFill="accent5" w:themeFillTint="7F"/>
      </w:tcPr>
    </w:tblStylePr>
    <w:tblStylePr w:type="band1Horz">
      <w:tblPr/>
      <w:tcPr>
        <w:shd w:val="clear" w:color="auto" w:fill="A4DAE1"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17BEF3" w:themeColor="accent6" w:themeTint="BF"/>
        <w:left w:val="single" w:sz="8" w:space="0" w:color="17BEF3" w:themeColor="accent6" w:themeTint="BF"/>
        <w:bottom w:val="single" w:sz="8" w:space="0" w:color="17BEF3" w:themeColor="accent6" w:themeTint="BF"/>
        <w:right w:val="single" w:sz="8" w:space="0" w:color="17BEF3" w:themeColor="accent6" w:themeTint="BF"/>
        <w:insideH w:val="single" w:sz="8" w:space="0" w:color="17BEF3" w:themeColor="accent6" w:themeTint="BF"/>
        <w:insideV w:val="single" w:sz="8" w:space="0" w:color="17BEF3" w:themeColor="accent6" w:themeTint="BF"/>
      </w:tblBorders>
    </w:tblPr>
    <w:tcPr>
      <w:shd w:val="clear" w:color="auto" w:fill="B2E9FB" w:themeFill="accent6" w:themeFillTint="3F"/>
    </w:tcPr>
    <w:tblStylePr w:type="firstRow">
      <w:rPr>
        <w:b/>
        <w:bCs/>
      </w:rPr>
    </w:tblStylePr>
    <w:tblStylePr w:type="lastRow">
      <w:rPr>
        <w:b/>
        <w:bCs/>
      </w:rPr>
      <w:tblPr/>
      <w:tcPr>
        <w:tcBorders>
          <w:top w:val="single" w:sz="18" w:space="0" w:color="17BEF3" w:themeColor="accent6" w:themeTint="BF"/>
        </w:tcBorders>
      </w:tcPr>
    </w:tblStylePr>
    <w:tblStylePr w:type="firstCol">
      <w:rPr>
        <w:b/>
        <w:bCs/>
      </w:rPr>
    </w:tblStylePr>
    <w:tblStylePr w:type="lastCol">
      <w:rPr>
        <w:b/>
        <w:bCs/>
      </w:rPr>
    </w:tblStylePr>
    <w:tblStylePr w:type="band1Vert">
      <w:tblPr/>
      <w:tcPr>
        <w:shd w:val="clear" w:color="auto" w:fill="65D4F7" w:themeFill="accent6" w:themeFillTint="7F"/>
      </w:tcPr>
    </w:tblStylePr>
    <w:tblStylePr w:type="band1Horz">
      <w:tblPr/>
      <w:tcPr>
        <w:shd w:val="clear" w:color="auto" w:fill="65D4F7"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49E39" w:themeColor="accent1"/>
        <w:left w:val="single" w:sz="8" w:space="0" w:color="549E39" w:themeColor="accent1"/>
        <w:bottom w:val="single" w:sz="8" w:space="0" w:color="549E39" w:themeColor="accent1"/>
        <w:right w:val="single" w:sz="8" w:space="0" w:color="549E39" w:themeColor="accent1"/>
        <w:insideH w:val="single" w:sz="8" w:space="0" w:color="549E39" w:themeColor="accent1"/>
        <w:insideV w:val="single" w:sz="8" w:space="0" w:color="549E39" w:themeColor="accent1"/>
      </w:tblBorders>
    </w:tblPr>
    <w:tcPr>
      <w:shd w:val="clear" w:color="auto" w:fill="D2EBC9" w:themeFill="accent1" w:themeFillTint="3F"/>
    </w:tcPr>
    <w:tblStylePr w:type="firstRow">
      <w:rPr>
        <w:b/>
        <w:bCs/>
        <w:color w:val="000000" w:themeColor="text1"/>
      </w:rPr>
      <w:tblPr/>
      <w:tcPr>
        <w:shd w:val="clear" w:color="auto" w:fill="EDF7E9"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FD3" w:themeFill="accent1" w:themeFillTint="33"/>
      </w:tcPr>
    </w:tblStylePr>
    <w:tblStylePr w:type="band1Vert">
      <w:tblPr/>
      <w:tcPr>
        <w:shd w:val="clear" w:color="auto" w:fill="A5D893" w:themeFill="accent1" w:themeFillTint="7F"/>
      </w:tcPr>
    </w:tblStylePr>
    <w:tblStylePr w:type="band1Horz">
      <w:tblPr/>
      <w:tcPr>
        <w:tcBorders>
          <w:insideH w:val="single" w:sz="6" w:space="0" w:color="549E39" w:themeColor="accent1"/>
          <w:insideV w:val="single" w:sz="6" w:space="0" w:color="549E39" w:themeColor="accent1"/>
        </w:tcBorders>
        <w:shd w:val="clear" w:color="auto" w:fill="A5D893"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AB833" w:themeColor="accent2"/>
        <w:left w:val="single" w:sz="8" w:space="0" w:color="8AB833" w:themeColor="accent2"/>
        <w:bottom w:val="single" w:sz="8" w:space="0" w:color="8AB833" w:themeColor="accent2"/>
        <w:right w:val="single" w:sz="8" w:space="0" w:color="8AB833" w:themeColor="accent2"/>
        <w:insideH w:val="single" w:sz="8" w:space="0" w:color="8AB833" w:themeColor="accent2"/>
        <w:insideV w:val="single" w:sz="8" w:space="0" w:color="8AB833" w:themeColor="accent2"/>
      </w:tblBorders>
    </w:tblPr>
    <w:tcPr>
      <w:shd w:val="clear" w:color="auto" w:fill="E2F0C9" w:themeFill="accent2" w:themeFillTint="3F"/>
    </w:tcPr>
    <w:tblStylePr w:type="firstRow">
      <w:rPr>
        <w:b/>
        <w:bCs/>
        <w:color w:val="000000" w:themeColor="text1"/>
      </w:rPr>
      <w:tblPr/>
      <w:tcPr>
        <w:shd w:val="clear" w:color="auto" w:fill="F3F9E9"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8F3D3" w:themeFill="accent2" w:themeFillTint="33"/>
      </w:tcPr>
    </w:tblStylePr>
    <w:tblStylePr w:type="band1Vert">
      <w:tblPr/>
      <w:tcPr>
        <w:shd w:val="clear" w:color="auto" w:fill="C6E193" w:themeFill="accent2" w:themeFillTint="7F"/>
      </w:tcPr>
    </w:tblStylePr>
    <w:tblStylePr w:type="band1Horz">
      <w:tblPr/>
      <w:tcPr>
        <w:tcBorders>
          <w:insideH w:val="single" w:sz="6" w:space="0" w:color="8AB833" w:themeColor="accent2"/>
          <w:insideV w:val="single" w:sz="6" w:space="0" w:color="8AB833" w:themeColor="accent2"/>
        </w:tcBorders>
        <w:shd w:val="clear" w:color="auto" w:fill="C6E193"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CF3A" w:themeColor="accent3"/>
        <w:left w:val="single" w:sz="8" w:space="0" w:color="C0CF3A" w:themeColor="accent3"/>
        <w:bottom w:val="single" w:sz="8" w:space="0" w:color="C0CF3A" w:themeColor="accent3"/>
        <w:right w:val="single" w:sz="8" w:space="0" w:color="C0CF3A" w:themeColor="accent3"/>
        <w:insideH w:val="single" w:sz="8" w:space="0" w:color="C0CF3A" w:themeColor="accent3"/>
        <w:insideV w:val="single" w:sz="8" w:space="0" w:color="C0CF3A" w:themeColor="accent3"/>
      </w:tblBorders>
    </w:tblPr>
    <w:tcPr>
      <w:shd w:val="clear" w:color="auto" w:fill="EFF3CE" w:themeFill="accent3" w:themeFillTint="3F"/>
    </w:tcPr>
    <w:tblStylePr w:type="firstRow">
      <w:rPr>
        <w:b/>
        <w:bCs/>
        <w:color w:val="000000" w:themeColor="text1"/>
      </w:rPr>
      <w:tblPr/>
      <w:tcPr>
        <w:shd w:val="clear" w:color="auto" w:fill="F8FAEB"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F5D7" w:themeFill="accent3" w:themeFillTint="33"/>
      </w:tcPr>
    </w:tblStylePr>
    <w:tblStylePr w:type="band1Vert">
      <w:tblPr/>
      <w:tcPr>
        <w:shd w:val="clear" w:color="auto" w:fill="DFE79C" w:themeFill="accent3" w:themeFillTint="7F"/>
      </w:tcPr>
    </w:tblStylePr>
    <w:tblStylePr w:type="band1Horz">
      <w:tblPr/>
      <w:tcPr>
        <w:tcBorders>
          <w:insideH w:val="single" w:sz="6" w:space="0" w:color="C0CF3A" w:themeColor="accent3"/>
          <w:insideV w:val="single" w:sz="6" w:space="0" w:color="C0CF3A" w:themeColor="accent3"/>
        </w:tcBorders>
        <w:shd w:val="clear" w:color="auto" w:fill="DFE79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29676" w:themeColor="accent4"/>
        <w:left w:val="single" w:sz="8" w:space="0" w:color="029676" w:themeColor="accent4"/>
        <w:bottom w:val="single" w:sz="8" w:space="0" w:color="029676" w:themeColor="accent4"/>
        <w:right w:val="single" w:sz="8" w:space="0" w:color="029676" w:themeColor="accent4"/>
        <w:insideH w:val="single" w:sz="8" w:space="0" w:color="029676" w:themeColor="accent4"/>
        <w:insideV w:val="single" w:sz="8" w:space="0" w:color="029676" w:themeColor="accent4"/>
      </w:tblBorders>
    </w:tblPr>
    <w:tcPr>
      <w:shd w:val="clear" w:color="auto" w:fill="A7FDEA" w:themeFill="accent4" w:themeFillTint="3F"/>
    </w:tcPr>
    <w:tblStylePr w:type="firstRow">
      <w:rPr>
        <w:b/>
        <w:bCs/>
        <w:color w:val="000000" w:themeColor="text1"/>
      </w:rPr>
      <w:tblPr/>
      <w:tcPr>
        <w:shd w:val="clear" w:color="auto" w:fill="DCFEF7"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8FEEE" w:themeFill="accent4" w:themeFillTint="33"/>
      </w:tcPr>
    </w:tblStylePr>
    <w:tblStylePr w:type="band1Vert">
      <w:tblPr/>
      <w:tcPr>
        <w:shd w:val="clear" w:color="auto" w:fill="4FFCD6" w:themeFill="accent4" w:themeFillTint="7F"/>
      </w:tcPr>
    </w:tblStylePr>
    <w:tblStylePr w:type="band1Horz">
      <w:tblPr/>
      <w:tcPr>
        <w:tcBorders>
          <w:insideH w:val="single" w:sz="6" w:space="0" w:color="029676" w:themeColor="accent4"/>
          <w:insideV w:val="single" w:sz="6" w:space="0" w:color="029676" w:themeColor="accent4"/>
        </w:tcBorders>
        <w:shd w:val="clear" w:color="auto" w:fill="4FFCD6"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AB5C4" w:themeColor="accent5"/>
        <w:left w:val="single" w:sz="8" w:space="0" w:color="4AB5C4" w:themeColor="accent5"/>
        <w:bottom w:val="single" w:sz="8" w:space="0" w:color="4AB5C4" w:themeColor="accent5"/>
        <w:right w:val="single" w:sz="8" w:space="0" w:color="4AB5C4" w:themeColor="accent5"/>
        <w:insideH w:val="single" w:sz="8" w:space="0" w:color="4AB5C4" w:themeColor="accent5"/>
        <w:insideV w:val="single" w:sz="8" w:space="0" w:color="4AB5C4" w:themeColor="accent5"/>
      </w:tblBorders>
    </w:tblPr>
    <w:tcPr>
      <w:shd w:val="clear" w:color="auto" w:fill="D2ECF0" w:themeFill="accent5" w:themeFillTint="3F"/>
    </w:tcPr>
    <w:tblStylePr w:type="firstRow">
      <w:rPr>
        <w:b/>
        <w:bCs/>
        <w:color w:val="000000" w:themeColor="text1"/>
      </w:rPr>
      <w:tblPr/>
      <w:tcPr>
        <w:shd w:val="clear" w:color="auto" w:fill="EDF7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F0F3" w:themeFill="accent5" w:themeFillTint="33"/>
      </w:tcPr>
    </w:tblStylePr>
    <w:tblStylePr w:type="band1Vert">
      <w:tblPr/>
      <w:tcPr>
        <w:shd w:val="clear" w:color="auto" w:fill="A4DAE1" w:themeFill="accent5" w:themeFillTint="7F"/>
      </w:tcPr>
    </w:tblStylePr>
    <w:tblStylePr w:type="band1Horz">
      <w:tblPr/>
      <w:tcPr>
        <w:tcBorders>
          <w:insideH w:val="single" w:sz="6" w:space="0" w:color="4AB5C4" w:themeColor="accent5"/>
          <w:insideV w:val="single" w:sz="6" w:space="0" w:color="4AB5C4" w:themeColor="accent5"/>
        </w:tcBorders>
        <w:shd w:val="clear" w:color="auto" w:fill="A4DAE1"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989B1" w:themeColor="accent6"/>
        <w:left w:val="single" w:sz="8" w:space="0" w:color="0989B1" w:themeColor="accent6"/>
        <w:bottom w:val="single" w:sz="8" w:space="0" w:color="0989B1" w:themeColor="accent6"/>
        <w:right w:val="single" w:sz="8" w:space="0" w:color="0989B1" w:themeColor="accent6"/>
        <w:insideH w:val="single" w:sz="8" w:space="0" w:color="0989B1" w:themeColor="accent6"/>
        <w:insideV w:val="single" w:sz="8" w:space="0" w:color="0989B1" w:themeColor="accent6"/>
      </w:tblBorders>
    </w:tblPr>
    <w:tcPr>
      <w:shd w:val="clear" w:color="auto" w:fill="B2E9FB" w:themeFill="accent6" w:themeFillTint="3F"/>
    </w:tcPr>
    <w:tblStylePr w:type="firstRow">
      <w:rPr>
        <w:b/>
        <w:bCs/>
        <w:color w:val="000000" w:themeColor="text1"/>
      </w:rPr>
      <w:tblPr/>
      <w:tcPr>
        <w:shd w:val="clear" w:color="auto" w:fill="E0F6F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DFC" w:themeFill="accent6" w:themeFillTint="33"/>
      </w:tcPr>
    </w:tblStylePr>
    <w:tblStylePr w:type="band1Vert">
      <w:tblPr/>
      <w:tcPr>
        <w:shd w:val="clear" w:color="auto" w:fill="65D4F7" w:themeFill="accent6" w:themeFillTint="7F"/>
      </w:tcPr>
    </w:tblStylePr>
    <w:tblStylePr w:type="band1Horz">
      <w:tblPr/>
      <w:tcPr>
        <w:tcBorders>
          <w:insideH w:val="single" w:sz="6" w:space="0" w:color="0989B1" w:themeColor="accent6"/>
          <w:insideV w:val="single" w:sz="6" w:space="0" w:color="0989B1" w:themeColor="accent6"/>
        </w:tcBorders>
        <w:shd w:val="clear" w:color="auto" w:fill="65D4F7"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BC9"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49E39"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49E39"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49E39"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49E39"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893"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893"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2F0C9"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AB833"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AB833"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AB833"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AB833"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6E193"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6E193"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F3CE"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CF3A"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CF3A"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CF3A"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CF3A"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E79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E79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7FDE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2967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2967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2967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2967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4FFCD6"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4FFCD6"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CF0"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AB5C4"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AB5C4"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AB5C4"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AB5C4"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4DAE1"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4DAE1"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E9FB"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989B1"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989B1"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989B1"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989B1"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5D4F7"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5D4F7"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549E39"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94E1C"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E762A"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E762A" w:themeFill="accent1" w:themeFillShade="BF"/>
      </w:tcPr>
    </w:tblStylePr>
    <w:tblStylePr w:type="band1Vert">
      <w:tblPr/>
      <w:tcPr>
        <w:tcBorders>
          <w:top w:val="nil"/>
          <w:left w:val="nil"/>
          <w:bottom w:val="nil"/>
          <w:right w:val="nil"/>
          <w:insideH w:val="nil"/>
          <w:insideV w:val="nil"/>
        </w:tcBorders>
        <w:shd w:val="clear" w:color="auto" w:fill="3E762A" w:themeFill="accent1" w:themeFillShade="BF"/>
      </w:tcPr>
    </w:tblStylePr>
    <w:tblStylePr w:type="band1Horz">
      <w:tblPr/>
      <w:tcPr>
        <w:tcBorders>
          <w:top w:val="nil"/>
          <w:left w:val="nil"/>
          <w:bottom w:val="nil"/>
          <w:right w:val="nil"/>
          <w:insideH w:val="nil"/>
          <w:insideV w:val="nil"/>
        </w:tcBorders>
        <w:shd w:val="clear" w:color="auto" w:fill="3E762A"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8AB833"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45B19"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668926"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668926" w:themeFill="accent2" w:themeFillShade="BF"/>
      </w:tcPr>
    </w:tblStylePr>
    <w:tblStylePr w:type="band1Vert">
      <w:tblPr/>
      <w:tcPr>
        <w:tcBorders>
          <w:top w:val="nil"/>
          <w:left w:val="nil"/>
          <w:bottom w:val="nil"/>
          <w:right w:val="nil"/>
          <w:insideH w:val="nil"/>
          <w:insideV w:val="nil"/>
        </w:tcBorders>
        <w:shd w:val="clear" w:color="auto" w:fill="668926" w:themeFill="accent2" w:themeFillShade="BF"/>
      </w:tcPr>
    </w:tblStylePr>
    <w:tblStylePr w:type="band1Horz">
      <w:tblPr/>
      <w:tcPr>
        <w:tcBorders>
          <w:top w:val="nil"/>
          <w:left w:val="nil"/>
          <w:bottom w:val="nil"/>
          <w:right w:val="nil"/>
          <w:insideH w:val="nil"/>
          <w:insideV w:val="nil"/>
        </w:tcBorders>
        <w:shd w:val="clear" w:color="auto" w:fill="668926"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C0CF3A"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16919"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939F27"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939F27" w:themeFill="accent3" w:themeFillShade="BF"/>
      </w:tcPr>
    </w:tblStylePr>
    <w:tblStylePr w:type="band1Vert">
      <w:tblPr/>
      <w:tcPr>
        <w:tcBorders>
          <w:top w:val="nil"/>
          <w:left w:val="nil"/>
          <w:bottom w:val="nil"/>
          <w:right w:val="nil"/>
          <w:insideH w:val="nil"/>
          <w:insideV w:val="nil"/>
        </w:tcBorders>
        <w:shd w:val="clear" w:color="auto" w:fill="939F27" w:themeFill="accent3" w:themeFillShade="BF"/>
      </w:tcPr>
    </w:tblStylePr>
    <w:tblStylePr w:type="band1Horz">
      <w:tblPr/>
      <w:tcPr>
        <w:tcBorders>
          <w:top w:val="nil"/>
          <w:left w:val="nil"/>
          <w:bottom w:val="nil"/>
          <w:right w:val="nil"/>
          <w:insideH w:val="nil"/>
          <w:insideV w:val="nil"/>
        </w:tcBorders>
        <w:shd w:val="clear" w:color="auto" w:fill="939F27"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2967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14A3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17057"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17057" w:themeFill="accent4" w:themeFillShade="BF"/>
      </w:tcPr>
    </w:tblStylePr>
    <w:tblStylePr w:type="band1Vert">
      <w:tblPr/>
      <w:tcPr>
        <w:tcBorders>
          <w:top w:val="nil"/>
          <w:left w:val="nil"/>
          <w:bottom w:val="nil"/>
          <w:right w:val="nil"/>
          <w:insideH w:val="nil"/>
          <w:insideV w:val="nil"/>
        </w:tcBorders>
        <w:shd w:val="clear" w:color="auto" w:fill="017057" w:themeFill="accent4" w:themeFillShade="BF"/>
      </w:tcPr>
    </w:tblStylePr>
    <w:tblStylePr w:type="band1Horz">
      <w:tblPr/>
      <w:tcPr>
        <w:tcBorders>
          <w:top w:val="nil"/>
          <w:left w:val="nil"/>
          <w:bottom w:val="nil"/>
          <w:right w:val="nil"/>
          <w:insideH w:val="nil"/>
          <w:insideV w:val="nil"/>
        </w:tcBorders>
        <w:shd w:val="clear" w:color="auto" w:fill="017057"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AB5C4"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15C65"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B98"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B98" w:themeFill="accent5" w:themeFillShade="BF"/>
      </w:tcPr>
    </w:tblStylePr>
    <w:tblStylePr w:type="band1Vert">
      <w:tblPr/>
      <w:tcPr>
        <w:tcBorders>
          <w:top w:val="nil"/>
          <w:left w:val="nil"/>
          <w:bottom w:val="nil"/>
          <w:right w:val="nil"/>
          <w:insideH w:val="nil"/>
          <w:insideV w:val="nil"/>
        </w:tcBorders>
        <w:shd w:val="clear" w:color="auto" w:fill="318B98" w:themeFill="accent5" w:themeFillShade="BF"/>
      </w:tcPr>
    </w:tblStylePr>
    <w:tblStylePr w:type="band1Horz">
      <w:tblPr/>
      <w:tcPr>
        <w:tcBorders>
          <w:top w:val="nil"/>
          <w:left w:val="nil"/>
          <w:bottom w:val="nil"/>
          <w:right w:val="nil"/>
          <w:insideH w:val="nil"/>
          <w:insideV w:val="nil"/>
        </w:tcBorders>
        <w:shd w:val="clear" w:color="auto" w:fill="318B98"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0989B1"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4435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066684"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066684" w:themeFill="accent6" w:themeFillShade="BF"/>
      </w:tcPr>
    </w:tblStylePr>
    <w:tblStylePr w:type="band1Vert">
      <w:tblPr/>
      <w:tcPr>
        <w:tcBorders>
          <w:top w:val="nil"/>
          <w:left w:val="nil"/>
          <w:bottom w:val="nil"/>
          <w:right w:val="nil"/>
          <w:insideH w:val="nil"/>
          <w:insideV w:val="nil"/>
        </w:tcBorders>
        <w:shd w:val="clear" w:color="auto" w:fill="066684" w:themeFill="accent6" w:themeFillShade="BF"/>
      </w:tcPr>
    </w:tblStylePr>
    <w:tblStylePr w:type="band1Horz">
      <w:tblPr/>
      <w:tcPr>
        <w:tcBorders>
          <w:top w:val="nil"/>
          <w:left w:val="nil"/>
          <w:bottom w:val="nil"/>
          <w:right w:val="nil"/>
          <w:insideH w:val="nil"/>
          <w:insideV w:val="nil"/>
        </w:tcBorders>
        <w:shd w:val="clear" w:color="auto" w:fill="066684"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8AB833"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8AB833"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8AB833" w:themeColor="accent2"/>
        <w:left w:val="single" w:sz="4" w:space="0" w:color="549E39" w:themeColor="accent1"/>
        <w:bottom w:val="single" w:sz="4" w:space="0" w:color="549E39" w:themeColor="accent1"/>
        <w:right w:val="single" w:sz="4" w:space="0" w:color="549E39" w:themeColor="accent1"/>
        <w:insideH w:val="single" w:sz="4" w:space="0" w:color="FFFFFF" w:themeColor="background1"/>
        <w:insideV w:val="single" w:sz="4" w:space="0" w:color="FFFFFF" w:themeColor="background1"/>
      </w:tblBorders>
    </w:tblPr>
    <w:tcPr>
      <w:shd w:val="clear" w:color="auto" w:fill="EDF7E9" w:themeFill="accent1" w:themeFillTint="19"/>
    </w:tcPr>
    <w:tblStylePr w:type="firstRow">
      <w:rPr>
        <w:b/>
        <w:bCs/>
      </w:rPr>
      <w:tblPr/>
      <w:tcPr>
        <w:tcBorders>
          <w:top w:val="nil"/>
          <w:left w:val="nil"/>
          <w:bottom w:val="single" w:sz="24" w:space="0" w:color="8AB833"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25E22" w:themeFill="accent1" w:themeFillShade="99"/>
      </w:tcPr>
    </w:tblStylePr>
    <w:tblStylePr w:type="firstCol">
      <w:rPr>
        <w:color w:val="FFFFFF" w:themeColor="background1"/>
      </w:rPr>
      <w:tblPr/>
      <w:tcPr>
        <w:tcBorders>
          <w:top w:val="nil"/>
          <w:left w:val="nil"/>
          <w:bottom w:val="nil"/>
          <w:right w:val="nil"/>
          <w:insideH w:val="single" w:sz="4" w:space="0" w:color="325E22" w:themeColor="accent1" w:themeShade="99"/>
          <w:insideV w:val="nil"/>
        </w:tcBorders>
        <w:shd w:val="clear" w:color="auto" w:fill="325E22"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325E22" w:themeFill="accent1" w:themeFillShade="99"/>
      </w:tcPr>
    </w:tblStylePr>
    <w:tblStylePr w:type="band1Vert">
      <w:tblPr/>
      <w:tcPr>
        <w:shd w:val="clear" w:color="auto" w:fill="B7DFA8" w:themeFill="accent1" w:themeFillTint="66"/>
      </w:tcPr>
    </w:tblStylePr>
    <w:tblStylePr w:type="band1Horz">
      <w:tblPr/>
      <w:tcPr>
        <w:shd w:val="clear" w:color="auto" w:fill="A5D893"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8AB833" w:themeColor="accent2"/>
        <w:left w:val="single" w:sz="4" w:space="0" w:color="8AB833" w:themeColor="accent2"/>
        <w:bottom w:val="single" w:sz="4" w:space="0" w:color="8AB833" w:themeColor="accent2"/>
        <w:right w:val="single" w:sz="4" w:space="0" w:color="8AB833" w:themeColor="accent2"/>
        <w:insideH w:val="single" w:sz="4" w:space="0" w:color="FFFFFF" w:themeColor="background1"/>
        <w:insideV w:val="single" w:sz="4" w:space="0" w:color="FFFFFF" w:themeColor="background1"/>
      </w:tblBorders>
    </w:tblPr>
    <w:tcPr>
      <w:shd w:val="clear" w:color="auto" w:fill="F3F9E9" w:themeFill="accent2" w:themeFillTint="19"/>
    </w:tcPr>
    <w:tblStylePr w:type="firstRow">
      <w:rPr>
        <w:b/>
        <w:bCs/>
      </w:rPr>
      <w:tblPr/>
      <w:tcPr>
        <w:tcBorders>
          <w:top w:val="nil"/>
          <w:left w:val="nil"/>
          <w:bottom w:val="single" w:sz="24" w:space="0" w:color="8AB833"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26E1E" w:themeFill="accent2" w:themeFillShade="99"/>
      </w:tcPr>
    </w:tblStylePr>
    <w:tblStylePr w:type="firstCol">
      <w:rPr>
        <w:color w:val="FFFFFF" w:themeColor="background1"/>
      </w:rPr>
      <w:tblPr/>
      <w:tcPr>
        <w:tcBorders>
          <w:top w:val="nil"/>
          <w:left w:val="nil"/>
          <w:bottom w:val="nil"/>
          <w:right w:val="nil"/>
          <w:insideH w:val="single" w:sz="4" w:space="0" w:color="526E1E" w:themeColor="accent2" w:themeShade="99"/>
          <w:insideV w:val="nil"/>
        </w:tcBorders>
        <w:shd w:val="clear" w:color="auto" w:fill="526E1E"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526E1E" w:themeFill="accent2" w:themeFillShade="99"/>
      </w:tcPr>
    </w:tblStylePr>
    <w:tblStylePr w:type="band1Vert">
      <w:tblPr/>
      <w:tcPr>
        <w:shd w:val="clear" w:color="auto" w:fill="D1E7A8" w:themeFill="accent2" w:themeFillTint="66"/>
      </w:tcPr>
    </w:tblStylePr>
    <w:tblStylePr w:type="band1Horz">
      <w:tblPr/>
      <w:tcPr>
        <w:shd w:val="clear" w:color="auto" w:fill="C6E193"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29676" w:themeColor="accent4"/>
        <w:left w:val="single" w:sz="4" w:space="0" w:color="C0CF3A" w:themeColor="accent3"/>
        <w:bottom w:val="single" w:sz="4" w:space="0" w:color="C0CF3A" w:themeColor="accent3"/>
        <w:right w:val="single" w:sz="4" w:space="0" w:color="C0CF3A" w:themeColor="accent3"/>
        <w:insideH w:val="single" w:sz="4" w:space="0" w:color="FFFFFF" w:themeColor="background1"/>
        <w:insideV w:val="single" w:sz="4" w:space="0" w:color="FFFFFF" w:themeColor="background1"/>
      </w:tblBorders>
    </w:tblPr>
    <w:tcPr>
      <w:shd w:val="clear" w:color="auto" w:fill="F8FAEB" w:themeFill="accent3" w:themeFillTint="19"/>
    </w:tcPr>
    <w:tblStylePr w:type="firstRow">
      <w:rPr>
        <w:b/>
        <w:bCs/>
      </w:rPr>
      <w:tblPr/>
      <w:tcPr>
        <w:tcBorders>
          <w:top w:val="nil"/>
          <w:left w:val="nil"/>
          <w:bottom w:val="single" w:sz="24" w:space="0" w:color="02967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57F1F" w:themeFill="accent3" w:themeFillShade="99"/>
      </w:tcPr>
    </w:tblStylePr>
    <w:tblStylePr w:type="firstCol">
      <w:rPr>
        <w:color w:val="FFFFFF" w:themeColor="background1"/>
      </w:rPr>
      <w:tblPr/>
      <w:tcPr>
        <w:tcBorders>
          <w:top w:val="nil"/>
          <w:left w:val="nil"/>
          <w:bottom w:val="nil"/>
          <w:right w:val="nil"/>
          <w:insideH w:val="single" w:sz="4" w:space="0" w:color="757F1F" w:themeColor="accent3" w:themeShade="99"/>
          <w:insideV w:val="nil"/>
        </w:tcBorders>
        <w:shd w:val="clear" w:color="auto" w:fill="757F1F"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757F1F" w:themeFill="accent3" w:themeFillShade="99"/>
      </w:tcPr>
    </w:tblStylePr>
    <w:tblStylePr w:type="band1Vert">
      <w:tblPr/>
      <w:tcPr>
        <w:shd w:val="clear" w:color="auto" w:fill="E5EBB0" w:themeFill="accent3" w:themeFillTint="66"/>
      </w:tcPr>
    </w:tblStylePr>
    <w:tblStylePr w:type="band1Horz">
      <w:tblPr/>
      <w:tcPr>
        <w:shd w:val="clear" w:color="auto" w:fill="DFE79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C0CF3A" w:themeColor="accent3"/>
        <w:left w:val="single" w:sz="4" w:space="0" w:color="029676" w:themeColor="accent4"/>
        <w:bottom w:val="single" w:sz="4" w:space="0" w:color="029676" w:themeColor="accent4"/>
        <w:right w:val="single" w:sz="4" w:space="0" w:color="029676" w:themeColor="accent4"/>
        <w:insideH w:val="single" w:sz="4" w:space="0" w:color="FFFFFF" w:themeColor="background1"/>
        <w:insideV w:val="single" w:sz="4" w:space="0" w:color="FFFFFF" w:themeColor="background1"/>
      </w:tblBorders>
    </w:tblPr>
    <w:tcPr>
      <w:shd w:val="clear" w:color="auto" w:fill="DCFEF7" w:themeFill="accent4" w:themeFillTint="19"/>
    </w:tcPr>
    <w:tblStylePr w:type="firstRow">
      <w:rPr>
        <w:b/>
        <w:bCs/>
      </w:rPr>
      <w:tblPr/>
      <w:tcPr>
        <w:tcBorders>
          <w:top w:val="nil"/>
          <w:left w:val="nil"/>
          <w:bottom w:val="single" w:sz="24" w:space="0" w:color="C0CF3A"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15946" w:themeFill="accent4" w:themeFillShade="99"/>
      </w:tcPr>
    </w:tblStylePr>
    <w:tblStylePr w:type="firstCol">
      <w:rPr>
        <w:color w:val="FFFFFF" w:themeColor="background1"/>
      </w:rPr>
      <w:tblPr/>
      <w:tcPr>
        <w:tcBorders>
          <w:top w:val="nil"/>
          <w:left w:val="nil"/>
          <w:bottom w:val="nil"/>
          <w:right w:val="nil"/>
          <w:insideH w:val="single" w:sz="4" w:space="0" w:color="015946" w:themeColor="accent4" w:themeShade="99"/>
          <w:insideV w:val="nil"/>
        </w:tcBorders>
        <w:shd w:val="clear" w:color="auto" w:fill="015946"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15946" w:themeFill="accent4" w:themeFillShade="99"/>
      </w:tcPr>
    </w:tblStylePr>
    <w:tblStylePr w:type="band1Vert">
      <w:tblPr/>
      <w:tcPr>
        <w:shd w:val="clear" w:color="auto" w:fill="71FDDE" w:themeFill="accent4" w:themeFillTint="66"/>
      </w:tcPr>
    </w:tblStylePr>
    <w:tblStylePr w:type="band1Horz">
      <w:tblPr/>
      <w:tcPr>
        <w:shd w:val="clear" w:color="auto" w:fill="4FFCD6"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0989B1" w:themeColor="accent6"/>
        <w:left w:val="single" w:sz="4" w:space="0" w:color="4AB5C4" w:themeColor="accent5"/>
        <w:bottom w:val="single" w:sz="4" w:space="0" w:color="4AB5C4" w:themeColor="accent5"/>
        <w:right w:val="single" w:sz="4" w:space="0" w:color="4AB5C4" w:themeColor="accent5"/>
        <w:insideH w:val="single" w:sz="4" w:space="0" w:color="FFFFFF" w:themeColor="background1"/>
        <w:insideV w:val="single" w:sz="4" w:space="0" w:color="FFFFFF" w:themeColor="background1"/>
      </w:tblBorders>
    </w:tblPr>
    <w:tcPr>
      <w:shd w:val="clear" w:color="auto" w:fill="EDF7F9" w:themeFill="accent5" w:themeFillTint="19"/>
    </w:tcPr>
    <w:tblStylePr w:type="firstRow">
      <w:rPr>
        <w:b/>
        <w:bCs/>
      </w:rPr>
      <w:tblPr/>
      <w:tcPr>
        <w:tcBorders>
          <w:top w:val="nil"/>
          <w:left w:val="nil"/>
          <w:bottom w:val="single" w:sz="24" w:space="0" w:color="0989B1"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86F7A" w:themeFill="accent5" w:themeFillShade="99"/>
      </w:tcPr>
    </w:tblStylePr>
    <w:tblStylePr w:type="firstCol">
      <w:rPr>
        <w:color w:val="FFFFFF" w:themeColor="background1"/>
      </w:rPr>
      <w:tblPr/>
      <w:tcPr>
        <w:tcBorders>
          <w:top w:val="nil"/>
          <w:left w:val="nil"/>
          <w:bottom w:val="nil"/>
          <w:right w:val="nil"/>
          <w:insideH w:val="single" w:sz="4" w:space="0" w:color="286F7A" w:themeColor="accent5" w:themeShade="99"/>
          <w:insideV w:val="nil"/>
        </w:tcBorders>
        <w:shd w:val="clear" w:color="auto" w:fill="286F7A"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86F7A" w:themeFill="accent5" w:themeFillShade="99"/>
      </w:tcPr>
    </w:tblStylePr>
    <w:tblStylePr w:type="band1Vert">
      <w:tblPr/>
      <w:tcPr>
        <w:shd w:val="clear" w:color="auto" w:fill="B6E1E7" w:themeFill="accent5" w:themeFillTint="66"/>
      </w:tcPr>
    </w:tblStylePr>
    <w:tblStylePr w:type="band1Horz">
      <w:tblPr/>
      <w:tcPr>
        <w:shd w:val="clear" w:color="auto" w:fill="A4DAE1"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AB5C4" w:themeColor="accent5"/>
        <w:left w:val="single" w:sz="4" w:space="0" w:color="0989B1" w:themeColor="accent6"/>
        <w:bottom w:val="single" w:sz="4" w:space="0" w:color="0989B1" w:themeColor="accent6"/>
        <w:right w:val="single" w:sz="4" w:space="0" w:color="0989B1" w:themeColor="accent6"/>
        <w:insideH w:val="single" w:sz="4" w:space="0" w:color="FFFFFF" w:themeColor="background1"/>
        <w:insideV w:val="single" w:sz="4" w:space="0" w:color="FFFFFF" w:themeColor="background1"/>
      </w:tblBorders>
    </w:tblPr>
    <w:tcPr>
      <w:shd w:val="clear" w:color="auto" w:fill="E0F6FD" w:themeFill="accent6" w:themeFillTint="19"/>
    </w:tcPr>
    <w:tblStylePr w:type="firstRow">
      <w:rPr>
        <w:b/>
        <w:bCs/>
      </w:rPr>
      <w:tblPr/>
      <w:tcPr>
        <w:tcBorders>
          <w:top w:val="nil"/>
          <w:left w:val="nil"/>
          <w:bottom w:val="single" w:sz="24" w:space="0" w:color="4AB5C4"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55169" w:themeFill="accent6" w:themeFillShade="99"/>
      </w:tcPr>
    </w:tblStylePr>
    <w:tblStylePr w:type="firstCol">
      <w:rPr>
        <w:color w:val="FFFFFF" w:themeColor="background1"/>
      </w:rPr>
      <w:tblPr/>
      <w:tcPr>
        <w:tcBorders>
          <w:top w:val="nil"/>
          <w:left w:val="nil"/>
          <w:bottom w:val="nil"/>
          <w:right w:val="nil"/>
          <w:insideH w:val="single" w:sz="4" w:space="0" w:color="055169" w:themeColor="accent6" w:themeShade="99"/>
          <w:insideV w:val="nil"/>
        </w:tcBorders>
        <w:shd w:val="clear" w:color="auto" w:fill="055169"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055169" w:themeFill="accent6" w:themeFillShade="99"/>
      </w:tcPr>
    </w:tblStylePr>
    <w:tblStylePr w:type="band1Vert">
      <w:tblPr/>
      <w:tcPr>
        <w:shd w:val="clear" w:color="auto" w:fill="83DCF8" w:themeFill="accent6" w:themeFillTint="66"/>
      </w:tcPr>
    </w:tblStylePr>
    <w:tblStylePr w:type="band1Horz">
      <w:tblPr/>
      <w:tcPr>
        <w:shd w:val="clear" w:color="auto" w:fill="65D4F7"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6E9329" w:themeFill="accent2" w:themeFillShade="CC"/>
      </w:tcPr>
    </w:tblStylePr>
    <w:tblStylePr w:type="lastRow">
      <w:rPr>
        <w:b/>
        <w:bCs/>
        <w:color w:val="6E9329"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7E9" w:themeFill="accent1" w:themeFillTint="19"/>
    </w:tcPr>
    <w:tblStylePr w:type="firstRow">
      <w:rPr>
        <w:b/>
        <w:bCs/>
        <w:color w:val="FFFFFF" w:themeColor="background1"/>
      </w:rPr>
      <w:tblPr/>
      <w:tcPr>
        <w:tcBorders>
          <w:bottom w:val="single" w:sz="12" w:space="0" w:color="FFFFFF" w:themeColor="background1"/>
        </w:tcBorders>
        <w:shd w:val="clear" w:color="auto" w:fill="6E9329" w:themeFill="accent2" w:themeFillShade="CC"/>
      </w:tcPr>
    </w:tblStylePr>
    <w:tblStylePr w:type="lastRow">
      <w:rPr>
        <w:b/>
        <w:bCs/>
        <w:color w:val="6E9329"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BC9" w:themeFill="accent1" w:themeFillTint="3F"/>
      </w:tcPr>
    </w:tblStylePr>
    <w:tblStylePr w:type="band1Horz">
      <w:tblPr/>
      <w:tcPr>
        <w:shd w:val="clear" w:color="auto" w:fill="DAEFD3"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3F9E9" w:themeFill="accent2" w:themeFillTint="19"/>
    </w:tcPr>
    <w:tblStylePr w:type="firstRow">
      <w:rPr>
        <w:b/>
        <w:bCs/>
        <w:color w:val="FFFFFF" w:themeColor="background1"/>
      </w:rPr>
      <w:tblPr/>
      <w:tcPr>
        <w:tcBorders>
          <w:bottom w:val="single" w:sz="12" w:space="0" w:color="FFFFFF" w:themeColor="background1"/>
        </w:tcBorders>
        <w:shd w:val="clear" w:color="auto" w:fill="6E9329" w:themeFill="accent2" w:themeFillShade="CC"/>
      </w:tcPr>
    </w:tblStylePr>
    <w:tblStylePr w:type="lastRow">
      <w:rPr>
        <w:b/>
        <w:bCs/>
        <w:color w:val="6E9329"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2F0C9" w:themeFill="accent2" w:themeFillTint="3F"/>
      </w:tcPr>
    </w:tblStylePr>
    <w:tblStylePr w:type="band1Horz">
      <w:tblPr/>
      <w:tcPr>
        <w:shd w:val="clear" w:color="auto" w:fill="E8F3D3"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8FAEB" w:themeFill="accent3" w:themeFillTint="19"/>
    </w:tcPr>
    <w:tblStylePr w:type="firstRow">
      <w:rPr>
        <w:b/>
        <w:bCs/>
        <w:color w:val="FFFFFF" w:themeColor="background1"/>
      </w:rPr>
      <w:tblPr/>
      <w:tcPr>
        <w:tcBorders>
          <w:bottom w:val="single" w:sz="12" w:space="0" w:color="FFFFFF" w:themeColor="background1"/>
        </w:tcBorders>
        <w:shd w:val="clear" w:color="auto" w:fill="01775D" w:themeFill="accent4" w:themeFillShade="CC"/>
      </w:tcPr>
    </w:tblStylePr>
    <w:tblStylePr w:type="lastRow">
      <w:rPr>
        <w:b/>
        <w:bCs/>
        <w:color w:val="01775D"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F3CE" w:themeFill="accent3" w:themeFillTint="3F"/>
      </w:tcPr>
    </w:tblStylePr>
    <w:tblStylePr w:type="band1Horz">
      <w:tblPr/>
      <w:tcPr>
        <w:shd w:val="clear" w:color="auto" w:fill="F2F5D7"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DCFEF7" w:themeFill="accent4" w:themeFillTint="19"/>
    </w:tcPr>
    <w:tblStylePr w:type="firstRow">
      <w:rPr>
        <w:b/>
        <w:bCs/>
        <w:color w:val="FFFFFF" w:themeColor="background1"/>
      </w:rPr>
      <w:tblPr/>
      <w:tcPr>
        <w:tcBorders>
          <w:bottom w:val="single" w:sz="12" w:space="0" w:color="FFFFFF" w:themeColor="background1"/>
        </w:tcBorders>
        <w:shd w:val="clear" w:color="auto" w:fill="9DAA29" w:themeFill="accent3" w:themeFillShade="CC"/>
      </w:tcPr>
    </w:tblStylePr>
    <w:tblStylePr w:type="lastRow">
      <w:rPr>
        <w:b/>
        <w:bCs/>
        <w:color w:val="9DAA29"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7FDEA" w:themeFill="accent4" w:themeFillTint="3F"/>
      </w:tcPr>
    </w:tblStylePr>
    <w:tblStylePr w:type="band1Horz">
      <w:tblPr/>
      <w:tcPr>
        <w:shd w:val="clear" w:color="auto" w:fill="B8FEEE"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7F9" w:themeFill="accent5" w:themeFillTint="19"/>
    </w:tcPr>
    <w:tblStylePr w:type="firstRow">
      <w:rPr>
        <w:b/>
        <w:bCs/>
        <w:color w:val="FFFFFF" w:themeColor="background1"/>
      </w:rPr>
      <w:tblPr/>
      <w:tcPr>
        <w:tcBorders>
          <w:bottom w:val="single" w:sz="12" w:space="0" w:color="FFFFFF" w:themeColor="background1"/>
        </w:tcBorders>
        <w:shd w:val="clear" w:color="auto" w:fill="076D8D" w:themeFill="accent6" w:themeFillShade="CC"/>
      </w:tcPr>
    </w:tblStylePr>
    <w:tblStylePr w:type="lastRow">
      <w:rPr>
        <w:b/>
        <w:bCs/>
        <w:color w:val="076D8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CF0" w:themeFill="accent5" w:themeFillTint="3F"/>
      </w:tcPr>
    </w:tblStylePr>
    <w:tblStylePr w:type="band1Horz">
      <w:tblPr/>
      <w:tcPr>
        <w:shd w:val="clear" w:color="auto" w:fill="DAF0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0F6FD" w:themeFill="accent6" w:themeFillTint="19"/>
    </w:tcPr>
    <w:tblStylePr w:type="firstRow">
      <w:rPr>
        <w:b/>
        <w:bCs/>
        <w:color w:val="FFFFFF" w:themeColor="background1"/>
      </w:rPr>
      <w:tblPr/>
      <w:tcPr>
        <w:tcBorders>
          <w:bottom w:val="single" w:sz="12" w:space="0" w:color="FFFFFF" w:themeColor="background1"/>
        </w:tcBorders>
        <w:shd w:val="clear" w:color="auto" w:fill="3595A2" w:themeFill="accent5" w:themeFillShade="CC"/>
      </w:tcPr>
    </w:tblStylePr>
    <w:tblStylePr w:type="lastRow">
      <w:rPr>
        <w:b/>
        <w:bCs/>
        <w:color w:val="3595A2"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E9FB" w:themeFill="accent6" w:themeFillTint="3F"/>
      </w:tcPr>
    </w:tblStylePr>
    <w:tblStylePr w:type="band1Horz">
      <w:tblPr/>
      <w:tcPr>
        <w:shd w:val="clear" w:color="auto" w:fill="C1EDFC"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FD3" w:themeFill="accent1" w:themeFillTint="33"/>
    </w:tcPr>
    <w:tblStylePr w:type="firstRow">
      <w:rPr>
        <w:b/>
        <w:bCs/>
      </w:rPr>
      <w:tblPr/>
      <w:tcPr>
        <w:shd w:val="clear" w:color="auto" w:fill="B7DFA8" w:themeFill="accent1" w:themeFillTint="66"/>
      </w:tcPr>
    </w:tblStylePr>
    <w:tblStylePr w:type="lastRow">
      <w:rPr>
        <w:b/>
        <w:bCs/>
        <w:color w:val="000000" w:themeColor="text1"/>
      </w:rPr>
      <w:tblPr/>
      <w:tcPr>
        <w:shd w:val="clear" w:color="auto" w:fill="B7DFA8" w:themeFill="accent1" w:themeFillTint="66"/>
      </w:tcPr>
    </w:tblStylePr>
    <w:tblStylePr w:type="firstCol">
      <w:rPr>
        <w:color w:val="FFFFFF" w:themeColor="background1"/>
      </w:rPr>
      <w:tblPr/>
      <w:tcPr>
        <w:shd w:val="clear" w:color="auto" w:fill="3E762A" w:themeFill="accent1" w:themeFillShade="BF"/>
      </w:tcPr>
    </w:tblStylePr>
    <w:tblStylePr w:type="lastCol">
      <w:rPr>
        <w:color w:val="FFFFFF" w:themeColor="background1"/>
      </w:rPr>
      <w:tblPr/>
      <w:tcPr>
        <w:shd w:val="clear" w:color="auto" w:fill="3E762A" w:themeFill="accent1" w:themeFillShade="BF"/>
      </w:tcPr>
    </w:tblStylePr>
    <w:tblStylePr w:type="band1Vert">
      <w:tblPr/>
      <w:tcPr>
        <w:shd w:val="clear" w:color="auto" w:fill="A5D893" w:themeFill="accent1" w:themeFillTint="7F"/>
      </w:tcPr>
    </w:tblStylePr>
    <w:tblStylePr w:type="band1Horz">
      <w:tblPr/>
      <w:tcPr>
        <w:shd w:val="clear" w:color="auto" w:fill="A5D893"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8F3D3" w:themeFill="accent2" w:themeFillTint="33"/>
    </w:tcPr>
    <w:tblStylePr w:type="firstRow">
      <w:rPr>
        <w:b/>
        <w:bCs/>
      </w:rPr>
      <w:tblPr/>
      <w:tcPr>
        <w:shd w:val="clear" w:color="auto" w:fill="D1E7A8" w:themeFill="accent2" w:themeFillTint="66"/>
      </w:tcPr>
    </w:tblStylePr>
    <w:tblStylePr w:type="lastRow">
      <w:rPr>
        <w:b/>
        <w:bCs/>
        <w:color w:val="000000" w:themeColor="text1"/>
      </w:rPr>
      <w:tblPr/>
      <w:tcPr>
        <w:shd w:val="clear" w:color="auto" w:fill="D1E7A8" w:themeFill="accent2" w:themeFillTint="66"/>
      </w:tcPr>
    </w:tblStylePr>
    <w:tblStylePr w:type="firstCol">
      <w:rPr>
        <w:color w:val="FFFFFF" w:themeColor="background1"/>
      </w:rPr>
      <w:tblPr/>
      <w:tcPr>
        <w:shd w:val="clear" w:color="auto" w:fill="668926" w:themeFill="accent2" w:themeFillShade="BF"/>
      </w:tcPr>
    </w:tblStylePr>
    <w:tblStylePr w:type="lastCol">
      <w:rPr>
        <w:color w:val="FFFFFF" w:themeColor="background1"/>
      </w:rPr>
      <w:tblPr/>
      <w:tcPr>
        <w:shd w:val="clear" w:color="auto" w:fill="668926" w:themeFill="accent2" w:themeFillShade="BF"/>
      </w:tcPr>
    </w:tblStylePr>
    <w:tblStylePr w:type="band1Vert">
      <w:tblPr/>
      <w:tcPr>
        <w:shd w:val="clear" w:color="auto" w:fill="C6E193" w:themeFill="accent2" w:themeFillTint="7F"/>
      </w:tcPr>
    </w:tblStylePr>
    <w:tblStylePr w:type="band1Horz">
      <w:tblPr/>
      <w:tcPr>
        <w:shd w:val="clear" w:color="auto" w:fill="C6E193"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F5D7" w:themeFill="accent3" w:themeFillTint="33"/>
    </w:tcPr>
    <w:tblStylePr w:type="firstRow">
      <w:rPr>
        <w:b/>
        <w:bCs/>
      </w:rPr>
      <w:tblPr/>
      <w:tcPr>
        <w:shd w:val="clear" w:color="auto" w:fill="E5EBB0" w:themeFill="accent3" w:themeFillTint="66"/>
      </w:tcPr>
    </w:tblStylePr>
    <w:tblStylePr w:type="lastRow">
      <w:rPr>
        <w:b/>
        <w:bCs/>
        <w:color w:val="000000" w:themeColor="text1"/>
      </w:rPr>
      <w:tblPr/>
      <w:tcPr>
        <w:shd w:val="clear" w:color="auto" w:fill="E5EBB0" w:themeFill="accent3" w:themeFillTint="66"/>
      </w:tcPr>
    </w:tblStylePr>
    <w:tblStylePr w:type="firstCol">
      <w:rPr>
        <w:color w:val="FFFFFF" w:themeColor="background1"/>
      </w:rPr>
      <w:tblPr/>
      <w:tcPr>
        <w:shd w:val="clear" w:color="auto" w:fill="939F27" w:themeFill="accent3" w:themeFillShade="BF"/>
      </w:tcPr>
    </w:tblStylePr>
    <w:tblStylePr w:type="lastCol">
      <w:rPr>
        <w:color w:val="FFFFFF" w:themeColor="background1"/>
      </w:rPr>
      <w:tblPr/>
      <w:tcPr>
        <w:shd w:val="clear" w:color="auto" w:fill="939F27" w:themeFill="accent3" w:themeFillShade="BF"/>
      </w:tcPr>
    </w:tblStylePr>
    <w:tblStylePr w:type="band1Vert">
      <w:tblPr/>
      <w:tcPr>
        <w:shd w:val="clear" w:color="auto" w:fill="DFE79C" w:themeFill="accent3" w:themeFillTint="7F"/>
      </w:tcPr>
    </w:tblStylePr>
    <w:tblStylePr w:type="band1Horz">
      <w:tblPr/>
      <w:tcPr>
        <w:shd w:val="clear" w:color="auto" w:fill="DFE79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B8FEEE" w:themeFill="accent4" w:themeFillTint="33"/>
    </w:tcPr>
    <w:tblStylePr w:type="firstRow">
      <w:rPr>
        <w:b/>
        <w:bCs/>
      </w:rPr>
      <w:tblPr/>
      <w:tcPr>
        <w:shd w:val="clear" w:color="auto" w:fill="71FDDE" w:themeFill="accent4" w:themeFillTint="66"/>
      </w:tcPr>
    </w:tblStylePr>
    <w:tblStylePr w:type="lastRow">
      <w:rPr>
        <w:b/>
        <w:bCs/>
        <w:color w:val="000000" w:themeColor="text1"/>
      </w:rPr>
      <w:tblPr/>
      <w:tcPr>
        <w:shd w:val="clear" w:color="auto" w:fill="71FDDE" w:themeFill="accent4" w:themeFillTint="66"/>
      </w:tcPr>
    </w:tblStylePr>
    <w:tblStylePr w:type="firstCol">
      <w:rPr>
        <w:color w:val="FFFFFF" w:themeColor="background1"/>
      </w:rPr>
      <w:tblPr/>
      <w:tcPr>
        <w:shd w:val="clear" w:color="auto" w:fill="017057" w:themeFill="accent4" w:themeFillShade="BF"/>
      </w:tcPr>
    </w:tblStylePr>
    <w:tblStylePr w:type="lastCol">
      <w:rPr>
        <w:color w:val="FFFFFF" w:themeColor="background1"/>
      </w:rPr>
      <w:tblPr/>
      <w:tcPr>
        <w:shd w:val="clear" w:color="auto" w:fill="017057" w:themeFill="accent4" w:themeFillShade="BF"/>
      </w:tcPr>
    </w:tblStylePr>
    <w:tblStylePr w:type="band1Vert">
      <w:tblPr/>
      <w:tcPr>
        <w:shd w:val="clear" w:color="auto" w:fill="4FFCD6" w:themeFill="accent4" w:themeFillTint="7F"/>
      </w:tcPr>
    </w:tblStylePr>
    <w:tblStylePr w:type="band1Horz">
      <w:tblPr/>
      <w:tcPr>
        <w:shd w:val="clear" w:color="auto" w:fill="4FFCD6"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F0F3" w:themeFill="accent5" w:themeFillTint="33"/>
    </w:tcPr>
    <w:tblStylePr w:type="firstRow">
      <w:rPr>
        <w:b/>
        <w:bCs/>
      </w:rPr>
      <w:tblPr/>
      <w:tcPr>
        <w:shd w:val="clear" w:color="auto" w:fill="B6E1E7" w:themeFill="accent5" w:themeFillTint="66"/>
      </w:tcPr>
    </w:tblStylePr>
    <w:tblStylePr w:type="lastRow">
      <w:rPr>
        <w:b/>
        <w:bCs/>
        <w:color w:val="000000" w:themeColor="text1"/>
      </w:rPr>
      <w:tblPr/>
      <w:tcPr>
        <w:shd w:val="clear" w:color="auto" w:fill="B6E1E7" w:themeFill="accent5" w:themeFillTint="66"/>
      </w:tcPr>
    </w:tblStylePr>
    <w:tblStylePr w:type="firstCol">
      <w:rPr>
        <w:color w:val="FFFFFF" w:themeColor="background1"/>
      </w:rPr>
      <w:tblPr/>
      <w:tcPr>
        <w:shd w:val="clear" w:color="auto" w:fill="318B98" w:themeFill="accent5" w:themeFillShade="BF"/>
      </w:tcPr>
    </w:tblStylePr>
    <w:tblStylePr w:type="lastCol">
      <w:rPr>
        <w:color w:val="FFFFFF" w:themeColor="background1"/>
      </w:rPr>
      <w:tblPr/>
      <w:tcPr>
        <w:shd w:val="clear" w:color="auto" w:fill="318B98" w:themeFill="accent5" w:themeFillShade="BF"/>
      </w:tcPr>
    </w:tblStylePr>
    <w:tblStylePr w:type="band1Vert">
      <w:tblPr/>
      <w:tcPr>
        <w:shd w:val="clear" w:color="auto" w:fill="A4DAE1" w:themeFill="accent5" w:themeFillTint="7F"/>
      </w:tcPr>
    </w:tblStylePr>
    <w:tblStylePr w:type="band1Horz">
      <w:tblPr/>
      <w:tcPr>
        <w:shd w:val="clear" w:color="auto" w:fill="A4DAE1"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DFC" w:themeFill="accent6" w:themeFillTint="33"/>
    </w:tcPr>
    <w:tblStylePr w:type="firstRow">
      <w:rPr>
        <w:b/>
        <w:bCs/>
      </w:rPr>
      <w:tblPr/>
      <w:tcPr>
        <w:shd w:val="clear" w:color="auto" w:fill="83DCF8" w:themeFill="accent6" w:themeFillTint="66"/>
      </w:tcPr>
    </w:tblStylePr>
    <w:tblStylePr w:type="lastRow">
      <w:rPr>
        <w:b/>
        <w:bCs/>
        <w:color w:val="000000" w:themeColor="text1"/>
      </w:rPr>
      <w:tblPr/>
      <w:tcPr>
        <w:shd w:val="clear" w:color="auto" w:fill="83DCF8" w:themeFill="accent6" w:themeFillTint="66"/>
      </w:tcPr>
    </w:tblStylePr>
    <w:tblStylePr w:type="firstCol">
      <w:rPr>
        <w:color w:val="FFFFFF" w:themeColor="background1"/>
      </w:rPr>
      <w:tblPr/>
      <w:tcPr>
        <w:shd w:val="clear" w:color="auto" w:fill="066684" w:themeFill="accent6" w:themeFillShade="BF"/>
      </w:tcPr>
    </w:tblStylePr>
    <w:tblStylePr w:type="lastCol">
      <w:rPr>
        <w:color w:val="FFFFFF" w:themeColor="background1"/>
      </w:rPr>
      <w:tblPr/>
      <w:tcPr>
        <w:shd w:val="clear" w:color="auto" w:fill="066684" w:themeFill="accent6" w:themeFillShade="BF"/>
      </w:tcPr>
    </w:tblStylePr>
    <w:tblStylePr w:type="band1Vert">
      <w:tblPr/>
      <w:tcPr>
        <w:shd w:val="clear" w:color="auto" w:fill="65D4F7" w:themeFill="accent6" w:themeFillTint="7F"/>
      </w:tcPr>
    </w:tblStylePr>
    <w:tblStylePr w:type="band1Horz">
      <w:tblPr/>
      <w:tcPr>
        <w:shd w:val="clear" w:color="auto" w:fill="65D4F7" w:themeFill="accent6" w:themeFillTint="7F"/>
      </w:tcPr>
    </w:tblStylePr>
  </w:style>
  <w:style w:type="paragraph" w:styleId="TOC1">
    <w:name w:val="toc 1"/>
    <w:basedOn w:val="Normal"/>
    <w:next w:val="Normal"/>
    <w:autoRedefine/>
    <w:uiPriority w:val="39"/>
    <w:unhideWhenUsed/>
    <w:rsid w:val="00646E75"/>
    <w:pPr>
      <w:spacing w:after="100"/>
    </w:pPr>
  </w:style>
  <w:style w:type="character" w:styleId="Hyperlink">
    <w:name w:val="Hyperlink"/>
    <w:basedOn w:val="DefaultParagraphFont"/>
    <w:uiPriority w:val="99"/>
    <w:unhideWhenUsed/>
    <w:rsid w:val="00646E75"/>
    <w:rPr>
      <w:color w:val="6B9F25" w:themeColor="hyperlink"/>
      <w:u w:val="single"/>
    </w:rPr>
  </w:style>
  <w:style w:type="paragraph" w:styleId="TOC2">
    <w:name w:val="toc 2"/>
    <w:basedOn w:val="Normal"/>
    <w:next w:val="Normal"/>
    <w:autoRedefine/>
    <w:uiPriority w:val="39"/>
    <w:unhideWhenUsed/>
    <w:rsid w:val="003625F5"/>
    <w:pPr>
      <w:spacing w:after="100"/>
      <w:ind w:left="240"/>
    </w:pPr>
  </w:style>
  <w:style w:type="table" w:styleId="TableGridLight">
    <w:name w:val="Grid Table Light"/>
    <w:basedOn w:val="TableNormal"/>
    <w:uiPriority w:val="99"/>
    <w:rsid w:val="00B37FF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99"/>
    <w:rsid w:val="001C792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cPr>
      <w:shd w:val="clear" w:color="auto" w:fill="D1E7A8" w:themeFill="accent2" w:themeFillTint="66"/>
    </w:tc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5Dark-Accent2">
    <w:name w:val="Grid Table 5 Dark Accent 2"/>
    <w:basedOn w:val="TableNormal"/>
    <w:uiPriority w:val="50"/>
    <w:rsid w:val="00D74F1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8F3D3"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AB833"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AB833"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AB833"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AB833" w:themeFill="accent2"/>
      </w:tcPr>
    </w:tblStylePr>
    <w:tblStylePr w:type="band1Vert">
      <w:tblPr/>
      <w:tcPr>
        <w:shd w:val="clear" w:color="auto" w:fill="D1E7A8" w:themeFill="accent2" w:themeFillTint="66"/>
      </w:tcPr>
    </w:tblStylePr>
    <w:tblStylePr w:type="band1Horz">
      <w:tblPr/>
      <w:tcPr>
        <w:shd w:val="clear" w:color="auto" w:fill="D1E7A8" w:themeFill="accent2" w:themeFillTint="66"/>
      </w:tcPr>
    </w:tblStylePr>
  </w:style>
  <w:style w:type="table" w:styleId="GridTable5Dark-Accent1">
    <w:name w:val="Grid Table 5 Dark Accent 1"/>
    <w:basedOn w:val="TableNormal"/>
    <w:uiPriority w:val="50"/>
    <w:rsid w:val="002B701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FD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49E39"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49E39"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49E39"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49E39" w:themeFill="accent1"/>
      </w:tcPr>
    </w:tblStylePr>
    <w:tblStylePr w:type="band1Vert">
      <w:tblPr/>
      <w:tcPr>
        <w:shd w:val="clear" w:color="auto" w:fill="B7DFA8" w:themeFill="accent1" w:themeFillTint="66"/>
      </w:tcPr>
    </w:tblStylePr>
    <w:tblStylePr w:type="band1Horz">
      <w:tblPr/>
      <w:tcPr>
        <w:shd w:val="clear" w:color="auto" w:fill="B7DFA8"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ink/ink1.xml"/><Relationship Id="rId18" Type="http://schemas.openxmlformats.org/officeDocument/2006/relationships/image" Target="media/image8.png"/><Relationship Id="rId26" Type="http://schemas.openxmlformats.org/officeDocument/2006/relationships/image" Target="media/image12.png"/><Relationship Id="rId3" Type="http://schemas.openxmlformats.org/officeDocument/2006/relationships/styles" Target="styles.xml"/><Relationship Id="rId21" Type="http://schemas.openxmlformats.org/officeDocument/2006/relationships/image" Target="media/image9.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customXml" Target="ink/ink3.xml"/><Relationship Id="rId25" Type="http://schemas.openxmlformats.org/officeDocument/2006/relationships/image" Target="media/image11.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customXml" Target="ink/ink5.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0.png"/><Relationship Id="rId5" Type="http://schemas.openxmlformats.org/officeDocument/2006/relationships/webSettings" Target="webSettings.xml"/><Relationship Id="rId15" Type="http://schemas.openxmlformats.org/officeDocument/2006/relationships/customXml" Target="ink/ink2.xml"/><Relationship Id="rId23" Type="http://schemas.openxmlformats.org/officeDocument/2006/relationships/customXml" Target="ink/ink7.xm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customXml" Target="ink/ink4.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customXml" Target="ink/ink6.xml"/><Relationship Id="rId27" Type="http://schemas.openxmlformats.org/officeDocument/2006/relationships/footer" Target="footer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0-12T09:14:42.982"/>
    </inkml:context>
    <inkml:brush xml:id="br0">
      <inkml:brushProperty name="width" value="0.1" units="cm"/>
      <inkml:brushProperty name="height" value="0.1" units="cm"/>
      <inkml:brushProperty name="color" value="#66CC00"/>
    </inkml:brush>
  </inkml:definitions>
  <inkml:trace contextRef="#ctx0" brushRef="#br0">0 0 24575,'4'0'0,"4"0"0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10-12T09:11:00.567"/>
    </inkml:context>
    <inkml:brush xml:id="br0">
      <inkml:brushProperty name="width" value="0.025" units="cm"/>
      <inkml:brushProperty name="height" value="0.025" units="cm"/>
      <inkml:brushProperty name="color" value="#66CC00"/>
      <inkml:brushProperty name="ignorePressure" value="1"/>
    </inkml:brush>
  </inkml:definitions>
  <inkml:trace contextRef="#ctx0" brushRef="#br0">0 1,'15350'0,"-16735"0,1942 0,-1569 0,2200 0,-1337 0,125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11-28T13:31:35.780"/>
    </inkml:context>
    <inkml:brush xml:id="br0">
      <inkml:brushProperty name="width" value="0.025" units="cm"/>
      <inkml:brushProperty name="height" value="0.025" units="cm"/>
      <inkml:brushProperty name="color" value="#66CC00"/>
      <inkml:brushProperty name="ignorePressure" value="1"/>
    </inkml:brush>
  </inkml:definitions>
  <inkml:trace contextRef="#ctx0" brushRef="#br0">0 1</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11-28T13:31:33.053"/>
    </inkml:context>
    <inkml:brush xml:id="br0">
      <inkml:brushProperty name="width" value="0.025" units="cm"/>
      <inkml:brushProperty name="height" value="0.025" units="cm"/>
      <inkml:brushProperty name="color" value="#66CC00"/>
      <inkml:brushProperty name="ignorePressure" value="1"/>
    </inkml:brush>
  </inkml:definitions>
  <inkml:trace contextRef="#ctx0" brushRef="#br0">0 1</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11-28T13:31:31.298"/>
    </inkml:context>
    <inkml:brush xml:id="br0">
      <inkml:brushProperty name="width" value="0.025" units="cm"/>
      <inkml:brushProperty name="height" value="0.025" units="cm"/>
      <inkml:brushProperty name="color" value="#66CC00"/>
      <inkml:brushProperty name="ignorePressure" value="1"/>
    </inkml:brush>
  </inkml:definitions>
  <inkml:trace contextRef="#ctx0" brushRef="#br0">1 6929,'0'-6906,"0"6884</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10-12T09:12:19.195"/>
    </inkml:context>
    <inkml:brush xml:id="br0">
      <inkml:brushProperty name="width" value="0.025" units="cm"/>
      <inkml:brushProperty name="height" value="0.025" units="cm"/>
      <inkml:brushProperty name="color" value="#66CC00"/>
      <inkml:brushProperty name="ignorePressure" value="1"/>
    </inkml:brush>
  </inkml:definitions>
  <inkml:trace contextRef="#ctx0" brushRef="#br0">0 0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10-12T09:11:50.584"/>
    </inkml:context>
    <inkml:brush xml:id="br0">
      <inkml:brushProperty name="width" value="0.025" units="cm"/>
      <inkml:brushProperty name="height" value="0.025" units="cm"/>
      <inkml:brushProperty name="color" value="#66CC00"/>
      <inkml:brushProperty name="ignorePressure" value="1"/>
    </inkml:brush>
  </inkml:definitions>
  <inkml:trace contextRef="#ctx0" brushRef="#br0">0 1,'9308'0,"-10206"0,7691 0,-6783 0</inkml:trace>
</inkml:ink>
</file>

<file path=word/theme/theme1.xml><?xml version="1.0" encoding="utf-8"?>
<a:theme xmlns:a="http://schemas.openxmlformats.org/drawingml/2006/main" name="Office Theme">
  <a:themeElements>
    <a:clrScheme name="Green">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8321</Words>
  <Characters>47430</Characters>
  <Application>Microsoft Office Word</Application>
  <DocSecurity>0</DocSecurity>
  <Lines>395</Lines>
  <Paragraphs>111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55640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Radoslav Nikolov (2118366)</cp:lastModifiedBy>
  <cp:revision>231</cp:revision>
  <dcterms:created xsi:type="dcterms:W3CDTF">2025-10-06T09:41:00Z</dcterms:created>
  <dcterms:modified xsi:type="dcterms:W3CDTF">2025-11-28T15:30:00Z</dcterms:modified>
  <cp:category/>
</cp:coreProperties>
</file>