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9DEC7A" w14:textId="77777777" w:rsidR="009E0FE8" w:rsidRDefault="00000000">
      <w:pPr>
        <w:spacing w:after="40" w:line="240" w:lineRule="auto"/>
        <w:jc w:val="center"/>
      </w:pPr>
      <w:r>
        <w:rPr>
          <w:noProof/>
        </w:rPr>
        <w:drawing>
          <wp:inline distT="0" distB="0" distL="0" distR="0" wp14:anchorId="3237AC5B" wp14:editId="1CDBDCF4">
            <wp:extent cx="1600200" cy="5628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8"/>
                    <a:stretch>
                      <a:fillRect/>
                    </a:stretch>
                  </pic:blipFill>
                  <pic:spPr>
                    <a:xfrm>
                      <a:off x="0" y="0"/>
                      <a:ext cx="1600200" cy="562884"/>
                    </a:xfrm>
                    <a:prstGeom prst="rect">
                      <a:avLst/>
                    </a:prstGeom>
                  </pic:spPr>
                </pic:pic>
              </a:graphicData>
            </a:graphic>
          </wp:inline>
        </w:drawing>
      </w:r>
    </w:p>
    <w:p w14:paraId="6F85C821" w14:textId="77777777" w:rsidR="009E0FE8" w:rsidRDefault="00000000">
      <w:pPr>
        <w:spacing w:after="40" w:line="240" w:lineRule="auto"/>
        <w:jc w:val="center"/>
      </w:pPr>
      <w:r>
        <w:rPr>
          <w:b/>
          <w:color w:val="0058A3"/>
          <w:sz w:val="30"/>
        </w:rPr>
        <w:t>MASTER OF BUSINESS ADMINISTRATION</w:t>
      </w:r>
    </w:p>
    <w:p w14:paraId="7A5B8296" w14:textId="77777777" w:rsidR="009E0FE8" w:rsidRDefault="00000000">
      <w:pPr>
        <w:spacing w:after="40" w:line="240" w:lineRule="auto"/>
        <w:jc w:val="center"/>
      </w:pPr>
      <w:r>
        <w:rPr>
          <w:b/>
          <w:sz w:val="26"/>
        </w:rPr>
        <w:t>LCMB7034 - INTERNATIONAL BUSINESS CONCEPTS</w:t>
      </w:r>
    </w:p>
    <w:p w14:paraId="23ADA436" w14:textId="77777777" w:rsidR="009E0FE8" w:rsidRDefault="00000000">
      <w:pPr>
        <w:spacing w:after="40" w:line="240" w:lineRule="auto"/>
        <w:jc w:val="center"/>
      </w:pPr>
      <w:r>
        <w:rPr>
          <w:b/>
          <w:color w:val="0058A3"/>
          <w:sz w:val="48"/>
        </w:rPr>
        <w:t>INTERNATIONAL MARKET ENTRY REPORT</w:t>
      </w:r>
    </w:p>
    <w:p w14:paraId="57817EDD" w14:textId="77777777" w:rsidR="009E0FE8" w:rsidRDefault="00000000">
      <w:pPr>
        <w:spacing w:after="40" w:line="240" w:lineRule="auto"/>
        <w:jc w:val="center"/>
      </w:pPr>
      <w:r>
        <w:rPr>
          <w:b/>
          <w:color w:val="263238"/>
          <w:sz w:val="36"/>
        </w:rPr>
        <w:t>IKEA’s Proposed Entry into Kenya</w:t>
      </w:r>
    </w:p>
    <w:p w14:paraId="1D24505C" w14:textId="77777777" w:rsidR="009E0FE8" w:rsidRDefault="00000000">
      <w:pPr>
        <w:spacing w:after="40" w:line="240" w:lineRule="auto"/>
        <w:jc w:val="center"/>
      </w:pPr>
      <w:r>
        <w:rPr>
          <w:noProof/>
        </w:rPr>
        <w:drawing>
          <wp:inline distT="0" distB="0" distL="0" distR="0" wp14:anchorId="39B83177" wp14:editId="6A4E7E3D">
            <wp:extent cx="5074920" cy="180441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ver_montage.jpg"/>
                    <pic:cNvPicPr/>
                  </pic:nvPicPr>
                  <pic:blipFill>
                    <a:blip r:embed="rId9"/>
                    <a:stretch>
                      <a:fillRect/>
                    </a:stretch>
                  </pic:blipFill>
                  <pic:spPr>
                    <a:xfrm>
                      <a:off x="0" y="0"/>
                      <a:ext cx="5074920" cy="1804416"/>
                    </a:xfrm>
                    <a:prstGeom prst="rect">
                      <a:avLst/>
                    </a:prstGeom>
                  </pic:spPr>
                </pic:pic>
              </a:graphicData>
            </a:graphic>
          </wp:inline>
        </w:drawing>
      </w:r>
    </w:p>
    <w:p w14:paraId="152BAD0B" w14:textId="77777777" w:rsidR="009E0FE8" w:rsidRDefault="00000000">
      <w:pPr>
        <w:pStyle w:val="SourceText"/>
        <w:spacing w:after="40" w:line="240" w:lineRule="auto"/>
        <w:jc w:val="center"/>
      </w:pPr>
      <w:r>
        <w:rPr>
          <w:sz w:val="15"/>
        </w:rPr>
        <w:t>Images: IKEA store, Montgomery County Planning Commission (CC BY-SA 2.0); Nairobi skyline, Lmwangi (CC BY-SA 3.0), via Wikimedia Commons.</w:t>
      </w:r>
    </w:p>
    <w:tbl>
      <w:tblPr>
        <w:tblStyle w:val="TableGrid"/>
        <w:tblW w:w="0" w:type="auto"/>
        <w:jc w:val="center"/>
        <w:tblLook w:val="04A0" w:firstRow="1" w:lastRow="0" w:firstColumn="1" w:lastColumn="0" w:noHBand="0" w:noVBand="1"/>
      </w:tblPr>
      <w:tblGrid>
        <w:gridCol w:w="4705"/>
        <w:gridCol w:w="4705"/>
      </w:tblGrid>
      <w:tr w:rsidR="009E0FE8" w14:paraId="368F1314" w14:textId="77777777">
        <w:trPr>
          <w:jc w:val="center"/>
        </w:trPr>
        <w:tc>
          <w:tcPr>
            <w:tcW w:w="4705" w:type="dxa"/>
            <w:shd w:val="clear" w:color="auto" w:fill="EAF3F8"/>
            <w:tcMar>
              <w:top w:w="45" w:type="dxa"/>
              <w:left w:w="80" w:type="dxa"/>
              <w:bottom w:w="45" w:type="dxa"/>
              <w:right w:w="80" w:type="dxa"/>
            </w:tcMar>
            <w:vAlign w:val="center"/>
          </w:tcPr>
          <w:p w14:paraId="479A4DBF" w14:textId="77777777" w:rsidR="009E0FE8" w:rsidRDefault="00000000">
            <w:pPr>
              <w:spacing w:after="0" w:line="240" w:lineRule="auto"/>
            </w:pPr>
            <w:r>
              <w:rPr>
                <w:b/>
                <w:sz w:val="18"/>
              </w:rPr>
              <w:t>Student name</w:t>
            </w:r>
          </w:p>
        </w:tc>
        <w:tc>
          <w:tcPr>
            <w:tcW w:w="4705" w:type="dxa"/>
            <w:tcMar>
              <w:top w:w="45" w:type="dxa"/>
              <w:left w:w="80" w:type="dxa"/>
              <w:bottom w:w="45" w:type="dxa"/>
              <w:right w:w="80" w:type="dxa"/>
            </w:tcMar>
            <w:vAlign w:val="center"/>
          </w:tcPr>
          <w:p w14:paraId="05A56E8F" w14:textId="34744A38" w:rsidR="009E0FE8" w:rsidRDefault="000E60DA">
            <w:pPr>
              <w:spacing w:after="0" w:line="240" w:lineRule="auto"/>
            </w:pPr>
            <w:r>
              <w:rPr>
                <w:sz w:val="18"/>
              </w:rPr>
              <w:t>Dharmesh Tanwar</w:t>
            </w:r>
          </w:p>
        </w:tc>
      </w:tr>
      <w:tr w:rsidR="009E0FE8" w14:paraId="5CD2ACF8" w14:textId="77777777">
        <w:trPr>
          <w:jc w:val="center"/>
        </w:trPr>
        <w:tc>
          <w:tcPr>
            <w:tcW w:w="4705" w:type="dxa"/>
            <w:shd w:val="clear" w:color="auto" w:fill="EAF3F8"/>
            <w:tcMar>
              <w:top w:w="45" w:type="dxa"/>
              <w:left w:w="80" w:type="dxa"/>
              <w:bottom w:w="45" w:type="dxa"/>
              <w:right w:w="80" w:type="dxa"/>
            </w:tcMar>
            <w:vAlign w:val="center"/>
          </w:tcPr>
          <w:p w14:paraId="29DBC9C6" w14:textId="77777777" w:rsidR="009E0FE8" w:rsidRDefault="00000000">
            <w:pPr>
              <w:spacing w:after="0" w:line="240" w:lineRule="auto"/>
            </w:pPr>
            <w:r>
              <w:rPr>
                <w:b/>
                <w:sz w:val="18"/>
              </w:rPr>
              <w:t>Student ID</w:t>
            </w:r>
          </w:p>
        </w:tc>
        <w:tc>
          <w:tcPr>
            <w:tcW w:w="4705" w:type="dxa"/>
            <w:tcMar>
              <w:top w:w="45" w:type="dxa"/>
              <w:left w:w="80" w:type="dxa"/>
              <w:bottom w:w="45" w:type="dxa"/>
              <w:right w:w="80" w:type="dxa"/>
            </w:tcMar>
            <w:vAlign w:val="center"/>
          </w:tcPr>
          <w:p w14:paraId="6FD86CCB" w14:textId="5F5EA905" w:rsidR="009E0FE8" w:rsidRPr="000E60DA" w:rsidRDefault="000E60DA">
            <w:pPr>
              <w:spacing w:after="0" w:line="240" w:lineRule="auto"/>
              <w:rPr>
                <w:sz w:val="18"/>
                <w:szCs w:val="18"/>
              </w:rPr>
            </w:pPr>
            <w:r w:rsidRPr="000E60DA">
              <w:rPr>
                <w:sz w:val="18"/>
                <w:szCs w:val="18"/>
              </w:rPr>
              <w:t>2531862</w:t>
            </w:r>
          </w:p>
        </w:tc>
      </w:tr>
      <w:tr w:rsidR="009E0FE8" w14:paraId="444F2CB7" w14:textId="77777777">
        <w:trPr>
          <w:jc w:val="center"/>
        </w:trPr>
        <w:tc>
          <w:tcPr>
            <w:tcW w:w="4705" w:type="dxa"/>
            <w:shd w:val="clear" w:color="auto" w:fill="EAF3F8"/>
            <w:tcMar>
              <w:top w:w="45" w:type="dxa"/>
              <w:left w:w="80" w:type="dxa"/>
              <w:bottom w:w="45" w:type="dxa"/>
              <w:right w:w="80" w:type="dxa"/>
            </w:tcMar>
            <w:vAlign w:val="center"/>
          </w:tcPr>
          <w:p w14:paraId="19427E70" w14:textId="77777777" w:rsidR="009E0FE8" w:rsidRDefault="00000000">
            <w:pPr>
              <w:spacing w:after="0" w:line="240" w:lineRule="auto"/>
            </w:pPr>
            <w:r>
              <w:rPr>
                <w:b/>
                <w:sz w:val="18"/>
              </w:rPr>
              <w:t>Lecturers</w:t>
            </w:r>
          </w:p>
        </w:tc>
        <w:tc>
          <w:tcPr>
            <w:tcW w:w="4705" w:type="dxa"/>
            <w:tcMar>
              <w:top w:w="45" w:type="dxa"/>
              <w:left w:w="80" w:type="dxa"/>
              <w:bottom w:w="45" w:type="dxa"/>
              <w:right w:w="80" w:type="dxa"/>
            </w:tcMar>
            <w:vAlign w:val="center"/>
          </w:tcPr>
          <w:p w14:paraId="26F94816" w14:textId="37DE621E" w:rsidR="009E0FE8" w:rsidRDefault="000E60DA">
            <w:pPr>
              <w:spacing w:after="0" w:line="240" w:lineRule="auto"/>
            </w:pPr>
            <w:r w:rsidRPr="000E60DA">
              <w:rPr>
                <w:sz w:val="18"/>
              </w:rPr>
              <w:t>Gladius Kulothungan</w:t>
            </w:r>
            <w:r>
              <w:rPr>
                <w:sz w:val="18"/>
              </w:rPr>
              <w:t xml:space="preserve"> and </w:t>
            </w:r>
            <w:r>
              <w:rPr>
                <w:sz w:val="18"/>
              </w:rPr>
              <w:t>Akshay Narayanan</w:t>
            </w:r>
          </w:p>
        </w:tc>
      </w:tr>
      <w:tr w:rsidR="009E0FE8" w14:paraId="1154AF24" w14:textId="77777777">
        <w:trPr>
          <w:jc w:val="center"/>
        </w:trPr>
        <w:tc>
          <w:tcPr>
            <w:tcW w:w="4705" w:type="dxa"/>
            <w:shd w:val="clear" w:color="auto" w:fill="EAF3F8"/>
            <w:tcMar>
              <w:top w:w="45" w:type="dxa"/>
              <w:left w:w="80" w:type="dxa"/>
              <w:bottom w:w="45" w:type="dxa"/>
              <w:right w:w="80" w:type="dxa"/>
            </w:tcMar>
            <w:vAlign w:val="center"/>
          </w:tcPr>
          <w:p w14:paraId="2C732F37" w14:textId="77777777" w:rsidR="009E0FE8" w:rsidRDefault="00000000">
            <w:pPr>
              <w:spacing w:after="0" w:line="240" w:lineRule="auto"/>
            </w:pPr>
            <w:r>
              <w:rPr>
                <w:b/>
                <w:sz w:val="18"/>
              </w:rPr>
              <w:t>Submission date</w:t>
            </w:r>
          </w:p>
        </w:tc>
        <w:tc>
          <w:tcPr>
            <w:tcW w:w="4705" w:type="dxa"/>
            <w:tcMar>
              <w:top w:w="45" w:type="dxa"/>
              <w:left w:w="80" w:type="dxa"/>
              <w:bottom w:w="45" w:type="dxa"/>
              <w:right w:w="80" w:type="dxa"/>
            </w:tcMar>
            <w:vAlign w:val="center"/>
          </w:tcPr>
          <w:p w14:paraId="59E71670" w14:textId="77777777" w:rsidR="009E0FE8" w:rsidRDefault="00000000">
            <w:pPr>
              <w:spacing w:after="0" w:line="240" w:lineRule="auto"/>
            </w:pPr>
            <w:r>
              <w:rPr>
                <w:sz w:val="18"/>
              </w:rPr>
              <w:t>14 August 2026</w:t>
            </w:r>
          </w:p>
        </w:tc>
      </w:tr>
      <w:tr w:rsidR="009E0FE8" w14:paraId="70A3EDC6" w14:textId="77777777">
        <w:trPr>
          <w:jc w:val="center"/>
        </w:trPr>
        <w:tc>
          <w:tcPr>
            <w:tcW w:w="4705" w:type="dxa"/>
            <w:shd w:val="clear" w:color="auto" w:fill="EAF3F8"/>
            <w:tcMar>
              <w:top w:w="45" w:type="dxa"/>
              <w:left w:w="80" w:type="dxa"/>
              <w:bottom w:w="45" w:type="dxa"/>
              <w:right w:w="80" w:type="dxa"/>
            </w:tcMar>
            <w:vAlign w:val="center"/>
          </w:tcPr>
          <w:p w14:paraId="78CFB37E" w14:textId="77777777" w:rsidR="009E0FE8" w:rsidRDefault="00000000">
            <w:pPr>
              <w:spacing w:after="0" w:line="240" w:lineRule="auto"/>
            </w:pPr>
            <w:r>
              <w:rPr>
                <w:b/>
                <w:sz w:val="18"/>
              </w:rPr>
              <w:t>Word count</w:t>
            </w:r>
          </w:p>
        </w:tc>
        <w:tc>
          <w:tcPr>
            <w:tcW w:w="4705" w:type="dxa"/>
            <w:tcMar>
              <w:top w:w="45" w:type="dxa"/>
              <w:left w:w="80" w:type="dxa"/>
              <w:bottom w:w="45" w:type="dxa"/>
              <w:right w:w="80" w:type="dxa"/>
            </w:tcMar>
            <w:vAlign w:val="center"/>
          </w:tcPr>
          <w:p w14:paraId="5325EA8C" w14:textId="014D66A6" w:rsidR="009E0FE8" w:rsidRPr="000E60DA" w:rsidRDefault="000E60DA">
            <w:pPr>
              <w:spacing w:after="0" w:line="240" w:lineRule="auto"/>
              <w:rPr>
                <w:sz w:val="18"/>
                <w:szCs w:val="18"/>
              </w:rPr>
            </w:pPr>
            <w:r w:rsidRPr="000E60DA">
              <w:rPr>
                <w:sz w:val="18"/>
                <w:szCs w:val="18"/>
              </w:rPr>
              <w:t>5887</w:t>
            </w:r>
          </w:p>
        </w:tc>
      </w:tr>
    </w:tbl>
    <w:p w14:paraId="5BE5BADE" w14:textId="77777777" w:rsidR="009E0FE8" w:rsidRDefault="00000000">
      <w:pPr>
        <w:spacing w:after="40" w:line="240" w:lineRule="auto"/>
      </w:pPr>
      <w:r>
        <w:br w:type="page"/>
      </w:r>
    </w:p>
    <w:p w14:paraId="173EACE5" w14:textId="77777777" w:rsidR="009E0FE8" w:rsidRDefault="009E0FE8">
      <w:pPr>
        <w:spacing w:after="40" w:line="240" w:lineRule="auto"/>
        <w:sectPr w:rsidR="009E0FE8">
          <w:pgSz w:w="11906" w:h="16838"/>
          <w:pgMar w:top="567" w:right="1191" w:bottom="567" w:left="1191" w:header="720" w:footer="720" w:gutter="0"/>
          <w:cols w:space="720"/>
          <w:docGrid w:linePitch="360"/>
        </w:sectPr>
      </w:pPr>
    </w:p>
    <w:p w14:paraId="79004C4E" w14:textId="07C4C7DE" w:rsidR="009E0FE8" w:rsidRDefault="00000000" w:rsidP="008B7F6B">
      <w:pPr>
        <w:pStyle w:val="Heading1"/>
      </w:pPr>
      <w:r>
        <w:lastRenderedPageBreak/>
        <w:t>Table of Contents</w:t>
      </w:r>
    </w:p>
    <w:tbl>
      <w:tblPr>
        <w:tblW w:w="0" w:type="auto"/>
        <w:jc w:val="center"/>
        <w:tblBorders>
          <w:top w:val="nil"/>
          <w:left w:val="nil"/>
          <w:bottom w:val="nil"/>
          <w:right w:val="nil"/>
          <w:insideH w:val="nil"/>
          <w:insideV w:val="nil"/>
        </w:tblBorders>
        <w:tblLook w:val="04A0" w:firstRow="1" w:lastRow="0" w:firstColumn="1" w:lastColumn="0" w:noHBand="0" w:noVBand="1"/>
      </w:tblPr>
      <w:tblGrid>
        <w:gridCol w:w="8208"/>
        <w:gridCol w:w="648"/>
      </w:tblGrid>
      <w:tr w:rsidR="009E0FE8" w14:paraId="1967ACE9" w14:textId="77777777">
        <w:trPr>
          <w:jc w:val="center"/>
        </w:trPr>
        <w:tc>
          <w:tcPr>
            <w:tcW w:w="8208" w:type="dxa"/>
            <w:tcMar>
              <w:top w:w="18" w:type="dxa"/>
              <w:left w:w="20" w:type="dxa"/>
              <w:bottom w:w="18" w:type="dxa"/>
              <w:right w:w="20" w:type="dxa"/>
            </w:tcMar>
            <w:vAlign w:val="center"/>
          </w:tcPr>
          <w:p w14:paraId="1B7C4E0A" w14:textId="77777777" w:rsidR="009E0FE8" w:rsidRDefault="00000000">
            <w:pPr>
              <w:spacing w:after="0"/>
            </w:pPr>
            <w:r>
              <w:rPr>
                <w:b/>
                <w:color w:val="0058A3"/>
                <w:sz w:val="18"/>
              </w:rPr>
              <w:t>Executive Summary</w:t>
            </w:r>
          </w:p>
        </w:tc>
        <w:tc>
          <w:tcPr>
            <w:tcW w:w="648" w:type="dxa"/>
            <w:tcMar>
              <w:top w:w="18" w:type="dxa"/>
              <w:left w:w="20" w:type="dxa"/>
              <w:bottom w:w="18" w:type="dxa"/>
              <w:right w:w="20" w:type="dxa"/>
            </w:tcMar>
            <w:vAlign w:val="center"/>
          </w:tcPr>
          <w:p w14:paraId="0ACA994C" w14:textId="77777777" w:rsidR="009E0FE8" w:rsidRDefault="00000000">
            <w:pPr>
              <w:spacing w:after="0"/>
              <w:jc w:val="right"/>
            </w:pPr>
            <w:r>
              <w:rPr>
                <w:b/>
                <w:sz w:val="18"/>
              </w:rPr>
              <w:t>3</w:t>
            </w:r>
          </w:p>
        </w:tc>
      </w:tr>
      <w:tr w:rsidR="009E0FE8" w14:paraId="560E3A42" w14:textId="77777777">
        <w:trPr>
          <w:jc w:val="center"/>
        </w:trPr>
        <w:tc>
          <w:tcPr>
            <w:tcW w:w="8208" w:type="dxa"/>
            <w:tcMar>
              <w:top w:w="18" w:type="dxa"/>
              <w:left w:w="20" w:type="dxa"/>
              <w:bottom w:w="18" w:type="dxa"/>
              <w:right w:w="20" w:type="dxa"/>
            </w:tcMar>
            <w:vAlign w:val="center"/>
          </w:tcPr>
          <w:p w14:paraId="3961383E" w14:textId="77777777" w:rsidR="009E0FE8" w:rsidRDefault="00000000">
            <w:pPr>
              <w:spacing w:after="0"/>
            </w:pPr>
            <w:r>
              <w:rPr>
                <w:b/>
                <w:color w:val="0058A3"/>
                <w:sz w:val="18"/>
              </w:rPr>
              <w:t>1. Introduction and Case Validity</w:t>
            </w:r>
          </w:p>
        </w:tc>
        <w:tc>
          <w:tcPr>
            <w:tcW w:w="648" w:type="dxa"/>
            <w:tcMar>
              <w:top w:w="18" w:type="dxa"/>
              <w:left w:w="20" w:type="dxa"/>
              <w:bottom w:w="18" w:type="dxa"/>
              <w:right w:w="20" w:type="dxa"/>
            </w:tcMar>
            <w:vAlign w:val="center"/>
          </w:tcPr>
          <w:p w14:paraId="61B774F1" w14:textId="77777777" w:rsidR="009E0FE8" w:rsidRDefault="00000000">
            <w:pPr>
              <w:spacing w:after="0"/>
              <w:jc w:val="right"/>
            </w:pPr>
            <w:r>
              <w:rPr>
                <w:b/>
                <w:sz w:val="18"/>
              </w:rPr>
              <w:t>3</w:t>
            </w:r>
          </w:p>
        </w:tc>
      </w:tr>
      <w:tr w:rsidR="009E0FE8" w14:paraId="1C16F82C" w14:textId="77777777">
        <w:trPr>
          <w:jc w:val="center"/>
        </w:trPr>
        <w:tc>
          <w:tcPr>
            <w:tcW w:w="8208" w:type="dxa"/>
            <w:tcMar>
              <w:top w:w="18" w:type="dxa"/>
              <w:left w:w="20" w:type="dxa"/>
              <w:bottom w:w="18" w:type="dxa"/>
              <w:right w:w="20" w:type="dxa"/>
            </w:tcMar>
            <w:vAlign w:val="center"/>
          </w:tcPr>
          <w:p w14:paraId="7ADDE7B7" w14:textId="77777777" w:rsidR="009E0FE8" w:rsidRDefault="00000000">
            <w:pPr>
              <w:spacing w:after="0"/>
            </w:pPr>
            <w:r>
              <w:rPr>
                <w:b/>
                <w:color w:val="0058A3"/>
                <w:sz w:val="18"/>
              </w:rPr>
              <w:t>2. Organisational Classification and Global Strategy</w:t>
            </w:r>
          </w:p>
        </w:tc>
        <w:tc>
          <w:tcPr>
            <w:tcW w:w="648" w:type="dxa"/>
            <w:tcMar>
              <w:top w:w="18" w:type="dxa"/>
              <w:left w:w="20" w:type="dxa"/>
              <w:bottom w:w="18" w:type="dxa"/>
              <w:right w:w="20" w:type="dxa"/>
            </w:tcMar>
            <w:vAlign w:val="center"/>
          </w:tcPr>
          <w:p w14:paraId="2E0F4D58" w14:textId="77777777" w:rsidR="009E0FE8" w:rsidRDefault="00000000">
            <w:pPr>
              <w:spacing w:after="0"/>
              <w:jc w:val="right"/>
            </w:pPr>
            <w:r>
              <w:rPr>
                <w:b/>
                <w:sz w:val="18"/>
              </w:rPr>
              <w:t>4</w:t>
            </w:r>
          </w:p>
        </w:tc>
      </w:tr>
      <w:tr w:rsidR="009E0FE8" w14:paraId="0D1A84DB" w14:textId="77777777">
        <w:trPr>
          <w:jc w:val="center"/>
        </w:trPr>
        <w:tc>
          <w:tcPr>
            <w:tcW w:w="8208" w:type="dxa"/>
            <w:tcMar>
              <w:top w:w="18" w:type="dxa"/>
              <w:left w:w="20" w:type="dxa"/>
              <w:bottom w:w="18" w:type="dxa"/>
              <w:right w:w="20" w:type="dxa"/>
            </w:tcMar>
            <w:vAlign w:val="center"/>
          </w:tcPr>
          <w:p w14:paraId="383B633C" w14:textId="77777777" w:rsidR="009E0FE8" w:rsidRDefault="00000000">
            <w:pPr>
              <w:spacing w:after="0"/>
              <w:ind w:left="317"/>
            </w:pPr>
            <w:r>
              <w:rPr>
                <w:color w:val="2D2D2D"/>
                <w:sz w:val="18"/>
              </w:rPr>
              <w:t>2.1 Bartlett and Ghoshal classification</w:t>
            </w:r>
          </w:p>
        </w:tc>
        <w:tc>
          <w:tcPr>
            <w:tcW w:w="648" w:type="dxa"/>
            <w:tcMar>
              <w:top w:w="18" w:type="dxa"/>
              <w:left w:w="20" w:type="dxa"/>
              <w:bottom w:w="18" w:type="dxa"/>
              <w:right w:w="20" w:type="dxa"/>
            </w:tcMar>
            <w:vAlign w:val="center"/>
          </w:tcPr>
          <w:p w14:paraId="595AD7ED" w14:textId="77777777" w:rsidR="009E0FE8" w:rsidRDefault="00000000">
            <w:pPr>
              <w:spacing w:after="0"/>
              <w:jc w:val="right"/>
            </w:pPr>
            <w:r>
              <w:rPr>
                <w:b/>
                <w:sz w:val="18"/>
              </w:rPr>
              <w:t>4</w:t>
            </w:r>
          </w:p>
        </w:tc>
      </w:tr>
      <w:tr w:rsidR="009E0FE8" w14:paraId="4062E887" w14:textId="77777777">
        <w:trPr>
          <w:jc w:val="center"/>
        </w:trPr>
        <w:tc>
          <w:tcPr>
            <w:tcW w:w="8208" w:type="dxa"/>
            <w:tcMar>
              <w:top w:w="18" w:type="dxa"/>
              <w:left w:w="20" w:type="dxa"/>
              <w:bottom w:w="18" w:type="dxa"/>
              <w:right w:w="20" w:type="dxa"/>
            </w:tcMar>
            <w:vAlign w:val="center"/>
          </w:tcPr>
          <w:p w14:paraId="4D676C4C" w14:textId="77777777" w:rsidR="009E0FE8" w:rsidRDefault="00000000">
            <w:pPr>
              <w:spacing w:after="0"/>
              <w:ind w:left="317"/>
            </w:pPr>
            <w:r>
              <w:rPr>
                <w:color w:val="2D2D2D"/>
                <w:sz w:val="18"/>
              </w:rPr>
              <w:t>2.2 Global configuration and value creation</w:t>
            </w:r>
          </w:p>
        </w:tc>
        <w:tc>
          <w:tcPr>
            <w:tcW w:w="648" w:type="dxa"/>
            <w:tcMar>
              <w:top w:w="18" w:type="dxa"/>
              <w:left w:w="20" w:type="dxa"/>
              <w:bottom w:w="18" w:type="dxa"/>
              <w:right w:w="20" w:type="dxa"/>
            </w:tcMar>
            <w:vAlign w:val="center"/>
          </w:tcPr>
          <w:p w14:paraId="13B275EE" w14:textId="77777777" w:rsidR="009E0FE8" w:rsidRDefault="00000000">
            <w:pPr>
              <w:spacing w:after="0"/>
              <w:jc w:val="right"/>
            </w:pPr>
            <w:r>
              <w:rPr>
                <w:b/>
                <w:sz w:val="18"/>
              </w:rPr>
              <w:t>5</w:t>
            </w:r>
          </w:p>
        </w:tc>
      </w:tr>
      <w:tr w:rsidR="009E0FE8" w14:paraId="7C3F303D" w14:textId="77777777">
        <w:trPr>
          <w:jc w:val="center"/>
        </w:trPr>
        <w:tc>
          <w:tcPr>
            <w:tcW w:w="8208" w:type="dxa"/>
            <w:tcMar>
              <w:top w:w="18" w:type="dxa"/>
              <w:left w:w="20" w:type="dxa"/>
              <w:bottom w:w="18" w:type="dxa"/>
              <w:right w:w="20" w:type="dxa"/>
            </w:tcMar>
            <w:vAlign w:val="center"/>
          </w:tcPr>
          <w:p w14:paraId="2D7F5E4F" w14:textId="77777777" w:rsidR="009E0FE8" w:rsidRDefault="00000000">
            <w:pPr>
              <w:spacing w:after="0"/>
            </w:pPr>
            <w:r>
              <w:rPr>
                <w:b/>
                <w:color w:val="0058A3"/>
                <w:sz w:val="18"/>
              </w:rPr>
              <w:t>3. Macro-Environmental Appraisal and Market Attractiveness</w:t>
            </w:r>
          </w:p>
        </w:tc>
        <w:tc>
          <w:tcPr>
            <w:tcW w:w="648" w:type="dxa"/>
            <w:tcMar>
              <w:top w:w="18" w:type="dxa"/>
              <w:left w:w="20" w:type="dxa"/>
              <w:bottom w:w="18" w:type="dxa"/>
              <w:right w:w="20" w:type="dxa"/>
            </w:tcMar>
            <w:vAlign w:val="center"/>
          </w:tcPr>
          <w:p w14:paraId="0A51B952" w14:textId="77777777" w:rsidR="009E0FE8" w:rsidRDefault="00000000">
            <w:pPr>
              <w:spacing w:after="0"/>
              <w:jc w:val="right"/>
            </w:pPr>
            <w:r>
              <w:rPr>
                <w:b/>
                <w:sz w:val="18"/>
              </w:rPr>
              <w:t>6</w:t>
            </w:r>
          </w:p>
        </w:tc>
      </w:tr>
      <w:tr w:rsidR="009E0FE8" w14:paraId="67B0C152" w14:textId="77777777">
        <w:trPr>
          <w:jc w:val="center"/>
        </w:trPr>
        <w:tc>
          <w:tcPr>
            <w:tcW w:w="8208" w:type="dxa"/>
            <w:tcMar>
              <w:top w:w="18" w:type="dxa"/>
              <w:left w:w="20" w:type="dxa"/>
              <w:bottom w:w="18" w:type="dxa"/>
              <w:right w:w="20" w:type="dxa"/>
            </w:tcMar>
            <w:vAlign w:val="center"/>
          </w:tcPr>
          <w:p w14:paraId="1F2A8FDE" w14:textId="77777777" w:rsidR="009E0FE8" w:rsidRDefault="00000000">
            <w:pPr>
              <w:spacing w:after="0"/>
              <w:ind w:left="317"/>
            </w:pPr>
            <w:r>
              <w:rPr>
                <w:color w:val="2D2D2D"/>
                <w:sz w:val="18"/>
              </w:rPr>
              <w:t>3.1 Political and institutional environment</w:t>
            </w:r>
          </w:p>
        </w:tc>
        <w:tc>
          <w:tcPr>
            <w:tcW w:w="648" w:type="dxa"/>
            <w:tcMar>
              <w:top w:w="18" w:type="dxa"/>
              <w:left w:w="20" w:type="dxa"/>
              <w:bottom w:w="18" w:type="dxa"/>
              <w:right w:w="20" w:type="dxa"/>
            </w:tcMar>
            <w:vAlign w:val="center"/>
          </w:tcPr>
          <w:p w14:paraId="3EDE0D4B" w14:textId="77777777" w:rsidR="009E0FE8" w:rsidRDefault="00000000">
            <w:pPr>
              <w:spacing w:after="0"/>
              <w:jc w:val="right"/>
            </w:pPr>
            <w:r>
              <w:rPr>
                <w:b/>
                <w:sz w:val="18"/>
              </w:rPr>
              <w:t>6</w:t>
            </w:r>
          </w:p>
        </w:tc>
      </w:tr>
      <w:tr w:rsidR="009E0FE8" w14:paraId="7F9AC415" w14:textId="77777777">
        <w:trPr>
          <w:jc w:val="center"/>
        </w:trPr>
        <w:tc>
          <w:tcPr>
            <w:tcW w:w="8208" w:type="dxa"/>
            <w:tcMar>
              <w:top w:w="18" w:type="dxa"/>
              <w:left w:w="20" w:type="dxa"/>
              <w:bottom w:w="18" w:type="dxa"/>
              <w:right w:w="20" w:type="dxa"/>
            </w:tcMar>
            <w:vAlign w:val="center"/>
          </w:tcPr>
          <w:p w14:paraId="02F56725" w14:textId="77777777" w:rsidR="009E0FE8" w:rsidRDefault="00000000">
            <w:pPr>
              <w:spacing w:after="0"/>
              <w:ind w:left="317"/>
            </w:pPr>
            <w:r>
              <w:rPr>
                <w:color w:val="2D2D2D"/>
                <w:sz w:val="18"/>
              </w:rPr>
              <w:t>3.2 Economic environment and demand potential</w:t>
            </w:r>
          </w:p>
        </w:tc>
        <w:tc>
          <w:tcPr>
            <w:tcW w:w="648" w:type="dxa"/>
            <w:tcMar>
              <w:top w:w="18" w:type="dxa"/>
              <w:left w:w="20" w:type="dxa"/>
              <w:bottom w:w="18" w:type="dxa"/>
              <w:right w:w="20" w:type="dxa"/>
            </w:tcMar>
            <w:vAlign w:val="center"/>
          </w:tcPr>
          <w:p w14:paraId="1B82AFB0" w14:textId="77777777" w:rsidR="009E0FE8" w:rsidRDefault="00000000">
            <w:pPr>
              <w:spacing w:after="0"/>
              <w:jc w:val="right"/>
            </w:pPr>
            <w:r>
              <w:rPr>
                <w:b/>
                <w:sz w:val="18"/>
              </w:rPr>
              <w:t>7</w:t>
            </w:r>
          </w:p>
        </w:tc>
      </w:tr>
      <w:tr w:rsidR="009E0FE8" w14:paraId="20133859" w14:textId="77777777">
        <w:trPr>
          <w:jc w:val="center"/>
        </w:trPr>
        <w:tc>
          <w:tcPr>
            <w:tcW w:w="8208" w:type="dxa"/>
            <w:tcMar>
              <w:top w:w="18" w:type="dxa"/>
              <w:left w:w="20" w:type="dxa"/>
              <w:bottom w:w="18" w:type="dxa"/>
              <w:right w:w="20" w:type="dxa"/>
            </w:tcMar>
            <w:vAlign w:val="center"/>
          </w:tcPr>
          <w:p w14:paraId="6F6165F8" w14:textId="77777777" w:rsidR="009E0FE8" w:rsidRDefault="00000000">
            <w:pPr>
              <w:spacing w:after="0"/>
              <w:ind w:left="317"/>
            </w:pPr>
            <w:r>
              <w:rPr>
                <w:color w:val="2D2D2D"/>
                <w:sz w:val="18"/>
              </w:rPr>
              <w:t>3.3 Legal and regulatory environment</w:t>
            </w:r>
          </w:p>
        </w:tc>
        <w:tc>
          <w:tcPr>
            <w:tcW w:w="648" w:type="dxa"/>
            <w:tcMar>
              <w:top w:w="18" w:type="dxa"/>
              <w:left w:w="20" w:type="dxa"/>
              <w:bottom w:w="18" w:type="dxa"/>
              <w:right w:w="20" w:type="dxa"/>
            </w:tcMar>
            <w:vAlign w:val="center"/>
          </w:tcPr>
          <w:p w14:paraId="0691BD2E" w14:textId="77777777" w:rsidR="009E0FE8" w:rsidRDefault="00000000">
            <w:pPr>
              <w:spacing w:after="0"/>
              <w:jc w:val="right"/>
            </w:pPr>
            <w:r>
              <w:rPr>
                <w:b/>
                <w:sz w:val="18"/>
              </w:rPr>
              <w:t>10</w:t>
            </w:r>
          </w:p>
        </w:tc>
      </w:tr>
      <w:tr w:rsidR="009E0FE8" w14:paraId="76DE099C" w14:textId="77777777">
        <w:trPr>
          <w:jc w:val="center"/>
        </w:trPr>
        <w:tc>
          <w:tcPr>
            <w:tcW w:w="8208" w:type="dxa"/>
            <w:tcMar>
              <w:top w:w="18" w:type="dxa"/>
              <w:left w:w="20" w:type="dxa"/>
              <w:bottom w:w="18" w:type="dxa"/>
              <w:right w:w="20" w:type="dxa"/>
            </w:tcMar>
            <w:vAlign w:val="center"/>
          </w:tcPr>
          <w:p w14:paraId="1C656F5F" w14:textId="77777777" w:rsidR="009E0FE8" w:rsidRDefault="00000000">
            <w:pPr>
              <w:spacing w:after="0"/>
              <w:ind w:left="317"/>
            </w:pPr>
            <w:r>
              <w:rPr>
                <w:color w:val="2D2D2D"/>
                <w:sz w:val="18"/>
              </w:rPr>
              <w:t>3.4 Cultural and consumer-market environment</w:t>
            </w:r>
          </w:p>
        </w:tc>
        <w:tc>
          <w:tcPr>
            <w:tcW w:w="648" w:type="dxa"/>
            <w:tcMar>
              <w:top w:w="18" w:type="dxa"/>
              <w:left w:w="20" w:type="dxa"/>
              <w:bottom w:w="18" w:type="dxa"/>
              <w:right w:w="20" w:type="dxa"/>
            </w:tcMar>
            <w:vAlign w:val="center"/>
          </w:tcPr>
          <w:p w14:paraId="7A6E5C76" w14:textId="77777777" w:rsidR="009E0FE8" w:rsidRDefault="00000000">
            <w:pPr>
              <w:spacing w:after="0"/>
              <w:jc w:val="right"/>
            </w:pPr>
            <w:r>
              <w:rPr>
                <w:b/>
                <w:sz w:val="18"/>
              </w:rPr>
              <w:t>11</w:t>
            </w:r>
          </w:p>
        </w:tc>
      </w:tr>
      <w:tr w:rsidR="009E0FE8" w14:paraId="319A875C" w14:textId="77777777">
        <w:trPr>
          <w:jc w:val="center"/>
        </w:trPr>
        <w:tc>
          <w:tcPr>
            <w:tcW w:w="8208" w:type="dxa"/>
            <w:tcMar>
              <w:top w:w="18" w:type="dxa"/>
              <w:left w:w="20" w:type="dxa"/>
              <w:bottom w:w="18" w:type="dxa"/>
              <w:right w:w="20" w:type="dxa"/>
            </w:tcMar>
            <w:vAlign w:val="center"/>
          </w:tcPr>
          <w:p w14:paraId="3F23917E" w14:textId="77777777" w:rsidR="009E0FE8" w:rsidRDefault="00000000">
            <w:pPr>
              <w:spacing w:after="0"/>
              <w:ind w:left="317"/>
            </w:pPr>
            <w:r>
              <w:rPr>
                <w:color w:val="2D2D2D"/>
                <w:sz w:val="18"/>
              </w:rPr>
              <w:t>3.5 Market-attractiveness synthesis</w:t>
            </w:r>
          </w:p>
        </w:tc>
        <w:tc>
          <w:tcPr>
            <w:tcW w:w="648" w:type="dxa"/>
            <w:tcMar>
              <w:top w:w="18" w:type="dxa"/>
              <w:left w:w="20" w:type="dxa"/>
              <w:bottom w:w="18" w:type="dxa"/>
              <w:right w:w="20" w:type="dxa"/>
            </w:tcMar>
            <w:vAlign w:val="center"/>
          </w:tcPr>
          <w:p w14:paraId="5291774C" w14:textId="77777777" w:rsidR="009E0FE8" w:rsidRDefault="00000000">
            <w:pPr>
              <w:spacing w:after="0"/>
              <w:jc w:val="right"/>
            </w:pPr>
            <w:r>
              <w:rPr>
                <w:b/>
                <w:sz w:val="18"/>
              </w:rPr>
              <w:t>11</w:t>
            </w:r>
          </w:p>
        </w:tc>
      </w:tr>
      <w:tr w:rsidR="009E0FE8" w14:paraId="3766C633" w14:textId="77777777">
        <w:trPr>
          <w:jc w:val="center"/>
        </w:trPr>
        <w:tc>
          <w:tcPr>
            <w:tcW w:w="8208" w:type="dxa"/>
            <w:tcMar>
              <w:top w:w="18" w:type="dxa"/>
              <w:left w:w="20" w:type="dxa"/>
              <w:bottom w:w="18" w:type="dxa"/>
              <w:right w:w="20" w:type="dxa"/>
            </w:tcMar>
            <w:vAlign w:val="center"/>
          </w:tcPr>
          <w:p w14:paraId="1047ABB7" w14:textId="77777777" w:rsidR="009E0FE8" w:rsidRDefault="00000000">
            <w:pPr>
              <w:spacing w:after="0"/>
            </w:pPr>
            <w:r>
              <w:rPr>
                <w:b/>
                <w:color w:val="0058A3"/>
                <w:sz w:val="18"/>
              </w:rPr>
              <w:t>4. Dunning’s Eclectic Paradigm and Strategic Synthesis</w:t>
            </w:r>
          </w:p>
        </w:tc>
        <w:tc>
          <w:tcPr>
            <w:tcW w:w="648" w:type="dxa"/>
            <w:tcMar>
              <w:top w:w="18" w:type="dxa"/>
              <w:left w:w="20" w:type="dxa"/>
              <w:bottom w:w="18" w:type="dxa"/>
              <w:right w:w="20" w:type="dxa"/>
            </w:tcMar>
            <w:vAlign w:val="center"/>
          </w:tcPr>
          <w:p w14:paraId="28935669" w14:textId="77777777" w:rsidR="009E0FE8" w:rsidRDefault="00000000">
            <w:pPr>
              <w:spacing w:after="0"/>
              <w:jc w:val="right"/>
            </w:pPr>
            <w:r>
              <w:rPr>
                <w:b/>
                <w:sz w:val="18"/>
              </w:rPr>
              <w:t>12</w:t>
            </w:r>
          </w:p>
        </w:tc>
      </w:tr>
      <w:tr w:rsidR="009E0FE8" w14:paraId="6AA69A49" w14:textId="77777777">
        <w:trPr>
          <w:jc w:val="center"/>
        </w:trPr>
        <w:tc>
          <w:tcPr>
            <w:tcW w:w="8208" w:type="dxa"/>
            <w:tcMar>
              <w:top w:w="18" w:type="dxa"/>
              <w:left w:w="20" w:type="dxa"/>
              <w:bottom w:w="18" w:type="dxa"/>
              <w:right w:w="20" w:type="dxa"/>
            </w:tcMar>
            <w:vAlign w:val="center"/>
          </w:tcPr>
          <w:p w14:paraId="7CCE5403" w14:textId="77777777" w:rsidR="009E0FE8" w:rsidRDefault="00000000">
            <w:pPr>
              <w:spacing w:after="0"/>
            </w:pPr>
            <w:r>
              <w:rPr>
                <w:b/>
                <w:color w:val="0058A3"/>
                <w:sz w:val="18"/>
              </w:rPr>
              <w:t>5. Entry Mode Strategy and Strategic Synthesis</w:t>
            </w:r>
          </w:p>
        </w:tc>
        <w:tc>
          <w:tcPr>
            <w:tcW w:w="648" w:type="dxa"/>
            <w:tcMar>
              <w:top w:w="18" w:type="dxa"/>
              <w:left w:w="20" w:type="dxa"/>
              <w:bottom w:w="18" w:type="dxa"/>
              <w:right w:w="20" w:type="dxa"/>
            </w:tcMar>
            <w:vAlign w:val="center"/>
          </w:tcPr>
          <w:p w14:paraId="1279EDDB" w14:textId="77777777" w:rsidR="009E0FE8" w:rsidRDefault="00000000">
            <w:pPr>
              <w:spacing w:after="0"/>
              <w:jc w:val="right"/>
            </w:pPr>
            <w:r>
              <w:rPr>
                <w:b/>
                <w:sz w:val="18"/>
              </w:rPr>
              <w:t>13</w:t>
            </w:r>
          </w:p>
        </w:tc>
      </w:tr>
      <w:tr w:rsidR="009E0FE8" w14:paraId="1F68AFA4" w14:textId="77777777">
        <w:trPr>
          <w:jc w:val="center"/>
        </w:trPr>
        <w:tc>
          <w:tcPr>
            <w:tcW w:w="8208" w:type="dxa"/>
            <w:tcMar>
              <w:top w:w="18" w:type="dxa"/>
              <w:left w:w="20" w:type="dxa"/>
              <w:bottom w:w="18" w:type="dxa"/>
              <w:right w:w="20" w:type="dxa"/>
            </w:tcMar>
            <w:vAlign w:val="center"/>
          </w:tcPr>
          <w:p w14:paraId="1479D769" w14:textId="77777777" w:rsidR="009E0FE8" w:rsidRDefault="00000000">
            <w:pPr>
              <w:spacing w:after="0"/>
              <w:ind w:left="317"/>
            </w:pPr>
            <w:r>
              <w:rPr>
                <w:color w:val="2D2D2D"/>
                <w:sz w:val="18"/>
              </w:rPr>
              <w:t>5.1 Historical entry pattern</w:t>
            </w:r>
          </w:p>
        </w:tc>
        <w:tc>
          <w:tcPr>
            <w:tcW w:w="648" w:type="dxa"/>
            <w:tcMar>
              <w:top w:w="18" w:type="dxa"/>
              <w:left w:w="20" w:type="dxa"/>
              <w:bottom w:w="18" w:type="dxa"/>
              <w:right w:w="20" w:type="dxa"/>
            </w:tcMar>
            <w:vAlign w:val="center"/>
          </w:tcPr>
          <w:p w14:paraId="21499869" w14:textId="77777777" w:rsidR="009E0FE8" w:rsidRDefault="00000000">
            <w:pPr>
              <w:spacing w:after="0"/>
              <w:jc w:val="right"/>
            </w:pPr>
            <w:r>
              <w:rPr>
                <w:b/>
                <w:sz w:val="18"/>
              </w:rPr>
              <w:t>13</w:t>
            </w:r>
          </w:p>
        </w:tc>
      </w:tr>
      <w:tr w:rsidR="009E0FE8" w14:paraId="331F3F67" w14:textId="77777777">
        <w:trPr>
          <w:jc w:val="center"/>
        </w:trPr>
        <w:tc>
          <w:tcPr>
            <w:tcW w:w="8208" w:type="dxa"/>
            <w:tcMar>
              <w:top w:w="18" w:type="dxa"/>
              <w:left w:w="20" w:type="dxa"/>
              <w:bottom w:w="18" w:type="dxa"/>
              <w:right w:w="20" w:type="dxa"/>
            </w:tcMar>
            <w:vAlign w:val="center"/>
          </w:tcPr>
          <w:p w14:paraId="0E26E299" w14:textId="77777777" w:rsidR="009E0FE8" w:rsidRDefault="00000000">
            <w:pPr>
              <w:spacing w:after="0"/>
              <w:ind w:left="317"/>
            </w:pPr>
            <w:r>
              <w:rPr>
                <w:color w:val="2D2D2D"/>
                <w:sz w:val="18"/>
              </w:rPr>
              <w:t>5.2 Comparison of feasible entry modes</w:t>
            </w:r>
          </w:p>
        </w:tc>
        <w:tc>
          <w:tcPr>
            <w:tcW w:w="648" w:type="dxa"/>
            <w:tcMar>
              <w:top w:w="18" w:type="dxa"/>
              <w:left w:w="20" w:type="dxa"/>
              <w:bottom w:w="18" w:type="dxa"/>
              <w:right w:w="20" w:type="dxa"/>
            </w:tcMar>
            <w:vAlign w:val="center"/>
          </w:tcPr>
          <w:p w14:paraId="04CFCE05" w14:textId="77777777" w:rsidR="009E0FE8" w:rsidRDefault="00000000">
            <w:pPr>
              <w:spacing w:after="0"/>
              <w:jc w:val="right"/>
            </w:pPr>
            <w:r>
              <w:rPr>
                <w:b/>
                <w:sz w:val="18"/>
              </w:rPr>
              <w:t>14</w:t>
            </w:r>
          </w:p>
        </w:tc>
      </w:tr>
      <w:tr w:rsidR="009E0FE8" w14:paraId="0083E74E" w14:textId="77777777">
        <w:trPr>
          <w:jc w:val="center"/>
        </w:trPr>
        <w:tc>
          <w:tcPr>
            <w:tcW w:w="8208" w:type="dxa"/>
            <w:tcMar>
              <w:top w:w="18" w:type="dxa"/>
              <w:left w:w="20" w:type="dxa"/>
              <w:bottom w:w="18" w:type="dxa"/>
              <w:right w:w="20" w:type="dxa"/>
            </w:tcMar>
            <w:vAlign w:val="center"/>
          </w:tcPr>
          <w:p w14:paraId="50D024FD" w14:textId="77777777" w:rsidR="009E0FE8" w:rsidRDefault="00000000">
            <w:pPr>
              <w:spacing w:after="0"/>
              <w:ind w:left="317"/>
            </w:pPr>
            <w:r>
              <w:rPr>
                <w:color w:val="2D2D2D"/>
                <w:sz w:val="18"/>
              </w:rPr>
              <w:t>5.3 Recommended entry design and implementation</w:t>
            </w:r>
          </w:p>
        </w:tc>
        <w:tc>
          <w:tcPr>
            <w:tcW w:w="648" w:type="dxa"/>
            <w:tcMar>
              <w:top w:w="18" w:type="dxa"/>
              <w:left w:w="20" w:type="dxa"/>
              <w:bottom w:w="18" w:type="dxa"/>
              <w:right w:w="20" w:type="dxa"/>
            </w:tcMar>
            <w:vAlign w:val="center"/>
          </w:tcPr>
          <w:p w14:paraId="5C27DE31" w14:textId="77777777" w:rsidR="009E0FE8" w:rsidRDefault="00000000">
            <w:pPr>
              <w:spacing w:after="0"/>
              <w:jc w:val="right"/>
            </w:pPr>
            <w:r>
              <w:rPr>
                <w:b/>
                <w:sz w:val="18"/>
              </w:rPr>
              <w:t>15</w:t>
            </w:r>
          </w:p>
        </w:tc>
      </w:tr>
      <w:tr w:rsidR="009E0FE8" w14:paraId="76B217A4" w14:textId="77777777">
        <w:trPr>
          <w:jc w:val="center"/>
        </w:trPr>
        <w:tc>
          <w:tcPr>
            <w:tcW w:w="8208" w:type="dxa"/>
            <w:tcMar>
              <w:top w:w="18" w:type="dxa"/>
              <w:left w:w="20" w:type="dxa"/>
              <w:bottom w:w="18" w:type="dxa"/>
              <w:right w:w="20" w:type="dxa"/>
            </w:tcMar>
            <w:vAlign w:val="center"/>
          </w:tcPr>
          <w:p w14:paraId="5F4D4538" w14:textId="77777777" w:rsidR="009E0FE8" w:rsidRDefault="00000000">
            <w:pPr>
              <w:spacing w:after="0"/>
              <w:ind w:left="317"/>
            </w:pPr>
            <w:r>
              <w:rPr>
                <w:color w:val="2D2D2D"/>
                <w:sz w:val="18"/>
              </w:rPr>
              <w:t>5.4 Risk controls and performance governance</w:t>
            </w:r>
          </w:p>
        </w:tc>
        <w:tc>
          <w:tcPr>
            <w:tcW w:w="648" w:type="dxa"/>
            <w:tcMar>
              <w:top w:w="18" w:type="dxa"/>
              <w:left w:w="20" w:type="dxa"/>
              <w:bottom w:w="18" w:type="dxa"/>
              <w:right w:w="20" w:type="dxa"/>
            </w:tcMar>
            <w:vAlign w:val="center"/>
          </w:tcPr>
          <w:p w14:paraId="326563CA" w14:textId="77777777" w:rsidR="009E0FE8" w:rsidRDefault="00000000">
            <w:pPr>
              <w:spacing w:after="0"/>
              <w:jc w:val="right"/>
            </w:pPr>
            <w:r>
              <w:rPr>
                <w:b/>
                <w:sz w:val="18"/>
              </w:rPr>
              <w:t>16</w:t>
            </w:r>
          </w:p>
        </w:tc>
      </w:tr>
      <w:tr w:rsidR="009E0FE8" w14:paraId="04AC0671" w14:textId="77777777">
        <w:trPr>
          <w:jc w:val="center"/>
        </w:trPr>
        <w:tc>
          <w:tcPr>
            <w:tcW w:w="8208" w:type="dxa"/>
            <w:tcMar>
              <w:top w:w="18" w:type="dxa"/>
              <w:left w:w="20" w:type="dxa"/>
              <w:bottom w:w="18" w:type="dxa"/>
              <w:right w:w="20" w:type="dxa"/>
            </w:tcMar>
            <w:vAlign w:val="center"/>
          </w:tcPr>
          <w:p w14:paraId="2941F7EC" w14:textId="77777777" w:rsidR="009E0FE8" w:rsidRDefault="00000000">
            <w:pPr>
              <w:spacing w:after="0"/>
            </w:pPr>
            <w:r>
              <w:rPr>
                <w:b/>
                <w:color w:val="0058A3"/>
                <w:sz w:val="18"/>
              </w:rPr>
              <w:t>6. Conclusion and Final Recommendation</w:t>
            </w:r>
          </w:p>
        </w:tc>
        <w:tc>
          <w:tcPr>
            <w:tcW w:w="648" w:type="dxa"/>
            <w:tcMar>
              <w:top w:w="18" w:type="dxa"/>
              <w:left w:w="20" w:type="dxa"/>
              <w:bottom w:w="18" w:type="dxa"/>
              <w:right w:w="20" w:type="dxa"/>
            </w:tcMar>
            <w:vAlign w:val="center"/>
          </w:tcPr>
          <w:p w14:paraId="62D0F0A0" w14:textId="77777777" w:rsidR="009E0FE8" w:rsidRDefault="00000000">
            <w:pPr>
              <w:spacing w:after="0"/>
              <w:jc w:val="right"/>
            </w:pPr>
            <w:r>
              <w:rPr>
                <w:b/>
                <w:sz w:val="18"/>
              </w:rPr>
              <w:t>17</w:t>
            </w:r>
          </w:p>
        </w:tc>
      </w:tr>
      <w:tr w:rsidR="009E0FE8" w14:paraId="160D9E1E" w14:textId="77777777">
        <w:trPr>
          <w:jc w:val="center"/>
        </w:trPr>
        <w:tc>
          <w:tcPr>
            <w:tcW w:w="8208" w:type="dxa"/>
            <w:tcMar>
              <w:top w:w="18" w:type="dxa"/>
              <w:left w:w="20" w:type="dxa"/>
              <w:bottom w:w="18" w:type="dxa"/>
              <w:right w:w="20" w:type="dxa"/>
            </w:tcMar>
            <w:vAlign w:val="center"/>
          </w:tcPr>
          <w:p w14:paraId="567FC822" w14:textId="77777777" w:rsidR="009E0FE8" w:rsidRDefault="00000000">
            <w:pPr>
              <w:spacing w:after="0"/>
            </w:pPr>
            <w:r>
              <w:rPr>
                <w:b/>
                <w:color w:val="0058A3"/>
                <w:sz w:val="18"/>
              </w:rPr>
              <w:t>Section 2. Reflective Account</w:t>
            </w:r>
          </w:p>
        </w:tc>
        <w:tc>
          <w:tcPr>
            <w:tcW w:w="648" w:type="dxa"/>
            <w:tcMar>
              <w:top w:w="18" w:type="dxa"/>
              <w:left w:w="20" w:type="dxa"/>
              <w:bottom w:w="18" w:type="dxa"/>
              <w:right w:w="20" w:type="dxa"/>
            </w:tcMar>
            <w:vAlign w:val="center"/>
          </w:tcPr>
          <w:p w14:paraId="7F2DAB32" w14:textId="77777777" w:rsidR="009E0FE8" w:rsidRDefault="00000000">
            <w:pPr>
              <w:spacing w:after="0"/>
              <w:jc w:val="right"/>
            </w:pPr>
            <w:r>
              <w:rPr>
                <w:b/>
                <w:sz w:val="18"/>
              </w:rPr>
              <w:t>18</w:t>
            </w:r>
          </w:p>
        </w:tc>
      </w:tr>
      <w:tr w:rsidR="009E0FE8" w14:paraId="131E4A5C" w14:textId="77777777">
        <w:trPr>
          <w:jc w:val="center"/>
        </w:trPr>
        <w:tc>
          <w:tcPr>
            <w:tcW w:w="8208" w:type="dxa"/>
            <w:tcMar>
              <w:top w:w="18" w:type="dxa"/>
              <w:left w:w="20" w:type="dxa"/>
              <w:bottom w:w="18" w:type="dxa"/>
              <w:right w:w="20" w:type="dxa"/>
            </w:tcMar>
            <w:vAlign w:val="center"/>
          </w:tcPr>
          <w:p w14:paraId="2377AF9B" w14:textId="77777777" w:rsidR="009E0FE8" w:rsidRDefault="00000000">
            <w:pPr>
              <w:spacing w:after="0"/>
            </w:pPr>
            <w:r>
              <w:rPr>
                <w:b/>
                <w:color w:val="0058A3"/>
                <w:sz w:val="18"/>
              </w:rPr>
              <w:t>Reference List</w:t>
            </w:r>
          </w:p>
        </w:tc>
        <w:tc>
          <w:tcPr>
            <w:tcW w:w="648" w:type="dxa"/>
            <w:tcMar>
              <w:top w:w="18" w:type="dxa"/>
              <w:left w:w="20" w:type="dxa"/>
              <w:bottom w:w="18" w:type="dxa"/>
              <w:right w:w="20" w:type="dxa"/>
            </w:tcMar>
            <w:vAlign w:val="center"/>
          </w:tcPr>
          <w:p w14:paraId="41988475" w14:textId="77777777" w:rsidR="009E0FE8" w:rsidRDefault="00000000">
            <w:pPr>
              <w:spacing w:after="0"/>
              <w:jc w:val="right"/>
            </w:pPr>
            <w:r>
              <w:rPr>
                <w:b/>
                <w:sz w:val="18"/>
              </w:rPr>
              <w:t>21</w:t>
            </w:r>
          </w:p>
        </w:tc>
      </w:tr>
      <w:tr w:rsidR="009E0FE8" w14:paraId="240F8AE1" w14:textId="77777777">
        <w:trPr>
          <w:jc w:val="center"/>
        </w:trPr>
        <w:tc>
          <w:tcPr>
            <w:tcW w:w="8208" w:type="dxa"/>
            <w:tcMar>
              <w:top w:w="18" w:type="dxa"/>
              <w:left w:w="20" w:type="dxa"/>
              <w:bottom w:w="18" w:type="dxa"/>
              <w:right w:w="20" w:type="dxa"/>
            </w:tcMar>
            <w:vAlign w:val="center"/>
          </w:tcPr>
          <w:p w14:paraId="0C175456" w14:textId="77777777" w:rsidR="009E0FE8" w:rsidRDefault="00000000">
            <w:pPr>
              <w:spacing w:after="0"/>
            </w:pPr>
            <w:r>
              <w:rPr>
                <w:b/>
                <w:color w:val="0058A3"/>
                <w:sz w:val="18"/>
              </w:rPr>
              <w:t>Appendix A. Quantitative Data Used in Figures</w:t>
            </w:r>
          </w:p>
        </w:tc>
        <w:tc>
          <w:tcPr>
            <w:tcW w:w="648" w:type="dxa"/>
            <w:tcMar>
              <w:top w:w="18" w:type="dxa"/>
              <w:left w:w="20" w:type="dxa"/>
              <w:bottom w:w="18" w:type="dxa"/>
              <w:right w:w="20" w:type="dxa"/>
            </w:tcMar>
            <w:vAlign w:val="center"/>
          </w:tcPr>
          <w:p w14:paraId="760B2175" w14:textId="77777777" w:rsidR="009E0FE8" w:rsidRDefault="00000000">
            <w:pPr>
              <w:spacing w:after="0"/>
              <w:jc w:val="right"/>
            </w:pPr>
            <w:r>
              <w:rPr>
                <w:b/>
                <w:sz w:val="18"/>
              </w:rPr>
              <w:t>24</w:t>
            </w:r>
          </w:p>
        </w:tc>
      </w:tr>
    </w:tbl>
    <w:p w14:paraId="034F9982" w14:textId="77777777" w:rsidR="009E0FE8" w:rsidRDefault="00000000">
      <w:r>
        <w:br w:type="page"/>
      </w:r>
    </w:p>
    <w:p w14:paraId="1FC0B372" w14:textId="77777777" w:rsidR="009E0FE8" w:rsidRDefault="00000000">
      <w:pPr>
        <w:pStyle w:val="Heading1"/>
      </w:pPr>
      <w:r>
        <w:lastRenderedPageBreak/>
        <w:t>Executive Summary</w:t>
      </w:r>
    </w:p>
    <w:p w14:paraId="3EB0DE21" w14:textId="77777777" w:rsidR="009E0FE8" w:rsidRDefault="00000000">
      <w:r>
        <w:t>This report evaluates IKEA’s proposed entry into Kenya, where the company had no significant formal operating presence at the 1 June 2026 cutoff. Inter IKEA reported 63 retail markets operated by 13 franchisee groups in FY25, but Kenya was not included; project-based International Sales therefore represent limited indirect availability rather than formal entry (Inter IKEA Group, 2025a; IKEA, 2026a). IKEA is classified as a global-transnational hybrid because its brand, range and supply architecture are centrally integrated while franchisees provide bounded local adaptation. Kenya offers Nairobi-centred demand, economic resilience, mobile-enabled commerce and regional access, but these advantages are weakened by unequal purchasing power, fiscal uncertainty, import duties, VAT, currency exposure and bulky-goods logistics. Dunning’s OLI framework supports a staged, tightly governed exclusive franchise beginning with e-commerce, a plan-and-order studio and collection points. A medium-format store should follow only after delivered-price affordability, reliable service and repeat demand are demonstrated.</w:t>
      </w:r>
    </w:p>
    <w:p w14:paraId="22466DEF" w14:textId="77777777" w:rsidR="009E0FE8" w:rsidRDefault="00000000">
      <w:pPr>
        <w:pStyle w:val="Heading1"/>
      </w:pPr>
      <w:r>
        <w:t>1. Introduction and Case Validity</w:t>
      </w:r>
    </w:p>
    <w:p w14:paraId="02F42A6B" w14:textId="77777777" w:rsidR="009E0FE8" w:rsidRDefault="00000000">
      <w:r>
        <w:t>International market entry requires more than evidence of national growth. The firm must establish whether its ownership advantages remain valuable abroad, whether the host location produces net commercial benefits and whether control should be internal or shared. This is critical for IKEA because its low-price proposition depends on coordinated design, flat-pack logistics, scale purchasing and standardised routines. Tariffs, freight, service costs or unsuitable adaptation can therefore make an apparently attractive country inconsistent with IKEA’s mass-market model.</w:t>
      </w:r>
    </w:p>
    <w:p w14:paraId="6C0BEE03" w14:textId="77777777" w:rsidR="009E0FE8" w:rsidRDefault="00000000">
      <w:r>
        <w:t>The case satisfies the brief because Inter IKEA’s FY25 disclosure lists 63 retail markets but not Kenya, while New Zealand, Panama and Costa Rica were separately identified as opening or announced markets (Inter IKEA Group, 2025a). IKEA’s International Sales unit can deliver bulk projects to countries without stores, so isolated Kenyan availability cannot be treated as a subsidiary, factory, franchise or established retail network (IKEA, 2023; 2026a). The analytical issue is thus whether IKEA should convert occasional cross-border supply into a scalable, locally legitimate market presence.</w:t>
      </w:r>
    </w:p>
    <w:tbl>
      <w:tblPr>
        <w:tblW w:w="0" w:type="auto"/>
        <w:jc w:val="center"/>
        <w:tblLook w:val="04A0" w:firstRow="1" w:lastRow="0" w:firstColumn="1" w:lastColumn="0" w:noHBand="0" w:noVBand="1"/>
      </w:tblPr>
      <w:tblGrid>
        <w:gridCol w:w="4705"/>
        <w:gridCol w:w="4705"/>
      </w:tblGrid>
      <w:tr w:rsidR="009E0FE8" w14:paraId="54F2C74D" w14:textId="77777777">
        <w:trPr>
          <w:jc w:val="center"/>
        </w:trPr>
        <w:tc>
          <w:tcPr>
            <w:tcW w:w="4705" w:type="dxa"/>
            <w:tcMar>
              <w:top w:w="30" w:type="dxa"/>
              <w:left w:w="30" w:type="dxa"/>
              <w:bottom w:w="30" w:type="dxa"/>
              <w:right w:w="30" w:type="dxa"/>
            </w:tcMar>
          </w:tcPr>
          <w:p w14:paraId="20B6CA34" w14:textId="77777777" w:rsidR="009E0FE8" w:rsidRDefault="00000000">
            <w:pPr>
              <w:jc w:val="center"/>
            </w:pPr>
            <w:r>
              <w:rPr>
                <w:noProof/>
              </w:rPr>
              <w:lastRenderedPageBreak/>
              <w:drawing>
                <wp:inline distT="0" distB="0" distL="0" distR="0" wp14:anchorId="604DEC75" wp14:editId="28753FD6">
                  <wp:extent cx="2743200" cy="1828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kea_store.jpg"/>
                          <pic:cNvPicPr/>
                        </pic:nvPicPr>
                        <pic:blipFill>
                          <a:blip r:embed="rId10"/>
                          <a:stretch>
                            <a:fillRect/>
                          </a:stretch>
                        </pic:blipFill>
                        <pic:spPr>
                          <a:xfrm>
                            <a:off x="0" y="0"/>
                            <a:ext cx="2743200" cy="1828800"/>
                          </a:xfrm>
                          <a:prstGeom prst="rect">
                            <a:avLst/>
                          </a:prstGeom>
                        </pic:spPr>
                      </pic:pic>
                    </a:graphicData>
                  </a:graphic>
                </wp:inline>
              </w:drawing>
            </w:r>
          </w:p>
        </w:tc>
        <w:tc>
          <w:tcPr>
            <w:tcW w:w="4705" w:type="dxa"/>
            <w:tcMar>
              <w:top w:w="30" w:type="dxa"/>
              <w:left w:w="30" w:type="dxa"/>
              <w:bottom w:w="30" w:type="dxa"/>
              <w:right w:w="30" w:type="dxa"/>
            </w:tcMar>
          </w:tcPr>
          <w:p w14:paraId="1F77E0AB" w14:textId="77777777" w:rsidR="009E0FE8" w:rsidRDefault="00000000">
            <w:pPr>
              <w:jc w:val="center"/>
            </w:pPr>
            <w:r>
              <w:rPr>
                <w:noProof/>
              </w:rPr>
              <w:drawing>
                <wp:inline distT="0" distB="0" distL="0" distR="0" wp14:anchorId="351ECDD5" wp14:editId="79CB3D17">
                  <wp:extent cx="2743200" cy="2057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airobi_skyline.jpg"/>
                          <pic:cNvPicPr/>
                        </pic:nvPicPr>
                        <pic:blipFill>
                          <a:blip r:embed="rId11"/>
                          <a:stretch>
                            <a:fillRect/>
                          </a:stretch>
                        </pic:blipFill>
                        <pic:spPr>
                          <a:xfrm>
                            <a:off x="0" y="0"/>
                            <a:ext cx="2743200" cy="2057400"/>
                          </a:xfrm>
                          <a:prstGeom prst="rect">
                            <a:avLst/>
                          </a:prstGeom>
                        </pic:spPr>
                      </pic:pic>
                    </a:graphicData>
                  </a:graphic>
                </wp:inline>
              </w:drawing>
            </w:r>
          </w:p>
        </w:tc>
      </w:tr>
    </w:tbl>
    <w:p w14:paraId="00D4C43F" w14:textId="77777777" w:rsidR="009E0FE8" w:rsidRDefault="00000000">
      <w:pPr>
        <w:pStyle w:val="CaptionText"/>
        <w:jc w:val="center"/>
      </w:pPr>
      <w:r>
        <w:rPr>
          <w:b/>
        </w:rPr>
        <w:t>Figure 1. IKEA’s established large-format retail model and Nairobi as the proposed gateway market.</w:t>
      </w:r>
    </w:p>
    <w:p w14:paraId="7D794E3E" w14:textId="77777777" w:rsidR="009E0FE8" w:rsidRDefault="00000000">
      <w:pPr>
        <w:pStyle w:val="SourceText"/>
        <w:jc w:val="center"/>
      </w:pPr>
      <w:r>
        <w:t>Sources: Montgomery County Planning Commission (2012), CC BY-SA 2.0; Lmwangi (2008), CC BY-SA 3.0, via Wikimedia Commons.</w:t>
      </w:r>
    </w:p>
    <w:p w14:paraId="31BBAAEB" w14:textId="77777777" w:rsidR="009E0FE8" w:rsidRDefault="00000000">
      <w:pPr>
        <w:pStyle w:val="Heading1"/>
      </w:pPr>
      <w:r>
        <w:t>2. Organisational Classification and Global Strategy</w:t>
      </w:r>
    </w:p>
    <w:p w14:paraId="0798CB46" w14:textId="77777777" w:rsidR="009E0FE8" w:rsidRDefault="00000000">
      <w:pPr>
        <w:pStyle w:val="Heading2"/>
      </w:pPr>
      <w:r>
        <w:t>2.1 Bartlett and Ghoshal classification</w:t>
      </w:r>
    </w:p>
    <w:p w14:paraId="0BBADE00" w14:textId="77777777" w:rsidR="009E0FE8" w:rsidRDefault="00000000">
      <w:r>
        <w:t>Bartlett and Ghoshal’s (1989) framework distinguishes strategies by pressures for global integration and local responsiveness. IKEA is best understood as a global-transnational hybrid, weighted towards integration. It is not merely international because capabilities are embedded in a coordinated worldwide system; it is not multidomestic because franchisees cannot redesign the core concept; and a purely global label understates the importance of local formats, services, market knowledge and communication.</w:t>
      </w:r>
    </w:p>
    <w:p w14:paraId="1AE367DD" w14:textId="77777777" w:rsidR="009E0FE8" w:rsidRDefault="00000000">
      <w:r>
        <w:t>Integration is anchored in Inter IKEA Systems B.V.’s ownership of the concept and franchise system, IKEA of Sweden’s range development, IKEA Supply’s sourcing coordination and common marketing architecture. Approximately 90 per cent of the range is sourced through external suppliers, while franchisees use shared methods and pay 3 per cent of net sales for the trademarks, range and operating system (Inter IKEA Group, 2025a; IKEA, 2026b). These arrangements create scale and consistency but require strict Kenyan quality, brand and data controls.</w:t>
      </w:r>
    </w:p>
    <w:p w14:paraId="2114562A" w14:textId="77777777" w:rsidR="009E0FE8" w:rsidRDefault="00000000">
      <w:r>
        <w:t>Responsiveness is provided through franchisees that operate local businesses, supply market knowledge and select among full-size stores, smaller formats, plan-and-order points, collection sites and digital channels. IKEA opened 66 new sales locations in FY25, while online sales represented 28 per cent of turnover (Inter IKEA Group, 2025a). Local discretion therefore concerns access, fulfilment, payment, services and presentation, but remains bounded by concept rules and system standards.</w:t>
      </w:r>
    </w:p>
    <w:p w14:paraId="243A4AAC" w14:textId="77777777" w:rsidR="009E0FE8" w:rsidRDefault="00000000">
      <w:r>
        <w:lastRenderedPageBreak/>
        <w:t>The hybrid model creates agency and capability risks. A franchisee contributes capital and local knowledge but may favour short-term returns over affordability, sustainability or system learning. Because furniture retail depends on tacit routines in planning, delivery, quality and after-sales support, contracts alone are insufficient. A Kenyan partner would require logistics capacity, digital competence, financial discipline, shared data, training and auditable compliance rather than functioning as a passive licence holder.</w:t>
      </w:r>
    </w:p>
    <w:tbl>
      <w:tblPr>
        <w:tblStyle w:val="TableGrid"/>
        <w:tblW w:w="0" w:type="auto"/>
        <w:jc w:val="center"/>
        <w:tblLook w:val="04A0" w:firstRow="1" w:lastRow="0" w:firstColumn="1" w:lastColumn="0" w:noHBand="0" w:noVBand="1"/>
      </w:tblPr>
      <w:tblGrid>
        <w:gridCol w:w="2154"/>
        <w:gridCol w:w="3462"/>
        <w:gridCol w:w="3785"/>
      </w:tblGrid>
      <w:tr w:rsidR="009E0FE8" w14:paraId="08AEE2B1" w14:textId="77777777">
        <w:trPr>
          <w:tblHeader/>
          <w:jc w:val="center"/>
        </w:trPr>
        <w:tc>
          <w:tcPr>
            <w:tcW w:w="2268" w:type="dxa"/>
            <w:shd w:val="clear" w:color="auto" w:fill="0058A3"/>
            <w:tcMar>
              <w:top w:w="80" w:type="dxa"/>
              <w:left w:w="90" w:type="dxa"/>
              <w:bottom w:w="80" w:type="dxa"/>
              <w:right w:w="90" w:type="dxa"/>
            </w:tcMar>
            <w:vAlign w:val="center"/>
          </w:tcPr>
          <w:p w14:paraId="6B4F71E9" w14:textId="77777777" w:rsidR="009E0FE8" w:rsidRDefault="00000000">
            <w:pPr>
              <w:jc w:val="center"/>
            </w:pPr>
            <w:r>
              <w:rPr>
                <w:b/>
                <w:color w:val="FFFFFF"/>
                <w:sz w:val="16"/>
              </w:rPr>
              <w:t>Strategic dimension</w:t>
            </w:r>
          </w:p>
        </w:tc>
        <w:tc>
          <w:tcPr>
            <w:tcW w:w="3742" w:type="dxa"/>
            <w:shd w:val="clear" w:color="auto" w:fill="0058A3"/>
            <w:tcMar>
              <w:top w:w="80" w:type="dxa"/>
              <w:left w:w="90" w:type="dxa"/>
              <w:bottom w:w="80" w:type="dxa"/>
              <w:right w:w="90" w:type="dxa"/>
            </w:tcMar>
            <w:vAlign w:val="center"/>
          </w:tcPr>
          <w:p w14:paraId="61D1F825" w14:textId="77777777" w:rsidR="009E0FE8" w:rsidRDefault="00000000">
            <w:pPr>
              <w:jc w:val="center"/>
            </w:pPr>
            <w:r>
              <w:rPr>
                <w:b/>
                <w:color w:val="FFFFFF"/>
                <w:sz w:val="16"/>
              </w:rPr>
              <w:t>Observed IKEA configuration</w:t>
            </w:r>
          </w:p>
        </w:tc>
        <w:tc>
          <w:tcPr>
            <w:tcW w:w="4139" w:type="dxa"/>
            <w:shd w:val="clear" w:color="auto" w:fill="0058A3"/>
            <w:tcMar>
              <w:top w:w="80" w:type="dxa"/>
              <w:left w:w="90" w:type="dxa"/>
              <w:bottom w:w="80" w:type="dxa"/>
              <w:right w:w="90" w:type="dxa"/>
            </w:tcMar>
            <w:vAlign w:val="center"/>
          </w:tcPr>
          <w:p w14:paraId="4F299110" w14:textId="77777777" w:rsidR="009E0FE8" w:rsidRDefault="00000000">
            <w:pPr>
              <w:jc w:val="center"/>
            </w:pPr>
            <w:r>
              <w:rPr>
                <w:b/>
                <w:color w:val="FFFFFF"/>
                <w:sz w:val="16"/>
              </w:rPr>
              <w:t>Critical implication for Kenya</w:t>
            </w:r>
          </w:p>
        </w:tc>
      </w:tr>
      <w:tr w:rsidR="009E0FE8" w14:paraId="372ACFF6" w14:textId="77777777">
        <w:trPr>
          <w:jc w:val="center"/>
        </w:trPr>
        <w:tc>
          <w:tcPr>
            <w:tcW w:w="2268" w:type="dxa"/>
            <w:tcMar>
              <w:top w:w="80" w:type="dxa"/>
              <w:left w:w="90" w:type="dxa"/>
              <w:bottom w:w="80" w:type="dxa"/>
              <w:right w:w="90" w:type="dxa"/>
            </w:tcMar>
          </w:tcPr>
          <w:p w14:paraId="383B458A" w14:textId="77777777" w:rsidR="009E0FE8" w:rsidRDefault="00000000">
            <w:pPr>
              <w:spacing w:after="0" w:line="252" w:lineRule="auto"/>
              <w:jc w:val="left"/>
            </w:pPr>
            <w:r>
              <w:rPr>
                <w:sz w:val="16"/>
              </w:rPr>
              <w:t>Global integration</w:t>
            </w:r>
          </w:p>
        </w:tc>
        <w:tc>
          <w:tcPr>
            <w:tcW w:w="3742" w:type="dxa"/>
            <w:tcMar>
              <w:top w:w="80" w:type="dxa"/>
              <w:left w:w="90" w:type="dxa"/>
              <w:bottom w:w="80" w:type="dxa"/>
              <w:right w:w="90" w:type="dxa"/>
            </w:tcMar>
          </w:tcPr>
          <w:p w14:paraId="54E7A389" w14:textId="77777777" w:rsidR="009E0FE8" w:rsidRDefault="00000000">
            <w:pPr>
              <w:spacing w:after="0" w:line="252" w:lineRule="auto"/>
              <w:jc w:val="left"/>
            </w:pPr>
            <w:r>
              <w:rPr>
                <w:sz w:val="16"/>
              </w:rPr>
              <w:t>Central ownership of the concept, brand, range development, communication and supply coordination; common franchise methods and a 3% franchise fee.</w:t>
            </w:r>
          </w:p>
        </w:tc>
        <w:tc>
          <w:tcPr>
            <w:tcW w:w="4139" w:type="dxa"/>
            <w:tcMar>
              <w:top w:w="80" w:type="dxa"/>
              <w:left w:w="90" w:type="dxa"/>
              <w:bottom w:w="80" w:type="dxa"/>
              <w:right w:w="90" w:type="dxa"/>
            </w:tcMar>
          </w:tcPr>
          <w:p w14:paraId="5579A7E5" w14:textId="77777777" w:rsidR="009E0FE8" w:rsidRDefault="00000000">
            <w:pPr>
              <w:spacing w:after="0" w:line="252" w:lineRule="auto"/>
              <w:jc w:val="left"/>
            </w:pPr>
            <w:r>
              <w:rPr>
                <w:sz w:val="16"/>
              </w:rPr>
              <w:t>The Kenyan operation can access proven intellectual property and global scale, but it must preserve concept and quality controls.</w:t>
            </w:r>
          </w:p>
        </w:tc>
      </w:tr>
      <w:tr w:rsidR="009E0FE8" w14:paraId="528629CE" w14:textId="77777777">
        <w:trPr>
          <w:jc w:val="center"/>
        </w:trPr>
        <w:tc>
          <w:tcPr>
            <w:tcW w:w="2268" w:type="dxa"/>
            <w:shd w:val="clear" w:color="auto" w:fill="F1F5F8"/>
            <w:tcMar>
              <w:top w:w="80" w:type="dxa"/>
              <w:left w:w="90" w:type="dxa"/>
              <w:bottom w:w="80" w:type="dxa"/>
              <w:right w:w="90" w:type="dxa"/>
            </w:tcMar>
          </w:tcPr>
          <w:p w14:paraId="0078ED0F" w14:textId="77777777" w:rsidR="009E0FE8" w:rsidRDefault="00000000">
            <w:pPr>
              <w:spacing w:after="0" w:line="252" w:lineRule="auto"/>
              <w:jc w:val="left"/>
            </w:pPr>
            <w:r>
              <w:rPr>
                <w:sz w:val="16"/>
              </w:rPr>
              <w:t>Local responsiveness</w:t>
            </w:r>
          </w:p>
        </w:tc>
        <w:tc>
          <w:tcPr>
            <w:tcW w:w="3742" w:type="dxa"/>
            <w:shd w:val="clear" w:color="auto" w:fill="F1F5F8"/>
            <w:tcMar>
              <w:top w:w="80" w:type="dxa"/>
              <w:left w:w="90" w:type="dxa"/>
              <w:bottom w:w="80" w:type="dxa"/>
              <w:right w:w="90" w:type="dxa"/>
            </w:tcMar>
          </w:tcPr>
          <w:p w14:paraId="3A2B0003" w14:textId="77777777" w:rsidR="009E0FE8" w:rsidRDefault="00000000">
            <w:pPr>
              <w:spacing w:after="0" w:line="252" w:lineRule="auto"/>
              <w:jc w:val="left"/>
            </w:pPr>
            <w:r>
              <w:rPr>
                <w:sz w:val="16"/>
              </w:rPr>
              <w:t>Franchisees adapt channels, room displays, communications and services and feed consumer insights into the system.</w:t>
            </w:r>
          </w:p>
        </w:tc>
        <w:tc>
          <w:tcPr>
            <w:tcW w:w="4139" w:type="dxa"/>
            <w:shd w:val="clear" w:color="auto" w:fill="F1F5F8"/>
            <w:tcMar>
              <w:top w:w="80" w:type="dxa"/>
              <w:left w:w="90" w:type="dxa"/>
              <w:bottom w:w="80" w:type="dxa"/>
              <w:right w:w="90" w:type="dxa"/>
            </w:tcMar>
          </w:tcPr>
          <w:p w14:paraId="1EAC4956" w14:textId="77777777" w:rsidR="009E0FE8" w:rsidRDefault="00000000">
            <w:pPr>
              <w:spacing w:after="0" w:line="252" w:lineRule="auto"/>
              <w:jc w:val="left"/>
            </w:pPr>
            <w:r>
              <w:rPr>
                <w:sz w:val="16"/>
              </w:rPr>
              <w:t>A Kenyan partner and local life-at-home research are necessary to adapt access, payments, delivery and product presentation.</w:t>
            </w:r>
          </w:p>
        </w:tc>
      </w:tr>
      <w:tr w:rsidR="009E0FE8" w14:paraId="66190128" w14:textId="77777777">
        <w:trPr>
          <w:jc w:val="center"/>
        </w:trPr>
        <w:tc>
          <w:tcPr>
            <w:tcW w:w="2268" w:type="dxa"/>
            <w:tcMar>
              <w:top w:w="80" w:type="dxa"/>
              <w:left w:w="90" w:type="dxa"/>
              <w:bottom w:w="80" w:type="dxa"/>
              <w:right w:w="90" w:type="dxa"/>
            </w:tcMar>
          </w:tcPr>
          <w:p w14:paraId="7FFE9B33" w14:textId="77777777" w:rsidR="009E0FE8" w:rsidRDefault="00000000">
            <w:pPr>
              <w:spacing w:after="0" w:line="252" w:lineRule="auto"/>
              <w:jc w:val="left"/>
            </w:pPr>
            <w:r>
              <w:rPr>
                <w:sz w:val="16"/>
              </w:rPr>
              <w:t>Worldwide learning</w:t>
            </w:r>
          </w:p>
        </w:tc>
        <w:tc>
          <w:tcPr>
            <w:tcW w:w="3742" w:type="dxa"/>
            <w:tcMar>
              <w:top w:w="80" w:type="dxa"/>
              <w:left w:w="90" w:type="dxa"/>
              <w:bottom w:w="80" w:type="dxa"/>
              <w:right w:w="90" w:type="dxa"/>
            </w:tcMar>
          </w:tcPr>
          <w:p w14:paraId="6594EBC9" w14:textId="77777777" w:rsidR="009E0FE8" w:rsidRDefault="00000000">
            <w:pPr>
              <w:spacing w:after="0" w:line="252" w:lineRule="auto"/>
              <w:jc w:val="left"/>
            </w:pPr>
            <w:r>
              <w:rPr>
                <w:sz w:val="16"/>
              </w:rPr>
              <w:t>Consumer knowledge and operating experience circulate between franchisor, franchisees and suppliers.</w:t>
            </w:r>
          </w:p>
        </w:tc>
        <w:tc>
          <w:tcPr>
            <w:tcW w:w="4139" w:type="dxa"/>
            <w:tcMar>
              <w:top w:w="80" w:type="dxa"/>
              <w:left w:w="90" w:type="dxa"/>
              <w:bottom w:w="80" w:type="dxa"/>
              <w:right w:w="90" w:type="dxa"/>
            </w:tcMar>
          </w:tcPr>
          <w:p w14:paraId="1D266C64" w14:textId="77777777" w:rsidR="009E0FE8" w:rsidRDefault="00000000">
            <w:pPr>
              <w:spacing w:after="0" w:line="252" w:lineRule="auto"/>
              <w:jc w:val="left"/>
            </w:pPr>
            <w:r>
              <w:rPr>
                <w:sz w:val="16"/>
              </w:rPr>
              <w:t>Kenya should be treated as a learning platform for East Africa rather than a simple copy of a European store.</w:t>
            </w:r>
          </w:p>
        </w:tc>
      </w:tr>
      <w:tr w:rsidR="009E0FE8" w14:paraId="135C780B" w14:textId="77777777">
        <w:trPr>
          <w:jc w:val="center"/>
        </w:trPr>
        <w:tc>
          <w:tcPr>
            <w:tcW w:w="2268" w:type="dxa"/>
            <w:shd w:val="clear" w:color="auto" w:fill="F1F5F8"/>
            <w:tcMar>
              <w:top w:w="80" w:type="dxa"/>
              <w:left w:w="90" w:type="dxa"/>
              <w:bottom w:w="80" w:type="dxa"/>
              <w:right w:w="90" w:type="dxa"/>
            </w:tcMar>
          </w:tcPr>
          <w:p w14:paraId="684E4AA6" w14:textId="77777777" w:rsidR="009E0FE8" w:rsidRDefault="00000000">
            <w:pPr>
              <w:spacing w:after="0" w:line="252" w:lineRule="auto"/>
              <w:jc w:val="left"/>
            </w:pPr>
            <w:r>
              <w:rPr>
                <w:sz w:val="16"/>
              </w:rPr>
              <w:t>Strategic tension</w:t>
            </w:r>
          </w:p>
        </w:tc>
        <w:tc>
          <w:tcPr>
            <w:tcW w:w="3742" w:type="dxa"/>
            <w:shd w:val="clear" w:color="auto" w:fill="F1F5F8"/>
            <w:tcMar>
              <w:top w:w="80" w:type="dxa"/>
              <w:left w:w="90" w:type="dxa"/>
              <w:bottom w:w="80" w:type="dxa"/>
              <w:right w:w="90" w:type="dxa"/>
            </w:tcMar>
          </w:tcPr>
          <w:p w14:paraId="1E92AA75" w14:textId="77777777" w:rsidR="009E0FE8" w:rsidRDefault="00000000">
            <w:pPr>
              <w:spacing w:after="0" w:line="252" w:lineRule="auto"/>
              <w:jc w:val="left"/>
            </w:pPr>
            <w:r>
              <w:rPr>
                <w:sz w:val="16"/>
              </w:rPr>
              <w:t>Standardisation lowers cost, while localisation adds relevance and operating expense.</w:t>
            </w:r>
          </w:p>
        </w:tc>
        <w:tc>
          <w:tcPr>
            <w:tcW w:w="4139" w:type="dxa"/>
            <w:shd w:val="clear" w:color="auto" w:fill="F1F5F8"/>
            <w:tcMar>
              <w:top w:w="80" w:type="dxa"/>
              <w:left w:w="90" w:type="dxa"/>
              <w:bottom w:w="80" w:type="dxa"/>
              <w:right w:w="90" w:type="dxa"/>
            </w:tcMar>
          </w:tcPr>
          <w:p w14:paraId="7BA21069" w14:textId="77777777" w:rsidR="009E0FE8" w:rsidRDefault="00000000">
            <w:pPr>
              <w:spacing w:after="0" w:line="252" w:lineRule="auto"/>
              <w:jc w:val="left"/>
            </w:pPr>
            <w:r>
              <w:rPr>
                <w:sz w:val="16"/>
              </w:rPr>
              <w:t>Entry is viable only when localisation improves demand enough to justify its cost without destroying affordability.</w:t>
            </w:r>
          </w:p>
        </w:tc>
      </w:tr>
    </w:tbl>
    <w:p w14:paraId="5D76070D" w14:textId="77777777" w:rsidR="009E0FE8" w:rsidRDefault="009E0FE8"/>
    <w:p w14:paraId="13F95B63" w14:textId="77777777" w:rsidR="009E0FE8" w:rsidRDefault="00000000">
      <w:pPr>
        <w:pStyle w:val="Heading2"/>
      </w:pPr>
      <w:r>
        <w:t>2.2 Global configuration and value creation</w:t>
      </w:r>
    </w:p>
    <w:p w14:paraId="60339A63" w14:textId="77777777" w:rsidR="009E0FE8" w:rsidRDefault="00000000">
      <w:r>
        <w:t>IKEA’s global configuration creates scale, specialised capabilities and repeated learning. The FY25 retail network covered 63 markets, 13 franchisee groups and more than 800 customer meeting points, while concept, range and supply functions remained internationally distributed and coordinated (Inter IKEA Group, 2025a). This separation allows manufacturing, sourcing and retail activity to be located efficiently, diversifies demand and enables several entry formats rather than requiring every market to begin with a large destination store.</w:t>
      </w:r>
    </w:p>
    <w:p w14:paraId="36B6B55C" w14:textId="77777777" w:rsidR="009E0FE8" w:rsidRDefault="00000000">
      <w:pPr>
        <w:jc w:val="center"/>
      </w:pPr>
      <w:r>
        <w:rPr>
          <w:noProof/>
        </w:rPr>
        <w:lastRenderedPageBreak/>
        <w:drawing>
          <wp:inline distT="0" distB="0" distL="0" distR="0" wp14:anchorId="04F39DF6" wp14:editId="10FF8A90">
            <wp:extent cx="5760720" cy="32348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ikea_sales.png"/>
                    <pic:cNvPicPr/>
                  </pic:nvPicPr>
                  <pic:blipFill>
                    <a:blip r:embed="rId12"/>
                    <a:stretch>
                      <a:fillRect/>
                    </a:stretch>
                  </pic:blipFill>
                  <pic:spPr>
                    <a:xfrm>
                      <a:off x="0" y="0"/>
                      <a:ext cx="5760720" cy="3234865"/>
                    </a:xfrm>
                    <a:prstGeom prst="rect">
                      <a:avLst/>
                    </a:prstGeom>
                  </pic:spPr>
                </pic:pic>
              </a:graphicData>
            </a:graphic>
          </wp:inline>
        </w:drawing>
      </w:r>
    </w:p>
    <w:p w14:paraId="1A586BC2" w14:textId="77777777" w:rsidR="009E0FE8" w:rsidRDefault="00000000">
      <w:pPr>
        <w:pStyle w:val="CaptionText"/>
        <w:jc w:val="center"/>
      </w:pPr>
      <w:r>
        <w:rPr>
          <w:b/>
        </w:rPr>
        <w:t>Figure 2. IKEA global retail sales, FY23-FY25.</w:t>
      </w:r>
    </w:p>
    <w:p w14:paraId="4D2AA314" w14:textId="77777777" w:rsidR="009E0FE8" w:rsidRDefault="00000000">
      <w:pPr>
        <w:pStyle w:val="SourceText"/>
        <w:jc w:val="center"/>
      </w:pPr>
      <w:r>
        <w:t>Source: Author’s chart based on Inter IKEA Group (2025a).</w:t>
      </w:r>
    </w:p>
    <w:p w14:paraId="77BF198B" w14:textId="77777777" w:rsidR="009E0FE8" w:rsidRDefault="00000000">
      <w:r>
        <w:t>Figure 2 shows sales declining from EUR47.6 billion in FY23 to EUR44.6 billion in FY25, although FY25 quantities increased by 2.6 per cent and stores received 915 million visits after price reductions (Inter IKEA Group, 2025a). The decline therefore partly reflects an affordability strategy rather than demand collapse. For Kenya, the implication is that IKEA has the scale to fund market development but must avoid tariffs and fulfilment costs turning a mass-market proposition into premium imports.</w:t>
      </w:r>
    </w:p>
    <w:p w14:paraId="7943DD2F" w14:textId="77777777" w:rsidR="009E0FE8" w:rsidRDefault="00000000">
      <w:r>
        <w:t>The global network lowers factory and design costs but raises exposure to freight, exchange rates, customs and disruption. Centralised product development protects coherence yet can respond slowly to different room sizes, cooking practices or service expectations. Kenya therefore requires selective local value addition, a narrower initial range and smaller formats that preserve global cost discipline while generating local learning.</w:t>
      </w:r>
    </w:p>
    <w:p w14:paraId="3B893F4C" w14:textId="77777777" w:rsidR="009E0FE8" w:rsidRDefault="00000000">
      <w:pPr>
        <w:pStyle w:val="Heading1"/>
      </w:pPr>
      <w:r>
        <w:t>3. Macro-Environmental Appraisal and Market Attractiveness</w:t>
      </w:r>
    </w:p>
    <w:p w14:paraId="1B4E1DC1" w14:textId="77777777" w:rsidR="009E0FE8" w:rsidRDefault="00000000">
      <w:pPr>
        <w:pStyle w:val="Heading2"/>
      </w:pPr>
      <w:r>
        <w:t>3.1 Political and institutional environment</w:t>
      </w:r>
    </w:p>
    <w:p w14:paraId="1ED8321B" w14:textId="77777777" w:rsidR="009E0FE8" w:rsidRDefault="00000000">
      <w:r>
        <w:t xml:space="preserve">Kenya supports foreign investment and functions as an East African commercial and diplomatic hub, while Nairobi’s corporate services, transport links and retail infrastructure provide a credible base for a first operation. Regional opportunity should not be treated as automatic scale, however, because customs execution, consumer income and </w:t>
      </w:r>
      <w:r>
        <w:lastRenderedPageBreak/>
        <w:t>regulation differ across neighbouring states. The initial rationale should therefore be Kenyan demand, with regional distribution treated as a later option.</w:t>
      </w:r>
    </w:p>
    <w:p w14:paraId="67070A1A" w14:textId="77777777" w:rsidR="009E0FE8" w:rsidRDefault="00000000">
      <w:r>
        <w:t>The principal political-economic constraint is fiscal fragility. The World Bank reported high public-debt distress risk, with interest payments absorbing about one-third of tax revenue, alongside policy uncertainty and protest pressure (World Bank, 2025a). Revenue measures can alter duties, levies, fuel costs and compliance burdens, while spending restraint can weaken demand and infrastructure. High sunk investment would consequently expose IKEA to both market and policy volatility.</w:t>
      </w:r>
    </w:p>
    <w:p w14:paraId="141B6E8D" w14:textId="77777777" w:rsidR="009E0FE8" w:rsidRDefault="00000000">
      <w:r>
        <w:t>Governance quality adds transaction risk. Kenya scored 30/100 and ranked 130 of 182 countries in Transparency International’s 2025 index (Transparency International, 2026). Although the index cannot predict individual misconduct, it justifies documented due diligence, segregation of duties, audit trails and protected reporting channels across the franchisee, customs agents, landlords, contractors, logistics providers and suppliers.</w:t>
      </w:r>
    </w:p>
    <w:p w14:paraId="7B6CC84C" w14:textId="77777777" w:rsidR="009E0FE8" w:rsidRDefault="00000000">
      <w:r>
        <w:t>These conditions favour a real-options approach: commit first to research, tariff rulings, partner selection and limited customer-facing infrastructure, then expand only after regulatory continuity and operating performance are demonstrated. Political uncertainty should shape sequencing and governance rather than produce either automatic rejection or irreversible entry.</w:t>
      </w:r>
    </w:p>
    <w:tbl>
      <w:tblPr>
        <w:tblStyle w:val="TableGrid"/>
        <w:tblW w:w="0" w:type="auto"/>
        <w:jc w:val="center"/>
        <w:tblLook w:val="04A0" w:firstRow="1" w:lastRow="0" w:firstColumn="1" w:lastColumn="0" w:noHBand="0" w:noVBand="1"/>
      </w:tblPr>
      <w:tblGrid>
        <w:gridCol w:w="2145"/>
        <w:gridCol w:w="3681"/>
        <w:gridCol w:w="3575"/>
      </w:tblGrid>
      <w:tr w:rsidR="009E0FE8" w14:paraId="2A05B7D0" w14:textId="77777777">
        <w:trPr>
          <w:tblHeader/>
          <w:jc w:val="center"/>
        </w:trPr>
        <w:tc>
          <w:tcPr>
            <w:tcW w:w="2268" w:type="dxa"/>
            <w:shd w:val="clear" w:color="auto" w:fill="0058A3"/>
            <w:tcMar>
              <w:top w:w="80" w:type="dxa"/>
              <w:left w:w="90" w:type="dxa"/>
              <w:bottom w:w="80" w:type="dxa"/>
              <w:right w:w="90" w:type="dxa"/>
            </w:tcMar>
            <w:vAlign w:val="center"/>
          </w:tcPr>
          <w:p w14:paraId="174D0AD7" w14:textId="77777777" w:rsidR="009E0FE8" w:rsidRDefault="00000000">
            <w:pPr>
              <w:jc w:val="center"/>
            </w:pPr>
            <w:r>
              <w:rPr>
                <w:b/>
                <w:color w:val="FFFFFF"/>
                <w:sz w:val="16"/>
              </w:rPr>
              <w:t>Political issue</w:t>
            </w:r>
          </w:p>
        </w:tc>
        <w:tc>
          <w:tcPr>
            <w:tcW w:w="3969" w:type="dxa"/>
            <w:shd w:val="clear" w:color="auto" w:fill="0058A3"/>
            <w:tcMar>
              <w:top w:w="80" w:type="dxa"/>
              <w:left w:w="90" w:type="dxa"/>
              <w:bottom w:w="80" w:type="dxa"/>
              <w:right w:w="90" w:type="dxa"/>
            </w:tcMar>
            <w:vAlign w:val="center"/>
          </w:tcPr>
          <w:p w14:paraId="01A59E12" w14:textId="77777777" w:rsidR="009E0FE8" w:rsidRDefault="00000000">
            <w:pPr>
              <w:jc w:val="center"/>
            </w:pPr>
            <w:r>
              <w:rPr>
                <w:b/>
                <w:color w:val="FFFFFF"/>
                <w:sz w:val="16"/>
              </w:rPr>
              <w:t>Commercial effect on IKEA</w:t>
            </w:r>
          </w:p>
        </w:tc>
        <w:tc>
          <w:tcPr>
            <w:tcW w:w="3855" w:type="dxa"/>
            <w:shd w:val="clear" w:color="auto" w:fill="0058A3"/>
            <w:tcMar>
              <w:top w:w="80" w:type="dxa"/>
              <w:left w:w="90" w:type="dxa"/>
              <w:bottom w:w="80" w:type="dxa"/>
              <w:right w:w="90" w:type="dxa"/>
            </w:tcMar>
            <w:vAlign w:val="center"/>
          </w:tcPr>
          <w:p w14:paraId="49ADC259" w14:textId="77777777" w:rsidR="009E0FE8" w:rsidRDefault="00000000">
            <w:pPr>
              <w:jc w:val="center"/>
            </w:pPr>
            <w:r>
              <w:rPr>
                <w:b/>
                <w:color w:val="FFFFFF"/>
                <w:sz w:val="16"/>
              </w:rPr>
              <w:t>Strategic response</w:t>
            </w:r>
          </w:p>
        </w:tc>
      </w:tr>
      <w:tr w:rsidR="009E0FE8" w14:paraId="60E0FCCC" w14:textId="77777777">
        <w:trPr>
          <w:jc w:val="center"/>
        </w:trPr>
        <w:tc>
          <w:tcPr>
            <w:tcW w:w="2268" w:type="dxa"/>
            <w:tcMar>
              <w:top w:w="80" w:type="dxa"/>
              <w:left w:w="90" w:type="dxa"/>
              <w:bottom w:w="80" w:type="dxa"/>
              <w:right w:w="90" w:type="dxa"/>
            </w:tcMar>
          </w:tcPr>
          <w:p w14:paraId="38695F95" w14:textId="77777777" w:rsidR="009E0FE8" w:rsidRDefault="00000000">
            <w:pPr>
              <w:spacing w:after="0" w:line="252" w:lineRule="auto"/>
              <w:jc w:val="left"/>
            </w:pPr>
            <w:r>
              <w:rPr>
                <w:sz w:val="16"/>
              </w:rPr>
              <w:t>Regional gateway position</w:t>
            </w:r>
          </w:p>
        </w:tc>
        <w:tc>
          <w:tcPr>
            <w:tcW w:w="3969" w:type="dxa"/>
            <w:tcMar>
              <w:top w:w="80" w:type="dxa"/>
              <w:left w:w="90" w:type="dxa"/>
              <w:bottom w:w="80" w:type="dxa"/>
              <w:right w:w="90" w:type="dxa"/>
            </w:tcMar>
          </w:tcPr>
          <w:p w14:paraId="3D84B9BC" w14:textId="77777777" w:rsidR="009E0FE8" w:rsidRDefault="00000000">
            <w:pPr>
              <w:spacing w:after="0" w:line="252" w:lineRule="auto"/>
              <w:jc w:val="left"/>
            </w:pPr>
            <w:r>
              <w:rPr>
                <w:sz w:val="16"/>
              </w:rPr>
              <w:t>Creates option value for East African learning and later distribution but does not guarantee regional market homogeneity.</w:t>
            </w:r>
          </w:p>
        </w:tc>
        <w:tc>
          <w:tcPr>
            <w:tcW w:w="3855" w:type="dxa"/>
            <w:tcMar>
              <w:top w:w="80" w:type="dxa"/>
              <w:left w:w="90" w:type="dxa"/>
              <w:bottom w:w="80" w:type="dxa"/>
              <w:right w:w="90" w:type="dxa"/>
            </w:tcMar>
          </w:tcPr>
          <w:p w14:paraId="27D63CA3" w14:textId="77777777" w:rsidR="009E0FE8" w:rsidRDefault="00000000">
            <w:pPr>
              <w:spacing w:after="0" w:line="252" w:lineRule="auto"/>
              <w:jc w:val="left"/>
            </w:pPr>
            <w:r>
              <w:rPr>
                <w:sz w:val="16"/>
              </w:rPr>
              <w:t>Build Kenya as a domestic proof point first; evaluate each neighbouring market separately.</w:t>
            </w:r>
          </w:p>
        </w:tc>
      </w:tr>
      <w:tr w:rsidR="009E0FE8" w14:paraId="4EE5A289" w14:textId="77777777">
        <w:trPr>
          <w:jc w:val="center"/>
        </w:trPr>
        <w:tc>
          <w:tcPr>
            <w:tcW w:w="2268" w:type="dxa"/>
            <w:shd w:val="clear" w:color="auto" w:fill="F1F5F8"/>
            <w:tcMar>
              <w:top w:w="80" w:type="dxa"/>
              <w:left w:w="90" w:type="dxa"/>
              <w:bottom w:w="80" w:type="dxa"/>
              <w:right w:w="90" w:type="dxa"/>
            </w:tcMar>
          </w:tcPr>
          <w:p w14:paraId="324F182B" w14:textId="77777777" w:rsidR="009E0FE8" w:rsidRDefault="00000000">
            <w:pPr>
              <w:spacing w:after="0" w:line="252" w:lineRule="auto"/>
              <w:jc w:val="left"/>
            </w:pPr>
            <w:r>
              <w:rPr>
                <w:sz w:val="16"/>
              </w:rPr>
              <w:t>Fiscal vulnerability</w:t>
            </w:r>
          </w:p>
        </w:tc>
        <w:tc>
          <w:tcPr>
            <w:tcW w:w="3969" w:type="dxa"/>
            <w:shd w:val="clear" w:color="auto" w:fill="F1F5F8"/>
            <w:tcMar>
              <w:top w:w="80" w:type="dxa"/>
              <w:left w:w="90" w:type="dxa"/>
              <w:bottom w:w="80" w:type="dxa"/>
              <w:right w:w="90" w:type="dxa"/>
            </w:tcMar>
          </w:tcPr>
          <w:p w14:paraId="1F5EFF57" w14:textId="77777777" w:rsidR="009E0FE8" w:rsidRDefault="00000000">
            <w:pPr>
              <w:spacing w:after="0" w:line="252" w:lineRule="auto"/>
              <w:jc w:val="left"/>
            </w:pPr>
            <w:r>
              <w:rPr>
                <w:sz w:val="16"/>
              </w:rPr>
              <w:t>Raises the probability of tax, duty, fuel-cost and spending-policy changes that affect demand and operating costs.</w:t>
            </w:r>
          </w:p>
        </w:tc>
        <w:tc>
          <w:tcPr>
            <w:tcW w:w="3855" w:type="dxa"/>
            <w:shd w:val="clear" w:color="auto" w:fill="F1F5F8"/>
            <w:tcMar>
              <w:top w:w="80" w:type="dxa"/>
              <w:left w:w="90" w:type="dxa"/>
              <w:bottom w:w="80" w:type="dxa"/>
              <w:right w:w="90" w:type="dxa"/>
            </w:tcMar>
          </w:tcPr>
          <w:p w14:paraId="1A767EA8" w14:textId="77777777" w:rsidR="009E0FE8" w:rsidRDefault="00000000">
            <w:pPr>
              <w:spacing w:after="0" w:line="252" w:lineRule="auto"/>
              <w:jc w:val="left"/>
            </w:pPr>
            <w:r>
              <w:rPr>
                <w:sz w:val="16"/>
              </w:rPr>
              <w:t>Use scenario analysis, regulatory-change clauses and staged capital commitment.</w:t>
            </w:r>
          </w:p>
        </w:tc>
      </w:tr>
      <w:tr w:rsidR="009E0FE8" w14:paraId="51C2F646" w14:textId="77777777">
        <w:trPr>
          <w:jc w:val="center"/>
        </w:trPr>
        <w:tc>
          <w:tcPr>
            <w:tcW w:w="2268" w:type="dxa"/>
            <w:tcMar>
              <w:top w:w="80" w:type="dxa"/>
              <w:left w:w="90" w:type="dxa"/>
              <w:bottom w:w="80" w:type="dxa"/>
              <w:right w:w="90" w:type="dxa"/>
            </w:tcMar>
          </w:tcPr>
          <w:p w14:paraId="5A9941C0" w14:textId="77777777" w:rsidR="009E0FE8" w:rsidRDefault="00000000">
            <w:pPr>
              <w:spacing w:after="0" w:line="252" w:lineRule="auto"/>
              <w:jc w:val="left"/>
            </w:pPr>
            <w:r>
              <w:rPr>
                <w:sz w:val="16"/>
              </w:rPr>
              <w:t>Policy legitimacy and disruption</w:t>
            </w:r>
          </w:p>
        </w:tc>
        <w:tc>
          <w:tcPr>
            <w:tcW w:w="3969" w:type="dxa"/>
            <w:tcMar>
              <w:top w:w="80" w:type="dxa"/>
              <w:left w:w="90" w:type="dxa"/>
              <w:bottom w:w="80" w:type="dxa"/>
              <w:right w:w="90" w:type="dxa"/>
            </w:tcMar>
          </w:tcPr>
          <w:p w14:paraId="447C56BD" w14:textId="77777777" w:rsidR="009E0FE8" w:rsidRDefault="00000000">
            <w:pPr>
              <w:spacing w:after="0" w:line="252" w:lineRule="auto"/>
              <w:jc w:val="left"/>
            </w:pPr>
            <w:r>
              <w:rPr>
                <w:sz w:val="16"/>
              </w:rPr>
              <w:t>Protests and policy reversals can interrupt transport, sites and customer access.</w:t>
            </w:r>
          </w:p>
        </w:tc>
        <w:tc>
          <w:tcPr>
            <w:tcW w:w="3855" w:type="dxa"/>
            <w:tcMar>
              <w:top w:w="80" w:type="dxa"/>
              <w:left w:w="90" w:type="dxa"/>
              <w:bottom w:w="80" w:type="dxa"/>
              <w:right w:w="90" w:type="dxa"/>
            </w:tcMar>
          </w:tcPr>
          <w:p w14:paraId="71187164" w14:textId="77777777" w:rsidR="009E0FE8" w:rsidRDefault="00000000">
            <w:pPr>
              <w:spacing w:after="0" w:line="252" w:lineRule="auto"/>
              <w:jc w:val="left"/>
            </w:pPr>
            <w:r>
              <w:rPr>
                <w:sz w:val="16"/>
              </w:rPr>
              <w:t>Maintain business-continuity procedures, inventory buffers and remote ordering capability.</w:t>
            </w:r>
          </w:p>
        </w:tc>
      </w:tr>
      <w:tr w:rsidR="009E0FE8" w14:paraId="6D85394D" w14:textId="77777777">
        <w:trPr>
          <w:jc w:val="center"/>
        </w:trPr>
        <w:tc>
          <w:tcPr>
            <w:tcW w:w="2268" w:type="dxa"/>
            <w:shd w:val="clear" w:color="auto" w:fill="F1F5F8"/>
            <w:tcMar>
              <w:top w:w="80" w:type="dxa"/>
              <w:left w:w="90" w:type="dxa"/>
              <w:bottom w:w="80" w:type="dxa"/>
              <w:right w:w="90" w:type="dxa"/>
            </w:tcMar>
          </w:tcPr>
          <w:p w14:paraId="3F6EB977" w14:textId="77777777" w:rsidR="009E0FE8" w:rsidRDefault="00000000">
            <w:pPr>
              <w:spacing w:after="0" w:line="252" w:lineRule="auto"/>
              <w:jc w:val="left"/>
            </w:pPr>
            <w:r>
              <w:rPr>
                <w:sz w:val="16"/>
              </w:rPr>
              <w:t>Governance and third-party integrity</w:t>
            </w:r>
          </w:p>
        </w:tc>
        <w:tc>
          <w:tcPr>
            <w:tcW w:w="3969" w:type="dxa"/>
            <w:shd w:val="clear" w:color="auto" w:fill="F1F5F8"/>
            <w:tcMar>
              <w:top w:w="80" w:type="dxa"/>
              <w:left w:w="90" w:type="dxa"/>
              <w:bottom w:w="80" w:type="dxa"/>
              <w:right w:w="90" w:type="dxa"/>
            </w:tcMar>
          </w:tcPr>
          <w:p w14:paraId="15CDE280" w14:textId="77777777" w:rsidR="009E0FE8" w:rsidRDefault="00000000">
            <w:pPr>
              <w:spacing w:after="0" w:line="252" w:lineRule="auto"/>
              <w:jc w:val="left"/>
            </w:pPr>
            <w:r>
              <w:rPr>
                <w:sz w:val="16"/>
              </w:rPr>
              <w:t>Creates customs, permitting and reputational exposure.</w:t>
            </w:r>
          </w:p>
        </w:tc>
        <w:tc>
          <w:tcPr>
            <w:tcW w:w="3855" w:type="dxa"/>
            <w:shd w:val="clear" w:color="auto" w:fill="F1F5F8"/>
            <w:tcMar>
              <w:top w:w="80" w:type="dxa"/>
              <w:left w:w="90" w:type="dxa"/>
              <w:bottom w:w="80" w:type="dxa"/>
              <w:right w:w="90" w:type="dxa"/>
            </w:tcMar>
          </w:tcPr>
          <w:p w14:paraId="1676FAEE" w14:textId="77777777" w:rsidR="009E0FE8" w:rsidRDefault="00000000">
            <w:pPr>
              <w:spacing w:after="0" w:line="252" w:lineRule="auto"/>
              <w:jc w:val="left"/>
            </w:pPr>
            <w:r>
              <w:rPr>
                <w:sz w:val="16"/>
              </w:rPr>
              <w:t>Apply rigorous due diligence, transaction monitoring, audit rights and anti-bribery training.</w:t>
            </w:r>
          </w:p>
        </w:tc>
      </w:tr>
    </w:tbl>
    <w:p w14:paraId="2AF42BB2" w14:textId="77777777" w:rsidR="009E0FE8" w:rsidRDefault="009E0FE8"/>
    <w:p w14:paraId="743D14B7" w14:textId="77777777" w:rsidR="009E0FE8" w:rsidRDefault="00000000">
      <w:pPr>
        <w:pStyle w:val="Heading2"/>
      </w:pPr>
      <w:r>
        <w:t>3.2 Economic environment and demand potential</w:t>
      </w:r>
    </w:p>
    <w:p w14:paraId="6650B481" w14:textId="77777777" w:rsidR="009E0FE8" w:rsidRDefault="00000000">
      <w:r>
        <w:t>Kenya offers long-term demand potential, but national growth is not equivalent to an immediately addressable furniture market. KNBS reported real GDP growth of 4.6 per cent in 2025 after 4.7 per cent in 2024, while the IMF projected 4.5 per cent for 2026 (KNBS, 2026; IMF, 2026). The relevant market is Nairobi’s urban households and businesses that value modular, functional furniture and possess sufficient purchasing power.</w:t>
      </w:r>
    </w:p>
    <w:p w14:paraId="412994CD" w14:textId="77777777" w:rsidR="009E0FE8" w:rsidRDefault="00000000">
      <w:pPr>
        <w:jc w:val="center"/>
      </w:pPr>
      <w:r>
        <w:rPr>
          <w:noProof/>
        </w:rPr>
        <w:lastRenderedPageBreak/>
        <w:drawing>
          <wp:inline distT="0" distB="0" distL="0" distR="0" wp14:anchorId="36735F86" wp14:editId="03246DC7">
            <wp:extent cx="5760720" cy="32348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kenya_gdp.png"/>
                    <pic:cNvPicPr/>
                  </pic:nvPicPr>
                  <pic:blipFill>
                    <a:blip r:embed="rId13"/>
                    <a:stretch>
                      <a:fillRect/>
                    </a:stretch>
                  </pic:blipFill>
                  <pic:spPr>
                    <a:xfrm>
                      <a:off x="0" y="0"/>
                      <a:ext cx="5760720" cy="3234865"/>
                    </a:xfrm>
                    <a:prstGeom prst="rect">
                      <a:avLst/>
                    </a:prstGeom>
                  </pic:spPr>
                </pic:pic>
              </a:graphicData>
            </a:graphic>
          </wp:inline>
        </w:drawing>
      </w:r>
    </w:p>
    <w:p w14:paraId="733E5170" w14:textId="77777777" w:rsidR="009E0FE8" w:rsidRDefault="00000000">
      <w:pPr>
        <w:pStyle w:val="CaptionText"/>
        <w:jc w:val="center"/>
      </w:pPr>
      <w:r>
        <w:rPr>
          <w:b/>
        </w:rPr>
        <w:t>Figure 3. Kenya real GDP growth and 2026 IMF forecast.</w:t>
      </w:r>
    </w:p>
    <w:p w14:paraId="38C73524" w14:textId="77777777" w:rsidR="009E0FE8" w:rsidRDefault="00000000">
      <w:pPr>
        <w:pStyle w:val="SourceText"/>
        <w:jc w:val="center"/>
      </w:pPr>
      <w:r>
        <w:t>Source: Author’s chart based on KNBS (2025; 2026) and IMF (2026). 2026 is a forecast.</w:t>
      </w:r>
    </w:p>
    <w:p w14:paraId="4D4E7EDE" w14:textId="77777777" w:rsidR="009E0FE8" w:rsidRDefault="00000000">
      <w:r>
        <w:t>Nairobi is the logical entry location because it concentrates formal employment, rental housing, commercial activity, higher-income households and modern retail. Kenya’s urban population was approximately 32 per cent in 2025, indicating that a nationwide launch would be premature (World Bank, 2026). A Nairobi-first model reduces delivery distances and allows the company to test household composition, storage needs, office demand and preferences for self-assembly or paid installation.</w:t>
      </w:r>
    </w:p>
    <w:p w14:paraId="5765EDDA" w14:textId="77777777" w:rsidR="009E0FE8" w:rsidRDefault="00000000">
      <w:r>
        <w:t>Landed cost is the decisive economic barrier. The East African Community tariff reaches 35 per cent for some final goods, while imports also face 16 per cent VAT and logistics, insurance, clearance, storage and damage costs (East African Community, 2022; Kenya Revenue Authority, 2026a). A factory value of 100 can therefore rise to roughly 180 before domestic delivery and retail margin, depending on classification and reliefs. Binding tariff advice and product-level price modelling are essential before commitment.</w:t>
      </w:r>
    </w:p>
    <w:p w14:paraId="7C62B0EA" w14:textId="77777777" w:rsidR="009E0FE8" w:rsidRDefault="00000000">
      <w:r>
        <w:t>Affordability creates a strategic contradiction: IKEA’s advantage is democratic design at low price, not Scandinavian appearance alone. If duty-loaded products become premium imports, sales may be confined to affluent consumers and undermine the business model. Representative baskets covering beds, wardrobes, sofas, dining, storage and desks should therefore be benchmarked against formal retailers and local alternatives before selecting an entry assortment.</w:t>
      </w:r>
    </w:p>
    <w:p w14:paraId="7129F059" w14:textId="77777777" w:rsidR="009E0FE8" w:rsidRDefault="00000000">
      <w:r>
        <w:t>Kenya’s digital scale supports staged market testing. In January-March 2025 the Communications Authority reported 76.16 million SIM subscriptions, 57.18 million mobile-</w:t>
      </w:r>
      <w:r>
        <w:lastRenderedPageBreak/>
        <w:t>data subscriptions, 45.36 million mobile-money subscriptions and 42.35 million smartphones, while the 2025-2030 broadband strategy prioritises wider access (Communications Authority of Kenya, 2025; 2026). E-commerce and mobile payment reduce initial property needs, but furniture still requires planning support, trustworthy dimensions, delivery, returns and optional assembly.</w:t>
      </w:r>
    </w:p>
    <w:p w14:paraId="70F68389" w14:textId="77777777" w:rsidR="009E0FE8" w:rsidRDefault="00000000">
      <w:pPr>
        <w:jc w:val="center"/>
      </w:pPr>
      <w:r>
        <w:rPr>
          <w:noProof/>
        </w:rPr>
        <w:drawing>
          <wp:inline distT="0" distB="0" distL="0" distR="0" wp14:anchorId="27941375" wp14:editId="76BB30C4">
            <wp:extent cx="5760720" cy="32969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digital_scale.png"/>
                    <pic:cNvPicPr/>
                  </pic:nvPicPr>
                  <pic:blipFill>
                    <a:blip r:embed="rId14"/>
                    <a:stretch>
                      <a:fillRect/>
                    </a:stretch>
                  </pic:blipFill>
                  <pic:spPr>
                    <a:xfrm>
                      <a:off x="0" y="0"/>
                      <a:ext cx="5760720" cy="3296970"/>
                    </a:xfrm>
                    <a:prstGeom prst="rect">
                      <a:avLst/>
                    </a:prstGeom>
                  </pic:spPr>
                </pic:pic>
              </a:graphicData>
            </a:graphic>
          </wp:inline>
        </w:drawing>
      </w:r>
    </w:p>
    <w:p w14:paraId="3C210CB1" w14:textId="77777777" w:rsidR="009E0FE8" w:rsidRDefault="00000000">
      <w:pPr>
        <w:pStyle w:val="CaptionText"/>
        <w:jc w:val="center"/>
      </w:pPr>
      <w:r>
        <w:rPr>
          <w:b/>
        </w:rPr>
        <w:t>Figure 4. Selected indicators of Kenya’s digital-market scale, January-March 2025.</w:t>
      </w:r>
    </w:p>
    <w:p w14:paraId="5AF0A7C2" w14:textId="77777777" w:rsidR="009E0FE8" w:rsidRDefault="00000000">
      <w:pPr>
        <w:pStyle w:val="SourceText"/>
        <w:jc w:val="center"/>
      </w:pPr>
      <w:r>
        <w:t>Source: Author’s chart based on Communications Authority of Kenya (2025). Values are subscriptions or connected devices and can exceed the population because individuals may hold multiple subscriptions.</w:t>
      </w:r>
    </w:p>
    <w:p w14:paraId="5D60A5ED" w14:textId="77777777" w:rsidR="009E0FE8" w:rsidRDefault="00000000">
      <w:r>
        <w:t>Mombasa port and the Nairobi-Mombasa corridor provide regional logistics access, but congestion, inland transport, final-mile complexity and reverse logistics can erode the flat-pack advantage. Entry is commercially credible only if tariff engineering, assortment design and service productivity preserve the value proposition. Kenya is therefore a focused Nairobi opportunity with a longer-term regional option, not an immediate national-scale market.</w:t>
      </w:r>
    </w:p>
    <w:tbl>
      <w:tblPr>
        <w:tblStyle w:val="TableGrid"/>
        <w:tblW w:w="0" w:type="auto"/>
        <w:jc w:val="center"/>
        <w:tblLook w:val="04A0" w:firstRow="1" w:lastRow="0" w:firstColumn="1" w:lastColumn="0" w:noHBand="0" w:noVBand="1"/>
      </w:tblPr>
      <w:tblGrid>
        <w:gridCol w:w="1877"/>
        <w:gridCol w:w="3691"/>
        <w:gridCol w:w="3833"/>
      </w:tblGrid>
      <w:tr w:rsidR="009E0FE8" w14:paraId="70357BDA" w14:textId="77777777">
        <w:trPr>
          <w:tblHeader/>
          <w:jc w:val="center"/>
        </w:trPr>
        <w:tc>
          <w:tcPr>
            <w:tcW w:w="1984" w:type="dxa"/>
            <w:shd w:val="clear" w:color="auto" w:fill="0058A3"/>
            <w:tcMar>
              <w:top w:w="80" w:type="dxa"/>
              <w:left w:w="90" w:type="dxa"/>
              <w:bottom w:w="80" w:type="dxa"/>
              <w:right w:w="90" w:type="dxa"/>
            </w:tcMar>
            <w:vAlign w:val="center"/>
          </w:tcPr>
          <w:p w14:paraId="5FCA56E1" w14:textId="77777777" w:rsidR="009E0FE8" w:rsidRDefault="00000000">
            <w:pPr>
              <w:jc w:val="center"/>
            </w:pPr>
            <w:r>
              <w:rPr>
                <w:b/>
                <w:color w:val="FFFFFF"/>
                <w:sz w:val="16"/>
              </w:rPr>
              <w:t>Indicator</w:t>
            </w:r>
          </w:p>
        </w:tc>
        <w:tc>
          <w:tcPr>
            <w:tcW w:w="3969" w:type="dxa"/>
            <w:shd w:val="clear" w:color="auto" w:fill="0058A3"/>
            <w:tcMar>
              <w:top w:w="80" w:type="dxa"/>
              <w:left w:w="90" w:type="dxa"/>
              <w:bottom w:w="80" w:type="dxa"/>
              <w:right w:w="90" w:type="dxa"/>
            </w:tcMar>
            <w:vAlign w:val="center"/>
          </w:tcPr>
          <w:p w14:paraId="7073D126" w14:textId="77777777" w:rsidR="009E0FE8" w:rsidRDefault="00000000">
            <w:pPr>
              <w:jc w:val="center"/>
            </w:pPr>
            <w:r>
              <w:rPr>
                <w:b/>
                <w:color w:val="FFFFFF"/>
                <w:sz w:val="16"/>
              </w:rPr>
              <w:t>Evidence available by the cutoff</w:t>
            </w:r>
          </w:p>
        </w:tc>
        <w:tc>
          <w:tcPr>
            <w:tcW w:w="4139" w:type="dxa"/>
            <w:shd w:val="clear" w:color="auto" w:fill="0058A3"/>
            <w:tcMar>
              <w:top w:w="80" w:type="dxa"/>
              <w:left w:w="90" w:type="dxa"/>
              <w:bottom w:w="80" w:type="dxa"/>
              <w:right w:w="90" w:type="dxa"/>
            </w:tcMar>
            <w:vAlign w:val="center"/>
          </w:tcPr>
          <w:p w14:paraId="262B8FB9" w14:textId="77777777" w:rsidR="009E0FE8" w:rsidRDefault="00000000">
            <w:pPr>
              <w:jc w:val="center"/>
            </w:pPr>
            <w:r>
              <w:rPr>
                <w:b/>
                <w:color w:val="FFFFFF"/>
                <w:sz w:val="16"/>
              </w:rPr>
              <w:t>Strategic meaning</w:t>
            </w:r>
          </w:p>
        </w:tc>
      </w:tr>
      <w:tr w:rsidR="009E0FE8" w14:paraId="038FFC19" w14:textId="77777777">
        <w:trPr>
          <w:jc w:val="center"/>
        </w:trPr>
        <w:tc>
          <w:tcPr>
            <w:tcW w:w="1984" w:type="dxa"/>
            <w:tcMar>
              <w:top w:w="80" w:type="dxa"/>
              <w:left w:w="90" w:type="dxa"/>
              <w:bottom w:w="80" w:type="dxa"/>
              <w:right w:w="90" w:type="dxa"/>
            </w:tcMar>
          </w:tcPr>
          <w:p w14:paraId="4EDD5D9E" w14:textId="77777777" w:rsidR="009E0FE8" w:rsidRDefault="00000000">
            <w:pPr>
              <w:spacing w:after="0" w:line="252" w:lineRule="auto"/>
              <w:jc w:val="left"/>
            </w:pPr>
            <w:r>
              <w:rPr>
                <w:sz w:val="16"/>
              </w:rPr>
              <w:t>Real GDP growth</w:t>
            </w:r>
          </w:p>
        </w:tc>
        <w:tc>
          <w:tcPr>
            <w:tcW w:w="3969" w:type="dxa"/>
            <w:tcMar>
              <w:top w:w="80" w:type="dxa"/>
              <w:left w:w="90" w:type="dxa"/>
              <w:bottom w:w="80" w:type="dxa"/>
              <w:right w:w="90" w:type="dxa"/>
            </w:tcMar>
          </w:tcPr>
          <w:p w14:paraId="1D5D6751" w14:textId="77777777" w:rsidR="009E0FE8" w:rsidRDefault="00000000">
            <w:pPr>
              <w:spacing w:after="0" w:line="252" w:lineRule="auto"/>
              <w:jc w:val="left"/>
            </w:pPr>
            <w:r>
              <w:rPr>
                <w:sz w:val="16"/>
              </w:rPr>
              <w:t>4.6% in 2025; IMF forecast of 4.5% in 2026.</w:t>
            </w:r>
          </w:p>
        </w:tc>
        <w:tc>
          <w:tcPr>
            <w:tcW w:w="4139" w:type="dxa"/>
            <w:tcMar>
              <w:top w:w="80" w:type="dxa"/>
              <w:left w:w="90" w:type="dxa"/>
              <w:bottom w:w="80" w:type="dxa"/>
              <w:right w:w="90" w:type="dxa"/>
            </w:tcMar>
          </w:tcPr>
          <w:p w14:paraId="23515E00" w14:textId="77777777" w:rsidR="009E0FE8" w:rsidRDefault="00000000">
            <w:pPr>
              <w:spacing w:after="0" w:line="252" w:lineRule="auto"/>
              <w:jc w:val="left"/>
            </w:pPr>
            <w:r>
              <w:rPr>
                <w:sz w:val="16"/>
              </w:rPr>
              <w:t>Supports a resilient demand environment but does not prove affordability.</w:t>
            </w:r>
          </w:p>
        </w:tc>
      </w:tr>
      <w:tr w:rsidR="009E0FE8" w14:paraId="3BC99DED" w14:textId="77777777">
        <w:trPr>
          <w:jc w:val="center"/>
        </w:trPr>
        <w:tc>
          <w:tcPr>
            <w:tcW w:w="1984" w:type="dxa"/>
            <w:shd w:val="clear" w:color="auto" w:fill="F1F5F8"/>
            <w:tcMar>
              <w:top w:w="80" w:type="dxa"/>
              <w:left w:w="90" w:type="dxa"/>
              <w:bottom w:w="80" w:type="dxa"/>
              <w:right w:w="90" w:type="dxa"/>
            </w:tcMar>
          </w:tcPr>
          <w:p w14:paraId="45C6F33E" w14:textId="77777777" w:rsidR="009E0FE8" w:rsidRDefault="00000000">
            <w:pPr>
              <w:spacing w:after="0" w:line="252" w:lineRule="auto"/>
              <w:jc w:val="left"/>
            </w:pPr>
            <w:r>
              <w:rPr>
                <w:sz w:val="16"/>
              </w:rPr>
              <w:t>Urban population share</w:t>
            </w:r>
          </w:p>
        </w:tc>
        <w:tc>
          <w:tcPr>
            <w:tcW w:w="3969" w:type="dxa"/>
            <w:shd w:val="clear" w:color="auto" w:fill="F1F5F8"/>
            <w:tcMar>
              <w:top w:w="80" w:type="dxa"/>
              <w:left w:w="90" w:type="dxa"/>
              <w:bottom w:w="80" w:type="dxa"/>
              <w:right w:w="90" w:type="dxa"/>
            </w:tcMar>
          </w:tcPr>
          <w:p w14:paraId="7C6E7925" w14:textId="77777777" w:rsidR="009E0FE8" w:rsidRDefault="00000000">
            <w:pPr>
              <w:spacing w:after="0" w:line="252" w:lineRule="auto"/>
              <w:jc w:val="left"/>
            </w:pPr>
            <w:r>
              <w:rPr>
                <w:sz w:val="16"/>
              </w:rPr>
              <w:t>Approximately 32% in 2025.</w:t>
            </w:r>
          </w:p>
        </w:tc>
        <w:tc>
          <w:tcPr>
            <w:tcW w:w="4139" w:type="dxa"/>
            <w:shd w:val="clear" w:color="auto" w:fill="F1F5F8"/>
            <w:tcMar>
              <w:top w:w="80" w:type="dxa"/>
              <w:left w:w="90" w:type="dxa"/>
              <w:bottom w:w="80" w:type="dxa"/>
              <w:right w:w="90" w:type="dxa"/>
            </w:tcMar>
          </w:tcPr>
          <w:p w14:paraId="352A88A9" w14:textId="77777777" w:rsidR="009E0FE8" w:rsidRDefault="00000000">
            <w:pPr>
              <w:spacing w:after="0" w:line="252" w:lineRule="auto"/>
              <w:jc w:val="left"/>
            </w:pPr>
            <w:r>
              <w:rPr>
                <w:sz w:val="16"/>
              </w:rPr>
              <w:t>Supports a Nairobi-first approach and cautions against rapid nationwide rollout.</w:t>
            </w:r>
          </w:p>
        </w:tc>
      </w:tr>
      <w:tr w:rsidR="009E0FE8" w14:paraId="7153DF7C" w14:textId="77777777">
        <w:trPr>
          <w:jc w:val="center"/>
        </w:trPr>
        <w:tc>
          <w:tcPr>
            <w:tcW w:w="1984" w:type="dxa"/>
            <w:tcMar>
              <w:top w:w="80" w:type="dxa"/>
              <w:left w:w="90" w:type="dxa"/>
              <w:bottom w:w="80" w:type="dxa"/>
              <w:right w:w="90" w:type="dxa"/>
            </w:tcMar>
          </w:tcPr>
          <w:p w14:paraId="40BC6178" w14:textId="77777777" w:rsidR="009E0FE8" w:rsidRDefault="00000000">
            <w:pPr>
              <w:spacing w:after="0" w:line="252" w:lineRule="auto"/>
              <w:jc w:val="left"/>
            </w:pPr>
            <w:r>
              <w:rPr>
                <w:sz w:val="16"/>
              </w:rPr>
              <w:t>Digital access</w:t>
            </w:r>
          </w:p>
        </w:tc>
        <w:tc>
          <w:tcPr>
            <w:tcW w:w="3969" w:type="dxa"/>
            <w:tcMar>
              <w:top w:w="80" w:type="dxa"/>
              <w:left w:w="90" w:type="dxa"/>
              <w:bottom w:w="80" w:type="dxa"/>
              <w:right w:w="90" w:type="dxa"/>
            </w:tcMar>
          </w:tcPr>
          <w:p w14:paraId="15F4004E" w14:textId="77777777" w:rsidR="009E0FE8" w:rsidRDefault="00000000">
            <w:pPr>
              <w:spacing w:after="0" w:line="252" w:lineRule="auto"/>
              <w:jc w:val="left"/>
            </w:pPr>
            <w:r>
              <w:rPr>
                <w:sz w:val="16"/>
              </w:rPr>
              <w:t>76.16m SIMs, 57.18m mobile-data subscriptions, 45.36m mobile-money subscriptions and 42.35m smartphones in Jan-Mar 2025.</w:t>
            </w:r>
          </w:p>
        </w:tc>
        <w:tc>
          <w:tcPr>
            <w:tcW w:w="4139" w:type="dxa"/>
            <w:tcMar>
              <w:top w:w="80" w:type="dxa"/>
              <w:left w:w="90" w:type="dxa"/>
              <w:bottom w:w="80" w:type="dxa"/>
              <w:right w:w="90" w:type="dxa"/>
            </w:tcMar>
          </w:tcPr>
          <w:p w14:paraId="4CBC5D4B" w14:textId="77777777" w:rsidR="009E0FE8" w:rsidRDefault="00000000">
            <w:pPr>
              <w:spacing w:after="0" w:line="252" w:lineRule="auto"/>
              <w:jc w:val="left"/>
            </w:pPr>
            <w:r>
              <w:rPr>
                <w:sz w:val="16"/>
              </w:rPr>
              <w:t>Enables digital demand testing, mobile payment and omnichannel access.</w:t>
            </w:r>
          </w:p>
        </w:tc>
      </w:tr>
      <w:tr w:rsidR="009E0FE8" w14:paraId="2A3D337D" w14:textId="77777777">
        <w:trPr>
          <w:jc w:val="center"/>
        </w:trPr>
        <w:tc>
          <w:tcPr>
            <w:tcW w:w="1984" w:type="dxa"/>
            <w:shd w:val="clear" w:color="auto" w:fill="F1F5F8"/>
            <w:tcMar>
              <w:top w:w="80" w:type="dxa"/>
              <w:left w:w="90" w:type="dxa"/>
              <w:bottom w:w="80" w:type="dxa"/>
              <w:right w:w="90" w:type="dxa"/>
            </w:tcMar>
          </w:tcPr>
          <w:p w14:paraId="39B17EB3" w14:textId="77777777" w:rsidR="009E0FE8" w:rsidRDefault="00000000">
            <w:pPr>
              <w:spacing w:after="0" w:line="252" w:lineRule="auto"/>
              <w:jc w:val="left"/>
            </w:pPr>
            <w:r>
              <w:rPr>
                <w:sz w:val="16"/>
              </w:rPr>
              <w:t>Import taxation</w:t>
            </w:r>
          </w:p>
        </w:tc>
        <w:tc>
          <w:tcPr>
            <w:tcW w:w="3969" w:type="dxa"/>
            <w:shd w:val="clear" w:color="auto" w:fill="F1F5F8"/>
            <w:tcMar>
              <w:top w:w="80" w:type="dxa"/>
              <w:left w:w="90" w:type="dxa"/>
              <w:bottom w:w="80" w:type="dxa"/>
              <w:right w:w="90" w:type="dxa"/>
            </w:tcMar>
          </w:tcPr>
          <w:p w14:paraId="69566D2B" w14:textId="77777777" w:rsidR="009E0FE8" w:rsidRDefault="00000000">
            <w:pPr>
              <w:spacing w:after="0" w:line="252" w:lineRule="auto"/>
              <w:jc w:val="left"/>
            </w:pPr>
            <w:r>
              <w:rPr>
                <w:sz w:val="16"/>
              </w:rPr>
              <w:t>EAC tariff structure reaches 35%; general VAT rate is 16%.</w:t>
            </w:r>
          </w:p>
        </w:tc>
        <w:tc>
          <w:tcPr>
            <w:tcW w:w="4139" w:type="dxa"/>
            <w:shd w:val="clear" w:color="auto" w:fill="F1F5F8"/>
            <w:tcMar>
              <w:top w:w="80" w:type="dxa"/>
              <w:left w:w="90" w:type="dxa"/>
              <w:bottom w:w="80" w:type="dxa"/>
              <w:right w:w="90" w:type="dxa"/>
            </w:tcMar>
          </w:tcPr>
          <w:p w14:paraId="33A70A26" w14:textId="77777777" w:rsidR="009E0FE8" w:rsidRDefault="00000000">
            <w:pPr>
              <w:spacing w:after="0" w:line="252" w:lineRule="auto"/>
              <w:jc w:val="left"/>
            </w:pPr>
            <w:r>
              <w:rPr>
                <w:sz w:val="16"/>
              </w:rPr>
              <w:t>Creates the principal threat to IKEA’s low-price positioning and makes tariff classification and local value addition critical.</w:t>
            </w:r>
          </w:p>
        </w:tc>
      </w:tr>
      <w:tr w:rsidR="009E0FE8" w14:paraId="3DC59430" w14:textId="77777777">
        <w:trPr>
          <w:jc w:val="center"/>
        </w:trPr>
        <w:tc>
          <w:tcPr>
            <w:tcW w:w="1984" w:type="dxa"/>
            <w:tcMar>
              <w:top w:w="80" w:type="dxa"/>
              <w:left w:w="90" w:type="dxa"/>
              <w:bottom w:w="80" w:type="dxa"/>
              <w:right w:w="90" w:type="dxa"/>
            </w:tcMar>
          </w:tcPr>
          <w:p w14:paraId="08ED1A88" w14:textId="77777777" w:rsidR="009E0FE8" w:rsidRDefault="00000000">
            <w:pPr>
              <w:spacing w:after="0" w:line="252" w:lineRule="auto"/>
              <w:jc w:val="left"/>
            </w:pPr>
            <w:r>
              <w:rPr>
                <w:sz w:val="16"/>
              </w:rPr>
              <w:lastRenderedPageBreak/>
              <w:t>Fiscal conditions</w:t>
            </w:r>
          </w:p>
        </w:tc>
        <w:tc>
          <w:tcPr>
            <w:tcW w:w="3969" w:type="dxa"/>
            <w:tcMar>
              <w:top w:w="80" w:type="dxa"/>
              <w:left w:w="90" w:type="dxa"/>
              <w:bottom w:w="80" w:type="dxa"/>
              <w:right w:w="90" w:type="dxa"/>
            </w:tcMar>
          </w:tcPr>
          <w:p w14:paraId="0B1F77E6" w14:textId="77777777" w:rsidR="009E0FE8" w:rsidRDefault="00000000">
            <w:pPr>
              <w:spacing w:after="0" w:line="252" w:lineRule="auto"/>
              <w:jc w:val="left"/>
            </w:pPr>
            <w:r>
              <w:rPr>
                <w:sz w:val="16"/>
              </w:rPr>
              <w:t>Debt at high risk of distress and interest absorbing about one-third of tax revenue.</w:t>
            </w:r>
          </w:p>
        </w:tc>
        <w:tc>
          <w:tcPr>
            <w:tcW w:w="4139" w:type="dxa"/>
            <w:tcMar>
              <w:top w:w="80" w:type="dxa"/>
              <w:left w:w="90" w:type="dxa"/>
              <w:bottom w:w="80" w:type="dxa"/>
              <w:right w:w="90" w:type="dxa"/>
            </w:tcMar>
          </w:tcPr>
          <w:p w14:paraId="514777A3" w14:textId="77777777" w:rsidR="009E0FE8" w:rsidRDefault="00000000">
            <w:pPr>
              <w:spacing w:after="0" w:line="252" w:lineRule="auto"/>
              <w:jc w:val="left"/>
            </w:pPr>
            <w:r>
              <w:rPr>
                <w:sz w:val="16"/>
              </w:rPr>
              <w:t>Increases tax-policy, credit-cost and consumer-demand uncertainty.</w:t>
            </w:r>
          </w:p>
        </w:tc>
      </w:tr>
    </w:tbl>
    <w:p w14:paraId="5FD2C576" w14:textId="77777777" w:rsidR="009E0FE8" w:rsidRDefault="009E0FE8"/>
    <w:p w14:paraId="33EE1968" w14:textId="77777777" w:rsidR="009E0FE8" w:rsidRDefault="00000000">
      <w:pPr>
        <w:pStyle w:val="Heading2"/>
      </w:pPr>
      <w:r>
        <w:t>3.3 Legal and regulatory environment</w:t>
      </w:r>
    </w:p>
    <w:p w14:paraId="505186F1" w14:textId="77777777" w:rsidR="009E0FE8" w:rsidRDefault="00000000">
      <w:r>
        <w:t>Kenya permits formal foreign business activity but imposes layered compliance. The Companies Act governs incorporation and foreign-company registration; resident companies are generally taxed at 30 per cent, non-resident companies at 37.5 per cent, and taxable goods and services ordinarily attract 16 per cent VAT (Kenya Law, 2015; Kenya Revenue Authority, 2026a; 2026b). Corporate, tax, transfer-pricing, franchise-fee, customs and profit-repatriation arrangements must therefore be designed transparently.</w:t>
      </w:r>
    </w:p>
    <w:p w14:paraId="62B2B56C" w14:textId="77777777" w:rsidR="009E0FE8" w:rsidRDefault="00000000">
      <w:r>
        <w:t>Product compliance is central because furniture, lighting, textiles and kitchenware span multiple tariff and safety classifications. KEBS tests furniture and related products and supervises conformity requirements (KEBS, 2026). IKEA would need product-by-product standards mapping, pre-export verification, compliant labelling and specialist customs capability; failure would create delay, cost and reputational damage.</w:t>
      </w:r>
    </w:p>
    <w:p w14:paraId="7CE6E352" w14:textId="77777777" w:rsidR="009E0FE8" w:rsidRDefault="00000000">
      <w:r>
        <w:t>The Competition Act and Consumer Protection Act affect pricing, warranties, advertising and the franchise relationship (Kenya Law, 2010; 2012). Promotional prices, sustainability claims, guarantees and delivery promises must be substantiated. Transparent disclosure is especially important because a low advertised product price can mislead consumers where compulsory delivery or assembly charges are omitted.</w:t>
      </w:r>
    </w:p>
    <w:p w14:paraId="40ABC0FE" w14:textId="77777777" w:rsidR="009E0FE8" w:rsidRDefault="00000000">
      <w:r>
        <w:t>A local digital platform would process identity, address, payment, browsing and planning data. The Data Protection Act 2019 and subsequent regulations require lawful processing, governance and registration where applicable (Kenya Law, 2019; 2021a; 2021b). Responsibilities among Inter IKEA, the franchisee, payment providers and delivery partners must be contractually defined, including security, retention, consent and incident response.</w:t>
      </w:r>
    </w:p>
    <w:p w14:paraId="1817A206" w14:textId="77777777" w:rsidR="009E0FE8" w:rsidRDefault="00000000">
      <w:r>
        <w:t>Kenya presents no single prohibitive legal barrier, but compliance is operationally intensive. Customs, standards, consumer protection, privacy and franchise governance favour a controlled partnership with audit and information rights, while staged entry reduces exposure until regulatory performance and demand are proven.</w:t>
      </w:r>
    </w:p>
    <w:p w14:paraId="5DAF7A2C" w14:textId="77777777" w:rsidR="009E0FE8" w:rsidRDefault="00000000">
      <w:pPr>
        <w:pStyle w:val="Heading2"/>
      </w:pPr>
      <w:r>
        <w:lastRenderedPageBreak/>
        <w:t>3.4 Cultural and consumer-market environment</w:t>
      </w:r>
    </w:p>
    <w:p w14:paraId="2FEEDA74" w14:textId="77777777" w:rsidR="009E0FE8" w:rsidRDefault="00000000">
      <w:r>
        <w:t>Cultural analysis should not reduce Kenya to national scores. Hofstede’s dimensions and Hall’s context framework can sensitise managers to hierarchy, relationships, uncertainty and communication, but they cannot replace direct market evidence (Hall, 1976; Hofstede, Hofstede and Minkov, 2010). IKEA must investigate how households use space, finance purchases, organise delivery and assembly, and evaluate trust in online furniture.</w:t>
      </w:r>
    </w:p>
    <w:p w14:paraId="793F6044" w14:textId="77777777" w:rsidR="009E0FE8" w:rsidRDefault="00000000">
      <w:r>
        <w:t>Urban apartments, rental mobility and small businesses create potential demand for modular storage, compact furniture and portable flat-pack products. Mobile money can reduce payment friction. Yet European room sets may underrepresent extended-family hosting, domestic help, dust, ventilation, security needs and demand for durable or repairable materials. Customers may also expect delivery and assembly as an integrated service rather than accepting an implicit transfer of labour.</w:t>
      </w:r>
    </w:p>
    <w:p w14:paraId="0F5CFF86" w14:textId="77777777" w:rsidR="009E0FE8" w:rsidRDefault="00000000">
      <w:r>
        <w:t>Adaptation should focus on use situations rather than symbolic localisation. Nairobi home visits, landlord and developer interviews, small-business research and prototype room testing should inform dimensions, storage solutions, content, payment, delivery, assembly and spare-parts support. English and Swahili communication can assist access, but operational credibility depends on showing how the products work in Kenyan homes.</w:t>
      </w:r>
    </w:p>
    <w:tbl>
      <w:tblPr>
        <w:tblStyle w:val="TableGrid"/>
        <w:tblW w:w="0" w:type="auto"/>
        <w:jc w:val="center"/>
        <w:tblLook w:val="04A0" w:firstRow="1" w:lastRow="0" w:firstColumn="1" w:lastColumn="0" w:noHBand="0" w:noVBand="1"/>
      </w:tblPr>
      <w:tblGrid>
        <w:gridCol w:w="1724"/>
        <w:gridCol w:w="2569"/>
        <w:gridCol w:w="2541"/>
        <w:gridCol w:w="2567"/>
      </w:tblGrid>
      <w:tr w:rsidR="009E0FE8" w14:paraId="1B2004A5" w14:textId="77777777">
        <w:trPr>
          <w:tblHeader/>
          <w:jc w:val="center"/>
        </w:trPr>
        <w:tc>
          <w:tcPr>
            <w:tcW w:w="1871" w:type="dxa"/>
            <w:shd w:val="clear" w:color="auto" w:fill="0058A3"/>
            <w:tcMar>
              <w:top w:w="80" w:type="dxa"/>
              <w:left w:w="90" w:type="dxa"/>
              <w:bottom w:w="80" w:type="dxa"/>
              <w:right w:w="90" w:type="dxa"/>
            </w:tcMar>
            <w:vAlign w:val="center"/>
          </w:tcPr>
          <w:p w14:paraId="7DC38407" w14:textId="77777777" w:rsidR="009E0FE8" w:rsidRDefault="00000000">
            <w:pPr>
              <w:jc w:val="center"/>
            </w:pPr>
            <w:r>
              <w:rPr>
                <w:b/>
                <w:color w:val="FFFFFF"/>
                <w:sz w:val="16"/>
              </w:rPr>
              <w:t>Consumer issue</w:t>
            </w:r>
          </w:p>
        </w:tc>
        <w:tc>
          <w:tcPr>
            <w:tcW w:w="2835" w:type="dxa"/>
            <w:shd w:val="clear" w:color="auto" w:fill="0058A3"/>
            <w:tcMar>
              <w:top w:w="80" w:type="dxa"/>
              <w:left w:w="90" w:type="dxa"/>
              <w:bottom w:w="80" w:type="dxa"/>
              <w:right w:w="90" w:type="dxa"/>
            </w:tcMar>
            <w:vAlign w:val="center"/>
          </w:tcPr>
          <w:p w14:paraId="50AD0444" w14:textId="77777777" w:rsidR="009E0FE8" w:rsidRDefault="00000000">
            <w:pPr>
              <w:jc w:val="center"/>
            </w:pPr>
            <w:r>
              <w:rPr>
                <w:b/>
                <w:color w:val="FFFFFF"/>
                <w:sz w:val="16"/>
              </w:rPr>
              <w:t>Potential fit</w:t>
            </w:r>
          </w:p>
        </w:tc>
        <w:tc>
          <w:tcPr>
            <w:tcW w:w="2835" w:type="dxa"/>
            <w:shd w:val="clear" w:color="auto" w:fill="0058A3"/>
            <w:tcMar>
              <w:top w:w="80" w:type="dxa"/>
              <w:left w:w="90" w:type="dxa"/>
              <w:bottom w:w="80" w:type="dxa"/>
              <w:right w:w="90" w:type="dxa"/>
            </w:tcMar>
            <w:vAlign w:val="center"/>
          </w:tcPr>
          <w:p w14:paraId="18898B22" w14:textId="77777777" w:rsidR="009E0FE8" w:rsidRDefault="00000000">
            <w:pPr>
              <w:jc w:val="center"/>
            </w:pPr>
            <w:r>
              <w:rPr>
                <w:b/>
                <w:color w:val="FFFFFF"/>
                <w:sz w:val="16"/>
              </w:rPr>
              <w:t>Risk of mismatch</w:t>
            </w:r>
          </w:p>
        </w:tc>
        <w:tc>
          <w:tcPr>
            <w:tcW w:w="2835" w:type="dxa"/>
            <w:shd w:val="clear" w:color="auto" w:fill="0058A3"/>
            <w:tcMar>
              <w:top w:w="80" w:type="dxa"/>
              <w:left w:w="90" w:type="dxa"/>
              <w:bottom w:w="80" w:type="dxa"/>
              <w:right w:w="90" w:type="dxa"/>
            </w:tcMar>
            <w:vAlign w:val="center"/>
          </w:tcPr>
          <w:p w14:paraId="6FAB5670" w14:textId="77777777" w:rsidR="009E0FE8" w:rsidRDefault="00000000">
            <w:pPr>
              <w:jc w:val="center"/>
            </w:pPr>
            <w:r>
              <w:rPr>
                <w:b/>
                <w:color w:val="FFFFFF"/>
                <w:sz w:val="16"/>
              </w:rPr>
              <w:t>Required evidence or adaptation</w:t>
            </w:r>
          </w:p>
        </w:tc>
      </w:tr>
      <w:tr w:rsidR="009E0FE8" w14:paraId="1CB1A622" w14:textId="77777777">
        <w:trPr>
          <w:jc w:val="center"/>
        </w:trPr>
        <w:tc>
          <w:tcPr>
            <w:tcW w:w="1871" w:type="dxa"/>
            <w:tcMar>
              <w:top w:w="80" w:type="dxa"/>
              <w:left w:w="90" w:type="dxa"/>
              <w:bottom w:w="80" w:type="dxa"/>
              <w:right w:w="90" w:type="dxa"/>
            </w:tcMar>
          </w:tcPr>
          <w:p w14:paraId="365EEE75" w14:textId="77777777" w:rsidR="009E0FE8" w:rsidRDefault="00000000">
            <w:pPr>
              <w:spacing w:after="0" w:line="252" w:lineRule="auto"/>
              <w:jc w:val="left"/>
            </w:pPr>
            <w:r>
              <w:rPr>
                <w:sz w:val="16"/>
              </w:rPr>
              <w:t>Compact urban living</w:t>
            </w:r>
          </w:p>
        </w:tc>
        <w:tc>
          <w:tcPr>
            <w:tcW w:w="2835" w:type="dxa"/>
            <w:tcMar>
              <w:top w:w="80" w:type="dxa"/>
              <w:left w:w="90" w:type="dxa"/>
              <w:bottom w:w="80" w:type="dxa"/>
              <w:right w:w="90" w:type="dxa"/>
            </w:tcMar>
          </w:tcPr>
          <w:p w14:paraId="72EEC10A" w14:textId="77777777" w:rsidR="009E0FE8" w:rsidRDefault="00000000">
            <w:pPr>
              <w:spacing w:after="0" w:line="252" w:lineRule="auto"/>
              <w:jc w:val="left"/>
            </w:pPr>
            <w:r>
              <w:rPr>
                <w:sz w:val="16"/>
              </w:rPr>
              <w:t>Modular storage and multifunctional products can solve space constraints.</w:t>
            </w:r>
          </w:p>
        </w:tc>
        <w:tc>
          <w:tcPr>
            <w:tcW w:w="2835" w:type="dxa"/>
            <w:tcMar>
              <w:top w:w="80" w:type="dxa"/>
              <w:left w:w="90" w:type="dxa"/>
              <w:bottom w:w="80" w:type="dxa"/>
              <w:right w:w="90" w:type="dxa"/>
            </w:tcMar>
          </w:tcPr>
          <w:p w14:paraId="4C7081DC" w14:textId="77777777" w:rsidR="009E0FE8" w:rsidRDefault="00000000">
            <w:pPr>
              <w:spacing w:after="0" w:line="252" w:lineRule="auto"/>
              <w:jc w:val="left"/>
            </w:pPr>
            <w:r>
              <w:rPr>
                <w:sz w:val="16"/>
              </w:rPr>
              <w:t>Standard room sets may not reflect local household composition or hosting.</w:t>
            </w:r>
          </w:p>
        </w:tc>
        <w:tc>
          <w:tcPr>
            <w:tcW w:w="2835" w:type="dxa"/>
            <w:tcMar>
              <w:top w:w="80" w:type="dxa"/>
              <w:left w:w="90" w:type="dxa"/>
              <w:bottom w:w="80" w:type="dxa"/>
              <w:right w:w="90" w:type="dxa"/>
            </w:tcMar>
          </w:tcPr>
          <w:p w14:paraId="1332BE0D" w14:textId="77777777" w:rsidR="009E0FE8" w:rsidRDefault="00000000">
            <w:pPr>
              <w:spacing w:after="0" w:line="252" w:lineRule="auto"/>
              <w:jc w:val="left"/>
            </w:pPr>
            <w:r>
              <w:rPr>
                <w:sz w:val="16"/>
              </w:rPr>
              <w:t>Conduct Nairobi home visits and test locally realistic room sets.</w:t>
            </w:r>
          </w:p>
        </w:tc>
      </w:tr>
      <w:tr w:rsidR="009E0FE8" w14:paraId="7D9CA8F2" w14:textId="77777777">
        <w:trPr>
          <w:jc w:val="center"/>
        </w:trPr>
        <w:tc>
          <w:tcPr>
            <w:tcW w:w="1871" w:type="dxa"/>
            <w:shd w:val="clear" w:color="auto" w:fill="F1F5F8"/>
            <w:tcMar>
              <w:top w:w="80" w:type="dxa"/>
              <w:left w:w="90" w:type="dxa"/>
              <w:bottom w:w="80" w:type="dxa"/>
              <w:right w:w="90" w:type="dxa"/>
            </w:tcMar>
          </w:tcPr>
          <w:p w14:paraId="663F1CAC" w14:textId="77777777" w:rsidR="009E0FE8" w:rsidRDefault="00000000">
            <w:pPr>
              <w:spacing w:after="0" w:line="252" w:lineRule="auto"/>
              <w:jc w:val="left"/>
            </w:pPr>
            <w:r>
              <w:rPr>
                <w:sz w:val="16"/>
              </w:rPr>
              <w:t>Price and payment</w:t>
            </w:r>
          </w:p>
        </w:tc>
        <w:tc>
          <w:tcPr>
            <w:tcW w:w="2835" w:type="dxa"/>
            <w:shd w:val="clear" w:color="auto" w:fill="F1F5F8"/>
            <w:tcMar>
              <w:top w:w="80" w:type="dxa"/>
              <w:left w:w="90" w:type="dxa"/>
              <w:bottom w:w="80" w:type="dxa"/>
              <w:right w:w="90" w:type="dxa"/>
            </w:tcMar>
          </w:tcPr>
          <w:p w14:paraId="1E3BE6C7" w14:textId="77777777" w:rsidR="009E0FE8" w:rsidRDefault="00000000">
            <w:pPr>
              <w:spacing w:after="0" w:line="252" w:lineRule="auto"/>
              <w:jc w:val="left"/>
            </w:pPr>
            <w:r>
              <w:rPr>
                <w:sz w:val="16"/>
              </w:rPr>
              <w:t>Transparent entry prices and mobile payment can attract value-conscious buyers.</w:t>
            </w:r>
          </w:p>
        </w:tc>
        <w:tc>
          <w:tcPr>
            <w:tcW w:w="2835" w:type="dxa"/>
            <w:shd w:val="clear" w:color="auto" w:fill="F1F5F8"/>
            <w:tcMar>
              <w:top w:w="80" w:type="dxa"/>
              <w:left w:w="90" w:type="dxa"/>
              <w:bottom w:w="80" w:type="dxa"/>
              <w:right w:w="90" w:type="dxa"/>
            </w:tcMar>
          </w:tcPr>
          <w:p w14:paraId="7B11102B" w14:textId="77777777" w:rsidR="009E0FE8" w:rsidRDefault="00000000">
            <w:pPr>
              <w:spacing w:after="0" w:line="252" w:lineRule="auto"/>
              <w:jc w:val="left"/>
            </w:pPr>
            <w:r>
              <w:rPr>
                <w:sz w:val="16"/>
              </w:rPr>
              <w:t>Tariff-loaded prices may position IKEA as an affluent import brand.</w:t>
            </w:r>
          </w:p>
        </w:tc>
        <w:tc>
          <w:tcPr>
            <w:tcW w:w="2835" w:type="dxa"/>
            <w:shd w:val="clear" w:color="auto" w:fill="F1F5F8"/>
            <w:tcMar>
              <w:top w:w="80" w:type="dxa"/>
              <w:left w:w="90" w:type="dxa"/>
              <w:bottom w:w="80" w:type="dxa"/>
              <w:right w:w="90" w:type="dxa"/>
            </w:tcMar>
          </w:tcPr>
          <w:p w14:paraId="58A64472" w14:textId="77777777" w:rsidR="009E0FE8" w:rsidRDefault="00000000">
            <w:pPr>
              <w:spacing w:after="0" w:line="252" w:lineRule="auto"/>
              <w:jc w:val="left"/>
            </w:pPr>
            <w:r>
              <w:rPr>
                <w:sz w:val="16"/>
              </w:rPr>
              <w:t>Benchmark representative baskets and provide transparent total delivered cost.</w:t>
            </w:r>
          </w:p>
        </w:tc>
      </w:tr>
      <w:tr w:rsidR="009E0FE8" w14:paraId="19ABBB5E" w14:textId="77777777">
        <w:trPr>
          <w:jc w:val="center"/>
        </w:trPr>
        <w:tc>
          <w:tcPr>
            <w:tcW w:w="1871" w:type="dxa"/>
            <w:tcMar>
              <w:top w:w="80" w:type="dxa"/>
              <w:left w:w="90" w:type="dxa"/>
              <w:bottom w:w="80" w:type="dxa"/>
              <w:right w:w="90" w:type="dxa"/>
            </w:tcMar>
          </w:tcPr>
          <w:p w14:paraId="7E0A3C74" w14:textId="77777777" w:rsidR="009E0FE8" w:rsidRDefault="00000000">
            <w:pPr>
              <w:spacing w:after="0" w:line="252" w:lineRule="auto"/>
              <w:jc w:val="left"/>
            </w:pPr>
            <w:r>
              <w:rPr>
                <w:sz w:val="16"/>
              </w:rPr>
              <w:t>Self-service and assembly</w:t>
            </w:r>
          </w:p>
        </w:tc>
        <w:tc>
          <w:tcPr>
            <w:tcW w:w="2835" w:type="dxa"/>
            <w:tcMar>
              <w:top w:w="80" w:type="dxa"/>
              <w:left w:w="90" w:type="dxa"/>
              <w:bottom w:w="80" w:type="dxa"/>
              <w:right w:w="90" w:type="dxa"/>
            </w:tcMar>
          </w:tcPr>
          <w:p w14:paraId="69BE27BF" w14:textId="77777777" w:rsidR="009E0FE8" w:rsidRDefault="00000000">
            <w:pPr>
              <w:spacing w:after="0" w:line="252" w:lineRule="auto"/>
              <w:jc w:val="left"/>
            </w:pPr>
            <w:r>
              <w:rPr>
                <w:sz w:val="16"/>
              </w:rPr>
              <w:t>Flat-pack products support transport and customer flexibility.</w:t>
            </w:r>
          </w:p>
        </w:tc>
        <w:tc>
          <w:tcPr>
            <w:tcW w:w="2835" w:type="dxa"/>
            <w:tcMar>
              <w:top w:w="80" w:type="dxa"/>
              <w:left w:w="90" w:type="dxa"/>
              <w:bottom w:w="80" w:type="dxa"/>
              <w:right w:w="90" w:type="dxa"/>
            </w:tcMar>
          </w:tcPr>
          <w:p w14:paraId="3F07C319" w14:textId="77777777" w:rsidR="009E0FE8" w:rsidRDefault="00000000">
            <w:pPr>
              <w:spacing w:after="0" w:line="252" w:lineRule="auto"/>
              <w:jc w:val="left"/>
            </w:pPr>
            <w:r>
              <w:rPr>
                <w:sz w:val="16"/>
              </w:rPr>
              <w:t>Customers may expect integrated delivery, assembly and problem resolution.</w:t>
            </w:r>
          </w:p>
        </w:tc>
        <w:tc>
          <w:tcPr>
            <w:tcW w:w="2835" w:type="dxa"/>
            <w:tcMar>
              <w:top w:w="80" w:type="dxa"/>
              <w:left w:w="90" w:type="dxa"/>
              <w:bottom w:w="80" w:type="dxa"/>
              <w:right w:w="90" w:type="dxa"/>
            </w:tcMar>
          </w:tcPr>
          <w:p w14:paraId="27D46176" w14:textId="77777777" w:rsidR="009E0FE8" w:rsidRDefault="00000000">
            <w:pPr>
              <w:spacing w:after="0" w:line="252" w:lineRule="auto"/>
              <w:jc w:val="left"/>
            </w:pPr>
            <w:r>
              <w:rPr>
                <w:sz w:val="16"/>
              </w:rPr>
              <w:t>Offer optional paid assembly, clear instructions, spare parts and service guarantees.</w:t>
            </w:r>
          </w:p>
        </w:tc>
      </w:tr>
      <w:tr w:rsidR="009E0FE8" w14:paraId="03BF4260" w14:textId="77777777">
        <w:trPr>
          <w:jc w:val="center"/>
        </w:trPr>
        <w:tc>
          <w:tcPr>
            <w:tcW w:w="1871" w:type="dxa"/>
            <w:shd w:val="clear" w:color="auto" w:fill="F1F5F8"/>
            <w:tcMar>
              <w:top w:w="80" w:type="dxa"/>
              <w:left w:w="90" w:type="dxa"/>
              <w:bottom w:w="80" w:type="dxa"/>
              <w:right w:w="90" w:type="dxa"/>
            </w:tcMar>
          </w:tcPr>
          <w:p w14:paraId="6C3FD445" w14:textId="77777777" w:rsidR="009E0FE8" w:rsidRDefault="00000000">
            <w:pPr>
              <w:spacing w:after="0" w:line="252" w:lineRule="auto"/>
              <w:jc w:val="left"/>
            </w:pPr>
            <w:r>
              <w:rPr>
                <w:sz w:val="16"/>
              </w:rPr>
              <w:t>Trust in online furniture</w:t>
            </w:r>
          </w:p>
        </w:tc>
        <w:tc>
          <w:tcPr>
            <w:tcW w:w="2835" w:type="dxa"/>
            <w:shd w:val="clear" w:color="auto" w:fill="F1F5F8"/>
            <w:tcMar>
              <w:top w:w="80" w:type="dxa"/>
              <w:left w:w="90" w:type="dxa"/>
              <w:bottom w:w="80" w:type="dxa"/>
              <w:right w:w="90" w:type="dxa"/>
            </w:tcMar>
          </w:tcPr>
          <w:p w14:paraId="67BF5413" w14:textId="77777777" w:rsidR="009E0FE8" w:rsidRDefault="00000000">
            <w:pPr>
              <w:spacing w:after="0" w:line="252" w:lineRule="auto"/>
              <w:jc w:val="left"/>
            </w:pPr>
            <w:r>
              <w:rPr>
                <w:sz w:val="16"/>
              </w:rPr>
              <w:t>Digital reach supports discovery and planning.</w:t>
            </w:r>
          </w:p>
        </w:tc>
        <w:tc>
          <w:tcPr>
            <w:tcW w:w="2835" w:type="dxa"/>
            <w:shd w:val="clear" w:color="auto" w:fill="F1F5F8"/>
            <w:tcMar>
              <w:top w:w="80" w:type="dxa"/>
              <w:left w:w="90" w:type="dxa"/>
              <w:bottom w:w="80" w:type="dxa"/>
              <w:right w:w="90" w:type="dxa"/>
            </w:tcMar>
          </w:tcPr>
          <w:p w14:paraId="3209443B" w14:textId="77777777" w:rsidR="009E0FE8" w:rsidRDefault="00000000">
            <w:pPr>
              <w:spacing w:after="0" w:line="252" w:lineRule="auto"/>
              <w:jc w:val="left"/>
            </w:pPr>
            <w:r>
              <w:rPr>
                <w:sz w:val="16"/>
              </w:rPr>
              <w:t>Material, colour, size and delivery uncertainty may reduce conversion.</w:t>
            </w:r>
          </w:p>
        </w:tc>
        <w:tc>
          <w:tcPr>
            <w:tcW w:w="2835" w:type="dxa"/>
            <w:shd w:val="clear" w:color="auto" w:fill="F1F5F8"/>
            <w:tcMar>
              <w:top w:w="80" w:type="dxa"/>
              <w:left w:w="90" w:type="dxa"/>
              <w:bottom w:w="80" w:type="dxa"/>
              <w:right w:w="90" w:type="dxa"/>
            </w:tcMar>
          </w:tcPr>
          <w:p w14:paraId="288B516B" w14:textId="77777777" w:rsidR="009E0FE8" w:rsidRDefault="00000000">
            <w:pPr>
              <w:spacing w:after="0" w:line="252" w:lineRule="auto"/>
              <w:jc w:val="left"/>
            </w:pPr>
            <w:r>
              <w:rPr>
                <w:sz w:val="16"/>
              </w:rPr>
              <w:t>Use a physical planning studio, samples, accurate visualisation and simple returns.</w:t>
            </w:r>
          </w:p>
        </w:tc>
      </w:tr>
    </w:tbl>
    <w:p w14:paraId="5B6221CF" w14:textId="77777777" w:rsidR="009E0FE8" w:rsidRDefault="009E0FE8"/>
    <w:p w14:paraId="5EB7E03C" w14:textId="77777777" w:rsidR="009E0FE8" w:rsidRDefault="00000000">
      <w:pPr>
        <w:pStyle w:val="Heading2"/>
      </w:pPr>
      <w:r>
        <w:t>3.5 Market-attractiveness synthesis</w:t>
      </w:r>
    </w:p>
    <w:p w14:paraId="4F223610" w14:textId="77777777" w:rsidR="009E0FE8" w:rsidRDefault="00000000">
      <w:r>
        <w:t xml:space="preserve">Kenya is moderately, not unambiguously, attractive. Nairobi’s demand concentration, economic resilience, mobile commerce and gateway role support entry, while import taxation, freight, working capital, fiscal uncertainty and service complexity threaten affordability. These factors interact: digital entry reduces property exposure but not </w:t>
      </w:r>
      <w:r>
        <w:lastRenderedPageBreak/>
        <w:t>delivery cost; local assembly may reduce freight yet requires scale; and a franchisee adds knowledge while creating control risk.</w:t>
      </w:r>
    </w:p>
    <w:p w14:paraId="6E80DC9A" w14:textId="77777777" w:rsidR="009E0FE8" w:rsidRDefault="00000000">
      <w:r>
        <w:t>The decision rule is whether IKEA can preserve an affordable, reliable and accessible furnishing system. Entry should proceed only if a tested assortment achieves viable delivered prices, a partner meets IKEA governance standards and logistics trials deliver acceptable damage, return and on-time performance. Market size alone is insufficient.</w:t>
      </w:r>
    </w:p>
    <w:p w14:paraId="609BE326" w14:textId="77777777" w:rsidR="009E0FE8" w:rsidRDefault="00000000">
      <w:pPr>
        <w:pStyle w:val="Heading1"/>
      </w:pPr>
      <w:r>
        <w:t>4. Dunning’s Eclectic Paradigm and Strategic Synthesis</w:t>
      </w:r>
    </w:p>
    <w:p w14:paraId="57661586" w14:textId="77777777" w:rsidR="009E0FE8" w:rsidRDefault="00000000">
      <w:r>
        <w:t>Dunning’s eclectic paradigm integrates ownership, location and internalisation advantages (Dunning, 1988; 2001). Applied here, it asks why IKEA is competitively qualified, why Kenya creates net value and why the operation should be controlled through a particular governance form. The elements must be analysed together because tariffs can weaken ownership value and a franchise can make local knowledge usable without surrendering concept control.</w:t>
      </w:r>
    </w:p>
    <w:p w14:paraId="0254A507" w14:textId="77777777" w:rsidR="009E0FE8" w:rsidRDefault="00000000">
      <w:r>
        <w:t>IKEA’s ownership advantages include a recognised brand, democratic design, coordinated product architecture, flat-pack logistics, global sourcing, scale purchasing, planning routines and a mature franchise system. These system assets are more defensible than isolated product designs. However, they create value in Kenya only if duty, freight and service costs do not destroy the low-price architecture; brand recognition cannot compensate indefinitely for unaffordable delivered prices.</w:t>
      </w:r>
    </w:p>
    <w:p w14:paraId="044BADE0" w14:textId="77777777" w:rsidR="009E0FE8" w:rsidRDefault="00000000">
      <w:r>
        <w:t>Kenya’s location advantages are concentrated in Nairobi: demand density, modern retail, corporate customers, service skills and digital connectivity, reinforced by Mombasa logistics and East African access. These benefits are reduced by tariff exposure, uneven purchasing power, fiscal volatility and final-mile complexity. Kenya is therefore suitable as a staged learning platform, not as justification for immediate full-scale replication.</w:t>
      </w:r>
    </w:p>
    <w:p w14:paraId="665A23EC" w14:textId="77777777" w:rsidR="009E0FE8" w:rsidRDefault="00000000">
      <w:r>
        <w:t>IKEA must internalise or tightly govern trademarks, product standards, digital assets, sustainability claims and customer experience because failure would damage global reputation. A wholly owned operation would maximise control but internalise political, logistics and market-learning risk. A governed franchise offers a middle position: the franchisor controls concept and quality through contracts, audits, data and training, while the partner contributes capital, local relationships and operating knowledge.</w:t>
      </w:r>
    </w:p>
    <w:p w14:paraId="2B20F263" w14:textId="77777777" w:rsidR="009E0FE8" w:rsidRDefault="00000000">
      <w:pPr>
        <w:jc w:val="center"/>
      </w:pPr>
      <w:r>
        <w:rPr>
          <w:noProof/>
        </w:rPr>
        <w:lastRenderedPageBreak/>
        <w:drawing>
          <wp:inline distT="0" distB="0" distL="0" distR="0" wp14:anchorId="064AC811" wp14:editId="7DE9E733">
            <wp:extent cx="5760720" cy="2834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oli.png"/>
                    <pic:cNvPicPr/>
                  </pic:nvPicPr>
                  <pic:blipFill>
                    <a:blip r:embed="rId15"/>
                    <a:stretch>
                      <a:fillRect/>
                    </a:stretch>
                  </pic:blipFill>
                  <pic:spPr>
                    <a:xfrm>
                      <a:off x="0" y="0"/>
                      <a:ext cx="5760720" cy="2834640"/>
                    </a:xfrm>
                    <a:prstGeom prst="rect">
                      <a:avLst/>
                    </a:prstGeom>
                  </pic:spPr>
                </pic:pic>
              </a:graphicData>
            </a:graphic>
          </wp:inline>
        </w:drawing>
      </w:r>
    </w:p>
    <w:p w14:paraId="29FF8C78" w14:textId="77777777" w:rsidR="009E0FE8" w:rsidRDefault="00000000">
      <w:pPr>
        <w:pStyle w:val="CaptionText"/>
        <w:jc w:val="center"/>
      </w:pPr>
      <w:r>
        <w:rPr>
          <w:b/>
        </w:rPr>
        <w:t>Figure 5. Integrated OLI logic for IKEA’s proposed entry into Kenya.</w:t>
      </w:r>
    </w:p>
    <w:p w14:paraId="4BBC9C87" w14:textId="77777777" w:rsidR="009E0FE8" w:rsidRDefault="00000000">
      <w:pPr>
        <w:pStyle w:val="SourceText"/>
        <w:jc w:val="center"/>
      </w:pPr>
      <w:r>
        <w:t>Source: Author-developed figure informed by Dunning (1988; 2001) and the evidence analysed in this report.</w:t>
      </w:r>
    </w:p>
    <w:p w14:paraId="1DCDC515" w14:textId="77777777" w:rsidR="009E0FE8" w:rsidRDefault="00000000">
      <w:r>
        <w:t>OLI is comparatively static and gives limited guidance on timing or learning under uncertainty. Transaction-cost reasoning suggests greater control when assets are specialised and uncertainty is high, while institutional and cultural conditions can alter entry-mode performance (Anderson and Gatignon, 1986; Brouthers, 2002). These limitations support staged franchising with explicit performance gates rather than a once-and-for-all commitment.</w:t>
      </w:r>
    </w:p>
    <w:p w14:paraId="7A0E6887" w14:textId="77777777" w:rsidR="009E0FE8" w:rsidRDefault="00000000">
      <w:pPr>
        <w:pStyle w:val="Heading1"/>
      </w:pPr>
      <w:r>
        <w:t>5. Entry Mode Strategy and Strategic Synthesis</w:t>
      </w:r>
    </w:p>
    <w:p w14:paraId="15CD0233" w14:textId="77777777" w:rsidR="009E0FE8" w:rsidRDefault="00000000">
      <w:pPr>
        <w:pStyle w:val="Heading2"/>
      </w:pPr>
      <w:r>
        <w:t>5.1 Historical entry pattern</w:t>
      </w:r>
    </w:p>
    <w:p w14:paraId="74DA1B71" w14:textId="77777777" w:rsidR="009E0FE8" w:rsidRDefault="00000000">
      <w:r>
        <w:t>IKEA’s dominant entry pattern is franchising, although formats and ownership vary. Inter IKEA Systems B.V. grants territorial rights to franchisees that operate stores and channels under the IKEA Concept; Ingka Group is the largest franchisee. Recent growth has used full-size and smaller stores, planning points, pick-up locations and online channels, showing that physical and digital access are complementary (Inter IKEA Group, 2025a).</w:t>
      </w:r>
    </w:p>
    <w:p w14:paraId="6E5BB1BD" w14:textId="77777777" w:rsidR="009E0FE8" w:rsidRDefault="00000000">
      <w:r>
        <w:t>Recent expansion reinforces this pattern: Panama and Costa Rica were assigned through Sarton Group, while New Zealand opened through an established franchise organisation in December 2025. International Sales provides a low-commitment precursor in countries without stores, but not the customer experience required for household retail (IKEA, 2023; 2026a). Occasional acquisition of franchise operations also shows that ownership can increase later when control or learning justifies it.</w:t>
      </w:r>
    </w:p>
    <w:tbl>
      <w:tblPr>
        <w:tblStyle w:val="TableGrid"/>
        <w:tblW w:w="0" w:type="auto"/>
        <w:jc w:val="center"/>
        <w:tblLook w:val="04A0" w:firstRow="1" w:lastRow="0" w:firstColumn="1" w:lastColumn="0" w:noHBand="0" w:noVBand="1"/>
      </w:tblPr>
      <w:tblGrid>
        <w:gridCol w:w="2289"/>
        <w:gridCol w:w="3504"/>
        <w:gridCol w:w="3608"/>
      </w:tblGrid>
      <w:tr w:rsidR="009E0FE8" w14:paraId="3EC0B42F" w14:textId="77777777">
        <w:trPr>
          <w:tblHeader/>
          <w:jc w:val="center"/>
        </w:trPr>
        <w:tc>
          <w:tcPr>
            <w:tcW w:w="2381" w:type="dxa"/>
            <w:shd w:val="clear" w:color="auto" w:fill="0058A3"/>
            <w:tcMar>
              <w:top w:w="80" w:type="dxa"/>
              <w:left w:w="90" w:type="dxa"/>
              <w:bottom w:w="80" w:type="dxa"/>
              <w:right w:w="90" w:type="dxa"/>
            </w:tcMar>
            <w:vAlign w:val="center"/>
          </w:tcPr>
          <w:p w14:paraId="4EBE8AE2" w14:textId="77777777" w:rsidR="009E0FE8" w:rsidRDefault="00000000">
            <w:pPr>
              <w:jc w:val="center"/>
            </w:pPr>
            <w:r>
              <w:rPr>
                <w:b/>
                <w:color w:val="FFFFFF"/>
                <w:sz w:val="16"/>
              </w:rPr>
              <w:lastRenderedPageBreak/>
              <w:t>Mode used by IKEA</w:t>
            </w:r>
          </w:p>
        </w:tc>
        <w:tc>
          <w:tcPr>
            <w:tcW w:w="3685" w:type="dxa"/>
            <w:shd w:val="clear" w:color="auto" w:fill="0058A3"/>
            <w:tcMar>
              <w:top w:w="80" w:type="dxa"/>
              <w:left w:w="90" w:type="dxa"/>
              <w:bottom w:w="80" w:type="dxa"/>
              <w:right w:w="90" w:type="dxa"/>
            </w:tcMar>
            <w:vAlign w:val="center"/>
          </w:tcPr>
          <w:p w14:paraId="7EE2D73D" w14:textId="77777777" w:rsidR="009E0FE8" w:rsidRDefault="00000000">
            <w:pPr>
              <w:jc w:val="center"/>
            </w:pPr>
            <w:r>
              <w:rPr>
                <w:b/>
                <w:color w:val="FFFFFF"/>
                <w:sz w:val="16"/>
              </w:rPr>
              <w:t>Strategic role</w:t>
            </w:r>
          </w:p>
        </w:tc>
        <w:tc>
          <w:tcPr>
            <w:tcW w:w="3798" w:type="dxa"/>
            <w:shd w:val="clear" w:color="auto" w:fill="0058A3"/>
            <w:tcMar>
              <w:top w:w="80" w:type="dxa"/>
              <w:left w:w="90" w:type="dxa"/>
              <w:bottom w:w="80" w:type="dxa"/>
              <w:right w:w="90" w:type="dxa"/>
            </w:tcMar>
            <w:vAlign w:val="center"/>
          </w:tcPr>
          <w:p w14:paraId="5F6848E0" w14:textId="77777777" w:rsidR="009E0FE8" w:rsidRDefault="00000000">
            <w:pPr>
              <w:jc w:val="center"/>
            </w:pPr>
            <w:r>
              <w:rPr>
                <w:b/>
                <w:color w:val="FFFFFF"/>
                <w:sz w:val="16"/>
              </w:rPr>
              <w:t>Kenyan relevance</w:t>
            </w:r>
          </w:p>
        </w:tc>
      </w:tr>
      <w:tr w:rsidR="009E0FE8" w14:paraId="6599E0F6" w14:textId="77777777">
        <w:trPr>
          <w:jc w:val="center"/>
        </w:trPr>
        <w:tc>
          <w:tcPr>
            <w:tcW w:w="2381" w:type="dxa"/>
            <w:tcMar>
              <w:top w:w="80" w:type="dxa"/>
              <w:left w:w="90" w:type="dxa"/>
              <w:bottom w:w="80" w:type="dxa"/>
              <w:right w:w="90" w:type="dxa"/>
            </w:tcMar>
          </w:tcPr>
          <w:p w14:paraId="01CD3DC1" w14:textId="77777777" w:rsidR="009E0FE8" w:rsidRDefault="00000000">
            <w:pPr>
              <w:spacing w:after="0" w:line="252" w:lineRule="auto"/>
              <w:jc w:val="left"/>
            </w:pPr>
            <w:r>
              <w:rPr>
                <w:sz w:val="16"/>
              </w:rPr>
              <w:t>International Sales and project exports</w:t>
            </w:r>
          </w:p>
        </w:tc>
        <w:tc>
          <w:tcPr>
            <w:tcW w:w="3685" w:type="dxa"/>
            <w:tcMar>
              <w:top w:w="80" w:type="dxa"/>
              <w:left w:w="90" w:type="dxa"/>
              <w:bottom w:w="80" w:type="dxa"/>
              <w:right w:w="90" w:type="dxa"/>
            </w:tcMar>
          </w:tcPr>
          <w:p w14:paraId="39C6BDF3" w14:textId="77777777" w:rsidR="009E0FE8" w:rsidRDefault="00000000">
            <w:pPr>
              <w:spacing w:after="0" w:line="252" w:lineRule="auto"/>
              <w:jc w:val="left"/>
            </w:pPr>
            <w:r>
              <w:rPr>
                <w:sz w:val="16"/>
              </w:rPr>
              <w:t>Supplies bulk orders to countries without formal stores and tests demand with low commitment.</w:t>
            </w:r>
          </w:p>
        </w:tc>
        <w:tc>
          <w:tcPr>
            <w:tcW w:w="3798" w:type="dxa"/>
            <w:tcMar>
              <w:top w:w="80" w:type="dxa"/>
              <w:left w:w="90" w:type="dxa"/>
              <w:bottom w:w="80" w:type="dxa"/>
              <w:right w:w="90" w:type="dxa"/>
            </w:tcMar>
          </w:tcPr>
          <w:p w14:paraId="1871ECE6" w14:textId="77777777" w:rsidR="009E0FE8" w:rsidRDefault="00000000">
            <w:pPr>
              <w:spacing w:after="0" w:line="252" w:lineRule="auto"/>
              <w:jc w:val="left"/>
            </w:pPr>
            <w:r>
              <w:rPr>
                <w:sz w:val="16"/>
              </w:rPr>
              <w:t>Useful for institutional orders and early learning but inadequate for scalable household retail.</w:t>
            </w:r>
          </w:p>
        </w:tc>
      </w:tr>
      <w:tr w:rsidR="009E0FE8" w14:paraId="0B09FF58" w14:textId="77777777">
        <w:trPr>
          <w:jc w:val="center"/>
        </w:trPr>
        <w:tc>
          <w:tcPr>
            <w:tcW w:w="2381" w:type="dxa"/>
            <w:shd w:val="clear" w:color="auto" w:fill="F1F5F8"/>
            <w:tcMar>
              <w:top w:w="80" w:type="dxa"/>
              <w:left w:w="90" w:type="dxa"/>
              <w:bottom w:w="80" w:type="dxa"/>
              <w:right w:w="90" w:type="dxa"/>
            </w:tcMar>
          </w:tcPr>
          <w:p w14:paraId="5B581A0D" w14:textId="77777777" w:rsidR="009E0FE8" w:rsidRDefault="00000000">
            <w:pPr>
              <w:spacing w:after="0" w:line="252" w:lineRule="auto"/>
              <w:jc w:val="left"/>
            </w:pPr>
            <w:r>
              <w:rPr>
                <w:sz w:val="16"/>
              </w:rPr>
              <w:t>Exclusive territorial franchise</w:t>
            </w:r>
          </w:p>
        </w:tc>
        <w:tc>
          <w:tcPr>
            <w:tcW w:w="3685" w:type="dxa"/>
            <w:shd w:val="clear" w:color="auto" w:fill="F1F5F8"/>
            <w:tcMar>
              <w:top w:w="80" w:type="dxa"/>
              <w:left w:w="90" w:type="dxa"/>
              <w:bottom w:w="80" w:type="dxa"/>
              <w:right w:w="90" w:type="dxa"/>
            </w:tcMar>
          </w:tcPr>
          <w:p w14:paraId="5DEC5903" w14:textId="77777777" w:rsidR="009E0FE8" w:rsidRDefault="00000000">
            <w:pPr>
              <w:spacing w:after="0" w:line="252" w:lineRule="auto"/>
              <w:jc w:val="left"/>
            </w:pPr>
            <w:r>
              <w:rPr>
                <w:sz w:val="16"/>
              </w:rPr>
              <w:t>Combines local capital and market knowledge with global concept, range and governance.</w:t>
            </w:r>
          </w:p>
        </w:tc>
        <w:tc>
          <w:tcPr>
            <w:tcW w:w="3798" w:type="dxa"/>
            <w:shd w:val="clear" w:color="auto" w:fill="F1F5F8"/>
            <w:tcMar>
              <w:top w:w="80" w:type="dxa"/>
              <w:left w:w="90" w:type="dxa"/>
              <w:bottom w:w="80" w:type="dxa"/>
              <w:right w:w="90" w:type="dxa"/>
            </w:tcMar>
          </w:tcPr>
          <w:p w14:paraId="4F1F9E55" w14:textId="77777777" w:rsidR="009E0FE8" w:rsidRDefault="00000000">
            <w:pPr>
              <w:spacing w:after="0" w:line="252" w:lineRule="auto"/>
              <w:jc w:val="left"/>
            </w:pPr>
            <w:r>
              <w:rPr>
                <w:sz w:val="16"/>
              </w:rPr>
              <w:t>Best structural fit if partner capability and control mechanisms are strong.</w:t>
            </w:r>
          </w:p>
        </w:tc>
      </w:tr>
      <w:tr w:rsidR="009E0FE8" w14:paraId="43271AD5" w14:textId="77777777">
        <w:trPr>
          <w:jc w:val="center"/>
        </w:trPr>
        <w:tc>
          <w:tcPr>
            <w:tcW w:w="2381" w:type="dxa"/>
            <w:tcMar>
              <w:top w:w="80" w:type="dxa"/>
              <w:left w:w="90" w:type="dxa"/>
              <w:bottom w:w="80" w:type="dxa"/>
              <w:right w:w="90" w:type="dxa"/>
            </w:tcMar>
          </w:tcPr>
          <w:p w14:paraId="19958BFE" w14:textId="77777777" w:rsidR="009E0FE8" w:rsidRDefault="00000000">
            <w:pPr>
              <w:spacing w:after="0" w:line="252" w:lineRule="auto"/>
              <w:jc w:val="left"/>
            </w:pPr>
            <w:r>
              <w:rPr>
                <w:sz w:val="16"/>
              </w:rPr>
              <w:t>Multiple retail formats</w:t>
            </w:r>
          </w:p>
        </w:tc>
        <w:tc>
          <w:tcPr>
            <w:tcW w:w="3685" w:type="dxa"/>
            <w:tcMar>
              <w:top w:w="80" w:type="dxa"/>
              <w:left w:w="90" w:type="dxa"/>
              <w:bottom w:w="80" w:type="dxa"/>
              <w:right w:w="90" w:type="dxa"/>
            </w:tcMar>
          </w:tcPr>
          <w:p w14:paraId="19284B85" w14:textId="77777777" w:rsidR="009E0FE8" w:rsidRDefault="00000000">
            <w:pPr>
              <w:spacing w:after="0" w:line="252" w:lineRule="auto"/>
              <w:jc w:val="left"/>
            </w:pPr>
            <w:r>
              <w:rPr>
                <w:sz w:val="16"/>
              </w:rPr>
              <w:t>Uses full-size stores, small stores, plan-and-order points, e-commerce and collection locations.</w:t>
            </w:r>
          </w:p>
        </w:tc>
        <w:tc>
          <w:tcPr>
            <w:tcW w:w="3798" w:type="dxa"/>
            <w:tcMar>
              <w:top w:w="80" w:type="dxa"/>
              <w:left w:w="90" w:type="dxa"/>
              <w:bottom w:w="80" w:type="dxa"/>
              <w:right w:w="90" w:type="dxa"/>
            </w:tcMar>
          </w:tcPr>
          <w:p w14:paraId="39E5E24B" w14:textId="77777777" w:rsidR="009E0FE8" w:rsidRDefault="00000000">
            <w:pPr>
              <w:spacing w:after="0" w:line="252" w:lineRule="auto"/>
              <w:jc w:val="left"/>
            </w:pPr>
            <w:r>
              <w:rPr>
                <w:sz w:val="16"/>
              </w:rPr>
              <w:t>Allows a Nairobi entry without the cost and rigidity of a conventional destination store.</w:t>
            </w:r>
          </w:p>
        </w:tc>
      </w:tr>
      <w:tr w:rsidR="009E0FE8" w14:paraId="45395F11" w14:textId="77777777">
        <w:trPr>
          <w:jc w:val="center"/>
        </w:trPr>
        <w:tc>
          <w:tcPr>
            <w:tcW w:w="2381" w:type="dxa"/>
            <w:shd w:val="clear" w:color="auto" w:fill="F1F5F8"/>
            <w:tcMar>
              <w:top w:w="80" w:type="dxa"/>
              <w:left w:w="90" w:type="dxa"/>
              <w:bottom w:w="80" w:type="dxa"/>
              <w:right w:w="90" w:type="dxa"/>
            </w:tcMar>
          </w:tcPr>
          <w:p w14:paraId="4E3D3113" w14:textId="77777777" w:rsidR="009E0FE8" w:rsidRDefault="00000000">
            <w:pPr>
              <w:spacing w:after="0" w:line="252" w:lineRule="auto"/>
              <w:jc w:val="left"/>
            </w:pPr>
            <w:r>
              <w:rPr>
                <w:sz w:val="16"/>
              </w:rPr>
              <w:t>Wholly owned or acquired retail operations</w:t>
            </w:r>
          </w:p>
        </w:tc>
        <w:tc>
          <w:tcPr>
            <w:tcW w:w="3685" w:type="dxa"/>
            <w:shd w:val="clear" w:color="auto" w:fill="F1F5F8"/>
            <w:tcMar>
              <w:top w:w="80" w:type="dxa"/>
              <w:left w:w="90" w:type="dxa"/>
              <w:bottom w:w="80" w:type="dxa"/>
              <w:right w:w="90" w:type="dxa"/>
            </w:tcMar>
          </w:tcPr>
          <w:p w14:paraId="1C907B9F" w14:textId="77777777" w:rsidR="009E0FE8" w:rsidRDefault="00000000">
            <w:pPr>
              <w:spacing w:after="0" w:line="252" w:lineRule="auto"/>
              <w:jc w:val="left"/>
            </w:pPr>
            <w:r>
              <w:rPr>
                <w:sz w:val="16"/>
              </w:rPr>
              <w:t>Used selectively when greater control or strategic learning is valuable.</w:t>
            </w:r>
          </w:p>
        </w:tc>
        <w:tc>
          <w:tcPr>
            <w:tcW w:w="3798" w:type="dxa"/>
            <w:shd w:val="clear" w:color="auto" w:fill="F1F5F8"/>
            <w:tcMar>
              <w:top w:w="80" w:type="dxa"/>
              <w:left w:w="90" w:type="dxa"/>
              <w:bottom w:w="80" w:type="dxa"/>
              <w:right w:w="90" w:type="dxa"/>
            </w:tcMar>
          </w:tcPr>
          <w:p w14:paraId="6DE354CE" w14:textId="77777777" w:rsidR="009E0FE8" w:rsidRDefault="00000000">
            <w:pPr>
              <w:spacing w:after="0" w:line="252" w:lineRule="auto"/>
              <w:jc w:val="left"/>
            </w:pPr>
            <w:r>
              <w:rPr>
                <w:sz w:val="16"/>
              </w:rPr>
              <w:t>Possible later-stage option, but excessive before Kenyan economics are proven.</w:t>
            </w:r>
          </w:p>
        </w:tc>
      </w:tr>
    </w:tbl>
    <w:p w14:paraId="4500EF4F" w14:textId="77777777" w:rsidR="009E0FE8" w:rsidRDefault="009E0FE8"/>
    <w:p w14:paraId="4FE98543" w14:textId="77777777" w:rsidR="009E0FE8" w:rsidRDefault="00000000">
      <w:pPr>
        <w:pStyle w:val="Heading2"/>
      </w:pPr>
      <w:r>
        <w:t>5.2 Comparison of feasible entry modes</w:t>
      </w:r>
    </w:p>
    <w:p w14:paraId="4CAA33D4" w14:textId="77777777" w:rsidR="009E0FE8" w:rsidRDefault="00000000">
      <w:r>
        <w:t>Export-only entry preserves flexibility but leaves duty, freight, planning, delivery and after-sales control unresolved. Simple licensing is too weak for an integrated and reputation-sensitive concept. A joint venture adds local knowledge and risk sharing but can create conflict over investment, sourcing and control. A wholly owned greenfield operation maximises authority but requires high sunk cost and local capabilities before demand is proven.</w:t>
      </w:r>
    </w:p>
    <w:p w14:paraId="389339B6" w14:textId="77777777" w:rsidR="009E0FE8" w:rsidRDefault="00000000">
      <w:r>
        <w:t>A staged exclusive franchise provides the strongest balance. It fits IKEA’s established system, imports local capital and knowledge, shares political and operating risk, and preserves concept control. Partner dependency must be addressed through milestones, audit and data rights, approved sourcing, training, service and sustainability standards, cure periods, termination rights and, where feasible, step-in or acquisition options.</w:t>
      </w:r>
    </w:p>
    <w:tbl>
      <w:tblPr>
        <w:tblStyle w:val="TableGrid"/>
        <w:tblW w:w="0" w:type="auto"/>
        <w:jc w:val="center"/>
        <w:tblLook w:val="04A0" w:firstRow="1" w:lastRow="0" w:firstColumn="1" w:lastColumn="0" w:noHBand="0" w:noVBand="1"/>
      </w:tblPr>
      <w:tblGrid>
        <w:gridCol w:w="2073"/>
        <w:gridCol w:w="1227"/>
        <w:gridCol w:w="1263"/>
        <w:gridCol w:w="1366"/>
        <w:gridCol w:w="1845"/>
        <w:gridCol w:w="1627"/>
      </w:tblGrid>
      <w:tr w:rsidR="009E0FE8" w14:paraId="0EEF0C3F" w14:textId="77777777">
        <w:trPr>
          <w:tblHeader/>
          <w:jc w:val="center"/>
        </w:trPr>
        <w:tc>
          <w:tcPr>
            <w:tcW w:w="2268" w:type="dxa"/>
            <w:shd w:val="clear" w:color="auto" w:fill="0058A3"/>
            <w:tcMar>
              <w:top w:w="80" w:type="dxa"/>
              <w:left w:w="90" w:type="dxa"/>
              <w:bottom w:w="80" w:type="dxa"/>
              <w:right w:w="90" w:type="dxa"/>
            </w:tcMar>
            <w:vAlign w:val="center"/>
          </w:tcPr>
          <w:p w14:paraId="0319D1F7" w14:textId="77777777" w:rsidR="009E0FE8" w:rsidRDefault="00000000">
            <w:pPr>
              <w:jc w:val="center"/>
            </w:pPr>
            <w:r>
              <w:rPr>
                <w:b/>
                <w:color w:val="FFFFFF"/>
                <w:sz w:val="15"/>
              </w:rPr>
              <w:t>Criterion (weight)</w:t>
            </w:r>
          </w:p>
        </w:tc>
        <w:tc>
          <w:tcPr>
            <w:tcW w:w="1361" w:type="dxa"/>
            <w:shd w:val="clear" w:color="auto" w:fill="0058A3"/>
            <w:tcMar>
              <w:top w:w="80" w:type="dxa"/>
              <w:left w:w="90" w:type="dxa"/>
              <w:bottom w:w="80" w:type="dxa"/>
              <w:right w:w="90" w:type="dxa"/>
            </w:tcMar>
            <w:vAlign w:val="center"/>
          </w:tcPr>
          <w:p w14:paraId="109891DA" w14:textId="77777777" w:rsidR="009E0FE8" w:rsidRDefault="00000000">
            <w:pPr>
              <w:jc w:val="center"/>
            </w:pPr>
            <w:r>
              <w:rPr>
                <w:b/>
                <w:color w:val="FFFFFF"/>
                <w:sz w:val="15"/>
              </w:rPr>
              <w:t>Export-only</w:t>
            </w:r>
          </w:p>
        </w:tc>
        <w:tc>
          <w:tcPr>
            <w:tcW w:w="1361" w:type="dxa"/>
            <w:shd w:val="clear" w:color="auto" w:fill="0058A3"/>
            <w:tcMar>
              <w:top w:w="80" w:type="dxa"/>
              <w:left w:w="90" w:type="dxa"/>
              <w:bottom w:w="80" w:type="dxa"/>
              <w:right w:w="90" w:type="dxa"/>
            </w:tcMar>
            <w:vAlign w:val="center"/>
          </w:tcPr>
          <w:p w14:paraId="4820169D" w14:textId="77777777" w:rsidR="009E0FE8" w:rsidRDefault="00000000">
            <w:pPr>
              <w:jc w:val="center"/>
            </w:pPr>
            <w:r>
              <w:rPr>
                <w:b/>
                <w:color w:val="FFFFFF"/>
                <w:sz w:val="15"/>
              </w:rPr>
              <w:t>Licensing</w:t>
            </w:r>
          </w:p>
        </w:tc>
        <w:tc>
          <w:tcPr>
            <w:tcW w:w="1531" w:type="dxa"/>
            <w:shd w:val="clear" w:color="auto" w:fill="0058A3"/>
            <w:tcMar>
              <w:top w:w="80" w:type="dxa"/>
              <w:left w:w="90" w:type="dxa"/>
              <w:bottom w:w="80" w:type="dxa"/>
              <w:right w:w="90" w:type="dxa"/>
            </w:tcMar>
            <w:vAlign w:val="center"/>
          </w:tcPr>
          <w:p w14:paraId="12105B48" w14:textId="77777777" w:rsidR="009E0FE8" w:rsidRDefault="00000000">
            <w:pPr>
              <w:jc w:val="center"/>
            </w:pPr>
            <w:r>
              <w:rPr>
                <w:b/>
                <w:color w:val="FFFFFF"/>
                <w:sz w:val="15"/>
              </w:rPr>
              <w:t>Joint venture</w:t>
            </w:r>
          </w:p>
        </w:tc>
        <w:tc>
          <w:tcPr>
            <w:tcW w:w="2098" w:type="dxa"/>
            <w:shd w:val="clear" w:color="auto" w:fill="0058A3"/>
            <w:tcMar>
              <w:top w:w="80" w:type="dxa"/>
              <w:left w:w="90" w:type="dxa"/>
              <w:bottom w:w="80" w:type="dxa"/>
              <w:right w:w="90" w:type="dxa"/>
            </w:tcMar>
            <w:vAlign w:val="center"/>
          </w:tcPr>
          <w:p w14:paraId="188A8F42" w14:textId="77777777" w:rsidR="009E0FE8" w:rsidRDefault="00000000">
            <w:pPr>
              <w:jc w:val="center"/>
            </w:pPr>
            <w:r>
              <w:rPr>
                <w:b/>
                <w:color w:val="FFFFFF"/>
                <w:sz w:val="15"/>
              </w:rPr>
              <w:t>Staged exclusive franchise</w:t>
            </w:r>
          </w:p>
        </w:tc>
        <w:tc>
          <w:tcPr>
            <w:tcW w:w="1814" w:type="dxa"/>
            <w:shd w:val="clear" w:color="auto" w:fill="0058A3"/>
            <w:tcMar>
              <w:top w:w="80" w:type="dxa"/>
              <w:left w:w="90" w:type="dxa"/>
              <w:bottom w:w="80" w:type="dxa"/>
              <w:right w:w="90" w:type="dxa"/>
            </w:tcMar>
            <w:vAlign w:val="center"/>
          </w:tcPr>
          <w:p w14:paraId="16A69000" w14:textId="77777777" w:rsidR="009E0FE8" w:rsidRDefault="00000000">
            <w:pPr>
              <w:jc w:val="center"/>
            </w:pPr>
            <w:r>
              <w:rPr>
                <w:b/>
                <w:color w:val="FFFFFF"/>
                <w:sz w:val="15"/>
              </w:rPr>
              <w:t>Wholly owned greenfield</w:t>
            </w:r>
          </w:p>
        </w:tc>
      </w:tr>
      <w:tr w:rsidR="009E0FE8" w14:paraId="6AC8246A" w14:textId="77777777">
        <w:trPr>
          <w:jc w:val="center"/>
        </w:trPr>
        <w:tc>
          <w:tcPr>
            <w:tcW w:w="2268" w:type="dxa"/>
            <w:tcMar>
              <w:top w:w="80" w:type="dxa"/>
              <w:left w:w="90" w:type="dxa"/>
              <w:bottom w:w="80" w:type="dxa"/>
              <w:right w:w="90" w:type="dxa"/>
            </w:tcMar>
          </w:tcPr>
          <w:p w14:paraId="03B581DD" w14:textId="77777777" w:rsidR="009E0FE8" w:rsidRDefault="00000000">
            <w:pPr>
              <w:spacing w:after="0" w:line="252" w:lineRule="auto"/>
              <w:jc w:val="left"/>
            </w:pPr>
            <w:r>
              <w:rPr>
                <w:sz w:val="15"/>
              </w:rPr>
              <w:t>Brand and experience control (20%)</w:t>
            </w:r>
          </w:p>
        </w:tc>
        <w:tc>
          <w:tcPr>
            <w:tcW w:w="1361" w:type="dxa"/>
            <w:tcMar>
              <w:top w:w="80" w:type="dxa"/>
              <w:left w:w="90" w:type="dxa"/>
              <w:bottom w:w="80" w:type="dxa"/>
              <w:right w:w="90" w:type="dxa"/>
            </w:tcMar>
          </w:tcPr>
          <w:p w14:paraId="6543BEDE" w14:textId="77777777" w:rsidR="009E0FE8" w:rsidRDefault="00000000">
            <w:pPr>
              <w:spacing w:after="0" w:line="252" w:lineRule="auto"/>
              <w:jc w:val="left"/>
            </w:pPr>
            <w:r>
              <w:rPr>
                <w:sz w:val="15"/>
              </w:rPr>
              <w:t>2</w:t>
            </w:r>
          </w:p>
        </w:tc>
        <w:tc>
          <w:tcPr>
            <w:tcW w:w="1361" w:type="dxa"/>
            <w:tcMar>
              <w:top w:w="80" w:type="dxa"/>
              <w:left w:w="90" w:type="dxa"/>
              <w:bottom w:w="80" w:type="dxa"/>
              <w:right w:w="90" w:type="dxa"/>
            </w:tcMar>
          </w:tcPr>
          <w:p w14:paraId="72FE44B4" w14:textId="77777777" w:rsidR="009E0FE8" w:rsidRDefault="00000000">
            <w:pPr>
              <w:spacing w:after="0" w:line="252" w:lineRule="auto"/>
              <w:jc w:val="left"/>
            </w:pPr>
            <w:r>
              <w:rPr>
                <w:sz w:val="15"/>
              </w:rPr>
              <w:t>1</w:t>
            </w:r>
          </w:p>
        </w:tc>
        <w:tc>
          <w:tcPr>
            <w:tcW w:w="1531" w:type="dxa"/>
            <w:tcMar>
              <w:top w:w="80" w:type="dxa"/>
              <w:left w:w="90" w:type="dxa"/>
              <w:bottom w:w="80" w:type="dxa"/>
              <w:right w:w="90" w:type="dxa"/>
            </w:tcMar>
          </w:tcPr>
          <w:p w14:paraId="1F9EA979" w14:textId="77777777" w:rsidR="009E0FE8" w:rsidRDefault="00000000">
            <w:pPr>
              <w:spacing w:after="0" w:line="252" w:lineRule="auto"/>
              <w:jc w:val="left"/>
            </w:pPr>
            <w:r>
              <w:rPr>
                <w:sz w:val="15"/>
              </w:rPr>
              <w:t>4</w:t>
            </w:r>
          </w:p>
        </w:tc>
        <w:tc>
          <w:tcPr>
            <w:tcW w:w="2098" w:type="dxa"/>
            <w:tcMar>
              <w:top w:w="80" w:type="dxa"/>
              <w:left w:w="90" w:type="dxa"/>
              <w:bottom w:w="80" w:type="dxa"/>
              <w:right w:w="90" w:type="dxa"/>
            </w:tcMar>
          </w:tcPr>
          <w:p w14:paraId="24D85901" w14:textId="77777777" w:rsidR="009E0FE8" w:rsidRDefault="00000000">
            <w:pPr>
              <w:spacing w:after="0" w:line="252" w:lineRule="auto"/>
              <w:jc w:val="left"/>
            </w:pPr>
            <w:r>
              <w:rPr>
                <w:sz w:val="15"/>
              </w:rPr>
              <w:t>4</w:t>
            </w:r>
          </w:p>
        </w:tc>
        <w:tc>
          <w:tcPr>
            <w:tcW w:w="1814" w:type="dxa"/>
            <w:tcMar>
              <w:top w:w="80" w:type="dxa"/>
              <w:left w:w="90" w:type="dxa"/>
              <w:bottom w:w="80" w:type="dxa"/>
              <w:right w:w="90" w:type="dxa"/>
            </w:tcMar>
          </w:tcPr>
          <w:p w14:paraId="1ADB513C" w14:textId="77777777" w:rsidR="009E0FE8" w:rsidRDefault="00000000">
            <w:pPr>
              <w:spacing w:after="0" w:line="252" w:lineRule="auto"/>
              <w:jc w:val="left"/>
            </w:pPr>
            <w:r>
              <w:rPr>
                <w:sz w:val="15"/>
              </w:rPr>
              <w:t>5</w:t>
            </w:r>
          </w:p>
        </w:tc>
      </w:tr>
      <w:tr w:rsidR="009E0FE8" w14:paraId="41B7A6D8" w14:textId="77777777">
        <w:trPr>
          <w:jc w:val="center"/>
        </w:trPr>
        <w:tc>
          <w:tcPr>
            <w:tcW w:w="2268" w:type="dxa"/>
            <w:shd w:val="clear" w:color="auto" w:fill="F1F5F8"/>
            <w:tcMar>
              <w:top w:w="80" w:type="dxa"/>
              <w:left w:w="90" w:type="dxa"/>
              <w:bottom w:w="80" w:type="dxa"/>
              <w:right w:w="90" w:type="dxa"/>
            </w:tcMar>
          </w:tcPr>
          <w:p w14:paraId="1B29EA80" w14:textId="77777777" w:rsidR="009E0FE8" w:rsidRDefault="00000000">
            <w:pPr>
              <w:spacing w:after="0" w:line="252" w:lineRule="auto"/>
              <w:jc w:val="left"/>
            </w:pPr>
            <w:r>
              <w:rPr>
                <w:sz w:val="15"/>
              </w:rPr>
              <w:t>Capital exposure (15%)</w:t>
            </w:r>
          </w:p>
        </w:tc>
        <w:tc>
          <w:tcPr>
            <w:tcW w:w="1361" w:type="dxa"/>
            <w:shd w:val="clear" w:color="auto" w:fill="F1F5F8"/>
            <w:tcMar>
              <w:top w:w="80" w:type="dxa"/>
              <w:left w:w="90" w:type="dxa"/>
              <w:bottom w:w="80" w:type="dxa"/>
              <w:right w:w="90" w:type="dxa"/>
            </w:tcMar>
          </w:tcPr>
          <w:p w14:paraId="3215EADF" w14:textId="77777777" w:rsidR="009E0FE8" w:rsidRDefault="00000000">
            <w:pPr>
              <w:spacing w:after="0" w:line="252" w:lineRule="auto"/>
              <w:jc w:val="left"/>
            </w:pPr>
            <w:r>
              <w:rPr>
                <w:sz w:val="15"/>
              </w:rPr>
              <w:t>5</w:t>
            </w:r>
          </w:p>
        </w:tc>
        <w:tc>
          <w:tcPr>
            <w:tcW w:w="1361" w:type="dxa"/>
            <w:shd w:val="clear" w:color="auto" w:fill="F1F5F8"/>
            <w:tcMar>
              <w:top w:w="80" w:type="dxa"/>
              <w:left w:w="90" w:type="dxa"/>
              <w:bottom w:w="80" w:type="dxa"/>
              <w:right w:w="90" w:type="dxa"/>
            </w:tcMar>
          </w:tcPr>
          <w:p w14:paraId="0DE03399" w14:textId="77777777" w:rsidR="009E0FE8" w:rsidRDefault="00000000">
            <w:pPr>
              <w:spacing w:after="0" w:line="252" w:lineRule="auto"/>
              <w:jc w:val="left"/>
            </w:pPr>
            <w:r>
              <w:rPr>
                <w:sz w:val="15"/>
              </w:rPr>
              <w:t>5</w:t>
            </w:r>
          </w:p>
        </w:tc>
        <w:tc>
          <w:tcPr>
            <w:tcW w:w="1531" w:type="dxa"/>
            <w:shd w:val="clear" w:color="auto" w:fill="F1F5F8"/>
            <w:tcMar>
              <w:top w:w="80" w:type="dxa"/>
              <w:left w:w="90" w:type="dxa"/>
              <w:bottom w:w="80" w:type="dxa"/>
              <w:right w:w="90" w:type="dxa"/>
            </w:tcMar>
          </w:tcPr>
          <w:p w14:paraId="6D282C1A" w14:textId="77777777" w:rsidR="009E0FE8" w:rsidRDefault="00000000">
            <w:pPr>
              <w:spacing w:after="0" w:line="252" w:lineRule="auto"/>
              <w:jc w:val="left"/>
            </w:pPr>
            <w:r>
              <w:rPr>
                <w:sz w:val="15"/>
              </w:rPr>
              <w:t>3</w:t>
            </w:r>
          </w:p>
        </w:tc>
        <w:tc>
          <w:tcPr>
            <w:tcW w:w="2098" w:type="dxa"/>
            <w:shd w:val="clear" w:color="auto" w:fill="F1F5F8"/>
            <w:tcMar>
              <w:top w:w="80" w:type="dxa"/>
              <w:left w:w="90" w:type="dxa"/>
              <w:bottom w:w="80" w:type="dxa"/>
              <w:right w:w="90" w:type="dxa"/>
            </w:tcMar>
          </w:tcPr>
          <w:p w14:paraId="3930D223" w14:textId="77777777" w:rsidR="009E0FE8" w:rsidRDefault="00000000">
            <w:pPr>
              <w:spacing w:after="0" w:line="252" w:lineRule="auto"/>
              <w:jc w:val="left"/>
            </w:pPr>
            <w:r>
              <w:rPr>
                <w:sz w:val="15"/>
              </w:rPr>
              <w:t>4</w:t>
            </w:r>
          </w:p>
        </w:tc>
        <w:tc>
          <w:tcPr>
            <w:tcW w:w="1814" w:type="dxa"/>
            <w:shd w:val="clear" w:color="auto" w:fill="F1F5F8"/>
            <w:tcMar>
              <w:top w:w="80" w:type="dxa"/>
              <w:left w:w="90" w:type="dxa"/>
              <w:bottom w:w="80" w:type="dxa"/>
              <w:right w:w="90" w:type="dxa"/>
            </w:tcMar>
          </w:tcPr>
          <w:p w14:paraId="20FA69C0" w14:textId="77777777" w:rsidR="009E0FE8" w:rsidRDefault="00000000">
            <w:pPr>
              <w:spacing w:after="0" w:line="252" w:lineRule="auto"/>
              <w:jc w:val="left"/>
            </w:pPr>
            <w:r>
              <w:rPr>
                <w:sz w:val="15"/>
              </w:rPr>
              <w:t>1</w:t>
            </w:r>
          </w:p>
        </w:tc>
      </w:tr>
      <w:tr w:rsidR="009E0FE8" w14:paraId="06E19C32" w14:textId="77777777">
        <w:trPr>
          <w:jc w:val="center"/>
        </w:trPr>
        <w:tc>
          <w:tcPr>
            <w:tcW w:w="2268" w:type="dxa"/>
            <w:tcMar>
              <w:top w:w="80" w:type="dxa"/>
              <w:left w:w="90" w:type="dxa"/>
              <w:bottom w:w="80" w:type="dxa"/>
              <w:right w:w="90" w:type="dxa"/>
            </w:tcMar>
          </w:tcPr>
          <w:p w14:paraId="3D8879DF" w14:textId="77777777" w:rsidR="009E0FE8" w:rsidRDefault="00000000">
            <w:pPr>
              <w:spacing w:after="0" w:line="252" w:lineRule="auto"/>
              <w:jc w:val="left"/>
            </w:pPr>
            <w:r>
              <w:rPr>
                <w:sz w:val="15"/>
              </w:rPr>
              <w:t>Local knowledge (15%)</w:t>
            </w:r>
          </w:p>
        </w:tc>
        <w:tc>
          <w:tcPr>
            <w:tcW w:w="1361" w:type="dxa"/>
            <w:tcMar>
              <w:top w:w="80" w:type="dxa"/>
              <w:left w:w="90" w:type="dxa"/>
              <w:bottom w:w="80" w:type="dxa"/>
              <w:right w:w="90" w:type="dxa"/>
            </w:tcMar>
          </w:tcPr>
          <w:p w14:paraId="37B82BD7" w14:textId="77777777" w:rsidR="009E0FE8" w:rsidRDefault="00000000">
            <w:pPr>
              <w:spacing w:after="0" w:line="252" w:lineRule="auto"/>
              <w:jc w:val="left"/>
            </w:pPr>
            <w:r>
              <w:rPr>
                <w:sz w:val="15"/>
              </w:rPr>
              <w:t>2</w:t>
            </w:r>
          </w:p>
        </w:tc>
        <w:tc>
          <w:tcPr>
            <w:tcW w:w="1361" w:type="dxa"/>
            <w:tcMar>
              <w:top w:w="80" w:type="dxa"/>
              <w:left w:w="90" w:type="dxa"/>
              <w:bottom w:w="80" w:type="dxa"/>
              <w:right w:w="90" w:type="dxa"/>
            </w:tcMar>
          </w:tcPr>
          <w:p w14:paraId="2F76AA0D" w14:textId="77777777" w:rsidR="009E0FE8" w:rsidRDefault="00000000">
            <w:pPr>
              <w:spacing w:after="0" w:line="252" w:lineRule="auto"/>
              <w:jc w:val="left"/>
            </w:pPr>
            <w:r>
              <w:rPr>
                <w:sz w:val="15"/>
              </w:rPr>
              <w:t>3</w:t>
            </w:r>
          </w:p>
        </w:tc>
        <w:tc>
          <w:tcPr>
            <w:tcW w:w="1531" w:type="dxa"/>
            <w:tcMar>
              <w:top w:w="80" w:type="dxa"/>
              <w:left w:w="90" w:type="dxa"/>
              <w:bottom w:w="80" w:type="dxa"/>
              <w:right w:w="90" w:type="dxa"/>
            </w:tcMar>
          </w:tcPr>
          <w:p w14:paraId="7666917B" w14:textId="77777777" w:rsidR="009E0FE8" w:rsidRDefault="00000000">
            <w:pPr>
              <w:spacing w:after="0" w:line="252" w:lineRule="auto"/>
              <w:jc w:val="left"/>
            </w:pPr>
            <w:r>
              <w:rPr>
                <w:sz w:val="15"/>
              </w:rPr>
              <w:t>5</w:t>
            </w:r>
          </w:p>
        </w:tc>
        <w:tc>
          <w:tcPr>
            <w:tcW w:w="2098" w:type="dxa"/>
            <w:tcMar>
              <w:top w:w="80" w:type="dxa"/>
              <w:left w:w="90" w:type="dxa"/>
              <w:bottom w:w="80" w:type="dxa"/>
              <w:right w:w="90" w:type="dxa"/>
            </w:tcMar>
          </w:tcPr>
          <w:p w14:paraId="57E816F1" w14:textId="77777777" w:rsidR="009E0FE8" w:rsidRDefault="00000000">
            <w:pPr>
              <w:spacing w:after="0" w:line="252" w:lineRule="auto"/>
              <w:jc w:val="left"/>
            </w:pPr>
            <w:r>
              <w:rPr>
                <w:sz w:val="15"/>
              </w:rPr>
              <w:t>5</w:t>
            </w:r>
          </w:p>
        </w:tc>
        <w:tc>
          <w:tcPr>
            <w:tcW w:w="1814" w:type="dxa"/>
            <w:tcMar>
              <w:top w:w="80" w:type="dxa"/>
              <w:left w:w="90" w:type="dxa"/>
              <w:bottom w:w="80" w:type="dxa"/>
              <w:right w:w="90" w:type="dxa"/>
            </w:tcMar>
          </w:tcPr>
          <w:p w14:paraId="7DC4EDBE" w14:textId="77777777" w:rsidR="009E0FE8" w:rsidRDefault="00000000">
            <w:pPr>
              <w:spacing w:after="0" w:line="252" w:lineRule="auto"/>
              <w:jc w:val="left"/>
            </w:pPr>
            <w:r>
              <w:rPr>
                <w:sz w:val="15"/>
              </w:rPr>
              <w:t>2</w:t>
            </w:r>
          </w:p>
        </w:tc>
      </w:tr>
      <w:tr w:rsidR="009E0FE8" w14:paraId="6CB5E8EF" w14:textId="77777777">
        <w:trPr>
          <w:jc w:val="center"/>
        </w:trPr>
        <w:tc>
          <w:tcPr>
            <w:tcW w:w="2268" w:type="dxa"/>
            <w:shd w:val="clear" w:color="auto" w:fill="F1F5F8"/>
            <w:tcMar>
              <w:top w:w="80" w:type="dxa"/>
              <w:left w:w="90" w:type="dxa"/>
              <w:bottom w:w="80" w:type="dxa"/>
              <w:right w:w="90" w:type="dxa"/>
            </w:tcMar>
          </w:tcPr>
          <w:p w14:paraId="1831DB8B" w14:textId="77777777" w:rsidR="009E0FE8" w:rsidRDefault="00000000">
            <w:pPr>
              <w:spacing w:after="0" w:line="252" w:lineRule="auto"/>
              <w:jc w:val="left"/>
            </w:pPr>
            <w:r>
              <w:rPr>
                <w:sz w:val="15"/>
              </w:rPr>
              <w:t>Speed and flexibility (15%)</w:t>
            </w:r>
          </w:p>
        </w:tc>
        <w:tc>
          <w:tcPr>
            <w:tcW w:w="1361" w:type="dxa"/>
            <w:shd w:val="clear" w:color="auto" w:fill="F1F5F8"/>
            <w:tcMar>
              <w:top w:w="80" w:type="dxa"/>
              <w:left w:w="90" w:type="dxa"/>
              <w:bottom w:w="80" w:type="dxa"/>
              <w:right w:w="90" w:type="dxa"/>
            </w:tcMar>
          </w:tcPr>
          <w:p w14:paraId="4BC031DF" w14:textId="77777777" w:rsidR="009E0FE8" w:rsidRDefault="00000000">
            <w:pPr>
              <w:spacing w:after="0" w:line="252" w:lineRule="auto"/>
              <w:jc w:val="left"/>
            </w:pPr>
            <w:r>
              <w:rPr>
                <w:sz w:val="15"/>
              </w:rPr>
              <w:t>4</w:t>
            </w:r>
          </w:p>
        </w:tc>
        <w:tc>
          <w:tcPr>
            <w:tcW w:w="1361" w:type="dxa"/>
            <w:shd w:val="clear" w:color="auto" w:fill="F1F5F8"/>
            <w:tcMar>
              <w:top w:w="80" w:type="dxa"/>
              <w:left w:w="90" w:type="dxa"/>
              <w:bottom w:w="80" w:type="dxa"/>
              <w:right w:w="90" w:type="dxa"/>
            </w:tcMar>
          </w:tcPr>
          <w:p w14:paraId="274611B4" w14:textId="77777777" w:rsidR="009E0FE8" w:rsidRDefault="00000000">
            <w:pPr>
              <w:spacing w:after="0" w:line="252" w:lineRule="auto"/>
              <w:jc w:val="left"/>
            </w:pPr>
            <w:r>
              <w:rPr>
                <w:sz w:val="15"/>
              </w:rPr>
              <w:t>4</w:t>
            </w:r>
          </w:p>
        </w:tc>
        <w:tc>
          <w:tcPr>
            <w:tcW w:w="1531" w:type="dxa"/>
            <w:shd w:val="clear" w:color="auto" w:fill="F1F5F8"/>
            <w:tcMar>
              <w:top w:w="80" w:type="dxa"/>
              <w:left w:w="90" w:type="dxa"/>
              <w:bottom w:w="80" w:type="dxa"/>
              <w:right w:w="90" w:type="dxa"/>
            </w:tcMar>
          </w:tcPr>
          <w:p w14:paraId="4621EA20" w14:textId="77777777" w:rsidR="009E0FE8" w:rsidRDefault="00000000">
            <w:pPr>
              <w:spacing w:after="0" w:line="252" w:lineRule="auto"/>
              <w:jc w:val="left"/>
            </w:pPr>
            <w:r>
              <w:rPr>
                <w:sz w:val="15"/>
              </w:rPr>
              <w:t>3</w:t>
            </w:r>
          </w:p>
        </w:tc>
        <w:tc>
          <w:tcPr>
            <w:tcW w:w="2098" w:type="dxa"/>
            <w:shd w:val="clear" w:color="auto" w:fill="F1F5F8"/>
            <w:tcMar>
              <w:top w:w="80" w:type="dxa"/>
              <w:left w:w="90" w:type="dxa"/>
              <w:bottom w:w="80" w:type="dxa"/>
              <w:right w:w="90" w:type="dxa"/>
            </w:tcMar>
          </w:tcPr>
          <w:p w14:paraId="1E1FAF42" w14:textId="77777777" w:rsidR="009E0FE8" w:rsidRDefault="00000000">
            <w:pPr>
              <w:spacing w:after="0" w:line="252" w:lineRule="auto"/>
              <w:jc w:val="left"/>
            </w:pPr>
            <w:r>
              <w:rPr>
                <w:sz w:val="15"/>
              </w:rPr>
              <w:t>4</w:t>
            </w:r>
          </w:p>
        </w:tc>
        <w:tc>
          <w:tcPr>
            <w:tcW w:w="1814" w:type="dxa"/>
            <w:shd w:val="clear" w:color="auto" w:fill="F1F5F8"/>
            <w:tcMar>
              <w:top w:w="80" w:type="dxa"/>
              <w:left w:w="90" w:type="dxa"/>
              <w:bottom w:w="80" w:type="dxa"/>
              <w:right w:w="90" w:type="dxa"/>
            </w:tcMar>
          </w:tcPr>
          <w:p w14:paraId="40934474" w14:textId="77777777" w:rsidR="009E0FE8" w:rsidRDefault="00000000">
            <w:pPr>
              <w:spacing w:after="0" w:line="252" w:lineRule="auto"/>
              <w:jc w:val="left"/>
            </w:pPr>
            <w:r>
              <w:rPr>
                <w:sz w:val="15"/>
              </w:rPr>
              <w:t>1</w:t>
            </w:r>
          </w:p>
        </w:tc>
      </w:tr>
      <w:tr w:rsidR="009E0FE8" w14:paraId="7F88DD84" w14:textId="77777777">
        <w:trPr>
          <w:jc w:val="center"/>
        </w:trPr>
        <w:tc>
          <w:tcPr>
            <w:tcW w:w="2268" w:type="dxa"/>
            <w:tcMar>
              <w:top w:w="80" w:type="dxa"/>
              <w:left w:w="90" w:type="dxa"/>
              <w:bottom w:w="80" w:type="dxa"/>
              <w:right w:w="90" w:type="dxa"/>
            </w:tcMar>
          </w:tcPr>
          <w:p w14:paraId="19B60E04" w14:textId="77777777" w:rsidR="009E0FE8" w:rsidRDefault="00000000">
            <w:pPr>
              <w:spacing w:after="0" w:line="252" w:lineRule="auto"/>
              <w:jc w:val="left"/>
            </w:pPr>
            <w:r>
              <w:rPr>
                <w:sz w:val="15"/>
              </w:rPr>
              <w:t>Tariff/localisation potential (15%)</w:t>
            </w:r>
          </w:p>
        </w:tc>
        <w:tc>
          <w:tcPr>
            <w:tcW w:w="1361" w:type="dxa"/>
            <w:tcMar>
              <w:top w:w="80" w:type="dxa"/>
              <w:left w:w="90" w:type="dxa"/>
              <w:bottom w:w="80" w:type="dxa"/>
              <w:right w:w="90" w:type="dxa"/>
            </w:tcMar>
          </w:tcPr>
          <w:p w14:paraId="78446639" w14:textId="77777777" w:rsidR="009E0FE8" w:rsidRDefault="00000000">
            <w:pPr>
              <w:spacing w:after="0" w:line="252" w:lineRule="auto"/>
              <w:jc w:val="left"/>
            </w:pPr>
            <w:r>
              <w:rPr>
                <w:sz w:val="15"/>
              </w:rPr>
              <w:t>1</w:t>
            </w:r>
          </w:p>
        </w:tc>
        <w:tc>
          <w:tcPr>
            <w:tcW w:w="1361" w:type="dxa"/>
            <w:tcMar>
              <w:top w:w="80" w:type="dxa"/>
              <w:left w:w="90" w:type="dxa"/>
              <w:bottom w:w="80" w:type="dxa"/>
              <w:right w:w="90" w:type="dxa"/>
            </w:tcMar>
          </w:tcPr>
          <w:p w14:paraId="73129071" w14:textId="77777777" w:rsidR="009E0FE8" w:rsidRDefault="00000000">
            <w:pPr>
              <w:spacing w:after="0" w:line="252" w:lineRule="auto"/>
              <w:jc w:val="left"/>
            </w:pPr>
            <w:r>
              <w:rPr>
                <w:sz w:val="15"/>
              </w:rPr>
              <w:t>2</w:t>
            </w:r>
          </w:p>
        </w:tc>
        <w:tc>
          <w:tcPr>
            <w:tcW w:w="1531" w:type="dxa"/>
            <w:tcMar>
              <w:top w:w="80" w:type="dxa"/>
              <w:left w:w="90" w:type="dxa"/>
              <w:bottom w:w="80" w:type="dxa"/>
              <w:right w:w="90" w:type="dxa"/>
            </w:tcMar>
          </w:tcPr>
          <w:p w14:paraId="2A3C2315" w14:textId="77777777" w:rsidR="009E0FE8" w:rsidRDefault="00000000">
            <w:pPr>
              <w:spacing w:after="0" w:line="252" w:lineRule="auto"/>
              <w:jc w:val="left"/>
            </w:pPr>
            <w:r>
              <w:rPr>
                <w:sz w:val="15"/>
              </w:rPr>
              <w:t>4</w:t>
            </w:r>
          </w:p>
        </w:tc>
        <w:tc>
          <w:tcPr>
            <w:tcW w:w="2098" w:type="dxa"/>
            <w:tcMar>
              <w:top w:w="80" w:type="dxa"/>
              <w:left w:w="90" w:type="dxa"/>
              <w:bottom w:w="80" w:type="dxa"/>
              <w:right w:w="90" w:type="dxa"/>
            </w:tcMar>
          </w:tcPr>
          <w:p w14:paraId="601AA2FC" w14:textId="77777777" w:rsidR="009E0FE8" w:rsidRDefault="00000000">
            <w:pPr>
              <w:spacing w:after="0" w:line="252" w:lineRule="auto"/>
              <w:jc w:val="left"/>
            </w:pPr>
            <w:r>
              <w:rPr>
                <w:sz w:val="15"/>
              </w:rPr>
              <w:t>4</w:t>
            </w:r>
          </w:p>
        </w:tc>
        <w:tc>
          <w:tcPr>
            <w:tcW w:w="1814" w:type="dxa"/>
            <w:tcMar>
              <w:top w:w="80" w:type="dxa"/>
              <w:left w:w="90" w:type="dxa"/>
              <w:bottom w:w="80" w:type="dxa"/>
              <w:right w:w="90" w:type="dxa"/>
            </w:tcMar>
          </w:tcPr>
          <w:p w14:paraId="78EB8CE3" w14:textId="77777777" w:rsidR="009E0FE8" w:rsidRDefault="00000000">
            <w:pPr>
              <w:spacing w:after="0" w:line="252" w:lineRule="auto"/>
              <w:jc w:val="left"/>
            </w:pPr>
            <w:r>
              <w:rPr>
                <w:sz w:val="15"/>
              </w:rPr>
              <w:t>4</w:t>
            </w:r>
          </w:p>
        </w:tc>
      </w:tr>
      <w:tr w:rsidR="009E0FE8" w14:paraId="38E804B9" w14:textId="77777777">
        <w:trPr>
          <w:jc w:val="center"/>
        </w:trPr>
        <w:tc>
          <w:tcPr>
            <w:tcW w:w="2268" w:type="dxa"/>
            <w:shd w:val="clear" w:color="auto" w:fill="F1F5F8"/>
            <w:tcMar>
              <w:top w:w="80" w:type="dxa"/>
              <w:left w:w="90" w:type="dxa"/>
              <w:bottom w:w="80" w:type="dxa"/>
              <w:right w:w="90" w:type="dxa"/>
            </w:tcMar>
          </w:tcPr>
          <w:p w14:paraId="40A7174D" w14:textId="77777777" w:rsidR="009E0FE8" w:rsidRDefault="00000000">
            <w:pPr>
              <w:spacing w:after="0" w:line="252" w:lineRule="auto"/>
              <w:jc w:val="left"/>
            </w:pPr>
            <w:r>
              <w:rPr>
                <w:sz w:val="15"/>
              </w:rPr>
              <w:t>Customer-experience capability (10%)</w:t>
            </w:r>
          </w:p>
        </w:tc>
        <w:tc>
          <w:tcPr>
            <w:tcW w:w="1361" w:type="dxa"/>
            <w:shd w:val="clear" w:color="auto" w:fill="F1F5F8"/>
            <w:tcMar>
              <w:top w:w="80" w:type="dxa"/>
              <w:left w:w="90" w:type="dxa"/>
              <w:bottom w:w="80" w:type="dxa"/>
              <w:right w:w="90" w:type="dxa"/>
            </w:tcMar>
          </w:tcPr>
          <w:p w14:paraId="6535B2AC" w14:textId="77777777" w:rsidR="009E0FE8" w:rsidRDefault="00000000">
            <w:pPr>
              <w:spacing w:after="0" w:line="252" w:lineRule="auto"/>
              <w:jc w:val="left"/>
            </w:pPr>
            <w:r>
              <w:rPr>
                <w:sz w:val="15"/>
              </w:rPr>
              <w:t>1</w:t>
            </w:r>
          </w:p>
        </w:tc>
        <w:tc>
          <w:tcPr>
            <w:tcW w:w="1361" w:type="dxa"/>
            <w:shd w:val="clear" w:color="auto" w:fill="F1F5F8"/>
            <w:tcMar>
              <w:top w:w="80" w:type="dxa"/>
              <w:left w:w="90" w:type="dxa"/>
              <w:bottom w:w="80" w:type="dxa"/>
              <w:right w:w="90" w:type="dxa"/>
            </w:tcMar>
          </w:tcPr>
          <w:p w14:paraId="5814582F" w14:textId="77777777" w:rsidR="009E0FE8" w:rsidRDefault="00000000">
            <w:pPr>
              <w:spacing w:after="0" w:line="252" w:lineRule="auto"/>
              <w:jc w:val="left"/>
            </w:pPr>
            <w:r>
              <w:rPr>
                <w:sz w:val="15"/>
              </w:rPr>
              <w:t>2</w:t>
            </w:r>
          </w:p>
        </w:tc>
        <w:tc>
          <w:tcPr>
            <w:tcW w:w="1531" w:type="dxa"/>
            <w:shd w:val="clear" w:color="auto" w:fill="F1F5F8"/>
            <w:tcMar>
              <w:top w:w="80" w:type="dxa"/>
              <w:left w:w="90" w:type="dxa"/>
              <w:bottom w:w="80" w:type="dxa"/>
              <w:right w:w="90" w:type="dxa"/>
            </w:tcMar>
          </w:tcPr>
          <w:p w14:paraId="1F87EBE7" w14:textId="77777777" w:rsidR="009E0FE8" w:rsidRDefault="00000000">
            <w:pPr>
              <w:spacing w:after="0" w:line="252" w:lineRule="auto"/>
              <w:jc w:val="left"/>
            </w:pPr>
            <w:r>
              <w:rPr>
                <w:sz w:val="15"/>
              </w:rPr>
              <w:t>4</w:t>
            </w:r>
          </w:p>
        </w:tc>
        <w:tc>
          <w:tcPr>
            <w:tcW w:w="2098" w:type="dxa"/>
            <w:shd w:val="clear" w:color="auto" w:fill="F1F5F8"/>
            <w:tcMar>
              <w:top w:w="80" w:type="dxa"/>
              <w:left w:w="90" w:type="dxa"/>
              <w:bottom w:w="80" w:type="dxa"/>
              <w:right w:w="90" w:type="dxa"/>
            </w:tcMar>
          </w:tcPr>
          <w:p w14:paraId="3C71B4D1" w14:textId="77777777" w:rsidR="009E0FE8" w:rsidRDefault="00000000">
            <w:pPr>
              <w:spacing w:after="0" w:line="252" w:lineRule="auto"/>
              <w:jc w:val="left"/>
            </w:pPr>
            <w:r>
              <w:rPr>
                <w:sz w:val="15"/>
              </w:rPr>
              <w:t>4</w:t>
            </w:r>
          </w:p>
        </w:tc>
        <w:tc>
          <w:tcPr>
            <w:tcW w:w="1814" w:type="dxa"/>
            <w:shd w:val="clear" w:color="auto" w:fill="F1F5F8"/>
            <w:tcMar>
              <w:top w:w="80" w:type="dxa"/>
              <w:left w:w="90" w:type="dxa"/>
              <w:bottom w:w="80" w:type="dxa"/>
              <w:right w:w="90" w:type="dxa"/>
            </w:tcMar>
          </w:tcPr>
          <w:p w14:paraId="71327CBB" w14:textId="77777777" w:rsidR="009E0FE8" w:rsidRDefault="00000000">
            <w:pPr>
              <w:spacing w:after="0" w:line="252" w:lineRule="auto"/>
              <w:jc w:val="left"/>
            </w:pPr>
            <w:r>
              <w:rPr>
                <w:sz w:val="15"/>
              </w:rPr>
              <w:t>5</w:t>
            </w:r>
          </w:p>
        </w:tc>
      </w:tr>
      <w:tr w:rsidR="009E0FE8" w14:paraId="5668DE3E" w14:textId="77777777">
        <w:trPr>
          <w:jc w:val="center"/>
        </w:trPr>
        <w:tc>
          <w:tcPr>
            <w:tcW w:w="2268" w:type="dxa"/>
            <w:tcMar>
              <w:top w:w="80" w:type="dxa"/>
              <w:left w:w="90" w:type="dxa"/>
              <w:bottom w:w="80" w:type="dxa"/>
              <w:right w:w="90" w:type="dxa"/>
            </w:tcMar>
          </w:tcPr>
          <w:p w14:paraId="380A1189" w14:textId="77777777" w:rsidR="009E0FE8" w:rsidRDefault="00000000">
            <w:pPr>
              <w:spacing w:after="0" w:line="252" w:lineRule="auto"/>
              <w:jc w:val="left"/>
            </w:pPr>
            <w:r>
              <w:rPr>
                <w:sz w:val="15"/>
              </w:rPr>
              <w:t>Political and operational risk sharing (10%)</w:t>
            </w:r>
          </w:p>
        </w:tc>
        <w:tc>
          <w:tcPr>
            <w:tcW w:w="1361" w:type="dxa"/>
            <w:tcMar>
              <w:top w:w="80" w:type="dxa"/>
              <w:left w:w="90" w:type="dxa"/>
              <w:bottom w:w="80" w:type="dxa"/>
              <w:right w:w="90" w:type="dxa"/>
            </w:tcMar>
          </w:tcPr>
          <w:p w14:paraId="754F96EC" w14:textId="77777777" w:rsidR="009E0FE8" w:rsidRDefault="00000000">
            <w:pPr>
              <w:spacing w:after="0" w:line="252" w:lineRule="auto"/>
              <w:jc w:val="left"/>
            </w:pPr>
            <w:r>
              <w:rPr>
                <w:sz w:val="15"/>
              </w:rPr>
              <w:t>4</w:t>
            </w:r>
          </w:p>
        </w:tc>
        <w:tc>
          <w:tcPr>
            <w:tcW w:w="1361" w:type="dxa"/>
            <w:tcMar>
              <w:top w:w="80" w:type="dxa"/>
              <w:left w:w="90" w:type="dxa"/>
              <w:bottom w:w="80" w:type="dxa"/>
              <w:right w:w="90" w:type="dxa"/>
            </w:tcMar>
          </w:tcPr>
          <w:p w14:paraId="095DD9FE" w14:textId="77777777" w:rsidR="009E0FE8" w:rsidRDefault="00000000">
            <w:pPr>
              <w:spacing w:after="0" w:line="252" w:lineRule="auto"/>
              <w:jc w:val="left"/>
            </w:pPr>
            <w:r>
              <w:rPr>
                <w:sz w:val="15"/>
              </w:rPr>
              <w:t>4</w:t>
            </w:r>
          </w:p>
        </w:tc>
        <w:tc>
          <w:tcPr>
            <w:tcW w:w="1531" w:type="dxa"/>
            <w:tcMar>
              <w:top w:w="80" w:type="dxa"/>
              <w:left w:w="90" w:type="dxa"/>
              <w:bottom w:w="80" w:type="dxa"/>
              <w:right w:w="90" w:type="dxa"/>
            </w:tcMar>
          </w:tcPr>
          <w:p w14:paraId="70809B4B" w14:textId="77777777" w:rsidR="009E0FE8" w:rsidRDefault="00000000">
            <w:pPr>
              <w:spacing w:after="0" w:line="252" w:lineRule="auto"/>
              <w:jc w:val="left"/>
            </w:pPr>
            <w:r>
              <w:rPr>
                <w:sz w:val="15"/>
              </w:rPr>
              <w:t>4</w:t>
            </w:r>
          </w:p>
        </w:tc>
        <w:tc>
          <w:tcPr>
            <w:tcW w:w="2098" w:type="dxa"/>
            <w:tcMar>
              <w:top w:w="80" w:type="dxa"/>
              <w:left w:w="90" w:type="dxa"/>
              <w:bottom w:w="80" w:type="dxa"/>
              <w:right w:w="90" w:type="dxa"/>
            </w:tcMar>
          </w:tcPr>
          <w:p w14:paraId="10D28B07" w14:textId="77777777" w:rsidR="009E0FE8" w:rsidRDefault="00000000">
            <w:pPr>
              <w:spacing w:after="0" w:line="252" w:lineRule="auto"/>
              <w:jc w:val="left"/>
            </w:pPr>
            <w:r>
              <w:rPr>
                <w:sz w:val="15"/>
              </w:rPr>
              <w:t>5</w:t>
            </w:r>
          </w:p>
        </w:tc>
        <w:tc>
          <w:tcPr>
            <w:tcW w:w="1814" w:type="dxa"/>
            <w:tcMar>
              <w:top w:w="80" w:type="dxa"/>
              <w:left w:w="90" w:type="dxa"/>
              <w:bottom w:w="80" w:type="dxa"/>
              <w:right w:w="90" w:type="dxa"/>
            </w:tcMar>
          </w:tcPr>
          <w:p w14:paraId="782C4BE7" w14:textId="77777777" w:rsidR="009E0FE8" w:rsidRDefault="00000000">
            <w:pPr>
              <w:spacing w:after="0" w:line="252" w:lineRule="auto"/>
              <w:jc w:val="left"/>
            </w:pPr>
            <w:r>
              <w:rPr>
                <w:sz w:val="15"/>
              </w:rPr>
              <w:t>1</w:t>
            </w:r>
          </w:p>
        </w:tc>
      </w:tr>
      <w:tr w:rsidR="009E0FE8" w14:paraId="2F5B841B" w14:textId="77777777">
        <w:trPr>
          <w:jc w:val="center"/>
        </w:trPr>
        <w:tc>
          <w:tcPr>
            <w:tcW w:w="2268" w:type="dxa"/>
            <w:shd w:val="clear" w:color="auto" w:fill="F1F5F8"/>
            <w:tcMar>
              <w:top w:w="80" w:type="dxa"/>
              <w:left w:w="90" w:type="dxa"/>
              <w:bottom w:w="80" w:type="dxa"/>
              <w:right w:w="90" w:type="dxa"/>
            </w:tcMar>
          </w:tcPr>
          <w:p w14:paraId="1022DE26" w14:textId="77777777" w:rsidR="009E0FE8" w:rsidRDefault="00000000">
            <w:pPr>
              <w:spacing w:after="0" w:line="252" w:lineRule="auto"/>
              <w:jc w:val="left"/>
            </w:pPr>
            <w:r>
              <w:rPr>
                <w:sz w:val="15"/>
              </w:rPr>
              <w:t>Indicative weighted score /5</w:t>
            </w:r>
          </w:p>
        </w:tc>
        <w:tc>
          <w:tcPr>
            <w:tcW w:w="1361" w:type="dxa"/>
            <w:shd w:val="clear" w:color="auto" w:fill="F1F5F8"/>
            <w:tcMar>
              <w:top w:w="80" w:type="dxa"/>
              <w:left w:w="90" w:type="dxa"/>
              <w:bottom w:w="80" w:type="dxa"/>
              <w:right w:w="90" w:type="dxa"/>
            </w:tcMar>
          </w:tcPr>
          <w:p w14:paraId="24B10151" w14:textId="77777777" w:rsidR="009E0FE8" w:rsidRDefault="00000000">
            <w:pPr>
              <w:spacing w:after="0" w:line="252" w:lineRule="auto"/>
              <w:jc w:val="left"/>
            </w:pPr>
            <w:r>
              <w:rPr>
                <w:sz w:val="15"/>
              </w:rPr>
              <w:t>2.25</w:t>
            </w:r>
          </w:p>
        </w:tc>
        <w:tc>
          <w:tcPr>
            <w:tcW w:w="1361" w:type="dxa"/>
            <w:shd w:val="clear" w:color="auto" w:fill="F1F5F8"/>
            <w:tcMar>
              <w:top w:w="80" w:type="dxa"/>
              <w:left w:w="90" w:type="dxa"/>
              <w:bottom w:w="80" w:type="dxa"/>
              <w:right w:w="90" w:type="dxa"/>
            </w:tcMar>
          </w:tcPr>
          <w:p w14:paraId="358C4C08" w14:textId="77777777" w:rsidR="009E0FE8" w:rsidRDefault="00000000">
            <w:pPr>
              <w:spacing w:after="0" w:line="252" w:lineRule="auto"/>
              <w:jc w:val="left"/>
            </w:pPr>
            <w:r>
              <w:rPr>
                <w:sz w:val="15"/>
              </w:rPr>
              <w:t>2.35</w:t>
            </w:r>
          </w:p>
        </w:tc>
        <w:tc>
          <w:tcPr>
            <w:tcW w:w="1531" w:type="dxa"/>
            <w:shd w:val="clear" w:color="auto" w:fill="F1F5F8"/>
            <w:tcMar>
              <w:top w:w="80" w:type="dxa"/>
              <w:left w:w="90" w:type="dxa"/>
              <w:bottom w:w="80" w:type="dxa"/>
              <w:right w:w="90" w:type="dxa"/>
            </w:tcMar>
          </w:tcPr>
          <w:p w14:paraId="624D8CF2" w14:textId="77777777" w:rsidR="009E0FE8" w:rsidRDefault="00000000">
            <w:pPr>
              <w:spacing w:after="0" w:line="252" w:lineRule="auto"/>
              <w:jc w:val="left"/>
            </w:pPr>
            <w:r>
              <w:rPr>
                <w:sz w:val="15"/>
              </w:rPr>
              <w:t>3.55</w:t>
            </w:r>
          </w:p>
        </w:tc>
        <w:tc>
          <w:tcPr>
            <w:tcW w:w="2098" w:type="dxa"/>
            <w:shd w:val="clear" w:color="auto" w:fill="F1F5F8"/>
            <w:tcMar>
              <w:top w:w="80" w:type="dxa"/>
              <w:left w:w="90" w:type="dxa"/>
              <w:bottom w:w="80" w:type="dxa"/>
              <w:right w:w="90" w:type="dxa"/>
            </w:tcMar>
          </w:tcPr>
          <w:p w14:paraId="5425090A" w14:textId="77777777" w:rsidR="009E0FE8" w:rsidRDefault="00000000">
            <w:pPr>
              <w:spacing w:after="0" w:line="252" w:lineRule="auto"/>
              <w:jc w:val="left"/>
            </w:pPr>
            <w:r>
              <w:rPr>
                <w:sz w:val="15"/>
              </w:rPr>
              <w:t>4.25</w:t>
            </w:r>
          </w:p>
        </w:tc>
        <w:tc>
          <w:tcPr>
            <w:tcW w:w="1814" w:type="dxa"/>
            <w:shd w:val="clear" w:color="auto" w:fill="F1F5F8"/>
            <w:tcMar>
              <w:top w:w="80" w:type="dxa"/>
              <w:left w:w="90" w:type="dxa"/>
              <w:bottom w:w="80" w:type="dxa"/>
              <w:right w:w="90" w:type="dxa"/>
            </w:tcMar>
          </w:tcPr>
          <w:p w14:paraId="2BD89867" w14:textId="77777777" w:rsidR="009E0FE8" w:rsidRDefault="00000000">
            <w:pPr>
              <w:spacing w:after="0" w:line="252" w:lineRule="auto"/>
              <w:jc w:val="left"/>
            </w:pPr>
            <w:r>
              <w:rPr>
                <w:sz w:val="15"/>
              </w:rPr>
              <w:t>2.90</w:t>
            </w:r>
          </w:p>
        </w:tc>
      </w:tr>
    </w:tbl>
    <w:p w14:paraId="64E7CDBB" w14:textId="77777777" w:rsidR="009E0FE8" w:rsidRDefault="009E0FE8"/>
    <w:p w14:paraId="2BCC7B8A" w14:textId="77777777" w:rsidR="009E0FE8" w:rsidRDefault="00000000">
      <w:r>
        <w:lastRenderedPageBreak/>
        <w:t>The weighted scores are judgemental rather than empirical. They make assumptions transparent and allow sensitivity testing when control, capital, localisation or risk receives a different priority. Under the stated criteria, staged franchising provides the most balanced response to Kenya’s opportunity and uncertainty.</w:t>
      </w:r>
    </w:p>
    <w:p w14:paraId="5EAC3998" w14:textId="77777777" w:rsidR="009E0FE8" w:rsidRDefault="00000000">
      <w:pPr>
        <w:jc w:val="center"/>
      </w:pPr>
      <w:r>
        <w:rPr>
          <w:noProof/>
        </w:rPr>
        <w:drawing>
          <wp:inline distT="0" distB="0" distL="0" distR="0" wp14:anchorId="1157841E" wp14:editId="65743EA6">
            <wp:extent cx="5760720" cy="334070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5_entry_mode.png"/>
                    <pic:cNvPicPr/>
                  </pic:nvPicPr>
                  <pic:blipFill>
                    <a:blip r:embed="rId16"/>
                    <a:stretch>
                      <a:fillRect/>
                    </a:stretch>
                  </pic:blipFill>
                  <pic:spPr>
                    <a:xfrm>
                      <a:off x="0" y="0"/>
                      <a:ext cx="5760720" cy="3340708"/>
                    </a:xfrm>
                    <a:prstGeom prst="rect">
                      <a:avLst/>
                    </a:prstGeom>
                  </pic:spPr>
                </pic:pic>
              </a:graphicData>
            </a:graphic>
          </wp:inline>
        </w:drawing>
      </w:r>
    </w:p>
    <w:p w14:paraId="102A5B9B" w14:textId="77777777" w:rsidR="009E0FE8" w:rsidRDefault="00000000">
      <w:pPr>
        <w:pStyle w:val="CaptionText"/>
        <w:jc w:val="center"/>
      </w:pPr>
      <w:r>
        <w:rPr>
          <w:b/>
        </w:rPr>
        <w:t>Figure 6. Indicative weighted entry-mode assessment for IKEA in Kenya.</w:t>
      </w:r>
    </w:p>
    <w:p w14:paraId="4409058D" w14:textId="77777777" w:rsidR="009E0FE8" w:rsidRDefault="00000000">
      <w:pPr>
        <w:pStyle w:val="SourceText"/>
        <w:jc w:val="center"/>
      </w:pPr>
      <w:r>
        <w:t>Source: Author-developed assessment based on the evidence in this report. Scores are judgemental and should be sensitivity-tested.</w:t>
      </w:r>
    </w:p>
    <w:p w14:paraId="2926CD90" w14:textId="77777777" w:rsidR="009E0FE8" w:rsidRDefault="00000000">
      <w:pPr>
        <w:pStyle w:val="Heading2"/>
      </w:pPr>
      <w:r>
        <w:t>5.3 Recommended entry design and implementation</w:t>
      </w:r>
    </w:p>
    <w:p w14:paraId="50A8D0E6" w14:textId="77777777" w:rsidR="009E0FE8" w:rsidRDefault="00000000">
      <w:r>
        <w:t>The recommended strategy is conditional and staged. Gate 0 should test Nairobi demand, representative product baskets, binding customs classifications, freight and delivery lanes, site options, and the franchisee’s financial, integrity and operational capability. Entry should stop if the core assortment cannot achieve viable delivered prices or the partner cannot demonstrate governance, logistics and digital competence.</w:t>
      </w:r>
    </w:p>
    <w:p w14:paraId="7762DB3F" w14:textId="77777777" w:rsidR="009E0FE8" w:rsidRDefault="00000000">
      <w:r>
        <w:t>Phase 1 should combine a narrow local e-commerce range with a Nairobi plan-and-order studio, collection points, customer care, delivery and optional assembly. High-demand, space-saving and high-value-density products should be prioritised. At least two seasonal cycles should measure conversion, basket size, planning demand, damage, returns, delivery reliability, complaints and tariff-adjusted margin before major property commitment.</w:t>
      </w:r>
    </w:p>
    <w:p w14:paraId="2681FBF8" w14:textId="77777777" w:rsidR="009E0FE8" w:rsidRDefault="00000000">
      <w:r>
        <w:t xml:space="preserve">Phase 2 should open a medium-format Nairobi store only after repeat demand and viable unit economics are demonstrated. Room inspiration, planning and services should be emphasised, supported by central warehousing and collection. Phase 3 should consider </w:t>
      </w:r>
      <w:r>
        <w:lastRenderedPageBreak/>
        <w:t>selective Kenyan or EAC sourcing or assembly only where suppliers meet IKEA’s cost, quality, sustainability and volume requirements, thereby reducing freight exposure and improving repair capability without symbolic localisation.</w:t>
      </w:r>
    </w:p>
    <w:p w14:paraId="63AC2B23" w14:textId="77777777" w:rsidR="009E0FE8" w:rsidRDefault="00000000">
      <w:pPr>
        <w:jc w:val="center"/>
      </w:pPr>
      <w:r>
        <w:rPr>
          <w:noProof/>
        </w:rPr>
        <w:drawing>
          <wp:inline distT="0" distB="0" distL="0" distR="0" wp14:anchorId="379458A5" wp14:editId="511992D3">
            <wp:extent cx="5760720" cy="24231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6_pathway.png"/>
                    <pic:cNvPicPr/>
                  </pic:nvPicPr>
                  <pic:blipFill>
                    <a:blip r:embed="rId17"/>
                    <a:stretch>
                      <a:fillRect/>
                    </a:stretch>
                  </pic:blipFill>
                  <pic:spPr>
                    <a:xfrm>
                      <a:off x="0" y="0"/>
                      <a:ext cx="5760720" cy="2423160"/>
                    </a:xfrm>
                    <a:prstGeom prst="rect">
                      <a:avLst/>
                    </a:prstGeom>
                  </pic:spPr>
                </pic:pic>
              </a:graphicData>
            </a:graphic>
          </wp:inline>
        </w:drawing>
      </w:r>
    </w:p>
    <w:p w14:paraId="5EFFD9F2" w14:textId="77777777" w:rsidR="009E0FE8" w:rsidRDefault="00000000">
      <w:pPr>
        <w:pStyle w:val="CaptionText"/>
        <w:jc w:val="center"/>
      </w:pPr>
      <w:r>
        <w:rPr>
          <w:b/>
        </w:rPr>
        <w:t>Figure 7. Proposed staged market-entry pathway.</w:t>
      </w:r>
    </w:p>
    <w:p w14:paraId="1858F8E6" w14:textId="77777777" w:rsidR="009E0FE8" w:rsidRDefault="00000000">
      <w:pPr>
        <w:pStyle w:val="SourceText"/>
        <w:jc w:val="center"/>
      </w:pPr>
      <w:r>
        <w:t>Source: Author-developed implementation model based on real-options logic and IKEA’s multi-format expansion practices.</w:t>
      </w:r>
    </w:p>
    <w:tbl>
      <w:tblPr>
        <w:tblStyle w:val="TableGrid"/>
        <w:tblW w:w="0" w:type="auto"/>
        <w:jc w:val="center"/>
        <w:tblLook w:val="04A0" w:firstRow="1" w:lastRow="0" w:firstColumn="1" w:lastColumn="0" w:noHBand="0" w:noVBand="1"/>
      </w:tblPr>
      <w:tblGrid>
        <w:gridCol w:w="1631"/>
        <w:gridCol w:w="3773"/>
        <w:gridCol w:w="3997"/>
      </w:tblGrid>
      <w:tr w:rsidR="009E0FE8" w14:paraId="3AC32186" w14:textId="77777777">
        <w:trPr>
          <w:tblHeader/>
          <w:jc w:val="center"/>
        </w:trPr>
        <w:tc>
          <w:tcPr>
            <w:tcW w:w="1701" w:type="dxa"/>
            <w:shd w:val="clear" w:color="auto" w:fill="0058A3"/>
            <w:tcMar>
              <w:top w:w="80" w:type="dxa"/>
              <w:left w:w="90" w:type="dxa"/>
              <w:bottom w:w="80" w:type="dxa"/>
              <w:right w:w="90" w:type="dxa"/>
            </w:tcMar>
            <w:vAlign w:val="center"/>
          </w:tcPr>
          <w:p w14:paraId="28515D2F" w14:textId="77777777" w:rsidR="009E0FE8" w:rsidRDefault="00000000">
            <w:pPr>
              <w:jc w:val="center"/>
            </w:pPr>
            <w:r>
              <w:rPr>
                <w:b/>
                <w:color w:val="FFFFFF"/>
                <w:sz w:val="16"/>
              </w:rPr>
              <w:t>Stage</w:t>
            </w:r>
          </w:p>
        </w:tc>
        <w:tc>
          <w:tcPr>
            <w:tcW w:w="3969" w:type="dxa"/>
            <w:shd w:val="clear" w:color="auto" w:fill="0058A3"/>
            <w:tcMar>
              <w:top w:w="80" w:type="dxa"/>
              <w:left w:w="90" w:type="dxa"/>
              <w:bottom w:w="80" w:type="dxa"/>
              <w:right w:w="90" w:type="dxa"/>
            </w:tcMar>
            <w:vAlign w:val="center"/>
          </w:tcPr>
          <w:p w14:paraId="54708E71" w14:textId="77777777" w:rsidR="009E0FE8" w:rsidRDefault="00000000">
            <w:pPr>
              <w:jc w:val="center"/>
            </w:pPr>
            <w:r>
              <w:rPr>
                <w:b/>
                <w:color w:val="FFFFFF"/>
                <w:sz w:val="16"/>
              </w:rPr>
              <w:t>Principal action</w:t>
            </w:r>
          </w:p>
        </w:tc>
        <w:tc>
          <w:tcPr>
            <w:tcW w:w="4195" w:type="dxa"/>
            <w:shd w:val="clear" w:color="auto" w:fill="0058A3"/>
            <w:tcMar>
              <w:top w:w="80" w:type="dxa"/>
              <w:left w:w="90" w:type="dxa"/>
              <w:bottom w:w="80" w:type="dxa"/>
              <w:right w:w="90" w:type="dxa"/>
            </w:tcMar>
            <w:vAlign w:val="center"/>
          </w:tcPr>
          <w:p w14:paraId="7D1571FE" w14:textId="77777777" w:rsidR="009E0FE8" w:rsidRDefault="00000000">
            <w:pPr>
              <w:jc w:val="center"/>
            </w:pPr>
            <w:r>
              <w:rPr>
                <w:b/>
                <w:color w:val="FFFFFF"/>
                <w:sz w:val="16"/>
              </w:rPr>
              <w:t>Evidence required before progression</w:t>
            </w:r>
          </w:p>
        </w:tc>
      </w:tr>
      <w:tr w:rsidR="009E0FE8" w14:paraId="5FF5336D" w14:textId="77777777">
        <w:trPr>
          <w:jc w:val="center"/>
        </w:trPr>
        <w:tc>
          <w:tcPr>
            <w:tcW w:w="1701" w:type="dxa"/>
            <w:tcMar>
              <w:top w:w="80" w:type="dxa"/>
              <w:left w:w="90" w:type="dxa"/>
              <w:bottom w:w="80" w:type="dxa"/>
              <w:right w:w="90" w:type="dxa"/>
            </w:tcMar>
          </w:tcPr>
          <w:p w14:paraId="6AE9DC15" w14:textId="77777777" w:rsidR="009E0FE8" w:rsidRDefault="00000000">
            <w:pPr>
              <w:spacing w:after="0" w:line="252" w:lineRule="auto"/>
              <w:jc w:val="left"/>
            </w:pPr>
            <w:r>
              <w:rPr>
                <w:sz w:val="16"/>
              </w:rPr>
              <w:t>Gate 0</w:t>
            </w:r>
          </w:p>
        </w:tc>
        <w:tc>
          <w:tcPr>
            <w:tcW w:w="3969" w:type="dxa"/>
            <w:tcMar>
              <w:top w:w="80" w:type="dxa"/>
              <w:left w:w="90" w:type="dxa"/>
              <w:bottom w:w="80" w:type="dxa"/>
              <w:right w:w="90" w:type="dxa"/>
            </w:tcMar>
          </w:tcPr>
          <w:p w14:paraId="28ACF9A2" w14:textId="77777777" w:rsidR="009E0FE8" w:rsidRDefault="00000000">
            <w:pPr>
              <w:spacing w:after="0" w:line="252" w:lineRule="auto"/>
              <w:jc w:val="left"/>
            </w:pPr>
            <w:r>
              <w:rPr>
                <w:sz w:val="16"/>
              </w:rPr>
              <w:t>Validate demand, product-basket pricing, tariff treatment, logistics and partner integrity.</w:t>
            </w:r>
          </w:p>
        </w:tc>
        <w:tc>
          <w:tcPr>
            <w:tcW w:w="4195" w:type="dxa"/>
            <w:tcMar>
              <w:top w:w="80" w:type="dxa"/>
              <w:left w:w="90" w:type="dxa"/>
              <w:bottom w:w="80" w:type="dxa"/>
              <w:right w:w="90" w:type="dxa"/>
            </w:tcMar>
          </w:tcPr>
          <w:p w14:paraId="0EF173D4" w14:textId="77777777" w:rsidR="009E0FE8" w:rsidRDefault="00000000">
            <w:pPr>
              <w:spacing w:after="0" w:line="252" w:lineRule="auto"/>
              <w:jc w:val="left"/>
            </w:pPr>
            <w:r>
              <w:rPr>
                <w:sz w:val="16"/>
              </w:rPr>
              <w:t>A viable delivered-price architecture, compliant product plan and partner that passes financial and integrity due diligence.</w:t>
            </w:r>
          </w:p>
        </w:tc>
      </w:tr>
      <w:tr w:rsidR="009E0FE8" w14:paraId="77B16427" w14:textId="77777777">
        <w:trPr>
          <w:jc w:val="center"/>
        </w:trPr>
        <w:tc>
          <w:tcPr>
            <w:tcW w:w="1701" w:type="dxa"/>
            <w:shd w:val="clear" w:color="auto" w:fill="F1F5F8"/>
            <w:tcMar>
              <w:top w:w="80" w:type="dxa"/>
              <w:left w:w="90" w:type="dxa"/>
              <w:bottom w:w="80" w:type="dxa"/>
              <w:right w:w="90" w:type="dxa"/>
            </w:tcMar>
          </w:tcPr>
          <w:p w14:paraId="5CC2CB44" w14:textId="77777777" w:rsidR="009E0FE8" w:rsidRDefault="00000000">
            <w:pPr>
              <w:spacing w:after="0" w:line="252" w:lineRule="auto"/>
              <w:jc w:val="left"/>
            </w:pPr>
            <w:r>
              <w:rPr>
                <w:sz w:val="16"/>
              </w:rPr>
              <w:t>Phase 1</w:t>
            </w:r>
          </w:p>
        </w:tc>
        <w:tc>
          <w:tcPr>
            <w:tcW w:w="3969" w:type="dxa"/>
            <w:shd w:val="clear" w:color="auto" w:fill="F1F5F8"/>
            <w:tcMar>
              <w:top w:w="80" w:type="dxa"/>
              <w:left w:w="90" w:type="dxa"/>
              <w:bottom w:w="80" w:type="dxa"/>
              <w:right w:w="90" w:type="dxa"/>
            </w:tcMar>
          </w:tcPr>
          <w:p w14:paraId="37FCD468" w14:textId="77777777" w:rsidR="009E0FE8" w:rsidRDefault="00000000">
            <w:pPr>
              <w:spacing w:after="0" w:line="252" w:lineRule="auto"/>
              <w:jc w:val="left"/>
            </w:pPr>
            <w:r>
              <w:rPr>
                <w:sz w:val="16"/>
              </w:rPr>
              <w:t>Launch local e-commerce, a plan-and-order studio, collection points, delivery and optional assembly.</w:t>
            </w:r>
          </w:p>
        </w:tc>
        <w:tc>
          <w:tcPr>
            <w:tcW w:w="4195" w:type="dxa"/>
            <w:shd w:val="clear" w:color="auto" w:fill="F1F5F8"/>
            <w:tcMar>
              <w:top w:w="80" w:type="dxa"/>
              <w:left w:w="90" w:type="dxa"/>
              <w:bottom w:w="80" w:type="dxa"/>
              <w:right w:w="90" w:type="dxa"/>
            </w:tcMar>
          </w:tcPr>
          <w:p w14:paraId="796D786A" w14:textId="77777777" w:rsidR="009E0FE8" w:rsidRDefault="00000000">
            <w:pPr>
              <w:spacing w:after="0" w:line="252" w:lineRule="auto"/>
              <w:jc w:val="left"/>
            </w:pPr>
            <w:r>
              <w:rPr>
                <w:sz w:val="16"/>
              </w:rPr>
              <w:t>Acceptable conversion, gross margin, on-time delivery, damage, return, complaint and repeat-purchase performance.</w:t>
            </w:r>
          </w:p>
        </w:tc>
      </w:tr>
      <w:tr w:rsidR="009E0FE8" w14:paraId="2C1D6762" w14:textId="77777777">
        <w:trPr>
          <w:jc w:val="center"/>
        </w:trPr>
        <w:tc>
          <w:tcPr>
            <w:tcW w:w="1701" w:type="dxa"/>
            <w:tcMar>
              <w:top w:w="80" w:type="dxa"/>
              <w:left w:w="90" w:type="dxa"/>
              <w:bottom w:w="80" w:type="dxa"/>
              <w:right w:w="90" w:type="dxa"/>
            </w:tcMar>
          </w:tcPr>
          <w:p w14:paraId="6B5C30DD" w14:textId="77777777" w:rsidR="009E0FE8" w:rsidRDefault="00000000">
            <w:pPr>
              <w:spacing w:after="0" w:line="252" w:lineRule="auto"/>
              <w:jc w:val="left"/>
            </w:pPr>
            <w:r>
              <w:rPr>
                <w:sz w:val="16"/>
              </w:rPr>
              <w:t>Phase 2</w:t>
            </w:r>
          </w:p>
        </w:tc>
        <w:tc>
          <w:tcPr>
            <w:tcW w:w="3969" w:type="dxa"/>
            <w:tcMar>
              <w:top w:w="80" w:type="dxa"/>
              <w:left w:w="90" w:type="dxa"/>
              <w:bottom w:w="80" w:type="dxa"/>
              <w:right w:w="90" w:type="dxa"/>
            </w:tcMar>
          </w:tcPr>
          <w:p w14:paraId="4ACB8280" w14:textId="77777777" w:rsidR="009E0FE8" w:rsidRDefault="00000000">
            <w:pPr>
              <w:spacing w:after="0" w:line="252" w:lineRule="auto"/>
              <w:jc w:val="left"/>
            </w:pPr>
            <w:r>
              <w:rPr>
                <w:sz w:val="16"/>
              </w:rPr>
              <w:t>Open a medium-format Nairobi store integrated with central fulfilment.</w:t>
            </w:r>
          </w:p>
        </w:tc>
        <w:tc>
          <w:tcPr>
            <w:tcW w:w="4195" w:type="dxa"/>
            <w:tcMar>
              <w:top w:w="80" w:type="dxa"/>
              <w:left w:w="90" w:type="dxa"/>
              <w:bottom w:w="80" w:type="dxa"/>
              <w:right w:w="90" w:type="dxa"/>
            </w:tcMar>
          </w:tcPr>
          <w:p w14:paraId="7C5A37D9" w14:textId="77777777" w:rsidR="009E0FE8" w:rsidRDefault="00000000">
            <w:pPr>
              <w:spacing w:after="0" w:line="252" w:lineRule="auto"/>
              <w:jc w:val="left"/>
            </w:pPr>
            <w:r>
              <w:rPr>
                <w:sz w:val="16"/>
              </w:rPr>
              <w:t>Stable demand beyond early adopters, adequate inventory turns and sustainable customer-acquisition economics.</w:t>
            </w:r>
          </w:p>
        </w:tc>
      </w:tr>
      <w:tr w:rsidR="009E0FE8" w14:paraId="62770CCA" w14:textId="77777777">
        <w:trPr>
          <w:jc w:val="center"/>
        </w:trPr>
        <w:tc>
          <w:tcPr>
            <w:tcW w:w="1701" w:type="dxa"/>
            <w:shd w:val="clear" w:color="auto" w:fill="F1F5F8"/>
            <w:tcMar>
              <w:top w:w="80" w:type="dxa"/>
              <w:left w:w="90" w:type="dxa"/>
              <w:bottom w:w="80" w:type="dxa"/>
              <w:right w:w="90" w:type="dxa"/>
            </w:tcMar>
          </w:tcPr>
          <w:p w14:paraId="7F13F5A3" w14:textId="77777777" w:rsidR="009E0FE8" w:rsidRDefault="00000000">
            <w:pPr>
              <w:spacing w:after="0" w:line="252" w:lineRule="auto"/>
              <w:jc w:val="left"/>
            </w:pPr>
            <w:r>
              <w:rPr>
                <w:sz w:val="16"/>
              </w:rPr>
              <w:t>Phase 3</w:t>
            </w:r>
          </w:p>
        </w:tc>
        <w:tc>
          <w:tcPr>
            <w:tcW w:w="3969" w:type="dxa"/>
            <w:shd w:val="clear" w:color="auto" w:fill="F1F5F8"/>
            <w:tcMar>
              <w:top w:w="80" w:type="dxa"/>
              <w:left w:w="90" w:type="dxa"/>
              <w:bottom w:w="80" w:type="dxa"/>
              <w:right w:w="90" w:type="dxa"/>
            </w:tcMar>
          </w:tcPr>
          <w:p w14:paraId="3BC362A7" w14:textId="77777777" w:rsidR="009E0FE8" w:rsidRDefault="00000000">
            <w:pPr>
              <w:spacing w:after="0" w:line="252" w:lineRule="auto"/>
              <w:jc w:val="left"/>
            </w:pPr>
            <w:r>
              <w:rPr>
                <w:sz w:val="16"/>
              </w:rPr>
              <w:t>Build selective local/EAC sourcing or assembly and evaluate regional replication.</w:t>
            </w:r>
          </w:p>
        </w:tc>
        <w:tc>
          <w:tcPr>
            <w:tcW w:w="4195" w:type="dxa"/>
            <w:shd w:val="clear" w:color="auto" w:fill="F1F5F8"/>
            <w:tcMar>
              <w:top w:w="80" w:type="dxa"/>
              <w:left w:w="90" w:type="dxa"/>
              <w:bottom w:w="80" w:type="dxa"/>
              <w:right w:w="90" w:type="dxa"/>
            </w:tcMar>
          </w:tcPr>
          <w:p w14:paraId="51AC84FF" w14:textId="77777777" w:rsidR="009E0FE8" w:rsidRDefault="00000000">
            <w:pPr>
              <w:spacing w:after="0" w:line="252" w:lineRule="auto"/>
              <w:jc w:val="left"/>
            </w:pPr>
            <w:r>
              <w:rPr>
                <w:sz w:val="16"/>
              </w:rPr>
              <w:t>Suppliers meet IKEA cost, quality, sustainability and scale requirements; regional economics are independently verified.</w:t>
            </w:r>
          </w:p>
        </w:tc>
      </w:tr>
    </w:tbl>
    <w:p w14:paraId="0C329FA4" w14:textId="77777777" w:rsidR="009E0FE8" w:rsidRDefault="009E0FE8"/>
    <w:p w14:paraId="0D230C88" w14:textId="77777777" w:rsidR="009E0FE8" w:rsidRDefault="00000000">
      <w:pPr>
        <w:pStyle w:val="Heading2"/>
      </w:pPr>
      <w:r>
        <w:t>5.4 Risk controls and performance governance</w:t>
      </w:r>
    </w:p>
    <w:p w14:paraId="14A4687E" w14:textId="77777777" w:rsidR="009E0FE8" w:rsidRDefault="00000000">
      <w:r>
        <w:t>The central commercial risk is unaffordable landed cost, indicated by weak conversion, a price gap against alternatives or margin dependence on premium items. Controls include binding tariff classifications, a value-engineered range, frequent pricing review and selective local or EAC value addition. Service failure is equally material: damage, delay and difficult returns require tested routes, packaging trials, service-level agreements and transparent data. Partner, integrity, privacy and sustainability risks require milestones, audit rights and shared systems.</w:t>
      </w:r>
    </w:p>
    <w:p w14:paraId="02496E43" w14:textId="77777777" w:rsidR="009E0FE8" w:rsidRDefault="00000000">
      <w:r>
        <w:t xml:space="preserve">A balanced stage-gate dashboard should separate curiosity from repeat purchase and track delivered-basket affordability, conversion, tariff-adjusted margin, inventory turns, </w:t>
      </w:r>
      <w:r>
        <w:lastRenderedPageBreak/>
        <w:t>fulfilment cost, on-time-in-full delivery, damage, returns, stock availability and compliance incidents. Progression should be denied where volume growth conceals weak margin, unreliable service or unresolved governance failures.</w:t>
      </w:r>
    </w:p>
    <w:tbl>
      <w:tblPr>
        <w:tblStyle w:val="TableGrid"/>
        <w:tblW w:w="0" w:type="auto"/>
        <w:jc w:val="center"/>
        <w:tblLook w:val="04A0" w:firstRow="1" w:lastRow="0" w:firstColumn="1" w:lastColumn="0" w:noHBand="0" w:noVBand="1"/>
      </w:tblPr>
      <w:tblGrid>
        <w:gridCol w:w="2164"/>
        <w:gridCol w:w="3643"/>
        <w:gridCol w:w="3594"/>
      </w:tblGrid>
      <w:tr w:rsidR="009E0FE8" w14:paraId="2ECFA102" w14:textId="77777777">
        <w:trPr>
          <w:tblHeader/>
          <w:jc w:val="center"/>
        </w:trPr>
        <w:tc>
          <w:tcPr>
            <w:tcW w:w="2268" w:type="dxa"/>
            <w:shd w:val="clear" w:color="auto" w:fill="0058A3"/>
            <w:tcMar>
              <w:top w:w="80" w:type="dxa"/>
              <w:left w:w="90" w:type="dxa"/>
              <w:bottom w:w="80" w:type="dxa"/>
              <w:right w:w="90" w:type="dxa"/>
            </w:tcMar>
            <w:vAlign w:val="center"/>
          </w:tcPr>
          <w:p w14:paraId="5617B490" w14:textId="77777777" w:rsidR="009E0FE8" w:rsidRDefault="00000000">
            <w:pPr>
              <w:jc w:val="center"/>
            </w:pPr>
            <w:r>
              <w:rPr>
                <w:b/>
                <w:color w:val="FFFFFF"/>
                <w:sz w:val="16"/>
              </w:rPr>
              <w:t>Risk</w:t>
            </w:r>
          </w:p>
        </w:tc>
        <w:tc>
          <w:tcPr>
            <w:tcW w:w="4025" w:type="dxa"/>
            <w:shd w:val="clear" w:color="auto" w:fill="0058A3"/>
            <w:tcMar>
              <w:top w:w="80" w:type="dxa"/>
              <w:left w:w="90" w:type="dxa"/>
              <w:bottom w:w="80" w:type="dxa"/>
              <w:right w:w="90" w:type="dxa"/>
            </w:tcMar>
            <w:vAlign w:val="center"/>
          </w:tcPr>
          <w:p w14:paraId="6676E94E" w14:textId="77777777" w:rsidR="009E0FE8" w:rsidRDefault="00000000">
            <w:pPr>
              <w:jc w:val="center"/>
            </w:pPr>
            <w:r>
              <w:rPr>
                <w:b/>
                <w:color w:val="FFFFFF"/>
                <w:sz w:val="16"/>
              </w:rPr>
              <w:t>Early warning indicator</w:t>
            </w:r>
          </w:p>
        </w:tc>
        <w:tc>
          <w:tcPr>
            <w:tcW w:w="3969" w:type="dxa"/>
            <w:shd w:val="clear" w:color="auto" w:fill="0058A3"/>
            <w:tcMar>
              <w:top w:w="80" w:type="dxa"/>
              <w:left w:w="90" w:type="dxa"/>
              <w:bottom w:w="80" w:type="dxa"/>
              <w:right w:w="90" w:type="dxa"/>
            </w:tcMar>
            <w:vAlign w:val="center"/>
          </w:tcPr>
          <w:p w14:paraId="7AE142E1" w14:textId="77777777" w:rsidR="009E0FE8" w:rsidRDefault="00000000">
            <w:pPr>
              <w:jc w:val="center"/>
            </w:pPr>
            <w:r>
              <w:rPr>
                <w:b/>
                <w:color w:val="FFFFFF"/>
                <w:sz w:val="16"/>
              </w:rPr>
              <w:t>Primary control</w:t>
            </w:r>
          </w:p>
        </w:tc>
      </w:tr>
      <w:tr w:rsidR="009E0FE8" w14:paraId="606ABA43" w14:textId="77777777">
        <w:trPr>
          <w:jc w:val="center"/>
        </w:trPr>
        <w:tc>
          <w:tcPr>
            <w:tcW w:w="2268" w:type="dxa"/>
            <w:tcMar>
              <w:top w:w="80" w:type="dxa"/>
              <w:left w:w="90" w:type="dxa"/>
              <w:bottom w:w="80" w:type="dxa"/>
              <w:right w:w="90" w:type="dxa"/>
            </w:tcMar>
          </w:tcPr>
          <w:p w14:paraId="6E609986" w14:textId="77777777" w:rsidR="009E0FE8" w:rsidRDefault="00000000">
            <w:pPr>
              <w:spacing w:after="0" w:line="252" w:lineRule="auto"/>
              <w:jc w:val="left"/>
            </w:pPr>
            <w:r>
              <w:rPr>
                <w:sz w:val="16"/>
              </w:rPr>
              <w:t>Unaffordable landed cost</w:t>
            </w:r>
          </w:p>
        </w:tc>
        <w:tc>
          <w:tcPr>
            <w:tcW w:w="4025" w:type="dxa"/>
            <w:tcMar>
              <w:top w:w="80" w:type="dxa"/>
              <w:left w:w="90" w:type="dxa"/>
              <w:bottom w:w="80" w:type="dxa"/>
              <w:right w:w="90" w:type="dxa"/>
            </w:tcMar>
          </w:tcPr>
          <w:p w14:paraId="0AEE94AE" w14:textId="77777777" w:rsidR="009E0FE8" w:rsidRDefault="00000000">
            <w:pPr>
              <w:spacing w:after="0" w:line="252" w:lineRule="auto"/>
              <w:jc w:val="left"/>
            </w:pPr>
            <w:r>
              <w:rPr>
                <w:sz w:val="16"/>
              </w:rPr>
              <w:t>Low conversion, weak entry-price sales or margin erosion after currency/duty changes.</w:t>
            </w:r>
          </w:p>
        </w:tc>
        <w:tc>
          <w:tcPr>
            <w:tcW w:w="3969" w:type="dxa"/>
            <w:tcMar>
              <w:top w:w="80" w:type="dxa"/>
              <w:left w:w="90" w:type="dxa"/>
              <w:bottom w:w="80" w:type="dxa"/>
              <w:right w:w="90" w:type="dxa"/>
            </w:tcMar>
          </w:tcPr>
          <w:p w14:paraId="7DCA995F" w14:textId="77777777" w:rsidR="009E0FE8" w:rsidRDefault="00000000">
            <w:pPr>
              <w:spacing w:after="0" w:line="252" w:lineRule="auto"/>
              <w:jc w:val="left"/>
            </w:pPr>
            <w:r>
              <w:rPr>
                <w:sz w:val="16"/>
              </w:rPr>
              <w:t>Binding tariff classification, narrow value-engineered assortment, sensitivity analysis and local/EAC value addition.</w:t>
            </w:r>
          </w:p>
        </w:tc>
      </w:tr>
      <w:tr w:rsidR="009E0FE8" w14:paraId="784133C0" w14:textId="77777777">
        <w:trPr>
          <w:jc w:val="center"/>
        </w:trPr>
        <w:tc>
          <w:tcPr>
            <w:tcW w:w="2268" w:type="dxa"/>
            <w:shd w:val="clear" w:color="auto" w:fill="F1F5F8"/>
            <w:tcMar>
              <w:top w:w="80" w:type="dxa"/>
              <w:left w:w="90" w:type="dxa"/>
              <w:bottom w:w="80" w:type="dxa"/>
              <w:right w:w="90" w:type="dxa"/>
            </w:tcMar>
          </w:tcPr>
          <w:p w14:paraId="797873C7" w14:textId="77777777" w:rsidR="009E0FE8" w:rsidRDefault="00000000">
            <w:pPr>
              <w:spacing w:after="0" w:line="252" w:lineRule="auto"/>
              <w:jc w:val="left"/>
            </w:pPr>
            <w:r>
              <w:rPr>
                <w:sz w:val="16"/>
              </w:rPr>
              <w:t>Partner underperformance</w:t>
            </w:r>
          </w:p>
        </w:tc>
        <w:tc>
          <w:tcPr>
            <w:tcW w:w="4025" w:type="dxa"/>
            <w:shd w:val="clear" w:color="auto" w:fill="F1F5F8"/>
            <w:tcMar>
              <w:top w:w="80" w:type="dxa"/>
              <w:left w:w="90" w:type="dxa"/>
              <w:bottom w:w="80" w:type="dxa"/>
              <w:right w:w="90" w:type="dxa"/>
            </w:tcMar>
          </w:tcPr>
          <w:p w14:paraId="1CFE9886" w14:textId="77777777" w:rsidR="009E0FE8" w:rsidRDefault="00000000">
            <w:pPr>
              <w:spacing w:after="0" w:line="252" w:lineRule="auto"/>
              <w:jc w:val="left"/>
            </w:pPr>
            <w:r>
              <w:rPr>
                <w:sz w:val="16"/>
              </w:rPr>
              <w:t>Delayed investment, audit failures, service inconsistency or unauthorised sourcing.</w:t>
            </w:r>
          </w:p>
        </w:tc>
        <w:tc>
          <w:tcPr>
            <w:tcW w:w="3969" w:type="dxa"/>
            <w:shd w:val="clear" w:color="auto" w:fill="F1F5F8"/>
            <w:tcMar>
              <w:top w:w="80" w:type="dxa"/>
              <w:left w:w="90" w:type="dxa"/>
              <w:bottom w:w="80" w:type="dxa"/>
              <w:right w:w="90" w:type="dxa"/>
            </w:tcMar>
          </w:tcPr>
          <w:p w14:paraId="6E2E10A3" w14:textId="77777777" w:rsidR="009E0FE8" w:rsidRDefault="00000000">
            <w:pPr>
              <w:spacing w:after="0" w:line="252" w:lineRule="auto"/>
              <w:jc w:val="left"/>
            </w:pPr>
            <w:r>
              <w:rPr>
                <w:sz w:val="16"/>
              </w:rPr>
              <w:t>Milestone-based rights, training, shared data, audit access, cure and termination provisions.</w:t>
            </w:r>
          </w:p>
        </w:tc>
      </w:tr>
      <w:tr w:rsidR="009E0FE8" w14:paraId="1602E39F" w14:textId="77777777">
        <w:trPr>
          <w:jc w:val="center"/>
        </w:trPr>
        <w:tc>
          <w:tcPr>
            <w:tcW w:w="2268" w:type="dxa"/>
            <w:tcMar>
              <w:top w:w="80" w:type="dxa"/>
              <w:left w:w="90" w:type="dxa"/>
              <w:bottom w:w="80" w:type="dxa"/>
              <w:right w:w="90" w:type="dxa"/>
            </w:tcMar>
          </w:tcPr>
          <w:p w14:paraId="786B345F" w14:textId="77777777" w:rsidR="009E0FE8" w:rsidRDefault="00000000">
            <w:pPr>
              <w:spacing w:after="0" w:line="252" w:lineRule="auto"/>
              <w:jc w:val="left"/>
            </w:pPr>
            <w:r>
              <w:rPr>
                <w:sz w:val="16"/>
              </w:rPr>
              <w:t>Logistics failure</w:t>
            </w:r>
          </w:p>
        </w:tc>
        <w:tc>
          <w:tcPr>
            <w:tcW w:w="4025" w:type="dxa"/>
            <w:tcMar>
              <w:top w:w="80" w:type="dxa"/>
              <w:left w:w="90" w:type="dxa"/>
              <w:bottom w:w="80" w:type="dxa"/>
              <w:right w:w="90" w:type="dxa"/>
            </w:tcMar>
          </w:tcPr>
          <w:p w14:paraId="43C528CE" w14:textId="77777777" w:rsidR="009E0FE8" w:rsidRDefault="00000000">
            <w:pPr>
              <w:spacing w:after="0" w:line="252" w:lineRule="auto"/>
              <w:jc w:val="left"/>
            </w:pPr>
            <w:r>
              <w:rPr>
                <w:sz w:val="16"/>
              </w:rPr>
              <w:t>Damage, missed delivery windows, high returns or complaints.</w:t>
            </w:r>
          </w:p>
        </w:tc>
        <w:tc>
          <w:tcPr>
            <w:tcW w:w="3969" w:type="dxa"/>
            <w:tcMar>
              <w:top w:w="80" w:type="dxa"/>
              <w:left w:w="90" w:type="dxa"/>
              <w:bottom w:w="80" w:type="dxa"/>
              <w:right w:w="90" w:type="dxa"/>
            </w:tcMar>
          </w:tcPr>
          <w:p w14:paraId="7DBB5042" w14:textId="77777777" w:rsidR="009E0FE8" w:rsidRDefault="00000000">
            <w:pPr>
              <w:spacing w:after="0" w:line="252" w:lineRule="auto"/>
              <w:jc w:val="left"/>
            </w:pPr>
            <w:r>
              <w:rPr>
                <w:sz w:val="16"/>
              </w:rPr>
              <w:t>Pilot lanes, packaging tests, service-level agreements, collection points and spare-parts capability.</w:t>
            </w:r>
          </w:p>
        </w:tc>
      </w:tr>
      <w:tr w:rsidR="009E0FE8" w14:paraId="037ADE1D" w14:textId="77777777">
        <w:trPr>
          <w:jc w:val="center"/>
        </w:trPr>
        <w:tc>
          <w:tcPr>
            <w:tcW w:w="2268" w:type="dxa"/>
            <w:shd w:val="clear" w:color="auto" w:fill="F1F5F8"/>
            <w:tcMar>
              <w:top w:w="80" w:type="dxa"/>
              <w:left w:w="90" w:type="dxa"/>
              <w:bottom w:w="80" w:type="dxa"/>
              <w:right w:w="90" w:type="dxa"/>
            </w:tcMar>
          </w:tcPr>
          <w:p w14:paraId="07E3171E" w14:textId="77777777" w:rsidR="009E0FE8" w:rsidRDefault="00000000">
            <w:pPr>
              <w:spacing w:after="0" w:line="252" w:lineRule="auto"/>
              <w:jc w:val="left"/>
            </w:pPr>
            <w:r>
              <w:rPr>
                <w:sz w:val="16"/>
              </w:rPr>
              <w:t>Regulatory or integrity breach</w:t>
            </w:r>
          </w:p>
        </w:tc>
        <w:tc>
          <w:tcPr>
            <w:tcW w:w="4025" w:type="dxa"/>
            <w:shd w:val="clear" w:color="auto" w:fill="F1F5F8"/>
            <w:tcMar>
              <w:top w:w="80" w:type="dxa"/>
              <w:left w:w="90" w:type="dxa"/>
              <w:bottom w:w="80" w:type="dxa"/>
              <w:right w:w="90" w:type="dxa"/>
            </w:tcMar>
          </w:tcPr>
          <w:p w14:paraId="2DFA90E6" w14:textId="77777777" w:rsidR="009E0FE8" w:rsidRDefault="00000000">
            <w:pPr>
              <w:spacing w:after="0" w:line="252" w:lineRule="auto"/>
              <w:jc w:val="left"/>
            </w:pPr>
            <w:r>
              <w:rPr>
                <w:sz w:val="16"/>
              </w:rPr>
              <w:t>Unusual payments, customs exceptions, privacy complaint or product non-conformity.</w:t>
            </w:r>
          </w:p>
        </w:tc>
        <w:tc>
          <w:tcPr>
            <w:tcW w:w="3969" w:type="dxa"/>
            <w:shd w:val="clear" w:color="auto" w:fill="F1F5F8"/>
            <w:tcMar>
              <w:top w:w="80" w:type="dxa"/>
              <w:left w:w="90" w:type="dxa"/>
              <w:bottom w:w="80" w:type="dxa"/>
              <w:right w:w="90" w:type="dxa"/>
            </w:tcMar>
          </w:tcPr>
          <w:p w14:paraId="00958779" w14:textId="77777777" w:rsidR="009E0FE8" w:rsidRDefault="00000000">
            <w:pPr>
              <w:spacing w:after="0" w:line="252" w:lineRule="auto"/>
              <w:jc w:val="left"/>
            </w:pPr>
            <w:r>
              <w:rPr>
                <w:sz w:val="16"/>
              </w:rPr>
              <w:t>Third-party due diligence, segregation of duties, compliance monitoring and incident response.</w:t>
            </w:r>
          </w:p>
        </w:tc>
      </w:tr>
      <w:tr w:rsidR="009E0FE8" w14:paraId="602BAB80" w14:textId="77777777">
        <w:trPr>
          <w:jc w:val="center"/>
        </w:trPr>
        <w:tc>
          <w:tcPr>
            <w:tcW w:w="2268" w:type="dxa"/>
            <w:tcMar>
              <w:top w:w="80" w:type="dxa"/>
              <w:left w:w="90" w:type="dxa"/>
              <w:bottom w:w="80" w:type="dxa"/>
              <w:right w:w="90" w:type="dxa"/>
            </w:tcMar>
          </w:tcPr>
          <w:p w14:paraId="1BA7B802" w14:textId="77777777" w:rsidR="009E0FE8" w:rsidRDefault="00000000">
            <w:pPr>
              <w:spacing w:after="0" w:line="252" w:lineRule="auto"/>
              <w:jc w:val="left"/>
            </w:pPr>
            <w:r>
              <w:rPr>
                <w:sz w:val="16"/>
              </w:rPr>
              <w:t>Consumer mismatch</w:t>
            </w:r>
          </w:p>
        </w:tc>
        <w:tc>
          <w:tcPr>
            <w:tcW w:w="4025" w:type="dxa"/>
            <w:tcMar>
              <w:top w:w="80" w:type="dxa"/>
              <w:left w:w="90" w:type="dxa"/>
              <w:bottom w:w="80" w:type="dxa"/>
              <w:right w:w="90" w:type="dxa"/>
            </w:tcMar>
          </w:tcPr>
          <w:p w14:paraId="0C4AEFEA" w14:textId="77777777" w:rsidR="009E0FE8" w:rsidRDefault="00000000">
            <w:pPr>
              <w:spacing w:after="0" w:line="252" w:lineRule="auto"/>
              <w:jc w:val="left"/>
            </w:pPr>
            <w:r>
              <w:rPr>
                <w:sz w:val="16"/>
              </w:rPr>
              <w:t>Low basket size, high abandonment or weak repeat purchase.</w:t>
            </w:r>
          </w:p>
        </w:tc>
        <w:tc>
          <w:tcPr>
            <w:tcW w:w="3969" w:type="dxa"/>
            <w:tcMar>
              <w:top w:w="80" w:type="dxa"/>
              <w:left w:w="90" w:type="dxa"/>
              <w:bottom w:w="80" w:type="dxa"/>
              <w:right w:w="90" w:type="dxa"/>
            </w:tcMar>
          </w:tcPr>
          <w:p w14:paraId="31E2ADA0" w14:textId="77777777" w:rsidR="009E0FE8" w:rsidRDefault="00000000">
            <w:pPr>
              <w:spacing w:after="0" w:line="252" w:lineRule="auto"/>
              <w:jc w:val="left"/>
            </w:pPr>
            <w:r>
              <w:rPr>
                <w:sz w:val="16"/>
              </w:rPr>
              <w:t>Home visits, prototype room sets, service adaptation and iterative assortment management.</w:t>
            </w:r>
          </w:p>
        </w:tc>
      </w:tr>
    </w:tbl>
    <w:p w14:paraId="065F43EE" w14:textId="77777777" w:rsidR="009E0FE8" w:rsidRDefault="009E0FE8"/>
    <w:p w14:paraId="0FBDA4FB" w14:textId="77777777" w:rsidR="009E0FE8" w:rsidRDefault="00000000">
      <w:pPr>
        <w:pStyle w:val="Heading1"/>
      </w:pPr>
      <w:r>
        <w:t>6. Conclusion and Final Recommendation</w:t>
      </w:r>
    </w:p>
    <w:p w14:paraId="796EE867" w14:textId="77777777" w:rsidR="009E0FE8" w:rsidRDefault="00000000">
      <w:r>
        <w:t>IKEA possesses transferable ownership advantages and a global configuration capable of supporting entry, but Kenya is unsuitable for immediate replication of a conventional full-size imported-furniture store. Nairobi’s concentrated demand, economic resilience, mobile commerce and gateway role support a measured opportunity; unequal purchasing power, fiscal uncertainty, tariffs, currency exposure and bulky-goods fulfilment weaken it. The decisive question is whether IKEA can preserve its affordable and reliable proposition under Kenyan delivered-cost conditions.</w:t>
      </w:r>
    </w:p>
    <w:p w14:paraId="2ED6B29A" w14:textId="77777777" w:rsidR="009E0FE8" w:rsidRDefault="00000000">
      <w:r>
        <w:t>A staged exclusive franchise is recommended. Begin with tariff and demand validation, then e-commerce, a plan-and-order studio, collection points and optional assembly. Authorise a medium-format store only when delivered prices, margins, fulfilment and customer metrics meet thresholds. Otherwise, retain project-based International Sales.</w:t>
      </w:r>
    </w:p>
    <w:p w14:paraId="7D8E8918" w14:textId="77777777" w:rsidR="009E0FE8" w:rsidRDefault="00000000">
      <w:pPr>
        <w:pStyle w:val="Heading1"/>
        <w:pageBreakBefore/>
      </w:pPr>
      <w:r>
        <w:lastRenderedPageBreak/>
        <w:t>Section 2. Reflective Account Using Gibbs’ Reflective Cycle</w:t>
      </w:r>
    </w:p>
    <w:p w14:paraId="6EE70C44" w14:textId="77777777" w:rsidR="009E0FE8" w:rsidRDefault="00000000">
      <w:pPr>
        <w:pStyle w:val="Heading2"/>
      </w:pPr>
      <w:r>
        <w:t>Description</w:t>
      </w:r>
    </w:p>
    <w:p w14:paraId="30CE9287" w14:textId="77777777" w:rsidR="009E0FE8" w:rsidRDefault="00000000">
      <w:r>
        <w:t>I began by interpreting the assignment as an evidence problem rather than a general discussion of international expansion. The first challenge was to identify a multinational corporation and a country in which it had no significant operational presence at the required cutoff. I initially considered IKEA and Kenya because the firm’s global model is well documented and Kenya offers a strategically interesting combination of growth, urban concentration and regional access. I then tested the validity of the case through official market lists, financial reports, entry announcements and the International Sales pages. This process established that Kenya was not a formal IKEA franchise market, although project-based international deliveries meant that I could not claim the absence of all IKEA activity. After validating the case, I created a source hierarchy that prioritised company reports, legislation, regulators, government statistics, multilateral organisations and academic literature. I organised the evidence around Bartlett and Ghoshal, the political-economic-legal-cultural environment, Dunning’s OLI paradigm and entry-mode comparison.</w:t>
      </w:r>
    </w:p>
    <w:p w14:paraId="7FD80866" w14:textId="77777777" w:rsidR="009E0FE8" w:rsidRDefault="00000000">
      <w:pPr>
        <w:pStyle w:val="Heading2"/>
      </w:pPr>
      <w:r>
        <w:t>Feelings and Initial Assumptions</w:t>
      </w:r>
    </w:p>
    <w:p w14:paraId="1DC73C93" w14:textId="77777777" w:rsidR="009E0FE8" w:rsidRDefault="00000000">
      <w:r>
        <w:t>At the start, I expected the analysis to support entry relatively easily because IKEA is a globally recognised brand and Kenya has a large population and a strong digital reputation. I also assumed that e-commerce would reduce the need for expensive physical infrastructure. As the research progressed, I became less confident in these assumptions. The evidence showed that population size is a weak proxy for addressable furniture demand and that online sales do not remove the cost of delivery, returns and assembly. I was also surprised by the strategic importance of import classification. A tariff of up to 35 per cent on final goods, followed by VAT and domestic logistics, could change IKEA from an affordable retailer into a premium import brand. This created tension because the market appeared attractive at macro level while the product economics appeared uncertain.</w:t>
      </w:r>
    </w:p>
    <w:p w14:paraId="7F6B8F44" w14:textId="77777777" w:rsidR="009E0FE8" w:rsidRDefault="00000000">
      <w:pPr>
        <w:pStyle w:val="Heading2"/>
      </w:pPr>
      <w:r>
        <w:t>Evaluation</w:t>
      </w:r>
    </w:p>
    <w:p w14:paraId="5C6428ED" w14:textId="77777777" w:rsidR="009E0FE8" w:rsidRDefault="00000000">
      <w:r>
        <w:t xml:space="preserve">The strongest part of the process was the use of primary sources. Inter IKEA’s FY25 report provided clear evidence on markets, sales, franchise groups, formats and the supply system. KNBS, the IMF and the World Bank allowed actual growth to be separated from forecasts, while Kenyan laws and regulator pages clarified tax, data and consumer </w:t>
      </w:r>
      <w:r>
        <w:lastRenderedPageBreak/>
        <w:t>obligations. The weakest part was the search for a definitive statement that IKEA had no Kenyan presence. Absence is difficult to prove directly, and general web searches produced retailers claiming to sell imported IKEA products. I overcame this by distinguishing formal entry from indirect availability and by triangulating official market disclosures with the International Sales model. Another weakness was the limited public evidence on the size of Kenya’s formal furniture market. Instead of inventing a market-size figure, I treated demand as a hypothesis requiring primary research and representative-basket testing.</w:t>
      </w:r>
    </w:p>
    <w:p w14:paraId="0982E471" w14:textId="77777777" w:rsidR="009E0FE8" w:rsidRDefault="00000000">
      <w:pPr>
        <w:pStyle w:val="Heading2"/>
      </w:pPr>
      <w:r>
        <w:t>Analysis</w:t>
      </w:r>
    </w:p>
    <w:p w14:paraId="7D827C71" w14:textId="77777777" w:rsidR="009E0FE8" w:rsidRDefault="00000000">
      <w:r>
        <w:t>The main learning occurred when theory changed the interpretation of the evidence. Bartlett and Ghoshal’s framework prevented me from describing IKEA simply as a standardised global company because the franchise system also imports local knowledge and adapts channels. OLI then connected the firm, country and governance decision. IKEA’s brand, range and supply system created strong ownership advantages, but Kenya’s location advantages were reduced by tariffs and affordability constraints. Internalisation analysis showed that simple licensing would sacrifice too much control, while wholly owned entry would absorb too much risk before local knowledge existed. Transaction-cost and real-options reasoning therefore strengthened the case for a tightly governed franchise with staged commitment. This was more useful than a generic PESTLE list because each environmental factor was linked to the entry mode and implementation sequence.</w:t>
      </w:r>
    </w:p>
    <w:p w14:paraId="11ED0080" w14:textId="77777777" w:rsidR="009E0FE8" w:rsidRDefault="00000000">
      <w:pPr>
        <w:pStyle w:val="Heading2"/>
      </w:pPr>
      <w:r>
        <w:t>Conclusion</w:t>
      </w:r>
    </w:p>
    <w:p w14:paraId="4C38F54F" w14:textId="77777777" w:rsidR="009E0FE8" w:rsidRDefault="00000000">
      <w:r>
        <w:t>I concluded that a credible international-business analysis must distinguish country attractiveness from entry-model viability. Kenya can be a promising market while a full-size imported-furniture model remains inappropriate. I also learned that contradictory evidence should not be eliminated. The tension between digital opportunity and physical fulfilment, or between global scale and tariff exposure, was central to the recommendation. The final judgement became conditional rather than absolute: IKEA should enter only when the delivered-price architecture, partner capability and service model are proven. This conditional form of recommendation is more defensible because international decisions are made with incomplete data.</w:t>
      </w:r>
    </w:p>
    <w:p w14:paraId="4027A420" w14:textId="77777777" w:rsidR="009E0FE8" w:rsidRDefault="00000000">
      <w:pPr>
        <w:pStyle w:val="Heading2"/>
      </w:pPr>
      <w:r>
        <w:lastRenderedPageBreak/>
        <w:t>Action Plan</w:t>
      </w:r>
    </w:p>
    <w:p w14:paraId="4BD043F4" w14:textId="77777777" w:rsidR="009E0FE8" w:rsidRDefault="00000000">
      <w:r>
        <w:t>In future work, I would create a claim-evidence matrix at the beginning of the research process, recording the source, publication date, cutoff compliance, reliability and analytical use of every important claim. I would also identify quantitative sensitivities earlier, particularly exchange rates, tariffs, freight and margin, because these variables determine whether strategic arguments are commercially feasible. I would maintain a research diary while working rather than reconstructing reflection at the end. Finally, I would seek primary consumer evidence through interviews, home visits or a structured survey if the assignment permitted it. These actions would reduce confirmation bias, improve transparency and make the transition from evidence to judgement more systematic.</w:t>
      </w:r>
    </w:p>
    <w:p w14:paraId="0FCBC9CD" w14:textId="77777777" w:rsidR="009E0FE8" w:rsidRDefault="00000000">
      <w:r>
        <w:br w:type="page"/>
      </w:r>
    </w:p>
    <w:p w14:paraId="18096F01" w14:textId="77777777" w:rsidR="009E0FE8" w:rsidRDefault="00000000">
      <w:pPr>
        <w:pStyle w:val="Heading1"/>
      </w:pPr>
      <w:r>
        <w:lastRenderedPageBreak/>
        <w:t>Reference List</w:t>
      </w:r>
    </w:p>
    <w:p w14:paraId="3CF42F50" w14:textId="77777777" w:rsidR="009E0FE8" w:rsidRDefault="00000000">
      <w:pPr>
        <w:spacing w:after="100" w:line="276" w:lineRule="auto"/>
        <w:ind w:left="425" w:hanging="425"/>
      </w:pPr>
      <w:r>
        <w:t xml:space="preserve">Anderson, E. and Gatignon, H. (1986) ‘Modes of foreign entry: A transaction cost analysis and propositions’, Journal of International Business Studies, 17(3), pp. 1-26. Available at: </w:t>
      </w:r>
      <w:hyperlink r:id="rId18">
        <w:r w:rsidR="009E0FE8">
          <w:rPr>
            <w:color w:val="0563C1"/>
            <w:u w:val="single"/>
          </w:rPr>
          <w:t>https://doi.org/10.1057/palgrave.jibs.8490432</w:t>
        </w:r>
      </w:hyperlink>
      <w:r>
        <w:t xml:space="preserve"> (Accessed: 4 August 2026).</w:t>
      </w:r>
    </w:p>
    <w:p w14:paraId="7EC7E182" w14:textId="77777777" w:rsidR="009E0FE8" w:rsidRDefault="00000000">
      <w:pPr>
        <w:spacing w:after="100" w:line="276" w:lineRule="auto"/>
        <w:ind w:left="425" w:hanging="425"/>
      </w:pPr>
      <w:r>
        <w:t xml:space="preserve">Bartlett, C.A. and Ghoshal, S. (1989) Managing Across Borders: The Transnational Solution. Boston, MA: Harvard Business School Press. Available at: </w:t>
      </w:r>
      <w:hyperlink r:id="rId19">
        <w:r w:rsidR="009E0FE8">
          <w:rPr>
            <w:color w:val="0563C1"/>
            <w:u w:val="single"/>
          </w:rPr>
          <w:t>https://books.google.com/books/about/Managing_across_borders.html?id=FSWyG9XL6ckC</w:t>
        </w:r>
      </w:hyperlink>
      <w:r>
        <w:t xml:space="preserve"> (Accessed: 4 August 2026).</w:t>
      </w:r>
    </w:p>
    <w:p w14:paraId="55232313" w14:textId="77777777" w:rsidR="009E0FE8" w:rsidRDefault="00000000">
      <w:pPr>
        <w:spacing w:after="100" w:line="276" w:lineRule="auto"/>
        <w:ind w:left="425" w:hanging="425"/>
      </w:pPr>
      <w:r>
        <w:t xml:space="preserve">Brouthers, K.D. (2002) ‘Institutional, cultural and transaction cost influences on entry mode choice and performance’, Journal of International Business Studies, 33(2), pp. 203-221. Available at: </w:t>
      </w:r>
      <w:hyperlink r:id="rId20">
        <w:r w:rsidR="009E0FE8">
          <w:rPr>
            <w:color w:val="0563C1"/>
            <w:u w:val="single"/>
          </w:rPr>
          <w:t>https://doi.org/10.1057/palgrave.jibs.8491013</w:t>
        </w:r>
      </w:hyperlink>
      <w:r>
        <w:t xml:space="preserve"> (Accessed: 4 August 2026).</w:t>
      </w:r>
    </w:p>
    <w:p w14:paraId="40056AA4" w14:textId="77777777" w:rsidR="009E0FE8" w:rsidRDefault="00000000">
      <w:pPr>
        <w:spacing w:after="100" w:line="276" w:lineRule="auto"/>
        <w:ind w:left="425" w:hanging="425"/>
      </w:pPr>
      <w:r>
        <w:t xml:space="preserve">Communications Authority of Kenya (2025) ‘Mobile, data, and digital services on the rise, CA report shows’, 30 June. Available at: </w:t>
      </w:r>
      <w:hyperlink r:id="rId21">
        <w:r w:rsidR="009E0FE8">
          <w:rPr>
            <w:color w:val="0563C1"/>
            <w:u w:val="single"/>
          </w:rPr>
          <w:t>https://www.ca.go.ke/index.php/mobile-data-and-digital-services-rise-ca-report-shows</w:t>
        </w:r>
      </w:hyperlink>
      <w:r>
        <w:t xml:space="preserve"> (Accessed: 4 August 2026).</w:t>
      </w:r>
    </w:p>
    <w:p w14:paraId="2AD8EE25" w14:textId="77777777" w:rsidR="009E0FE8" w:rsidRDefault="00000000">
      <w:pPr>
        <w:spacing w:after="100" w:line="276" w:lineRule="auto"/>
        <w:ind w:left="425" w:hanging="425"/>
      </w:pPr>
      <w:r>
        <w:t xml:space="preserve">Communications Authority of Kenya (2026) Kenya National Broadband Strategy 2025-2030. Nairobi: Communications Authority of Kenya. Available at: </w:t>
      </w:r>
      <w:hyperlink r:id="rId22">
        <w:r w:rsidR="009E0FE8">
          <w:rPr>
            <w:color w:val="0563C1"/>
            <w:u w:val="single"/>
          </w:rPr>
          <w:t>https://ca.go.ke/sites/default/files/2026-04/Kenya%20national%20Broadband%20Strategy%202025-2030.pdf</w:t>
        </w:r>
      </w:hyperlink>
      <w:r>
        <w:t xml:space="preserve"> (Accessed: 4 August 2026).</w:t>
      </w:r>
    </w:p>
    <w:p w14:paraId="5F34CFBD" w14:textId="77777777" w:rsidR="009E0FE8" w:rsidRDefault="00000000">
      <w:pPr>
        <w:spacing w:after="100" w:line="276" w:lineRule="auto"/>
        <w:ind w:left="425" w:hanging="425"/>
      </w:pPr>
      <w:r>
        <w:t xml:space="preserve">Dunning, J.H. (1988) ‘The eclectic paradigm of international production: A restatement and some possible extensions’, Journal of International Business Studies, 19(1), pp. 1-31. Available at: </w:t>
      </w:r>
      <w:hyperlink r:id="rId23">
        <w:r w:rsidR="009E0FE8">
          <w:rPr>
            <w:color w:val="0563C1"/>
            <w:u w:val="single"/>
          </w:rPr>
          <w:t>https://doi.org/10.1057/palgrave.jibs.8490372</w:t>
        </w:r>
      </w:hyperlink>
      <w:r>
        <w:t xml:space="preserve"> (Accessed: 4 August 2026).</w:t>
      </w:r>
    </w:p>
    <w:p w14:paraId="08127EBF" w14:textId="77777777" w:rsidR="009E0FE8" w:rsidRDefault="00000000">
      <w:pPr>
        <w:spacing w:after="100" w:line="276" w:lineRule="auto"/>
        <w:ind w:left="425" w:hanging="425"/>
      </w:pPr>
      <w:r>
        <w:t xml:space="preserve">Dunning, J.H. (2001) ‘The eclectic (OLI) paradigm of international production: Past, present and future’, International Journal of the Economics of Business, 8(2), pp. 173-190. Available at: </w:t>
      </w:r>
      <w:hyperlink r:id="rId24">
        <w:r w:rsidR="009E0FE8">
          <w:rPr>
            <w:color w:val="0563C1"/>
            <w:u w:val="single"/>
          </w:rPr>
          <w:t>https://doi.org/10.1080/13571510110051441</w:t>
        </w:r>
      </w:hyperlink>
      <w:r>
        <w:t xml:space="preserve"> (Accessed: 4 August 2026).</w:t>
      </w:r>
    </w:p>
    <w:p w14:paraId="48952D3E" w14:textId="77777777" w:rsidR="009E0FE8" w:rsidRDefault="00000000">
      <w:pPr>
        <w:spacing w:after="100" w:line="276" w:lineRule="auto"/>
        <w:ind w:left="425" w:hanging="425"/>
      </w:pPr>
      <w:r>
        <w:t xml:space="preserve">East African Community (2022) East African Community Common External Tariff 2022 Version. Arusha: East African Community. Available at: </w:t>
      </w:r>
      <w:hyperlink r:id="rId25">
        <w:r w:rsidR="009E0FE8">
          <w:rPr>
            <w:color w:val="0563C1"/>
            <w:u w:val="single"/>
          </w:rPr>
          <w:t>https://www.eac.int/documents/category/eac-customs-union-common-external-tariff-version-2022</w:t>
        </w:r>
      </w:hyperlink>
      <w:r>
        <w:t xml:space="preserve"> (Accessed: 4 August 2026).</w:t>
      </w:r>
    </w:p>
    <w:p w14:paraId="1DF584C8" w14:textId="77777777" w:rsidR="009E0FE8" w:rsidRDefault="00000000">
      <w:pPr>
        <w:spacing w:after="100" w:line="276" w:lineRule="auto"/>
        <w:ind w:left="425" w:hanging="425"/>
      </w:pPr>
      <w:r>
        <w:t xml:space="preserve">Gibbs, G. (1988) Learning by Doing: A Guide to Teaching and Learning Methods. Oxford: Further Education Unit, Oxford Polytechnic. Available at: </w:t>
      </w:r>
      <w:hyperlink r:id="rId26">
        <w:r w:rsidR="009E0FE8">
          <w:rPr>
            <w:color w:val="0563C1"/>
            <w:u w:val="single"/>
          </w:rPr>
          <w:t>https://thoughtsmostlyaboutlearning.files.wordpress.com/2015/12/learning-by-doing-graham-gibbs.pdf</w:t>
        </w:r>
      </w:hyperlink>
      <w:r>
        <w:t xml:space="preserve"> (Accessed: 4 August 2026).</w:t>
      </w:r>
    </w:p>
    <w:p w14:paraId="6EF3BDA7" w14:textId="77777777" w:rsidR="009E0FE8" w:rsidRDefault="00000000">
      <w:pPr>
        <w:spacing w:after="100" w:line="276" w:lineRule="auto"/>
        <w:ind w:left="425" w:hanging="425"/>
      </w:pPr>
      <w:r>
        <w:t xml:space="preserve">Hall, E.T. (1976) Beyond Culture. New York: Anchor Books. Available at: </w:t>
      </w:r>
      <w:hyperlink r:id="rId27">
        <w:r w:rsidR="009E0FE8">
          <w:rPr>
            <w:color w:val="0563C1"/>
            <w:u w:val="single"/>
          </w:rPr>
          <w:t>https://books.google.com/books/about/Beyond_Culture.html?id=VvQA4hRCv9gC</w:t>
        </w:r>
      </w:hyperlink>
      <w:r>
        <w:t xml:space="preserve"> (Accessed: 4 August 2026).</w:t>
      </w:r>
    </w:p>
    <w:p w14:paraId="17BF9712" w14:textId="77777777" w:rsidR="009E0FE8" w:rsidRDefault="00000000">
      <w:pPr>
        <w:spacing w:after="100" w:line="276" w:lineRule="auto"/>
        <w:ind w:left="425" w:hanging="425"/>
      </w:pPr>
      <w:r>
        <w:t xml:space="preserve">Hofstede, G., Hofstede, G.J. and Minkov, M. (2010) Cultures and Organizations: Software of the Mind. 3rd edn. New York: McGraw-Hill. Available at: </w:t>
      </w:r>
      <w:hyperlink r:id="rId28">
        <w:r w:rsidR="009E0FE8">
          <w:rPr>
            <w:color w:val="0563C1"/>
            <w:u w:val="single"/>
          </w:rPr>
          <w:t>https://books.google.com/books/about/Cultures_and_Organizations.html?id=o4OqTgV3V00C</w:t>
        </w:r>
      </w:hyperlink>
      <w:r>
        <w:t xml:space="preserve"> (Accessed: 4 August 2026).</w:t>
      </w:r>
    </w:p>
    <w:p w14:paraId="2C135A7E" w14:textId="77777777" w:rsidR="009E0FE8" w:rsidRDefault="00000000">
      <w:pPr>
        <w:spacing w:after="100" w:line="276" w:lineRule="auto"/>
        <w:ind w:left="425" w:hanging="425"/>
      </w:pPr>
      <w:r>
        <w:t xml:space="preserve">IKEA (2023) ‘The extra mile with International Sales’, 23 May. Available at: </w:t>
      </w:r>
      <w:hyperlink r:id="rId29">
        <w:r w:rsidR="009E0FE8">
          <w:rPr>
            <w:color w:val="0563C1"/>
            <w:u w:val="single"/>
          </w:rPr>
          <w:t>https://www.ikea.com/global/en/stories/ikea-around-the-world/the-extra-mile-with-international-sales-230523/</w:t>
        </w:r>
      </w:hyperlink>
      <w:r>
        <w:t xml:space="preserve"> (Accessed: 4 August 2026).</w:t>
      </w:r>
    </w:p>
    <w:p w14:paraId="7D835C27" w14:textId="77777777" w:rsidR="009E0FE8" w:rsidRDefault="00000000">
      <w:pPr>
        <w:spacing w:after="100" w:line="276" w:lineRule="auto"/>
        <w:ind w:left="425" w:hanging="425"/>
      </w:pPr>
      <w:r>
        <w:t xml:space="preserve">IKEA (2026a) International Sales. Available at: </w:t>
      </w:r>
      <w:hyperlink r:id="rId30">
        <w:r w:rsidR="009E0FE8">
          <w:rPr>
            <w:color w:val="0563C1"/>
            <w:u w:val="single"/>
          </w:rPr>
          <w:t>https://www.ikea.com/global/en/international-sales/</w:t>
        </w:r>
      </w:hyperlink>
      <w:r>
        <w:t xml:space="preserve"> (Accessed: 4 August 2026).</w:t>
      </w:r>
    </w:p>
    <w:p w14:paraId="33732FD7" w14:textId="77777777" w:rsidR="009E0FE8" w:rsidRDefault="00000000">
      <w:pPr>
        <w:spacing w:after="100" w:line="276" w:lineRule="auto"/>
        <w:ind w:left="425" w:hanging="425"/>
      </w:pPr>
      <w:r>
        <w:t xml:space="preserve">IKEA (2026b) The IKEA franchise system. Available at: </w:t>
      </w:r>
      <w:hyperlink r:id="rId31">
        <w:r w:rsidR="009E0FE8">
          <w:rPr>
            <w:color w:val="0563C1"/>
            <w:u w:val="single"/>
          </w:rPr>
          <w:t>https://www.ikea.com/global/en/our-business/how-we-work/the-ikea-franchise-system/</w:t>
        </w:r>
      </w:hyperlink>
      <w:r>
        <w:t xml:space="preserve"> (Accessed: 4 August 2026).</w:t>
      </w:r>
    </w:p>
    <w:p w14:paraId="64FF25B1" w14:textId="77777777" w:rsidR="009E0FE8" w:rsidRDefault="00000000">
      <w:pPr>
        <w:spacing w:after="100" w:line="276" w:lineRule="auto"/>
        <w:ind w:left="425" w:hanging="425"/>
      </w:pPr>
      <w:r>
        <w:t xml:space="preserve">International Monetary Fund (2026) Kenya and the IMF: Country Data. Washington, DC: IMF. Available at: </w:t>
      </w:r>
      <w:hyperlink r:id="rId32">
        <w:r w:rsidR="009E0FE8">
          <w:rPr>
            <w:color w:val="0563C1"/>
            <w:u w:val="single"/>
          </w:rPr>
          <w:t>https://www.imf.org/en/Countries/KEN</w:t>
        </w:r>
      </w:hyperlink>
      <w:r>
        <w:t xml:space="preserve"> (Accessed: 4 August 2026).</w:t>
      </w:r>
    </w:p>
    <w:p w14:paraId="2B55E84B" w14:textId="77777777" w:rsidR="009E0FE8" w:rsidRDefault="00000000">
      <w:pPr>
        <w:spacing w:after="100" w:line="276" w:lineRule="auto"/>
        <w:ind w:left="425" w:hanging="425"/>
      </w:pPr>
      <w:r>
        <w:t xml:space="preserve">Inter IKEA Group (2025a) Inter IKEA Group Financial Summary FY25. Delft: Inter IKEA Group. Available at: </w:t>
      </w:r>
      <w:hyperlink r:id="rId33">
        <w:r w:rsidR="009E0FE8">
          <w:rPr>
            <w:color w:val="0563C1"/>
            <w:u w:val="single"/>
          </w:rPr>
          <w:t>https://www.inter.ikea.com/-/media/interikea/igi/financial-reports/fy25-financial-reports/inter-ikea-group-financial-summary_fy25_final.pdf</w:t>
        </w:r>
      </w:hyperlink>
      <w:r>
        <w:t xml:space="preserve"> (Accessed: 4 August 2026).</w:t>
      </w:r>
    </w:p>
    <w:p w14:paraId="19BD5BCA" w14:textId="77777777" w:rsidR="009E0FE8" w:rsidRDefault="00000000">
      <w:pPr>
        <w:spacing w:after="100" w:line="276" w:lineRule="auto"/>
        <w:ind w:left="425" w:hanging="425"/>
      </w:pPr>
      <w:r>
        <w:t xml:space="preserve">Kenya Bureau of Standards (2026) Testing Laboratories. Nairobi: KEBS. Available at: </w:t>
      </w:r>
      <w:hyperlink r:id="rId34">
        <w:r w:rsidR="009E0FE8">
          <w:rPr>
            <w:color w:val="0563C1"/>
            <w:u w:val="single"/>
          </w:rPr>
          <w:t>https://www.kebs.org/testing-laboratories/</w:t>
        </w:r>
      </w:hyperlink>
      <w:r>
        <w:t xml:space="preserve"> (Accessed: 4 August 2026).</w:t>
      </w:r>
    </w:p>
    <w:p w14:paraId="1077265C" w14:textId="77777777" w:rsidR="009E0FE8" w:rsidRDefault="00000000">
      <w:pPr>
        <w:spacing w:after="100" w:line="276" w:lineRule="auto"/>
        <w:ind w:left="425" w:hanging="425"/>
      </w:pPr>
      <w:r>
        <w:t xml:space="preserve">Kenya Law (2010) Competition Act, No. 12 of 2010. Nairobi: National Council for Law Reporting. Available at: </w:t>
      </w:r>
      <w:hyperlink r:id="rId35">
        <w:r w:rsidR="009E0FE8">
          <w:rPr>
            <w:color w:val="0563C1"/>
            <w:u w:val="single"/>
          </w:rPr>
          <w:t>https://kenyalaw.org/akn/ke/act/2010/12</w:t>
        </w:r>
      </w:hyperlink>
      <w:r>
        <w:t xml:space="preserve"> (Accessed: 4 August 2026).</w:t>
      </w:r>
    </w:p>
    <w:p w14:paraId="46073FF5" w14:textId="77777777" w:rsidR="009E0FE8" w:rsidRDefault="00000000">
      <w:pPr>
        <w:spacing w:after="100" w:line="276" w:lineRule="auto"/>
        <w:ind w:left="425" w:hanging="425"/>
      </w:pPr>
      <w:r>
        <w:t xml:space="preserve">Kenya Law (2012) Consumer Protection Act, No. 46 of 2012. Nairobi: National Council for Law Reporting. Available at: </w:t>
      </w:r>
      <w:hyperlink r:id="rId36">
        <w:r w:rsidR="009E0FE8">
          <w:rPr>
            <w:color w:val="0563C1"/>
            <w:u w:val="single"/>
          </w:rPr>
          <w:t>https://new.kenyalaw.org/akn/ke/act/2012/46/eng@2022-12-31</w:t>
        </w:r>
      </w:hyperlink>
      <w:r>
        <w:t xml:space="preserve"> (Accessed: 4 August 2026).</w:t>
      </w:r>
    </w:p>
    <w:p w14:paraId="1F2D7E1C" w14:textId="77777777" w:rsidR="009E0FE8" w:rsidRDefault="00000000">
      <w:pPr>
        <w:spacing w:after="100" w:line="276" w:lineRule="auto"/>
        <w:ind w:left="425" w:hanging="425"/>
      </w:pPr>
      <w:r>
        <w:t xml:space="preserve">Kenya Law (2015) Companies Act, No. 17 of 2015. Nairobi: National Council for Law Reporting. Available at: </w:t>
      </w:r>
      <w:hyperlink r:id="rId37">
        <w:r w:rsidR="009E0FE8">
          <w:rPr>
            <w:color w:val="0563C1"/>
            <w:u w:val="single"/>
          </w:rPr>
          <w:t>https://new.kenyalaw.org/akn/ke/act/2015/17/eng@2024-12-27</w:t>
        </w:r>
      </w:hyperlink>
      <w:r>
        <w:t xml:space="preserve"> (Accessed: 4 August 2026).</w:t>
      </w:r>
    </w:p>
    <w:p w14:paraId="2F4BC56D" w14:textId="77777777" w:rsidR="009E0FE8" w:rsidRDefault="00000000">
      <w:pPr>
        <w:spacing w:after="100" w:line="276" w:lineRule="auto"/>
        <w:ind w:left="425" w:hanging="425"/>
      </w:pPr>
      <w:r>
        <w:t xml:space="preserve">Kenya Law (2019) Data Protection Act, No. 24 of 2019. Nairobi: National Council for Law Reporting. Available at: </w:t>
      </w:r>
      <w:hyperlink r:id="rId38">
        <w:r w:rsidR="009E0FE8">
          <w:rPr>
            <w:color w:val="0563C1"/>
            <w:u w:val="single"/>
          </w:rPr>
          <w:t>https://new.kenyalaw.org/akn/ke/act/2019/24</w:t>
        </w:r>
      </w:hyperlink>
      <w:r>
        <w:t xml:space="preserve"> (Accessed: 4 August 2026).</w:t>
      </w:r>
    </w:p>
    <w:p w14:paraId="08E1A47E" w14:textId="77777777" w:rsidR="009E0FE8" w:rsidRDefault="00000000">
      <w:pPr>
        <w:spacing w:after="100" w:line="276" w:lineRule="auto"/>
        <w:ind w:left="425" w:hanging="425"/>
      </w:pPr>
      <w:r>
        <w:t xml:space="preserve">Kenya Law (2021a) Data Protection (General) Regulations, 2021. Nairobi: National Council for Law Reporting. Available at: </w:t>
      </w:r>
      <w:hyperlink r:id="rId39">
        <w:r w:rsidR="009E0FE8">
          <w:rPr>
            <w:color w:val="0563C1"/>
            <w:u w:val="single"/>
          </w:rPr>
          <w:t>https://kenyalaw.org/akn/ke/act/ln/2021/263/eng@2022-01-14</w:t>
        </w:r>
      </w:hyperlink>
      <w:r>
        <w:t xml:space="preserve"> (Accessed: 4 August 2026).</w:t>
      </w:r>
    </w:p>
    <w:p w14:paraId="53702A99" w14:textId="77777777" w:rsidR="009E0FE8" w:rsidRDefault="00000000">
      <w:pPr>
        <w:spacing w:after="100" w:line="276" w:lineRule="auto"/>
        <w:ind w:left="425" w:hanging="425"/>
      </w:pPr>
      <w:r>
        <w:t xml:space="preserve">Kenya Law (2021b) Data Protection (Registration of Data Controllers and Data Processors) Regulations, 2021. Nairobi: National Council for Law Reporting. Available at: </w:t>
      </w:r>
      <w:hyperlink r:id="rId40">
        <w:r w:rsidR="009E0FE8">
          <w:rPr>
            <w:color w:val="0563C1"/>
            <w:u w:val="single"/>
          </w:rPr>
          <w:t>https://kenyalaw.org/akn/ke/act/ln/2021/265/eng@2022-01-14</w:t>
        </w:r>
      </w:hyperlink>
      <w:r>
        <w:t xml:space="preserve"> (Accessed: 4 August 2026).</w:t>
      </w:r>
    </w:p>
    <w:p w14:paraId="111F0B99" w14:textId="77777777" w:rsidR="009E0FE8" w:rsidRDefault="00000000">
      <w:pPr>
        <w:spacing w:after="100" w:line="276" w:lineRule="auto"/>
        <w:ind w:left="425" w:hanging="425"/>
      </w:pPr>
      <w:r>
        <w:t xml:space="preserve">Kenya National Bureau of Statistics (2025) Economic Survey 2025. Nairobi: KNBS. Available at: </w:t>
      </w:r>
      <w:hyperlink r:id="rId41">
        <w:r w:rsidR="009E0FE8">
          <w:rPr>
            <w:color w:val="0563C1"/>
            <w:u w:val="single"/>
          </w:rPr>
          <w:t>https://www.knbs.or.ke/reports/2025-economic-survey/</w:t>
        </w:r>
      </w:hyperlink>
      <w:r>
        <w:t xml:space="preserve"> (Accessed: 4 August 2026).</w:t>
      </w:r>
    </w:p>
    <w:p w14:paraId="6F0CA227" w14:textId="77777777" w:rsidR="009E0FE8" w:rsidRDefault="00000000">
      <w:pPr>
        <w:spacing w:after="100" w:line="276" w:lineRule="auto"/>
        <w:ind w:left="425" w:hanging="425"/>
      </w:pPr>
      <w:r>
        <w:lastRenderedPageBreak/>
        <w:t xml:space="preserve">Kenya National Bureau of Statistics (2026) Economic Survey 2026. Nairobi: KNBS. Available at: </w:t>
      </w:r>
      <w:hyperlink r:id="rId42">
        <w:r w:rsidR="009E0FE8">
          <w:rPr>
            <w:color w:val="0563C1"/>
            <w:u w:val="single"/>
          </w:rPr>
          <w:t>https://www.knbs.or.ke/reports/2026-economic-survey/</w:t>
        </w:r>
      </w:hyperlink>
      <w:r>
        <w:t xml:space="preserve"> (Accessed: 4 August 2026).</w:t>
      </w:r>
    </w:p>
    <w:p w14:paraId="52B5AD80" w14:textId="77777777" w:rsidR="009E0FE8" w:rsidRDefault="00000000">
      <w:pPr>
        <w:spacing w:after="100" w:line="276" w:lineRule="auto"/>
        <w:ind w:left="425" w:hanging="425"/>
      </w:pPr>
      <w:r>
        <w:t xml:space="preserve">Kenya Revenue Authority (2026a) Value Added Tax. Nairobi: KRA. Available at: </w:t>
      </w:r>
      <w:hyperlink r:id="rId43">
        <w:r w:rsidR="009E0FE8">
          <w:rPr>
            <w:color w:val="0563C1"/>
            <w:u w:val="single"/>
          </w:rPr>
          <w:t>https://www.kra.go.ke/individual/filing-paying/types-of-taxes/value-added-tax</w:t>
        </w:r>
      </w:hyperlink>
      <w:r>
        <w:t xml:space="preserve"> (Accessed: 4 August 2026).</w:t>
      </w:r>
    </w:p>
    <w:p w14:paraId="1ECDE0BE" w14:textId="77777777" w:rsidR="009E0FE8" w:rsidRDefault="00000000">
      <w:pPr>
        <w:spacing w:after="100" w:line="276" w:lineRule="auto"/>
        <w:ind w:left="425" w:hanging="425"/>
      </w:pPr>
      <w:r>
        <w:t xml:space="preserve">Kenya Revenue Authority (2026b) Filing and Paying Taxes: Companies and Partnerships. Nairobi: KRA. Available at: </w:t>
      </w:r>
      <w:hyperlink r:id="rId44">
        <w:r w:rsidR="009E0FE8">
          <w:rPr>
            <w:color w:val="0563C1"/>
            <w:u w:val="single"/>
          </w:rPr>
          <w:t>https://www.kra.go.ke/business/companies-partnerships/companies-partnerships-pin-taxes/companies-partnerships-file-pay</w:t>
        </w:r>
      </w:hyperlink>
      <w:r>
        <w:t xml:space="preserve"> (Accessed: 4 August 2026).</w:t>
      </w:r>
    </w:p>
    <w:p w14:paraId="5B339950" w14:textId="77777777" w:rsidR="009E0FE8" w:rsidRDefault="00000000">
      <w:pPr>
        <w:spacing w:after="100" w:line="276" w:lineRule="auto"/>
        <w:ind w:left="425" w:hanging="425"/>
      </w:pPr>
      <w:r>
        <w:t xml:space="preserve">Transparency International (2026) Corruption Perceptions Index 2025: Kenya. Berlin: Transparency International. Available at: </w:t>
      </w:r>
      <w:hyperlink r:id="rId45">
        <w:r w:rsidR="009E0FE8">
          <w:rPr>
            <w:color w:val="0563C1"/>
            <w:u w:val="single"/>
          </w:rPr>
          <w:t>https://www.transparency.org/en/countries/kenya</w:t>
        </w:r>
      </w:hyperlink>
      <w:r>
        <w:t xml:space="preserve"> (Accessed: 4 August 2026).</w:t>
      </w:r>
    </w:p>
    <w:p w14:paraId="658D660E" w14:textId="77777777" w:rsidR="009E0FE8" w:rsidRDefault="00000000">
      <w:pPr>
        <w:spacing w:after="100" w:line="276" w:lineRule="auto"/>
        <w:ind w:left="425" w:hanging="425"/>
      </w:pPr>
      <w:r>
        <w:t xml:space="preserve">World Bank (2025a) ‘Despite improvements, Kenya’s fiscal path is fragile amid high debt vulnerabilities and weak revenue growth’, 27 May. Washington, DC: World Bank. Available at: </w:t>
      </w:r>
      <w:hyperlink r:id="rId46">
        <w:r w:rsidR="009E0FE8">
          <w:rPr>
            <w:color w:val="0563C1"/>
            <w:u w:val="single"/>
          </w:rPr>
          <w:t>https://www.worldbank.org/en/news/press-release/2025/05/27/despite-improvements-afe-kenyas-fiscal-path-is-fragile-amid-high-debt-vulnerabilities-and-weak-revenue-growth</w:t>
        </w:r>
      </w:hyperlink>
      <w:r>
        <w:t xml:space="preserve"> (Accessed: 4 August 2026).</w:t>
      </w:r>
    </w:p>
    <w:p w14:paraId="7C9118AD" w14:textId="77777777" w:rsidR="009E0FE8" w:rsidRDefault="00000000">
      <w:pPr>
        <w:spacing w:after="100" w:line="276" w:lineRule="auto"/>
        <w:ind w:left="425" w:hanging="425"/>
      </w:pPr>
      <w:r>
        <w:t xml:space="preserve">World Bank (2026) Urban population (% of total population) - Kenya. Washington, DC: World Bank. Available at: </w:t>
      </w:r>
      <w:hyperlink r:id="rId47">
        <w:r w:rsidR="009E0FE8">
          <w:rPr>
            <w:color w:val="0563C1"/>
            <w:u w:val="single"/>
          </w:rPr>
          <w:t>https://data.worldbank.org/indicator/SP.URB.TOTL.IN.ZS?locations=KE</w:t>
        </w:r>
      </w:hyperlink>
      <w:r>
        <w:t xml:space="preserve"> (Accessed: 4 August 2026).</w:t>
      </w:r>
    </w:p>
    <w:p w14:paraId="656C8CC5" w14:textId="77777777" w:rsidR="009E0FE8" w:rsidRDefault="00000000">
      <w:pPr>
        <w:spacing w:after="100" w:line="276" w:lineRule="auto"/>
        <w:ind w:left="425" w:hanging="425"/>
      </w:pPr>
      <w:r>
        <w:t xml:space="preserve">Wikimedia Commons (2008) Nairobi skyline P1000020.jpg. Photograph by Lmwangi. CC BY-SA 3.0. Available at: </w:t>
      </w:r>
      <w:hyperlink r:id="rId48">
        <w:r w:rsidR="009E0FE8">
          <w:rPr>
            <w:color w:val="0563C1"/>
            <w:u w:val="single"/>
          </w:rPr>
          <w:t>https://commons.wikimedia.org/wiki/File:Nairobi_skyline_P1000020.jpg</w:t>
        </w:r>
      </w:hyperlink>
      <w:r>
        <w:t xml:space="preserve"> (Accessed: 4 August 2026).</w:t>
      </w:r>
    </w:p>
    <w:p w14:paraId="10615F60" w14:textId="77777777" w:rsidR="009E0FE8" w:rsidRDefault="00000000">
      <w:pPr>
        <w:spacing w:after="100" w:line="276" w:lineRule="auto"/>
        <w:ind w:left="425" w:hanging="425"/>
      </w:pPr>
      <w:r>
        <w:t xml:space="preserve">Wikimedia Commons (2012) IKEA (8020223012).jpg. Photograph by Montgomery County Planning Commission. CC BY-SA 2.0. Available at: </w:t>
      </w:r>
      <w:hyperlink r:id="rId49">
        <w:r w:rsidR="009E0FE8">
          <w:rPr>
            <w:color w:val="0563C1"/>
            <w:u w:val="single"/>
          </w:rPr>
          <w:t>https://commons.wikimedia.org/wiki/File:IKEA_(8020223012).jpg</w:t>
        </w:r>
      </w:hyperlink>
      <w:r>
        <w:t xml:space="preserve"> (Accessed: 4 August 2026).</w:t>
      </w:r>
    </w:p>
    <w:sectPr w:rsidR="009E0FE8" w:rsidSect="00034616">
      <w:headerReference w:type="default" r:id="rId50"/>
      <w:footerReference w:type="default" r:id="rId51"/>
      <w:pgSz w:w="11906" w:h="16838"/>
      <w:pgMar w:top="1020" w:right="1191" w:bottom="1020" w:left="130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D0ACAD" w14:textId="77777777" w:rsidR="00810691" w:rsidRDefault="00810691">
      <w:pPr>
        <w:spacing w:after="0" w:line="240" w:lineRule="auto"/>
      </w:pPr>
      <w:r>
        <w:separator/>
      </w:r>
    </w:p>
  </w:endnote>
  <w:endnote w:type="continuationSeparator" w:id="0">
    <w:p w14:paraId="0EA79257" w14:textId="77777777" w:rsidR="00810691" w:rsidRDefault="00810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2ABBE9" w14:textId="77777777" w:rsidR="009E0FE8" w:rsidRDefault="00000000">
    <w:pPr>
      <w:pStyle w:val="Footer"/>
      <w:jc w:val="center"/>
    </w:pPr>
    <w:r>
      <w:rPr>
        <w:color w:val="646464"/>
        <w:sz w:val="16"/>
      </w:rPr>
      <w:t xml:space="preserve">Page </w:t>
    </w:r>
    <w:r>
      <w:fldChar w:fldCharType="begin"/>
    </w:r>
    <w:r>
      <w:instrText>PAGE</w:instrText>
    </w:r>
    <w:r>
      <w:fldChar w:fldCharType="separate"/>
    </w:r>
    <w:r w:rsidR="008B7F6B">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B90EC6" w14:textId="77777777" w:rsidR="00810691" w:rsidRDefault="00810691">
      <w:pPr>
        <w:spacing w:after="0" w:line="240" w:lineRule="auto"/>
      </w:pPr>
      <w:r>
        <w:separator/>
      </w:r>
    </w:p>
  </w:footnote>
  <w:footnote w:type="continuationSeparator" w:id="0">
    <w:p w14:paraId="50CCF902" w14:textId="77777777" w:rsidR="00810691" w:rsidRDefault="008106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672672" w14:textId="77777777" w:rsidR="009E0FE8" w:rsidRDefault="00000000">
    <w:pPr>
      <w:pStyle w:val="Header"/>
      <w:jc w:val="center"/>
    </w:pPr>
    <w:r>
      <w:rPr>
        <w:b/>
        <w:color w:val="6E6E6E"/>
        <w:sz w:val="16"/>
      </w:rPr>
      <w:t>IKEA ENTRY INTO KENYA | LCMB7034 INTERNATIONAL BUSINESS CONCEPTS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52424627">
    <w:abstractNumId w:val="8"/>
  </w:num>
  <w:num w:numId="2" w16cid:durableId="1561554208">
    <w:abstractNumId w:val="6"/>
  </w:num>
  <w:num w:numId="3" w16cid:durableId="1739983612">
    <w:abstractNumId w:val="5"/>
  </w:num>
  <w:num w:numId="4" w16cid:durableId="602568973">
    <w:abstractNumId w:val="4"/>
  </w:num>
  <w:num w:numId="5" w16cid:durableId="958804724">
    <w:abstractNumId w:val="7"/>
  </w:num>
  <w:num w:numId="6" w16cid:durableId="986976414">
    <w:abstractNumId w:val="3"/>
  </w:num>
  <w:num w:numId="7" w16cid:durableId="1162895312">
    <w:abstractNumId w:val="2"/>
  </w:num>
  <w:num w:numId="8" w16cid:durableId="1504399569">
    <w:abstractNumId w:val="1"/>
  </w:num>
  <w:num w:numId="9" w16cid:durableId="1829202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60DA"/>
    <w:rsid w:val="0015074B"/>
    <w:rsid w:val="0029639D"/>
    <w:rsid w:val="00326F90"/>
    <w:rsid w:val="006817CD"/>
    <w:rsid w:val="00743A13"/>
    <w:rsid w:val="00810691"/>
    <w:rsid w:val="008B7F6B"/>
    <w:rsid w:val="009E0FE8"/>
    <w:rsid w:val="00AA1D8D"/>
    <w:rsid w:val="00B47730"/>
    <w:rsid w:val="00BE4844"/>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5040AC"/>
  <w14:defaultImageDpi w14:val="300"/>
  <w15:docId w15:val="{85A81C29-287F-44C7-9786-63FB041E2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line="360" w:lineRule="auto"/>
      <w:jc w:val="both"/>
    </w:pPr>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b/>
      <w:bCs/>
      <w:color w:val="0058A3"/>
      <w:sz w:val="32"/>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0058A3"/>
      <w:sz w:val="26"/>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263238"/>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200" w:after="100" w:line="240" w:lineRule="auto"/>
      <w:contextualSpacing/>
    </w:pPr>
    <w:rPr>
      <w:rFonts w:asciiTheme="majorHAnsi" w:eastAsiaTheme="majorEastAsia" w:hAnsiTheme="majorHAnsi" w:cstheme="majorBidi"/>
      <w:b/>
      <w:color w:val="0058A3"/>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keepNext/>
      <w:numPr>
        <w:ilvl w:val="1"/>
      </w:numPr>
      <w:spacing w:before="200" w:after="100"/>
    </w:pPr>
    <w:rPr>
      <w:rFonts w:asciiTheme="majorHAnsi" w:eastAsiaTheme="majorEastAsia" w:hAnsiTheme="majorHAnsi" w:cstheme="majorBidi"/>
      <w:b/>
      <w:i/>
      <w:iCs/>
      <w:color w:val="263238"/>
      <w:spacing w:val="15"/>
      <w:sz w:val="28"/>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aptionText">
    <w:name w:val="CaptionText"/>
    <w:pPr>
      <w:spacing w:after="60"/>
    </w:pPr>
    <w:rPr>
      <w:rFonts w:ascii="Arial" w:eastAsia="Arial" w:hAnsi="Arial"/>
      <w:color w:val="464646"/>
      <w:sz w:val="18"/>
    </w:rPr>
  </w:style>
  <w:style w:type="paragraph" w:customStyle="1" w:styleId="TableText">
    <w:name w:val="TableText"/>
    <w:pPr>
      <w:spacing w:after="60"/>
    </w:pPr>
    <w:rPr>
      <w:rFonts w:ascii="Arial" w:eastAsia="Arial" w:hAnsi="Arial"/>
      <w:color w:val="000000"/>
      <w:sz w:val="18"/>
    </w:rPr>
  </w:style>
  <w:style w:type="paragraph" w:customStyle="1" w:styleId="SourceText">
    <w:name w:val="SourceText"/>
    <w:pPr>
      <w:spacing w:after="60"/>
    </w:pPr>
    <w:rPr>
      <w:rFonts w:ascii="Arial" w:eastAsia="Arial" w:hAnsi="Arial"/>
      <w:color w:val="5A5A5A"/>
      <w:sz w:val="17"/>
    </w:rPr>
  </w:style>
  <w:style w:type="paragraph" w:customStyle="1" w:styleId="WarningText">
    <w:name w:val="WarningText"/>
    <w:pPr>
      <w:spacing w:after="60"/>
    </w:pPr>
    <w:rPr>
      <w:rFonts w:ascii="Arial" w:eastAsia="Arial" w:hAnsi="Arial"/>
      <w:color w:val="9C0006"/>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57/palgrave.jibs.8490432" TargetMode="External"/><Relationship Id="rId26" Type="http://schemas.openxmlformats.org/officeDocument/2006/relationships/hyperlink" Target="https://thoughtsmostlyaboutlearning.files.wordpress.com/2015/12/learning-by-doing-graham-gibbs.pdf" TargetMode="External"/><Relationship Id="rId39" Type="http://schemas.openxmlformats.org/officeDocument/2006/relationships/hyperlink" Target="https://kenyalaw.org/akn/ke/act/ln/2021/263/eng@2022-01-14" TargetMode="External"/><Relationship Id="rId21" Type="http://schemas.openxmlformats.org/officeDocument/2006/relationships/hyperlink" Target="https://www.ca.go.ke/index.php/mobile-data-and-digital-services-rise-ca-report-shows" TargetMode="External"/><Relationship Id="rId34" Type="http://schemas.openxmlformats.org/officeDocument/2006/relationships/hyperlink" Target="https://www.kebs.org/testing-laboratories/" TargetMode="External"/><Relationship Id="rId42" Type="http://schemas.openxmlformats.org/officeDocument/2006/relationships/hyperlink" Target="https://www.knbs.or.ke/reports/2026-economic-survey/" TargetMode="External"/><Relationship Id="rId47" Type="http://schemas.openxmlformats.org/officeDocument/2006/relationships/hyperlink" Target="https://data.worldbank.org/indicator/SP.URB.TOTL.IN.ZS?locations=KE" TargetMode="External"/><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ikea.com/global/en/stories/ikea-around-the-world/the-extra-mile-with-international-sales-230523/" TargetMode="External"/><Relationship Id="rId11" Type="http://schemas.openxmlformats.org/officeDocument/2006/relationships/image" Target="media/image4.jpg"/><Relationship Id="rId24" Type="http://schemas.openxmlformats.org/officeDocument/2006/relationships/hyperlink" Target="https://doi.org/10.1080/13571510110051441" TargetMode="External"/><Relationship Id="rId32" Type="http://schemas.openxmlformats.org/officeDocument/2006/relationships/hyperlink" Target="https://www.imf.org/en/Countries/KEN" TargetMode="External"/><Relationship Id="rId37" Type="http://schemas.openxmlformats.org/officeDocument/2006/relationships/hyperlink" Target="https://new.kenyalaw.org/akn/ke/act/2015/17/eng@2024-12-27" TargetMode="External"/><Relationship Id="rId40" Type="http://schemas.openxmlformats.org/officeDocument/2006/relationships/hyperlink" Target="https://kenyalaw.org/akn/ke/act/ln/2021/265/eng@2022-01-14" TargetMode="External"/><Relationship Id="rId45" Type="http://schemas.openxmlformats.org/officeDocument/2006/relationships/hyperlink" Target="https://www.transparency.org/en/countries/kenya"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jpg"/><Relationship Id="rId19" Type="http://schemas.openxmlformats.org/officeDocument/2006/relationships/hyperlink" Target="https://books.google.com/books/about/Managing_across_borders.html?id=FSWyG9XL6ckC" TargetMode="External"/><Relationship Id="rId31" Type="http://schemas.openxmlformats.org/officeDocument/2006/relationships/hyperlink" Target="https://www.ikea.com/global/en/our-business/how-we-work/the-ikea-franchise-system/" TargetMode="External"/><Relationship Id="rId44" Type="http://schemas.openxmlformats.org/officeDocument/2006/relationships/hyperlink" Target="https://www.kra.go.ke/business/companies-partnerships/companies-partnerships-pin-taxes/companies-partnerships-file-pay"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ca.go.ke/sites/default/files/2026-04/Kenya%20national%20Broadband%20Strategy%202025-2030.pdf" TargetMode="External"/><Relationship Id="rId27" Type="http://schemas.openxmlformats.org/officeDocument/2006/relationships/hyperlink" Target="https://books.google.com/books/about/Beyond_Culture.html?id=VvQA4hRCv9gC" TargetMode="External"/><Relationship Id="rId30" Type="http://schemas.openxmlformats.org/officeDocument/2006/relationships/hyperlink" Target="https://www.ikea.com/global/en/international-sales/" TargetMode="External"/><Relationship Id="rId35" Type="http://schemas.openxmlformats.org/officeDocument/2006/relationships/hyperlink" Target="https://kenyalaw.org/akn/ke/act/2010/12" TargetMode="External"/><Relationship Id="rId43" Type="http://schemas.openxmlformats.org/officeDocument/2006/relationships/hyperlink" Target="https://www.kra.go.ke/individual/filing-paying/types-of-taxes/value-added-tax" TargetMode="External"/><Relationship Id="rId48" Type="http://schemas.openxmlformats.org/officeDocument/2006/relationships/hyperlink" Target="https://commons.wikimedia.org/wiki/File:Nairobi_skyline_P1000020.jpg"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ac.int/documents/category/eac-customs-union-common-external-tariff-version-2022" TargetMode="External"/><Relationship Id="rId33" Type="http://schemas.openxmlformats.org/officeDocument/2006/relationships/hyperlink" Target="https://www.inter.ikea.com/-/media/interikea/igi/financial-reports/fy25-financial-reports/inter-ikea-group-financial-summary_fy25_final.pdf" TargetMode="External"/><Relationship Id="rId38" Type="http://schemas.openxmlformats.org/officeDocument/2006/relationships/hyperlink" Target="https://new.kenyalaw.org/akn/ke/act/2019/24" TargetMode="External"/><Relationship Id="rId46" Type="http://schemas.openxmlformats.org/officeDocument/2006/relationships/hyperlink" Target="https://www.worldbank.org/en/news/press-release/2025/05/27/despite-improvements-afe-kenyas-fiscal-path-is-fragile-amid-high-debt-vulnerabilities-and-weak-revenue-growth" TargetMode="External"/><Relationship Id="rId20" Type="http://schemas.openxmlformats.org/officeDocument/2006/relationships/hyperlink" Target="https://doi.org/10.1057/palgrave.jibs.8491013" TargetMode="External"/><Relationship Id="rId41" Type="http://schemas.openxmlformats.org/officeDocument/2006/relationships/hyperlink" Target="https://www.knbs.or.ke/reports/2025-economic-surve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57/palgrave.jibs.8490372" TargetMode="External"/><Relationship Id="rId28" Type="http://schemas.openxmlformats.org/officeDocument/2006/relationships/hyperlink" Target="https://books.google.com/books/about/Cultures_and_Organizations.html?id=o4OqTgV3V00C" TargetMode="External"/><Relationship Id="rId36" Type="http://schemas.openxmlformats.org/officeDocument/2006/relationships/hyperlink" Target="https://new.kenyalaw.org/akn/ke/act/2012/46/eng@2022-12-31" TargetMode="External"/><Relationship Id="rId49" Type="http://schemas.openxmlformats.org/officeDocument/2006/relationships/hyperlink" Target="https://commons.wikimedia.org/wiki/File:IKEA_(8020223012).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23</Pages>
  <Words>7285</Words>
  <Characters>41529</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48717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IKEA Proposed Entry into Kenya - International Market Entry Report</dc:title>
  <dc:subject>LCMB7034 International Business Concepts research draft</dc:subject>
  <dc:creator>user</dc:creator>
  <cp:keywords>IKEA, Kenya, international business, OLI, entry mode, franchise</cp:keywords>
  <dc:description>Indicative total document word count including references and tables: 8256. Main report should be independently rewritten and counted in Word.</dc:description>
  <cp:lastModifiedBy>rohit virani</cp:lastModifiedBy>
  <cp:revision>3</cp:revision>
  <dcterms:created xsi:type="dcterms:W3CDTF">2026-08-04T13:51:00Z</dcterms:created>
  <dcterms:modified xsi:type="dcterms:W3CDTF">2026-08-11T22:30:00Z</dcterms:modified>
  <cp:category/>
</cp:coreProperties>
</file>