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E46D1" w14:textId="7D8B1167" w:rsidR="00A575D9" w:rsidRPr="007B33AA" w:rsidRDefault="00A575D9">
      <w:pPr>
        <w:rPr>
          <w:u w:val="single"/>
        </w:rPr>
      </w:pPr>
      <w:r w:rsidRPr="007B33AA">
        <w:rPr>
          <w:u w:val="single"/>
        </w:rPr>
        <w:t>Scene from the Bayeux Tapestry; Harold swears an oath to William</w:t>
      </w:r>
      <w:r w:rsidR="00812E9C">
        <w:rPr>
          <w:u w:val="single"/>
        </w:rPr>
        <w:t>:</w:t>
      </w:r>
    </w:p>
    <w:p w14:paraId="210E60CD" w14:textId="5B279F8B" w:rsidR="00E631E5" w:rsidRDefault="00E631E5" w:rsidP="00511FDA">
      <w:r w:rsidRPr="007B33AA">
        <w:rPr>
          <w:noProof/>
          <w:u w:val="single"/>
        </w:rPr>
        <w:drawing>
          <wp:inline distT="0" distB="0" distL="0" distR="0" wp14:anchorId="685D18B0" wp14:editId="37791640">
            <wp:extent cx="2842895" cy="1780248"/>
            <wp:effectExtent l="0" t="0" r="0" b="0"/>
            <wp:docPr id="658740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5468" t="1" r="9029" b="2451"/>
                    <a:stretch>
                      <a:fillRect/>
                    </a:stretch>
                  </pic:blipFill>
                  <pic:spPr bwMode="auto">
                    <a:xfrm>
                      <a:off x="0" y="0"/>
                      <a:ext cx="2848041" cy="1783470"/>
                    </a:xfrm>
                    <a:prstGeom prst="rect">
                      <a:avLst/>
                    </a:prstGeom>
                    <a:noFill/>
                    <a:ln>
                      <a:noFill/>
                    </a:ln>
                    <a:extLst>
                      <a:ext uri="{53640926-AAD7-44D8-BBD7-CCE9431645EC}">
                        <a14:shadowObscured xmlns:a14="http://schemas.microsoft.com/office/drawing/2010/main"/>
                      </a:ext>
                    </a:extLst>
                  </pic:spPr>
                </pic:pic>
              </a:graphicData>
            </a:graphic>
          </wp:inline>
        </w:drawing>
      </w:r>
    </w:p>
    <w:p w14:paraId="18826540" w14:textId="20B762C3" w:rsidR="00A06DD7" w:rsidRDefault="00511FDA" w:rsidP="00511FDA">
      <w:r>
        <w:t>This imag</w:t>
      </w:r>
      <w:r w:rsidR="00937A04">
        <w:t>e is a scene from the Bayeux Tapestry which was created</w:t>
      </w:r>
      <w:r w:rsidR="00F31B74">
        <w:t xml:space="preserve"> in the last third of the 11</w:t>
      </w:r>
      <w:r w:rsidR="00F31B74" w:rsidRPr="00F31B74">
        <w:rPr>
          <w:vertAlign w:val="superscript"/>
        </w:rPr>
        <w:t>th</w:t>
      </w:r>
      <w:r w:rsidR="00F31B74">
        <w:t xml:space="preserve"> Century</w:t>
      </w:r>
      <w:r w:rsidR="00937A04">
        <w:t xml:space="preserve"> </w:t>
      </w:r>
      <w:r w:rsidR="00D90A80">
        <w:t xml:space="preserve">following </w:t>
      </w:r>
      <w:r w:rsidR="00DF7683">
        <w:t xml:space="preserve">the </w:t>
      </w:r>
      <w:r w:rsidR="00A5319B">
        <w:t xml:space="preserve">events of the </w:t>
      </w:r>
      <w:r w:rsidR="00DF7683">
        <w:t>Battle of Hastings</w:t>
      </w:r>
      <w:r w:rsidR="00F31B74">
        <w:t>.</w:t>
      </w:r>
      <w:r w:rsidR="00F31B74">
        <w:rPr>
          <w:rStyle w:val="FootnoteReference"/>
        </w:rPr>
        <w:footnoteReference w:id="1"/>
      </w:r>
      <w:r w:rsidR="00266664">
        <w:t xml:space="preserve"> </w:t>
      </w:r>
      <w:r w:rsidR="009E4BBB">
        <w:t>The</w:t>
      </w:r>
      <w:r w:rsidR="00157B6B">
        <w:t xml:space="preserve"> embroidery</w:t>
      </w:r>
      <w:r w:rsidR="00266664" w:rsidRPr="00A51B04">
        <w:t xml:space="preserve"> was made </w:t>
      </w:r>
      <w:r w:rsidR="00E7468B" w:rsidRPr="00A51B04">
        <w:t>to commemorate the Norman conquest of England</w:t>
      </w:r>
      <w:r w:rsidR="00A464F7" w:rsidRPr="00A51B04">
        <w:t xml:space="preserve"> after 1066</w:t>
      </w:r>
      <w:r w:rsidR="00A5319B" w:rsidRPr="00A51B04">
        <w:t xml:space="preserve"> and to show not only the events of the conquest but the events leading up to it and the reasoning behind them</w:t>
      </w:r>
      <w:r w:rsidR="00266664" w:rsidRPr="00A51B04">
        <w:t>.</w:t>
      </w:r>
      <w:r w:rsidR="00266664" w:rsidRPr="00A51B04">
        <w:rPr>
          <w:rStyle w:val="FootnoteReference"/>
        </w:rPr>
        <w:footnoteReference w:id="2"/>
      </w:r>
      <w:r w:rsidR="004D3AA5">
        <w:t xml:space="preserve"> </w:t>
      </w:r>
      <w:r w:rsidR="00985071">
        <w:t>Although</w:t>
      </w:r>
      <w:r w:rsidR="004D3AA5">
        <w:t xml:space="preserve"> it is not know</w:t>
      </w:r>
      <w:r w:rsidR="00A5319B">
        <w:t>n</w:t>
      </w:r>
      <w:r w:rsidR="004D3AA5">
        <w:t xml:space="preserve"> who commissioned this embroidery it is </w:t>
      </w:r>
      <w:r w:rsidR="00985071">
        <w:t>suggested</w:t>
      </w:r>
      <w:r w:rsidR="00A5319B">
        <w:t xml:space="preserve"> by historian</w:t>
      </w:r>
      <w:r w:rsidR="00157B6B">
        <w:t>s</w:t>
      </w:r>
      <w:r w:rsidR="00A5319B">
        <w:t xml:space="preserve"> and scholars</w:t>
      </w:r>
      <w:r w:rsidR="004D3AA5">
        <w:t xml:space="preserve"> to be </w:t>
      </w:r>
      <w:r w:rsidR="00985071">
        <w:t>Bishop Odo of Bayeux</w:t>
      </w:r>
      <w:r w:rsidR="00A5319B">
        <w:t xml:space="preserve"> who was</w:t>
      </w:r>
      <w:r w:rsidR="0091471E">
        <w:t xml:space="preserve"> the half-brother of William I</w:t>
      </w:r>
      <w:r w:rsidR="00985071">
        <w:t>.</w:t>
      </w:r>
      <w:r w:rsidR="00985071">
        <w:rPr>
          <w:rStyle w:val="FootnoteReference"/>
        </w:rPr>
        <w:footnoteReference w:id="3"/>
      </w:r>
      <w:r w:rsidR="00985071">
        <w:t xml:space="preserve"> </w:t>
      </w:r>
      <w:r w:rsidR="004D2170">
        <w:t xml:space="preserve">The Bayeux Tapestry </w:t>
      </w:r>
      <w:r w:rsidR="007B33AA">
        <w:t>is a key part of Norman and English history</w:t>
      </w:r>
      <w:r w:rsidR="00DA697D">
        <w:t xml:space="preserve"> and is regarded as </w:t>
      </w:r>
      <w:r w:rsidR="00EB4573">
        <w:t>a great artefact of English medieval history</w:t>
      </w:r>
      <w:r w:rsidR="007B33AA">
        <w:t>.</w:t>
      </w:r>
      <w:r w:rsidR="00EB4573">
        <w:rPr>
          <w:rStyle w:val="FootnoteReference"/>
        </w:rPr>
        <w:footnoteReference w:id="4"/>
      </w:r>
      <w:r w:rsidR="00AE7A78">
        <w:t xml:space="preserve"> </w:t>
      </w:r>
      <w:r w:rsidR="009234FC">
        <w:t>This is scene 23 of the tapestry</w:t>
      </w:r>
      <w:r w:rsidR="00BB0367">
        <w:t xml:space="preserve"> and t</w:t>
      </w:r>
      <w:r w:rsidR="00AF47A8" w:rsidRPr="00D23EBE">
        <w:t>his scene</w:t>
      </w:r>
      <w:r w:rsidR="00AF47A8">
        <w:t xml:space="preserve"> shows Harold </w:t>
      </w:r>
      <w:r w:rsidR="00FE1AB3">
        <w:t xml:space="preserve">Godwinson </w:t>
      </w:r>
      <w:r w:rsidR="00EA10EF">
        <w:t xml:space="preserve">who was an English earl </w:t>
      </w:r>
      <w:r w:rsidR="00AF47A8">
        <w:t>swearing an oath to William</w:t>
      </w:r>
      <w:r w:rsidR="00FE1AB3">
        <w:t>, Duke of Normandy</w:t>
      </w:r>
      <w:r w:rsidR="0091471E">
        <w:t xml:space="preserve"> </w:t>
      </w:r>
      <w:r w:rsidR="00D679B3">
        <w:t>al</w:t>
      </w:r>
      <w:r w:rsidR="0091471E">
        <w:t>though the embroidery does not state the contents of this oath, other sources from the time do</w:t>
      </w:r>
      <w:r w:rsidR="00AF47A8">
        <w:t xml:space="preserve">. </w:t>
      </w:r>
      <w:r w:rsidR="00BB1C10" w:rsidRPr="00797654">
        <w:t>Th</w:t>
      </w:r>
      <w:r w:rsidR="00D679B3">
        <w:t>e</w:t>
      </w:r>
      <w:r w:rsidR="00BB1C10" w:rsidRPr="00797654">
        <w:t xml:space="preserve"> </w:t>
      </w:r>
      <w:r w:rsidR="00797654">
        <w:t>oath took place</w:t>
      </w:r>
      <w:r w:rsidR="00BB1C10" w:rsidRPr="00797654">
        <w:t xml:space="preserve"> in</w:t>
      </w:r>
      <w:r w:rsidR="00BB1C10">
        <w:t xml:space="preserve"> Normandy </w:t>
      </w:r>
      <w:r w:rsidR="00BB1C10" w:rsidRPr="0070138E">
        <w:t xml:space="preserve">in </w:t>
      </w:r>
      <w:r w:rsidR="00B01A5D" w:rsidRPr="0070138E">
        <w:t>1046,</w:t>
      </w:r>
      <w:r w:rsidR="00B01A5D">
        <w:t xml:space="preserve"> </w:t>
      </w:r>
      <w:r w:rsidR="00B01A5D" w:rsidRPr="00B01A5D">
        <w:t>and the embroidery visually presents this vow as public and binding</w:t>
      </w:r>
      <w:r w:rsidR="00FF758D" w:rsidRPr="0070138E">
        <w:t>.</w:t>
      </w:r>
      <w:r w:rsidR="00FF758D" w:rsidRPr="0070138E">
        <w:rPr>
          <w:rStyle w:val="FootnoteReference"/>
        </w:rPr>
        <w:footnoteReference w:id="5"/>
      </w:r>
      <w:r w:rsidR="00FF758D">
        <w:t xml:space="preserve"> </w:t>
      </w:r>
    </w:p>
    <w:p w14:paraId="72CA21EE" w14:textId="53EE7C0B" w:rsidR="00511FDA" w:rsidRDefault="00BB1C10" w:rsidP="00511FDA">
      <w:r>
        <w:t>Th</w:t>
      </w:r>
      <w:r w:rsidR="00F25D22">
        <w:t>e</w:t>
      </w:r>
      <w:r>
        <w:t xml:space="preserve"> oath was in relation to who would be Edward the Confessor, King of England’s successor</w:t>
      </w:r>
      <w:r w:rsidR="00FE1AB3">
        <w:t xml:space="preserve"> as he did not have any direct descendants to take the throne.</w:t>
      </w:r>
      <w:r w:rsidR="00EA160D">
        <w:rPr>
          <w:rStyle w:val="FootnoteReference"/>
        </w:rPr>
        <w:footnoteReference w:id="6"/>
      </w:r>
      <w:r w:rsidR="00FE1AB3">
        <w:t xml:space="preserve"> Some sources state that he promised the throne to Harold Godwinson whereas others state that he promised the throne to William, Duke of Normandy</w:t>
      </w:r>
      <w:r w:rsidR="00BD344B">
        <w:t>.</w:t>
      </w:r>
      <w:r w:rsidR="00DC72DF">
        <w:rPr>
          <w:rStyle w:val="FootnoteReference"/>
        </w:rPr>
        <w:footnoteReference w:id="7"/>
      </w:r>
      <w:r w:rsidR="00BD344B">
        <w:t xml:space="preserve"> </w:t>
      </w:r>
      <w:r w:rsidR="00450E03">
        <w:t>When Harold</w:t>
      </w:r>
      <w:r w:rsidR="00E571A0">
        <w:t xml:space="preserve"> Godwinson</w:t>
      </w:r>
      <w:r w:rsidR="00450E03">
        <w:t xml:space="preserve"> was sent to Normandy by Edward, after a difficult </w:t>
      </w:r>
      <w:r w:rsidR="003B65A0">
        <w:t>journey</w:t>
      </w:r>
      <w:r w:rsidR="00450E03">
        <w:t xml:space="preserve"> and some unfortunate events, he arrived at William’s court </w:t>
      </w:r>
      <w:r w:rsidR="003B65A0">
        <w:t>and was treated very well by William, but he was also made to swear an oath.</w:t>
      </w:r>
      <w:r w:rsidR="00516A58">
        <w:rPr>
          <w:rStyle w:val="FootnoteReference"/>
        </w:rPr>
        <w:footnoteReference w:id="8"/>
      </w:r>
      <w:r w:rsidR="003B65A0">
        <w:t xml:space="preserve"> </w:t>
      </w:r>
      <w:r w:rsidR="003B65A0" w:rsidRPr="00AC7A9B">
        <w:t xml:space="preserve">This </w:t>
      </w:r>
      <w:r w:rsidR="00AC7A9B">
        <w:t>agreement</w:t>
      </w:r>
      <w:r w:rsidR="003B65A0">
        <w:t xml:space="preserve"> stated that Harold would allow William to take the throne of England after Edward’s death and that Harold would support this.</w:t>
      </w:r>
      <w:r w:rsidR="004E49F8">
        <w:t xml:space="preserve"> In some </w:t>
      </w:r>
      <w:r w:rsidR="00157B6B">
        <w:t>sources</w:t>
      </w:r>
      <w:r w:rsidR="004E49F8">
        <w:t xml:space="preserve">, </w:t>
      </w:r>
      <w:r w:rsidR="00E126D2">
        <w:t>Harold also swore to marry William’s daughter and to ‘</w:t>
      </w:r>
      <w:r w:rsidR="00DF28BE">
        <w:t xml:space="preserve">preserve </w:t>
      </w:r>
      <w:r w:rsidR="00DF28BE">
        <w:lastRenderedPageBreak/>
        <w:t>England’ for William.</w:t>
      </w:r>
      <w:r w:rsidR="00DF28BE">
        <w:rPr>
          <w:rStyle w:val="FootnoteReference"/>
        </w:rPr>
        <w:footnoteReference w:id="9"/>
      </w:r>
      <w:r w:rsidR="00E126D2">
        <w:t xml:space="preserve"> </w:t>
      </w:r>
      <w:r w:rsidR="003B65A0">
        <w:t xml:space="preserve"> It also </w:t>
      </w:r>
      <w:r w:rsidR="00DA73EA">
        <w:t>stated</w:t>
      </w:r>
      <w:r w:rsidR="003B65A0">
        <w:t xml:space="preserve"> that William could take possession of</w:t>
      </w:r>
      <w:r w:rsidR="00DF28BE">
        <w:t xml:space="preserve"> </w:t>
      </w:r>
      <w:r w:rsidR="008C09F5">
        <w:t>the castle of Dover</w:t>
      </w:r>
      <w:r w:rsidR="00797F7C">
        <w:t xml:space="preserve"> when he arrived in England</w:t>
      </w:r>
      <w:r w:rsidR="008C09F5">
        <w:t>.</w:t>
      </w:r>
      <w:r w:rsidR="008C09F5">
        <w:rPr>
          <w:rStyle w:val="FootnoteReference"/>
        </w:rPr>
        <w:footnoteReference w:id="10"/>
      </w:r>
    </w:p>
    <w:p w14:paraId="17768FA6" w14:textId="120675B3" w:rsidR="006B6F13" w:rsidRDefault="00936CFB" w:rsidP="00511FDA">
      <w:r w:rsidRPr="00D23EBE">
        <w:t xml:space="preserve">In this </w:t>
      </w:r>
      <w:r w:rsidR="00D23EBE">
        <w:t>section of the tapestry</w:t>
      </w:r>
      <w:r>
        <w:t xml:space="preserve">, </w:t>
      </w:r>
      <w:r w:rsidR="00E571A0">
        <w:t xml:space="preserve">Harold </w:t>
      </w:r>
      <w:r w:rsidR="00EA10EF">
        <w:t>Godwinson</w:t>
      </w:r>
      <w:r>
        <w:t xml:space="preserve"> </w:t>
      </w:r>
      <w:r w:rsidR="009E7D16">
        <w:t>i</w:t>
      </w:r>
      <w:r>
        <w:t>s depict</w:t>
      </w:r>
      <w:r w:rsidR="001216EE">
        <w:t>ed</w:t>
      </w:r>
      <w:r>
        <w:t xml:space="preserve"> </w:t>
      </w:r>
      <w:r w:rsidR="009E7D16">
        <w:t>swearing th</w:t>
      </w:r>
      <w:r w:rsidR="004109EF">
        <w:t>e</w:t>
      </w:r>
      <w:r w:rsidR="009E7D16">
        <w:t xml:space="preserve"> oath on not one but two holy relics</w:t>
      </w:r>
      <w:r w:rsidR="00B845AB">
        <w:t>.</w:t>
      </w:r>
      <w:r w:rsidR="008300D5">
        <w:t xml:space="preserve"> Harold swearing the oath on two relics is also supported by other sources from the time such as </w:t>
      </w:r>
      <w:r w:rsidR="00BB210B" w:rsidRPr="00F13428">
        <w:t>Henry of Huntingdon.</w:t>
      </w:r>
      <w:r w:rsidR="00BB210B" w:rsidRPr="00F13428">
        <w:rPr>
          <w:rStyle w:val="FootnoteReference"/>
        </w:rPr>
        <w:footnoteReference w:id="11"/>
      </w:r>
      <w:r w:rsidR="00BB210B" w:rsidRPr="00F13428">
        <w:t xml:space="preserve"> Swearing</w:t>
      </w:r>
      <w:r w:rsidR="00BB210B">
        <w:t xml:space="preserve"> on multiple holy relics makes this vow </w:t>
      </w:r>
      <w:r w:rsidR="00BB210B" w:rsidRPr="00BB210B">
        <w:t>more solemn and sacred</w:t>
      </w:r>
      <w:r w:rsidR="003C1497">
        <w:t xml:space="preserve">. </w:t>
      </w:r>
      <w:r w:rsidR="006B6F13">
        <w:t xml:space="preserve">William of Poitiers discusses this oath and states </w:t>
      </w:r>
      <w:r w:rsidR="007B33A0">
        <w:t>that Harold took th</w:t>
      </w:r>
      <w:r w:rsidR="00DA73EA">
        <w:t>e</w:t>
      </w:r>
      <w:r w:rsidR="007B33A0">
        <w:t xml:space="preserve"> ‘oath of faithfulness </w:t>
      </w:r>
      <w:r w:rsidR="004B1698">
        <w:t>[…] according to the sacred rite of the Christians</w:t>
      </w:r>
      <w:proofErr w:type="gramStart"/>
      <w:r w:rsidR="004B1698">
        <w:t>’.</w:t>
      </w:r>
      <w:proofErr w:type="gramEnd"/>
      <w:r w:rsidR="004B1698">
        <w:rPr>
          <w:rStyle w:val="FootnoteReference"/>
        </w:rPr>
        <w:footnoteReference w:id="12"/>
      </w:r>
      <w:r w:rsidR="003C1497">
        <w:t xml:space="preserve"> </w:t>
      </w:r>
      <w:r w:rsidR="003C1497" w:rsidRPr="004B2956">
        <w:t xml:space="preserve">This is </w:t>
      </w:r>
      <w:r w:rsidR="004B2956">
        <w:t>significant</w:t>
      </w:r>
      <w:r w:rsidR="003C1497">
        <w:t xml:space="preserve"> as it meant it was religiously important.</w:t>
      </w:r>
      <w:r w:rsidR="00084548">
        <w:t xml:space="preserve"> </w:t>
      </w:r>
      <w:r w:rsidR="00D9007C">
        <w:t>At the time this was made, swearing a religious oath was very important and well regarded</w:t>
      </w:r>
      <w:proofErr w:type="gramStart"/>
      <w:r w:rsidR="00D9007C">
        <w:t xml:space="preserve">. </w:t>
      </w:r>
      <w:r w:rsidR="003C1497" w:rsidRPr="003C1497">
        <w:t xml:space="preserve"> </w:t>
      </w:r>
      <w:proofErr w:type="gramEnd"/>
      <w:r w:rsidR="003C1497" w:rsidRPr="003C1497">
        <w:t>This emphasises the importance of the vow which in turn</w:t>
      </w:r>
      <w:r w:rsidR="00466E15">
        <w:t xml:space="preserve"> </w:t>
      </w:r>
      <w:r w:rsidR="003C1497" w:rsidRPr="003C1497">
        <w:t>portrays Harold’s breaking of th</w:t>
      </w:r>
      <w:r w:rsidR="00466E15">
        <w:t>e</w:t>
      </w:r>
      <w:r w:rsidR="003C1497" w:rsidRPr="003C1497">
        <w:t xml:space="preserve"> vow </w:t>
      </w:r>
      <w:r w:rsidR="00C6527F">
        <w:t xml:space="preserve">and taking the </w:t>
      </w:r>
      <w:r w:rsidR="004B571B">
        <w:t xml:space="preserve">English crown </w:t>
      </w:r>
      <w:r w:rsidR="003C1497" w:rsidRPr="003C1497">
        <w:t>as perjury</w:t>
      </w:r>
      <w:r w:rsidR="003C1497">
        <w:t>.</w:t>
      </w:r>
      <w:r w:rsidR="001C5443">
        <w:t xml:space="preserve"> </w:t>
      </w:r>
      <w:r w:rsidR="00E02578">
        <w:t>Furthermore</w:t>
      </w:r>
      <w:r w:rsidR="00157B6B" w:rsidRPr="001C5443">
        <w:t>,</w:t>
      </w:r>
      <w:r w:rsidR="00157B6B">
        <w:t xml:space="preserve"> </w:t>
      </w:r>
      <w:r w:rsidR="001C5443" w:rsidRPr="001C5443">
        <w:t xml:space="preserve">makes Harold taking the throne seem like an even worse deed as not only would it be going against William and Edward’s wishes but also </w:t>
      </w:r>
      <w:r w:rsidR="00EF07B5">
        <w:t xml:space="preserve">against </w:t>
      </w:r>
      <w:r w:rsidR="001C5443" w:rsidRPr="001C5443">
        <w:t>God</w:t>
      </w:r>
      <w:r w:rsidR="00EF07B5">
        <w:t xml:space="preserve"> due to the religious nature of this oath</w:t>
      </w:r>
      <w:r w:rsidR="001C5443" w:rsidRPr="001C5443">
        <w:t>.</w:t>
      </w:r>
    </w:p>
    <w:p w14:paraId="00F7A368" w14:textId="519E2971" w:rsidR="005333C8" w:rsidRDefault="00EC363B" w:rsidP="00511FDA">
      <w:r>
        <w:t>This portion of the tapestry</w:t>
      </w:r>
      <w:r w:rsidR="00057F7F">
        <w:t xml:space="preserve"> depicts William</w:t>
      </w:r>
      <w:r w:rsidR="00EA10EF">
        <w:t>, Duke of Normandy</w:t>
      </w:r>
      <w:r w:rsidR="00057F7F">
        <w:t xml:space="preserve"> a</w:t>
      </w:r>
      <w:r w:rsidR="003C1497">
        <w:t>s powerful</w:t>
      </w:r>
      <w:r w:rsidR="00FC1256">
        <w:t>,</w:t>
      </w:r>
      <w:r w:rsidR="00C84724">
        <w:t xml:space="preserve"> he appears larger than the other figures which emphasises his importance. </w:t>
      </w:r>
      <w:r w:rsidR="00E90761">
        <w:t xml:space="preserve">William is </w:t>
      </w:r>
      <w:r w:rsidR="00EE51BC">
        <w:t>portrayed</w:t>
      </w:r>
      <w:r w:rsidR="00E90761">
        <w:t xml:space="preserve"> as being sat in a large </w:t>
      </w:r>
      <w:r w:rsidR="0010230C">
        <w:t xml:space="preserve">chair </w:t>
      </w:r>
      <w:proofErr w:type="gramStart"/>
      <w:r w:rsidR="00FC1256">
        <w:t>possibly</w:t>
      </w:r>
      <w:r w:rsidR="0010230C">
        <w:t xml:space="preserve"> a</w:t>
      </w:r>
      <w:proofErr w:type="gramEnd"/>
      <w:r w:rsidR="0010230C">
        <w:t xml:space="preserve"> throne, </w:t>
      </w:r>
      <w:r w:rsidR="00FC1256">
        <w:t xml:space="preserve">therefore </w:t>
      </w:r>
      <w:r w:rsidR="008C22D0">
        <w:t>emphasising</w:t>
      </w:r>
      <w:r w:rsidR="0010230C">
        <w:t xml:space="preserve"> his ducal role. </w:t>
      </w:r>
      <w:r w:rsidR="00C84724">
        <w:t xml:space="preserve">He is also depicted holding his sword, which is key as he was </w:t>
      </w:r>
      <w:r w:rsidR="0002284E">
        <w:t xml:space="preserve">renowned for his fighting skills. </w:t>
      </w:r>
      <w:r w:rsidR="00F348C2">
        <w:t>William</w:t>
      </w:r>
      <w:r w:rsidR="0002284E">
        <w:t xml:space="preserve"> </w:t>
      </w:r>
      <w:proofErr w:type="gramStart"/>
      <w:r w:rsidR="0002284E">
        <w:t>also appears to be</w:t>
      </w:r>
      <w:proofErr w:type="gramEnd"/>
      <w:r w:rsidR="0002284E">
        <w:t xml:space="preserve"> pointing at Harold, </w:t>
      </w:r>
      <w:proofErr w:type="gramStart"/>
      <w:r w:rsidR="0002284E">
        <w:t>possibly commanding</w:t>
      </w:r>
      <w:proofErr w:type="gramEnd"/>
      <w:r w:rsidR="0002284E">
        <w:t xml:space="preserve"> him to take this vow. </w:t>
      </w:r>
      <w:r w:rsidR="0002284E" w:rsidRPr="004D2170">
        <w:t xml:space="preserve">This </w:t>
      </w:r>
      <w:r w:rsidR="004D2170">
        <w:t>implies</w:t>
      </w:r>
      <w:r w:rsidR="0002284E">
        <w:t xml:space="preserve"> that William held more power than Harold.</w:t>
      </w:r>
      <w:r w:rsidR="00EA10EF">
        <w:t xml:space="preserve"> </w:t>
      </w:r>
      <w:r w:rsidR="00812E9C">
        <w:t xml:space="preserve">William </w:t>
      </w:r>
      <w:proofErr w:type="gramStart"/>
      <w:r w:rsidR="00812E9C">
        <w:t>also seems to be</w:t>
      </w:r>
      <w:proofErr w:type="gramEnd"/>
      <w:r w:rsidR="00812E9C">
        <w:t xml:space="preserve"> wearing gold </w:t>
      </w:r>
      <w:r w:rsidR="00400677">
        <w:t>clothing,</w:t>
      </w:r>
      <w:r w:rsidR="00812E9C">
        <w:t xml:space="preserve"> </w:t>
      </w:r>
      <w:r w:rsidR="008C4D66">
        <w:t>which</w:t>
      </w:r>
      <w:r w:rsidR="00812E9C">
        <w:t xml:space="preserve"> further emphasises his wealth and power.</w:t>
      </w:r>
      <w:r w:rsidR="005333C8">
        <w:t xml:space="preserve"> Overall, within this scene William is depicted as being in a position of </w:t>
      </w:r>
      <w:r w:rsidR="00B8218E">
        <w:t>authority</w:t>
      </w:r>
      <w:r w:rsidR="005333C8">
        <w:t>.</w:t>
      </w:r>
    </w:p>
    <w:p w14:paraId="74ED7CEB" w14:textId="4CE29B80" w:rsidR="005333C8" w:rsidRDefault="00812E9C" w:rsidP="00511FDA">
      <w:r>
        <w:t xml:space="preserve"> </w:t>
      </w:r>
      <w:r w:rsidR="00057F7F" w:rsidRPr="00EC363B">
        <w:t>The scene</w:t>
      </w:r>
      <w:r w:rsidR="00057F7F">
        <w:t xml:space="preserve"> </w:t>
      </w:r>
      <w:r w:rsidR="008C4D66">
        <w:t>illustrates</w:t>
      </w:r>
      <w:r w:rsidR="00057F7F">
        <w:t xml:space="preserve"> Harold</w:t>
      </w:r>
      <w:r w:rsidR="00EA10EF">
        <w:t xml:space="preserve"> Godwinson</w:t>
      </w:r>
      <w:r w:rsidR="00057F7F">
        <w:t xml:space="preserve"> </w:t>
      </w:r>
      <w:r w:rsidR="0002284E">
        <w:t xml:space="preserve">as </w:t>
      </w:r>
      <w:r w:rsidR="00413DD3">
        <w:t xml:space="preserve">swearing the oath and obeying William. </w:t>
      </w:r>
      <w:r w:rsidR="00B8218E">
        <w:t xml:space="preserve">He is depicted standing between two holy </w:t>
      </w:r>
      <w:r w:rsidR="000409DB">
        <w:t xml:space="preserve">scared reliquaries which are containers for holy relics, he has one hand on each of </w:t>
      </w:r>
      <w:r w:rsidR="00AF487C">
        <w:t>them and</w:t>
      </w:r>
      <w:r w:rsidR="008C4D66">
        <w:t xml:space="preserve"> </w:t>
      </w:r>
      <w:r w:rsidR="00413DD3">
        <w:t>appears to be bowing his head in respect. This further suggests that William held more power</w:t>
      </w:r>
      <w:r w:rsidR="000409DB">
        <w:t xml:space="preserve"> and authority as Harold </w:t>
      </w:r>
      <w:r w:rsidR="00CE7F5B">
        <w:t>seems to be respecting William’s control within this scene</w:t>
      </w:r>
      <w:r w:rsidR="00413DD3">
        <w:t>.</w:t>
      </w:r>
      <w:r w:rsidR="00E55A57">
        <w:t xml:space="preserve"> </w:t>
      </w:r>
      <w:r w:rsidR="005333C8">
        <w:t xml:space="preserve">He </w:t>
      </w:r>
      <w:proofErr w:type="gramStart"/>
      <w:r w:rsidR="005333C8">
        <w:t>also appears to be</w:t>
      </w:r>
      <w:proofErr w:type="gramEnd"/>
      <w:r w:rsidR="005333C8">
        <w:t xml:space="preserve"> smaller than William in the image this may have also been used to show the power imbalance between these two individuals.</w:t>
      </w:r>
      <w:r w:rsidR="00CE7F5B">
        <w:t xml:space="preserve"> By portraying Harold as being accepting of William’s power and authority, the embroider shows </w:t>
      </w:r>
      <w:r w:rsidR="0098433F">
        <w:t>how severely Harold supposed snatching of power was viewed by the Normans.</w:t>
      </w:r>
    </w:p>
    <w:p w14:paraId="54E9EB83" w14:textId="4FDA2F3E" w:rsidR="003B65A0" w:rsidRDefault="00E55A57" w:rsidP="00511FDA">
      <w:r>
        <w:t>Alongside these two key figures</w:t>
      </w:r>
      <w:r w:rsidR="00235FFA">
        <w:t>, attendants and witnesses are depicted</w:t>
      </w:r>
      <w:r w:rsidR="0098433F">
        <w:t xml:space="preserve">. </w:t>
      </w:r>
      <w:r w:rsidR="00AC7B32">
        <w:t xml:space="preserve">Portraying witnesses is key as this further legitimises this oath. </w:t>
      </w:r>
      <w:r w:rsidR="0098433F">
        <w:t xml:space="preserve">The attendants are also key as two of them seem to be </w:t>
      </w:r>
      <w:r w:rsidR="0098433F" w:rsidRPr="0098433F">
        <w:t>pointing towards the Latin inscriptio</w:t>
      </w:r>
      <w:r w:rsidR="0098433F">
        <w:t>n at the top of the scene, this further shows that the Normans were keen to attempt to prove that this oath happened.</w:t>
      </w:r>
    </w:p>
    <w:p w14:paraId="72CCE3B7" w14:textId="64D9BCB6" w:rsidR="004F36D0" w:rsidRDefault="004F36D0" w:rsidP="00511FDA">
      <w:r w:rsidRPr="004F36D0">
        <w:t>The inscription on this scene is ‘UBI HAROLD SACRAMENTUM FECIT WILLELMO DUCI’ which translates to ‘where Harold made an oath to William</w:t>
      </w:r>
      <w:proofErr w:type="gramStart"/>
      <w:r w:rsidRPr="004F36D0">
        <w:t>’.</w:t>
      </w:r>
      <w:proofErr w:type="gramEnd"/>
      <w:r w:rsidRPr="004F36D0">
        <w:t xml:space="preserve"> This does not specify the terms of th</w:t>
      </w:r>
      <w:r w:rsidR="00142346">
        <w:t xml:space="preserve">e </w:t>
      </w:r>
      <w:r w:rsidRPr="004F36D0">
        <w:t>oath; however, it does suggest the oath happened and supports other sources that describe this oath. By emphasising Harold swearing this oath to William it supplies justification for the Norman leaders’ actions against Harold after he broke this oath.</w:t>
      </w:r>
    </w:p>
    <w:p w14:paraId="44523A0A" w14:textId="0EBFEB20" w:rsidR="008C22D0" w:rsidRDefault="008C22D0" w:rsidP="00511FDA">
      <w:r>
        <w:t>The items Harold hold</w:t>
      </w:r>
      <w:r w:rsidR="00D22C33">
        <w:t>s</w:t>
      </w:r>
      <w:r>
        <w:t xml:space="preserve"> while swearing th</w:t>
      </w:r>
      <w:r w:rsidR="00EF0B42">
        <w:t>e</w:t>
      </w:r>
      <w:r>
        <w:t xml:space="preserve"> oath are shown to be </w:t>
      </w:r>
      <w:r w:rsidR="00BC5615">
        <w:t xml:space="preserve">portable </w:t>
      </w:r>
      <w:r w:rsidR="001A0A2B">
        <w:t xml:space="preserve">shrines housing holy relics </w:t>
      </w:r>
      <w:r>
        <w:t xml:space="preserve">through the symbols </w:t>
      </w:r>
      <w:r w:rsidR="001A0A2B">
        <w:t>they bear</w:t>
      </w:r>
      <w:r>
        <w:t xml:space="preserve">. </w:t>
      </w:r>
      <w:r w:rsidR="001A5B25">
        <w:t xml:space="preserve">These items are distinct and elevated in order to portray </w:t>
      </w:r>
      <w:r w:rsidR="001A5B25">
        <w:lastRenderedPageBreak/>
        <w:t xml:space="preserve">their importance. </w:t>
      </w:r>
      <w:r>
        <w:t>One has crosses on which are a key religious symbol</w:t>
      </w:r>
      <w:r w:rsidR="001A0A2B">
        <w:t xml:space="preserve">, </w:t>
      </w:r>
      <w:r w:rsidR="00774823">
        <w:t>showing</w:t>
      </w:r>
      <w:r w:rsidR="001A0A2B">
        <w:t xml:space="preserve"> that this is a religious item.</w:t>
      </w:r>
      <w:r w:rsidR="00F348C2">
        <w:t xml:space="preserve"> </w:t>
      </w:r>
    </w:p>
    <w:p w14:paraId="5E3FE87C" w14:textId="45E62E89" w:rsidR="000A061E" w:rsidRDefault="000A061E" w:rsidP="00511FDA">
      <w:r>
        <w:t xml:space="preserve">The colours in this scene may also be used to depict the grandness of William’s court as colours such as red and blue were seen to be grand at the time due to </w:t>
      </w:r>
      <w:r w:rsidR="00812E9C">
        <w:t>the processes used to create the dyes.</w:t>
      </w:r>
      <w:r w:rsidR="00124CD8">
        <w:t xml:space="preserve"> </w:t>
      </w:r>
      <w:r w:rsidR="0012227C">
        <w:t xml:space="preserve">The colours used in the embroidery are key to </w:t>
      </w:r>
      <w:r w:rsidR="009E23B2">
        <w:t>decorating this narrative.</w:t>
      </w:r>
    </w:p>
    <w:p w14:paraId="246D19E4" w14:textId="2628057C" w:rsidR="00AE5FE0" w:rsidRDefault="00AE5FE0" w:rsidP="00511FDA">
      <w:r>
        <w:t xml:space="preserve">Along the top </w:t>
      </w:r>
      <w:r w:rsidR="00044690">
        <w:t xml:space="preserve">border </w:t>
      </w:r>
      <w:r>
        <w:t>of the scene</w:t>
      </w:r>
      <w:r w:rsidR="00E15C86">
        <w:t xml:space="preserve"> </w:t>
      </w:r>
      <w:r>
        <w:t xml:space="preserve">animals </w:t>
      </w:r>
      <w:r w:rsidR="00C85D86">
        <w:t xml:space="preserve">which </w:t>
      </w:r>
      <w:proofErr w:type="gramStart"/>
      <w:r>
        <w:t>a</w:t>
      </w:r>
      <w:r w:rsidR="00044690">
        <w:t>ppear to be</w:t>
      </w:r>
      <w:proofErr w:type="gramEnd"/>
      <w:r w:rsidR="00044690">
        <w:t xml:space="preserve"> </w:t>
      </w:r>
      <w:r w:rsidR="00545E95">
        <w:t>griffins and crows</w:t>
      </w:r>
      <w:r w:rsidR="00C85D86">
        <w:t xml:space="preserve"> are depicted</w:t>
      </w:r>
      <w:r w:rsidR="00710551">
        <w:t xml:space="preserve">. </w:t>
      </w:r>
      <w:r w:rsidR="00161404">
        <w:t>Th</w:t>
      </w:r>
      <w:r w:rsidR="000F59EA">
        <w:t xml:space="preserve">e crows may have been used as a reference to the </w:t>
      </w:r>
      <w:r w:rsidR="00CF0EB3">
        <w:t xml:space="preserve">Aesop’s fable </w:t>
      </w:r>
      <w:r w:rsidR="00D42359">
        <w:t xml:space="preserve">‘The fox and the crow’ </w:t>
      </w:r>
      <w:r w:rsidR="00307053">
        <w:t>in which a fox tricks a crow, this may have been used by the creator</w:t>
      </w:r>
      <w:r w:rsidR="009E561E">
        <w:t xml:space="preserve"> </w:t>
      </w:r>
      <w:r w:rsidR="000959F2">
        <w:t xml:space="preserve">to </w:t>
      </w:r>
      <w:r w:rsidR="009E561E">
        <w:t>show the relationship between William and Harold</w:t>
      </w:r>
      <w:r w:rsidR="00307053">
        <w:t xml:space="preserve"> and what happened between them</w:t>
      </w:r>
      <w:r w:rsidR="00C01268">
        <w:t>.</w:t>
      </w:r>
      <w:r w:rsidR="00C01268">
        <w:rPr>
          <w:rStyle w:val="FootnoteReference"/>
        </w:rPr>
        <w:footnoteReference w:id="13"/>
      </w:r>
      <w:r w:rsidR="00946F8D">
        <w:t xml:space="preserve"> The griffins are significant as </w:t>
      </w:r>
      <w:r w:rsidR="00C6385C">
        <w:t>they were a key my</w:t>
      </w:r>
      <w:r w:rsidR="00D27306">
        <w:t xml:space="preserve">thical creatures in medieval symbolism so could have been used to symbolise a multitude of </w:t>
      </w:r>
      <w:r w:rsidR="009A526E">
        <w:t>ideas. In the bottom border of this scene</w:t>
      </w:r>
      <w:r w:rsidR="00EF0DD4">
        <w:t xml:space="preserve">, the animals </w:t>
      </w:r>
      <w:proofErr w:type="gramStart"/>
      <w:r w:rsidR="00EF0DD4">
        <w:t>appear to be</w:t>
      </w:r>
      <w:proofErr w:type="gramEnd"/>
      <w:r w:rsidR="00EF0DD4">
        <w:t xml:space="preserve"> geese. </w:t>
      </w:r>
      <w:r w:rsidR="0017311E">
        <w:t>Althoug</w:t>
      </w:r>
      <w:r w:rsidR="00A26E75">
        <w:t xml:space="preserve">h some of the animals shown in the borders throughout the tapestry may have significance, it is possible that </w:t>
      </w:r>
      <w:r w:rsidR="00865E34">
        <w:t xml:space="preserve">some of the birds may just be </w:t>
      </w:r>
      <w:r w:rsidR="008C464D">
        <w:t xml:space="preserve">generic birds however, this may not mean that they </w:t>
      </w:r>
      <w:r w:rsidR="000959F2">
        <w:t>were</w:t>
      </w:r>
      <w:r w:rsidR="008C464D">
        <w:t xml:space="preserve"> purely decorative.</w:t>
      </w:r>
      <w:r w:rsidR="008C464D">
        <w:rPr>
          <w:rStyle w:val="FootnoteReference"/>
        </w:rPr>
        <w:footnoteReference w:id="14"/>
      </w:r>
      <w:r w:rsidR="00FB6846">
        <w:t xml:space="preserve"> Overall, the birds in this scene may suggest </w:t>
      </w:r>
      <w:r w:rsidR="000B2A38">
        <w:t xml:space="preserve">the intended presentation of William, Duke of Normandy and Harold Godwinson. </w:t>
      </w:r>
    </w:p>
    <w:p w14:paraId="7D723194" w14:textId="4F85E81F" w:rsidR="008E0D10" w:rsidRDefault="008E0D10" w:rsidP="00511FDA">
      <w:r w:rsidRPr="004937BB">
        <w:t>The</w:t>
      </w:r>
      <w:r w:rsidR="004937BB" w:rsidRPr="004937BB">
        <w:t xml:space="preserve"> Bayeux</w:t>
      </w:r>
      <w:r w:rsidRPr="004937BB">
        <w:t xml:space="preserve"> tapestry</w:t>
      </w:r>
      <w:r>
        <w:t xml:space="preserve"> is in some cases regarded as a piece of Norman propaganda in an attempt to legitimise their invasion and conquering of England.</w:t>
      </w:r>
      <w:r>
        <w:rPr>
          <w:rStyle w:val="FootnoteReference"/>
        </w:rPr>
        <w:footnoteReference w:id="15"/>
      </w:r>
      <w:r w:rsidR="00FB6846">
        <w:t xml:space="preserve"> </w:t>
      </w:r>
      <w:r w:rsidR="004D11EE">
        <w:t xml:space="preserve">This is due to the way that it displays </w:t>
      </w:r>
      <w:r w:rsidR="00E459AF">
        <w:t>the events leading up to the Norman invasion of England</w:t>
      </w:r>
      <w:r w:rsidR="00F756C3">
        <w:t xml:space="preserve">. The embroidery recounts the Norman </w:t>
      </w:r>
      <w:r w:rsidR="00810C85">
        <w:t xml:space="preserve">side of </w:t>
      </w:r>
      <w:r w:rsidR="00400677">
        <w:t>events,</w:t>
      </w:r>
      <w:r w:rsidR="00810C85">
        <w:t xml:space="preserve"> </w:t>
      </w:r>
      <w:r w:rsidR="00007D2D">
        <w:t>which</w:t>
      </w:r>
      <w:r w:rsidR="00810C85">
        <w:t xml:space="preserve"> is support</w:t>
      </w:r>
      <w:r w:rsidR="00EB233C">
        <w:t>ed</w:t>
      </w:r>
      <w:r w:rsidR="00810C85">
        <w:t xml:space="preserve"> by other Norman accounts of these events such as </w:t>
      </w:r>
      <w:r w:rsidR="00622CE7">
        <w:t xml:space="preserve">William of Poitier’s </w:t>
      </w:r>
      <w:r w:rsidR="00622CE7" w:rsidRPr="00622CE7">
        <w:rPr>
          <w:i/>
          <w:iCs/>
        </w:rPr>
        <w:t>Gesta Guillelmi</w:t>
      </w:r>
      <w:r w:rsidR="00622CE7">
        <w:t>.</w:t>
      </w:r>
      <w:r w:rsidR="00622CE7">
        <w:rPr>
          <w:rStyle w:val="FootnoteReference"/>
        </w:rPr>
        <w:footnoteReference w:id="16"/>
      </w:r>
    </w:p>
    <w:p w14:paraId="022F98C3" w14:textId="648F8EEB" w:rsidR="00511FDA" w:rsidRDefault="009C11FE" w:rsidP="00511FDA">
      <w:r>
        <w:t xml:space="preserve">Overall, this scene from the </w:t>
      </w:r>
      <w:r w:rsidR="00527213">
        <w:t>Bayeux</w:t>
      </w:r>
      <w:r>
        <w:t xml:space="preserve"> </w:t>
      </w:r>
      <w:r w:rsidR="00527213">
        <w:t>tapestry</w:t>
      </w:r>
      <w:r>
        <w:t xml:space="preserve"> which </w:t>
      </w:r>
      <w:r w:rsidR="00592FC4">
        <w:t>portrays</w:t>
      </w:r>
      <w:r>
        <w:t xml:space="preserve"> Harold Godwinson swearing an oath to William Duke of Normandy is important to </w:t>
      </w:r>
      <w:r w:rsidR="00527213">
        <w:t>Norman history as it emphasises the reasoning behind the Norman invasion of England</w:t>
      </w:r>
      <w:r w:rsidR="002E5BF1">
        <w:t>. The depictions in this scene show William’s power and strength as well as emphasising the depth of Harold’s betrayal.</w:t>
      </w:r>
    </w:p>
    <w:p w14:paraId="29D1216E" w14:textId="77777777" w:rsidR="00113BAC" w:rsidRDefault="00113BAC" w:rsidP="00511FDA"/>
    <w:p w14:paraId="4C904494" w14:textId="77777777" w:rsidR="00113BAC" w:rsidRDefault="00113BAC" w:rsidP="00511FDA"/>
    <w:p w14:paraId="046FAE74" w14:textId="77777777" w:rsidR="0007074B" w:rsidRDefault="0007074B" w:rsidP="00511FDA"/>
    <w:p w14:paraId="055B3B3E" w14:textId="77777777" w:rsidR="00113BAC" w:rsidRDefault="00113BAC" w:rsidP="00511FDA"/>
    <w:p w14:paraId="4B195D39" w14:textId="77777777" w:rsidR="00113BAC" w:rsidRDefault="00113BAC" w:rsidP="00511FDA"/>
    <w:p w14:paraId="0C4217A8" w14:textId="77777777" w:rsidR="003E15C7" w:rsidRDefault="003E15C7" w:rsidP="00511FDA"/>
    <w:p w14:paraId="7F8011DB" w14:textId="77777777" w:rsidR="003E15C7" w:rsidRDefault="003E15C7" w:rsidP="00511FDA"/>
    <w:p w14:paraId="1DDB5D01" w14:textId="77777777" w:rsidR="003E15C7" w:rsidRDefault="003E15C7" w:rsidP="00511FDA"/>
    <w:sdt>
      <w:sdtPr>
        <w:rPr>
          <w:rFonts w:asciiTheme="minorHAnsi" w:eastAsiaTheme="minorHAnsi" w:hAnsiTheme="minorHAnsi" w:cstheme="minorBidi"/>
          <w:color w:val="auto"/>
          <w:sz w:val="22"/>
          <w:szCs w:val="22"/>
        </w:rPr>
        <w:id w:val="1987665732"/>
        <w:docPartObj>
          <w:docPartGallery w:val="Bibliographies"/>
          <w:docPartUnique/>
        </w:docPartObj>
      </w:sdtPr>
      <w:sdtContent>
        <w:p w14:paraId="5CBF3584" w14:textId="57E798BD" w:rsidR="00113BAC" w:rsidRDefault="00113BAC">
          <w:pPr>
            <w:pStyle w:val="Heading1"/>
          </w:pPr>
          <w:r>
            <w:t>Bibliography:</w:t>
          </w:r>
        </w:p>
        <w:sdt>
          <w:sdtPr>
            <w:id w:val="111145805"/>
            <w:bibliography/>
          </w:sdtPr>
          <w:sdtContent>
            <w:p w14:paraId="5384B094" w14:textId="0C403CFD" w:rsidR="0007074B" w:rsidRDefault="0007074B" w:rsidP="00113BAC">
              <w:r w:rsidRPr="0007074B">
                <w:t>Banks, David. ‘The Text of the Bayeux Tapestry</w:t>
              </w:r>
              <w:proofErr w:type="gramStart"/>
              <w:r w:rsidRPr="0007074B">
                <w:t>’,</w:t>
              </w:r>
              <w:proofErr w:type="gramEnd"/>
              <w:r w:rsidRPr="0007074B">
                <w:t xml:space="preserve"> Array 6.2</w:t>
              </w:r>
              <w:r w:rsidR="00CB3763">
                <w:t>, (2024), (</w:t>
              </w:r>
              <w:r w:rsidRPr="0007074B">
                <w:t>pp. 446–62</w:t>
              </w:r>
              <w:r w:rsidR="00CB3763">
                <w:t>)</w:t>
              </w:r>
              <w:r w:rsidRPr="0007074B">
                <w:t>, doi:10.1075/langct.00079.ban</w:t>
              </w:r>
            </w:p>
            <w:p w14:paraId="628BE51E" w14:textId="756D2C2E" w:rsidR="0007074B" w:rsidRDefault="0007074B" w:rsidP="00113BAC">
              <w:r w:rsidRPr="0007074B">
                <w:t>Eadmer</w:t>
              </w:r>
              <w:r w:rsidRPr="0007074B">
                <w:rPr>
                  <w:i/>
                  <w:iCs/>
                </w:rPr>
                <w:t>, Eadmer’s History of Recent Events in England = Historia Novorum in Anglia</w:t>
              </w:r>
              <w:r w:rsidRPr="0007074B">
                <w:t>, trans. by Geoffrey Bosanquet (London: Cresset Press, 1964) Page 6.</w:t>
              </w:r>
            </w:p>
            <w:p w14:paraId="75BDB271" w14:textId="22B8DB9B" w:rsidR="0007074B" w:rsidRDefault="0007074B" w:rsidP="00113BAC">
              <w:r w:rsidRPr="0007074B">
                <w:t xml:space="preserve">Gulielmus, Marjorie Chibnall, and R. H. C. Davis. 1998. </w:t>
              </w:r>
              <w:r w:rsidRPr="0007074B">
                <w:rPr>
                  <w:i/>
                  <w:iCs/>
                </w:rPr>
                <w:t>The Gesta Guillelmi of William of Poitiers</w:t>
              </w:r>
              <w:r w:rsidRPr="0007074B">
                <w:t xml:space="preserve"> (Oxford: Clarendon Press) Page 70.</w:t>
              </w:r>
            </w:p>
            <w:p w14:paraId="6F3EBE7E" w14:textId="7BBB11D8" w:rsidR="0007074B" w:rsidRDefault="0007074B" w:rsidP="00113BAC">
              <w:r w:rsidRPr="0007074B">
                <w:t xml:space="preserve">Henry of Huntingdon, and Diana Greenway. 2002. </w:t>
              </w:r>
              <w:r w:rsidRPr="0007074B">
                <w:rPr>
                  <w:i/>
                  <w:iCs/>
                </w:rPr>
                <w:t>The History of the English People</w:t>
              </w:r>
              <w:r w:rsidRPr="0007074B">
                <w:t>, 1000-1154 (Oxford: Oxford University Press) Page 24.</w:t>
              </w:r>
            </w:p>
            <w:p w14:paraId="555F921D" w14:textId="794590AC" w:rsidR="003E15C7" w:rsidRDefault="003E15C7" w:rsidP="00113BAC">
              <w:r w:rsidRPr="003E15C7">
                <w:t>Owen-Crocker, Gale R. 2005. ‘Squawk Talk: Commentary by Birds in the Bayeux Tapestry?</w:t>
              </w:r>
              <w:proofErr w:type="gramStart"/>
              <w:r w:rsidRPr="003E15C7">
                <w:t>’,</w:t>
              </w:r>
              <w:proofErr w:type="gramEnd"/>
              <w:r w:rsidRPr="003E15C7">
                <w:t xml:space="preserve"> Anglo-Saxon England (Cambridge, UK), 34, pp. 237–54, doi:10.1017/S0263675105000116</w:t>
              </w:r>
            </w:p>
            <w:p w14:paraId="2E3F176B" w14:textId="63479E58" w:rsidR="00113BAC" w:rsidRPr="00113BAC" w:rsidRDefault="00113BAC" w:rsidP="00113BAC">
              <w:pPr>
                <w:rPr>
                  <w:noProof/>
                </w:rPr>
              </w:pPr>
              <w:r>
                <w:fldChar w:fldCharType="begin"/>
              </w:r>
              <w:r>
                <w:instrText xml:space="preserve"> BIBLIOGRAPHY </w:instrText>
              </w:r>
              <w:r>
                <w:fldChar w:fldCharType="separate"/>
              </w:r>
              <w:r>
                <w:rPr>
                  <w:b/>
                  <w:bCs/>
                  <w:noProof/>
                </w:rPr>
                <w:fldChar w:fldCharType="end"/>
              </w:r>
              <w:r w:rsidRPr="00113BAC">
                <w:rPr>
                  <w:noProof/>
                </w:rPr>
                <w:t xml:space="preserve">Pastan, Elizabeth Carson, </w:t>
              </w:r>
              <w:r w:rsidR="00EB65C2">
                <w:rPr>
                  <w:noProof/>
                </w:rPr>
                <w:t>and others</w:t>
              </w:r>
              <w:r w:rsidRPr="00113BAC">
                <w:rPr>
                  <w:noProof/>
                </w:rPr>
                <w:t xml:space="preserve">. “Introduction.” </w:t>
              </w:r>
              <w:r w:rsidRPr="0007074B">
                <w:rPr>
                  <w:i/>
                  <w:iCs/>
                  <w:noProof/>
                </w:rPr>
                <w:t>The Bayeux Tapestry and Its Contexts: A Reassessment, NED-New edition</w:t>
              </w:r>
              <w:r w:rsidRPr="00113BAC">
                <w:rPr>
                  <w:noProof/>
                </w:rPr>
                <w:t xml:space="preserve">, Boydell &amp; Brewer, 2014, pp. 1–8. JSTOR, http://www.jstor.org/stable/10.7722/j.ctt6wp9gx.7. Accessed 9 Oct. 2026. Page 2. </w:t>
              </w:r>
            </w:p>
            <w:p w14:paraId="0083945C" w14:textId="11485C9D" w:rsidR="00113BAC" w:rsidRPr="00113BAC" w:rsidRDefault="00113BAC" w:rsidP="00113BAC">
              <w:pPr>
                <w:rPr>
                  <w:noProof/>
                </w:rPr>
              </w:pPr>
              <w:r w:rsidRPr="00113BAC">
                <w:rPr>
                  <w:noProof/>
                </w:rPr>
                <w:t xml:space="preserve">Webber, Nick. 2005. </w:t>
              </w:r>
              <w:r w:rsidRPr="0007074B">
                <w:rPr>
                  <w:i/>
                  <w:iCs/>
                  <w:noProof/>
                </w:rPr>
                <w:t>The Evolution of Norman Identity</w:t>
              </w:r>
              <w:r w:rsidRPr="00113BAC">
                <w:rPr>
                  <w:noProof/>
                </w:rPr>
                <w:t>, 911-1154 (Woodbridge: Boydell Press) P.1</w:t>
              </w:r>
            </w:p>
            <w:p w14:paraId="52DF50B5" w14:textId="37726557" w:rsidR="00113BAC" w:rsidRPr="00113BAC" w:rsidRDefault="00113BAC" w:rsidP="00113BAC">
              <w:pPr>
                <w:rPr>
                  <w:noProof/>
                </w:rPr>
              </w:pPr>
              <w:r w:rsidRPr="00113BAC">
                <w:rPr>
                  <w:noProof/>
                </w:rPr>
                <w:t xml:space="preserve">White, Stephen D., </w:t>
              </w:r>
              <w:r w:rsidR="00EB65C2">
                <w:rPr>
                  <w:noProof/>
                </w:rPr>
                <w:t>and others</w:t>
              </w:r>
              <w:r w:rsidRPr="00113BAC">
                <w:rPr>
                  <w:noProof/>
                </w:rPr>
                <w:t xml:space="preserve">. “Is the Bayeux Embroidery a Record of Events?” </w:t>
              </w:r>
              <w:r w:rsidRPr="0007074B">
                <w:rPr>
                  <w:i/>
                  <w:iCs/>
                  <w:noProof/>
                </w:rPr>
                <w:t>The Bayeux Tapestry and Its Contexts: A Reassessment,</w:t>
              </w:r>
              <w:r w:rsidRPr="00113BAC">
                <w:rPr>
                  <w:noProof/>
                </w:rPr>
                <w:t xml:space="preserve"> NED-New edition, Boydell &amp; Brewer, 2014, pp. 33–58. JSTOR, http://www.jstor.org/stable/10.7722/j.ctt6wp9gx.9. Accessed 12 Oct. 2026. </w:t>
              </w:r>
            </w:p>
            <w:p w14:paraId="07ABA1DC" w14:textId="21250910" w:rsidR="00113BAC" w:rsidRDefault="00113BAC" w:rsidP="00113BAC">
              <w:pPr>
                <w:rPr>
                  <w:noProof/>
                </w:rPr>
              </w:pPr>
              <w:r w:rsidRPr="00113BAC">
                <w:rPr>
                  <w:noProof/>
                </w:rPr>
                <w:t xml:space="preserve">  William, and Joseph Stevenson. 2000. </w:t>
              </w:r>
              <w:r w:rsidRPr="0007074B">
                <w:rPr>
                  <w:i/>
                  <w:iCs/>
                  <w:noProof/>
                </w:rPr>
                <w:t>A History of the Norman Kings</w:t>
              </w:r>
              <w:r w:rsidRPr="00113BAC">
                <w:rPr>
                  <w:noProof/>
                </w:rPr>
                <w:t xml:space="preserve"> (1066-1125)</w:t>
              </w:r>
              <w:r w:rsidRPr="00113BAC">
                <w:rPr>
                  <w:rFonts w:ascii="Arial" w:hAnsi="Arial" w:cs="Arial"/>
                  <w:noProof/>
                </w:rPr>
                <w:t> </w:t>
              </w:r>
              <w:r w:rsidRPr="00113BAC">
                <w:rPr>
                  <w:noProof/>
                </w:rPr>
                <w:t>: With the Historia Novella, or History of His Own Times (1126-1142) (Felinfach, Lampeter: Llanerch) Page 60.</w:t>
              </w:r>
            </w:p>
            <w:p w14:paraId="452DAA16" w14:textId="77777777" w:rsidR="0007074B" w:rsidRDefault="0007074B" w:rsidP="00113BAC">
              <w:pPr>
                <w:rPr>
                  <w:noProof/>
                </w:rPr>
              </w:pPr>
            </w:p>
            <w:p w14:paraId="31243C3A" w14:textId="77777777" w:rsidR="0007074B" w:rsidRPr="00113BAC" w:rsidRDefault="0007074B" w:rsidP="00113BAC">
              <w:pPr>
                <w:rPr>
                  <w:noProof/>
                </w:rPr>
              </w:pPr>
            </w:p>
            <w:p w14:paraId="2E74F826" w14:textId="1C67EF0D" w:rsidR="00113BAC" w:rsidRPr="00113BAC" w:rsidRDefault="00113BAC" w:rsidP="00113BAC">
              <w:r w:rsidRPr="00113BAC">
                <w:rPr>
                  <w:noProof/>
                </w:rPr>
                <w:t xml:space="preserve">  </w:t>
              </w:r>
            </w:p>
          </w:sdtContent>
        </w:sdt>
      </w:sdtContent>
    </w:sdt>
    <w:p w14:paraId="28605B63" w14:textId="77777777" w:rsidR="00113BAC" w:rsidRPr="00511FDA" w:rsidRDefault="00113BAC" w:rsidP="00511FDA"/>
    <w:sectPr w:rsidR="00113BAC" w:rsidRPr="00511F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AEADF" w14:textId="77777777" w:rsidR="00BC347B" w:rsidRDefault="00BC347B" w:rsidP="004B1698">
      <w:pPr>
        <w:spacing w:after="0" w:line="240" w:lineRule="auto"/>
      </w:pPr>
      <w:r>
        <w:separator/>
      </w:r>
    </w:p>
  </w:endnote>
  <w:endnote w:type="continuationSeparator" w:id="0">
    <w:p w14:paraId="2BAE8869" w14:textId="77777777" w:rsidR="00BC347B" w:rsidRDefault="00BC347B" w:rsidP="004B1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85D19" w14:textId="77777777" w:rsidR="00BC347B" w:rsidRDefault="00BC347B" w:rsidP="004B1698">
      <w:pPr>
        <w:spacing w:after="0" w:line="240" w:lineRule="auto"/>
      </w:pPr>
      <w:r>
        <w:separator/>
      </w:r>
    </w:p>
  </w:footnote>
  <w:footnote w:type="continuationSeparator" w:id="0">
    <w:p w14:paraId="6FCFB6F4" w14:textId="77777777" w:rsidR="00BC347B" w:rsidRDefault="00BC347B" w:rsidP="004B1698">
      <w:pPr>
        <w:spacing w:after="0" w:line="240" w:lineRule="auto"/>
      </w:pPr>
      <w:r>
        <w:continuationSeparator/>
      </w:r>
    </w:p>
  </w:footnote>
  <w:footnote w:id="1">
    <w:p w14:paraId="168A84EA" w14:textId="0AEED6B0" w:rsidR="00F31B74" w:rsidRDefault="00F31B74">
      <w:pPr>
        <w:pStyle w:val="FootnoteText"/>
      </w:pPr>
      <w:r>
        <w:rPr>
          <w:rStyle w:val="FootnoteReference"/>
        </w:rPr>
        <w:footnoteRef/>
      </w:r>
      <w:r>
        <w:t xml:space="preserve"> </w:t>
      </w:r>
      <w:r w:rsidR="00596D53" w:rsidRPr="00596D53">
        <w:t xml:space="preserve">Pastan, Elizabeth Carson, </w:t>
      </w:r>
      <w:r w:rsidR="00EB65C2">
        <w:t>and others</w:t>
      </w:r>
      <w:r w:rsidR="00596D53" w:rsidRPr="00596D53">
        <w:t xml:space="preserve">. “Introduction.” </w:t>
      </w:r>
      <w:r w:rsidR="00596D53" w:rsidRPr="00373C45">
        <w:rPr>
          <w:i/>
          <w:iCs/>
        </w:rPr>
        <w:t>The Bayeux Tapestry and Its Contexts: A Reassessment</w:t>
      </w:r>
      <w:r w:rsidR="00596D53" w:rsidRPr="00596D53">
        <w:t>, NED-New edition, Boydell &amp; Brewer, 2014, pp. 1–8. JSTOR, http://www.jstor.org/stable/10.7722/j.ctt6wp9gx.7. Accessed 9 Oct. 2026.</w:t>
      </w:r>
      <w:r w:rsidR="00596D53">
        <w:t xml:space="preserve"> Page 2</w:t>
      </w:r>
      <w:r w:rsidR="00266664">
        <w:t>.</w:t>
      </w:r>
      <w:r w:rsidR="00A51B04">
        <w:t xml:space="preserve"> </w:t>
      </w:r>
    </w:p>
  </w:footnote>
  <w:footnote w:id="2">
    <w:p w14:paraId="40ECC772" w14:textId="0324C464" w:rsidR="00266664" w:rsidRDefault="00266664">
      <w:pPr>
        <w:pStyle w:val="FootnoteText"/>
      </w:pPr>
      <w:r>
        <w:rPr>
          <w:rStyle w:val="FootnoteReference"/>
        </w:rPr>
        <w:footnoteRef/>
      </w:r>
      <w:r>
        <w:t xml:space="preserve"> </w:t>
      </w:r>
      <w:r w:rsidR="00A51B04" w:rsidRPr="00A51B04">
        <w:t>White, Stephen D.,</w:t>
      </w:r>
      <w:r w:rsidR="00CE71E3">
        <w:t xml:space="preserve"> and others</w:t>
      </w:r>
      <w:r w:rsidR="00A51B04" w:rsidRPr="00A51B04">
        <w:t xml:space="preserve">. “Is the Bayeux Embroidery a Record of Events?” </w:t>
      </w:r>
      <w:r w:rsidR="00A51B04" w:rsidRPr="00373C45">
        <w:rPr>
          <w:i/>
          <w:iCs/>
        </w:rPr>
        <w:t>The Bayeux Tapestry and Its Contexts: A Reassessment</w:t>
      </w:r>
      <w:r w:rsidR="00A51B04" w:rsidRPr="00A51B04">
        <w:t xml:space="preserve">, NED-New edition, Boydell &amp; Brewer, 2014, pp. 33–58. JSTOR, </w:t>
      </w:r>
      <w:hyperlink r:id="rId1" w:history="1">
        <w:r w:rsidR="00A51B04" w:rsidRPr="00300A23">
          <w:rPr>
            <w:rStyle w:val="Hyperlink"/>
          </w:rPr>
          <w:t>http://www.jstor.org/stable/10.7722/j.ctt6wp9gx.9. Accessed 12 Oct. 2026</w:t>
        </w:r>
      </w:hyperlink>
      <w:r w:rsidR="00A51B04" w:rsidRPr="00A51B04">
        <w:t>.</w:t>
      </w:r>
      <w:r w:rsidR="00A51B04">
        <w:t xml:space="preserve"> </w:t>
      </w:r>
    </w:p>
  </w:footnote>
  <w:footnote w:id="3">
    <w:p w14:paraId="244253F5" w14:textId="7D2EA44A" w:rsidR="00985071" w:rsidRDefault="00985071" w:rsidP="00985071">
      <w:pPr>
        <w:pStyle w:val="FootnoteText"/>
      </w:pPr>
      <w:r>
        <w:rPr>
          <w:rStyle w:val="FootnoteReference"/>
        </w:rPr>
        <w:footnoteRef/>
      </w:r>
      <w:r>
        <w:t xml:space="preserve"> Banks, David. 2024. ‘The Text of the Bayeux Tapestry’, Array (New York), 6.2, pp. 446–62, doi:10.1075/langct.00079.ban</w:t>
      </w:r>
      <w:r w:rsidR="00FA52C6">
        <w:t xml:space="preserve"> </w:t>
      </w:r>
    </w:p>
  </w:footnote>
  <w:footnote w:id="4">
    <w:p w14:paraId="384F694F" w14:textId="5FCA27FA" w:rsidR="00EB4573" w:rsidRDefault="00EB4573" w:rsidP="004F4720">
      <w:pPr>
        <w:pStyle w:val="FootnoteText"/>
      </w:pPr>
      <w:r>
        <w:rPr>
          <w:rStyle w:val="FootnoteReference"/>
        </w:rPr>
        <w:footnoteRef/>
      </w:r>
      <w:r>
        <w:t xml:space="preserve"> </w:t>
      </w:r>
      <w:r w:rsidR="004F4720">
        <w:t xml:space="preserve"> Webber, Nick. 2005. </w:t>
      </w:r>
      <w:r w:rsidR="004F4720" w:rsidRPr="004F4720">
        <w:rPr>
          <w:i/>
          <w:iCs/>
        </w:rPr>
        <w:t>The Evolution of Norman Identity</w:t>
      </w:r>
      <w:r w:rsidR="004F4720">
        <w:t>, 911-1154 (Woodbridge: Boydell Press) P.</w:t>
      </w:r>
      <w:r w:rsidR="0017397B">
        <w:t>1</w:t>
      </w:r>
    </w:p>
  </w:footnote>
  <w:footnote w:id="5">
    <w:p w14:paraId="75055BD3" w14:textId="533DDBB8" w:rsidR="00FF758D" w:rsidRDefault="00FF758D">
      <w:pPr>
        <w:pStyle w:val="FootnoteText"/>
      </w:pPr>
      <w:r>
        <w:rPr>
          <w:rStyle w:val="FootnoteReference"/>
        </w:rPr>
        <w:footnoteRef/>
      </w:r>
      <w:r>
        <w:t xml:space="preserve"> </w:t>
      </w:r>
      <w:r w:rsidR="00373C45" w:rsidRPr="00373C45">
        <w:t xml:space="preserve">White, Stephen D., </w:t>
      </w:r>
      <w:r w:rsidR="00297585">
        <w:t>and others</w:t>
      </w:r>
      <w:r w:rsidR="00373C45" w:rsidRPr="00373C45">
        <w:t xml:space="preserve">. “Is the Bayeux Embroidery a Record of Events?” </w:t>
      </w:r>
      <w:r w:rsidR="00373C45" w:rsidRPr="0017397B">
        <w:rPr>
          <w:i/>
          <w:iCs/>
        </w:rPr>
        <w:t>The Bayeux Tapestry and Its Contexts: A Reassessment</w:t>
      </w:r>
      <w:r w:rsidR="00373C45" w:rsidRPr="00373C45">
        <w:t>, NED-New edition</w:t>
      </w:r>
      <w:r w:rsidR="003E15C7">
        <w:t>.</w:t>
      </w:r>
      <w:r w:rsidR="00373C45">
        <w:t xml:space="preserve"> </w:t>
      </w:r>
    </w:p>
  </w:footnote>
  <w:footnote w:id="6">
    <w:p w14:paraId="328F6113" w14:textId="61E4B090" w:rsidR="00EA160D" w:rsidRDefault="00EA160D">
      <w:pPr>
        <w:pStyle w:val="FootnoteText"/>
      </w:pPr>
      <w:r>
        <w:rPr>
          <w:rStyle w:val="FootnoteReference"/>
        </w:rPr>
        <w:footnoteRef/>
      </w:r>
      <w:r>
        <w:t xml:space="preserve"> </w:t>
      </w:r>
      <w:r w:rsidR="00DA4C89" w:rsidRPr="00DA4C89">
        <w:t xml:space="preserve">Eadmer, </w:t>
      </w:r>
      <w:r w:rsidR="00DA4C89" w:rsidRPr="00DA4C89">
        <w:rPr>
          <w:i/>
          <w:iCs/>
        </w:rPr>
        <w:t>Eadmer’s History of Recent Events in England = Historia Novorum in Anglia</w:t>
      </w:r>
      <w:r w:rsidR="00DA4C89" w:rsidRPr="00DA4C89">
        <w:t>, trans. by Geoffrey Bosanquet (London: Cresset Press, 1964)</w:t>
      </w:r>
      <w:r w:rsidR="00DA4C89">
        <w:t xml:space="preserve"> </w:t>
      </w:r>
      <w:r w:rsidR="00485821">
        <w:t xml:space="preserve">Page 6. </w:t>
      </w:r>
    </w:p>
  </w:footnote>
  <w:footnote w:id="7">
    <w:p w14:paraId="05A1E9A5" w14:textId="0707DCB5" w:rsidR="00DC72DF" w:rsidRDefault="00DC72DF" w:rsidP="00ED7732">
      <w:pPr>
        <w:pStyle w:val="FootnoteText"/>
      </w:pPr>
      <w:r>
        <w:rPr>
          <w:rStyle w:val="FootnoteReference"/>
        </w:rPr>
        <w:footnoteRef/>
      </w:r>
      <w:r>
        <w:t xml:space="preserve"> </w:t>
      </w:r>
      <w:r w:rsidR="00ED7732">
        <w:t xml:space="preserve">William, and Joseph Stevenson. 2000. </w:t>
      </w:r>
      <w:r w:rsidR="00ED7732" w:rsidRPr="004F3C1A">
        <w:rPr>
          <w:i/>
          <w:iCs/>
        </w:rPr>
        <w:t>A History of the Norman Kings</w:t>
      </w:r>
      <w:r w:rsidR="00ED7732">
        <w:t xml:space="preserve"> (1066-1125</w:t>
      </w:r>
      <w:r w:rsidR="00400677">
        <w:t>)</w:t>
      </w:r>
      <w:r w:rsidR="00400677">
        <w:rPr>
          <w:rFonts w:ascii="Arial" w:hAnsi="Arial" w:cs="Arial"/>
        </w:rPr>
        <w:t>:</w:t>
      </w:r>
      <w:r w:rsidR="00ED7732">
        <w:t xml:space="preserve"> With the Historia Novella, or History of His Own Times (1126-1142) (Felinfach, Lampeter: Llanerch)</w:t>
      </w:r>
      <w:r w:rsidR="006F5063">
        <w:t xml:space="preserve"> </w:t>
      </w:r>
      <w:r w:rsidR="00C52E89">
        <w:t>Page 60.</w:t>
      </w:r>
    </w:p>
  </w:footnote>
  <w:footnote w:id="8">
    <w:p w14:paraId="5A3B420E" w14:textId="6686284A" w:rsidR="00516A58" w:rsidRDefault="00516A58" w:rsidP="00C75128">
      <w:pPr>
        <w:pStyle w:val="FootnoteText"/>
      </w:pPr>
      <w:r>
        <w:rPr>
          <w:rStyle w:val="FootnoteReference"/>
        </w:rPr>
        <w:footnoteRef/>
      </w:r>
      <w:r w:rsidR="00C75128">
        <w:t xml:space="preserve"> Gulielmus, Marjorie Chibnall, and R. H. C. Davis. 1998. </w:t>
      </w:r>
      <w:r w:rsidR="00C75128" w:rsidRPr="00E164E6">
        <w:rPr>
          <w:i/>
          <w:iCs/>
        </w:rPr>
        <w:t>The Gesta Guillelmi of William of Poitiers</w:t>
      </w:r>
      <w:r w:rsidR="00C75128">
        <w:t xml:space="preserve"> (Oxford: Clarendon Press)</w:t>
      </w:r>
      <w:r w:rsidR="00B0304A">
        <w:t xml:space="preserve"> </w:t>
      </w:r>
      <w:r w:rsidR="003435D8">
        <w:t>Page 70.</w:t>
      </w:r>
    </w:p>
  </w:footnote>
  <w:footnote w:id="9">
    <w:p w14:paraId="2E1AB26D" w14:textId="60AE7C0F" w:rsidR="00DF28BE" w:rsidRDefault="00DF28BE">
      <w:pPr>
        <w:pStyle w:val="FootnoteText"/>
      </w:pPr>
      <w:r>
        <w:rPr>
          <w:rStyle w:val="FootnoteReference"/>
        </w:rPr>
        <w:footnoteRef/>
      </w:r>
      <w:r>
        <w:t xml:space="preserve"> </w:t>
      </w:r>
      <w:r w:rsidR="00091EBD" w:rsidRPr="00091EBD">
        <w:t xml:space="preserve">Henry of Huntingdon, and Diana Greenway. 2002. </w:t>
      </w:r>
      <w:r w:rsidR="00091EBD" w:rsidRPr="00091EBD">
        <w:rPr>
          <w:i/>
          <w:iCs/>
        </w:rPr>
        <w:t>The History of the English People, 1000-1154</w:t>
      </w:r>
      <w:r w:rsidR="00091EBD" w:rsidRPr="00091EBD">
        <w:t xml:space="preserve"> (Oxford: Oxford University Press)</w:t>
      </w:r>
      <w:r w:rsidR="00113BAC">
        <w:t xml:space="preserve"> Page 24.</w:t>
      </w:r>
    </w:p>
  </w:footnote>
  <w:footnote w:id="10">
    <w:p w14:paraId="24D3FA05" w14:textId="7BF3AF02" w:rsidR="008C09F5" w:rsidRDefault="008C09F5">
      <w:pPr>
        <w:pStyle w:val="FootnoteText"/>
      </w:pPr>
      <w:r>
        <w:rPr>
          <w:rStyle w:val="FootnoteReference"/>
        </w:rPr>
        <w:footnoteRef/>
      </w:r>
      <w:r>
        <w:t xml:space="preserve"> </w:t>
      </w:r>
      <w:r w:rsidR="00E164E6" w:rsidRPr="00E164E6">
        <w:t xml:space="preserve">Gulielmus, Marjorie Chibnall, and R. H. C. Davis. 1998. </w:t>
      </w:r>
      <w:r w:rsidR="00E164E6" w:rsidRPr="00E164E6">
        <w:rPr>
          <w:i/>
          <w:iCs/>
        </w:rPr>
        <w:t>The Gesta Guillelmi of William of Poitiers</w:t>
      </w:r>
      <w:r w:rsidR="003E15C7">
        <w:t>.</w:t>
      </w:r>
    </w:p>
  </w:footnote>
  <w:footnote w:id="11">
    <w:p w14:paraId="7BCFA35B" w14:textId="3885DA11" w:rsidR="00BB210B" w:rsidRPr="00A8528B" w:rsidRDefault="00BB210B">
      <w:pPr>
        <w:pStyle w:val="FootnoteText"/>
      </w:pPr>
      <w:r>
        <w:rPr>
          <w:rStyle w:val="FootnoteReference"/>
        </w:rPr>
        <w:footnoteRef/>
      </w:r>
      <w:r w:rsidR="00CB5AE3">
        <w:t xml:space="preserve"> </w:t>
      </w:r>
      <w:r w:rsidR="00091EBD" w:rsidRPr="00091EBD">
        <w:t xml:space="preserve">Huntingdon, and Greenway. 2002. </w:t>
      </w:r>
      <w:r w:rsidR="00091EBD" w:rsidRPr="00091EBD">
        <w:rPr>
          <w:i/>
          <w:iCs/>
        </w:rPr>
        <w:t>The History of</w:t>
      </w:r>
      <w:r w:rsidR="00A8528B">
        <w:rPr>
          <w:i/>
          <w:iCs/>
        </w:rPr>
        <w:t xml:space="preserve">. </w:t>
      </w:r>
    </w:p>
  </w:footnote>
  <w:footnote w:id="12">
    <w:p w14:paraId="0988741D" w14:textId="177019ED" w:rsidR="004B1698" w:rsidRDefault="004B1698" w:rsidP="00EA53AA">
      <w:pPr>
        <w:pStyle w:val="FootnoteText"/>
      </w:pPr>
      <w:r>
        <w:rPr>
          <w:rStyle w:val="FootnoteReference"/>
        </w:rPr>
        <w:footnoteRef/>
      </w:r>
      <w:r>
        <w:t xml:space="preserve"> </w:t>
      </w:r>
      <w:r w:rsidR="00EA53AA">
        <w:t xml:space="preserve">Chibnall, and Davis. 1998. </w:t>
      </w:r>
      <w:r w:rsidR="00EA53AA" w:rsidRPr="00E164E6">
        <w:rPr>
          <w:i/>
          <w:iCs/>
        </w:rPr>
        <w:t xml:space="preserve">The Gesta Guillelmi </w:t>
      </w:r>
    </w:p>
  </w:footnote>
  <w:footnote w:id="13">
    <w:p w14:paraId="3A3F666C" w14:textId="23EBE300" w:rsidR="00C01268" w:rsidRDefault="00C01268" w:rsidP="00550F8B">
      <w:pPr>
        <w:pStyle w:val="FootnoteText"/>
      </w:pPr>
      <w:r>
        <w:rPr>
          <w:rStyle w:val="FootnoteReference"/>
        </w:rPr>
        <w:footnoteRef/>
      </w:r>
      <w:r w:rsidR="003E15C7">
        <w:t xml:space="preserve"> </w:t>
      </w:r>
      <w:r w:rsidR="00550F8B">
        <w:t>Owen-Crocker, Gale R. 2005. ‘Squawk Talk: Commentary by Birds in the Bayeux Tapestry?</w:t>
      </w:r>
      <w:proofErr w:type="gramStart"/>
      <w:r w:rsidR="00550F8B">
        <w:t>’,</w:t>
      </w:r>
      <w:proofErr w:type="gramEnd"/>
      <w:r w:rsidR="00550F8B">
        <w:t xml:space="preserve"> Anglo-Saxon England (Cambridge, UK), 34, pp. 237–54, doi:10.1017/S0263675105000116</w:t>
      </w:r>
    </w:p>
  </w:footnote>
  <w:footnote w:id="14">
    <w:p w14:paraId="43EE65A0" w14:textId="25333F6B" w:rsidR="008C464D" w:rsidRDefault="008C464D" w:rsidP="00FB6846">
      <w:pPr>
        <w:pStyle w:val="FootnoteText"/>
      </w:pPr>
      <w:r>
        <w:rPr>
          <w:rStyle w:val="FootnoteReference"/>
        </w:rPr>
        <w:footnoteRef/>
      </w:r>
      <w:r>
        <w:t xml:space="preserve"> </w:t>
      </w:r>
      <w:r w:rsidR="00FB6846">
        <w:t>Owen-Crocker. ‘Squawk Talk: Commentary</w:t>
      </w:r>
      <w:proofErr w:type="gramStart"/>
      <w:r w:rsidR="00592FC4">
        <w:t>’</w:t>
      </w:r>
      <w:r w:rsidR="00054225">
        <w:t>.</w:t>
      </w:r>
      <w:proofErr w:type="gramEnd"/>
    </w:p>
  </w:footnote>
  <w:footnote w:id="15">
    <w:p w14:paraId="565D6B02" w14:textId="13068B8B" w:rsidR="008E0D10" w:rsidRDefault="008E0D10" w:rsidP="0036481A">
      <w:pPr>
        <w:pStyle w:val="FootnoteText"/>
      </w:pPr>
      <w:r>
        <w:rPr>
          <w:rStyle w:val="FootnoteReference"/>
        </w:rPr>
        <w:footnoteRef/>
      </w:r>
      <w:r>
        <w:t xml:space="preserve"> </w:t>
      </w:r>
      <w:r w:rsidR="0036481A">
        <w:t>Banks. ‘The Text of</w:t>
      </w:r>
      <w:proofErr w:type="gramStart"/>
      <w:r w:rsidR="00054225">
        <w:t>’.</w:t>
      </w:r>
      <w:proofErr w:type="gramEnd"/>
    </w:p>
  </w:footnote>
  <w:footnote w:id="16">
    <w:p w14:paraId="2087D364" w14:textId="0462671C" w:rsidR="00622CE7" w:rsidRPr="003E15C7" w:rsidRDefault="00622CE7">
      <w:pPr>
        <w:pStyle w:val="FootnoteText"/>
        <w:rPr>
          <w:i/>
          <w:iCs/>
        </w:rPr>
      </w:pPr>
      <w:r>
        <w:rPr>
          <w:rStyle w:val="FootnoteReference"/>
        </w:rPr>
        <w:footnoteRef/>
      </w:r>
      <w:r>
        <w:t xml:space="preserve"> </w:t>
      </w:r>
      <w:r w:rsidRPr="00622CE7">
        <w:t xml:space="preserve">Chibnall, and Davis. </w:t>
      </w:r>
      <w:r w:rsidRPr="003E15C7">
        <w:rPr>
          <w:i/>
          <w:iCs/>
        </w:rPr>
        <w:t>The Gesta Guillelmi of</w:t>
      </w:r>
      <w:r w:rsidR="00544291">
        <w:rPr>
          <w:i/>
          <w:iCs/>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E21"/>
    <w:rsid w:val="00007D2D"/>
    <w:rsid w:val="0002284E"/>
    <w:rsid w:val="000409DB"/>
    <w:rsid w:val="00044690"/>
    <w:rsid w:val="00054225"/>
    <w:rsid w:val="00057F7F"/>
    <w:rsid w:val="0007074B"/>
    <w:rsid w:val="00080EEC"/>
    <w:rsid w:val="00084548"/>
    <w:rsid w:val="00085FA2"/>
    <w:rsid w:val="00091EBD"/>
    <w:rsid w:val="000959F2"/>
    <w:rsid w:val="000A061E"/>
    <w:rsid w:val="000B2A38"/>
    <w:rsid w:val="000F59EA"/>
    <w:rsid w:val="0010230C"/>
    <w:rsid w:val="00106053"/>
    <w:rsid w:val="00113BAC"/>
    <w:rsid w:val="001216EE"/>
    <w:rsid w:val="0012227C"/>
    <w:rsid w:val="00124CD8"/>
    <w:rsid w:val="00132870"/>
    <w:rsid w:val="00142346"/>
    <w:rsid w:val="00157B6B"/>
    <w:rsid w:val="00161404"/>
    <w:rsid w:val="0017311E"/>
    <w:rsid w:val="0017397B"/>
    <w:rsid w:val="001A0A2B"/>
    <w:rsid w:val="001A5B25"/>
    <w:rsid w:val="001C5443"/>
    <w:rsid w:val="002268F8"/>
    <w:rsid w:val="00235FFA"/>
    <w:rsid w:val="00236030"/>
    <w:rsid w:val="0025618A"/>
    <w:rsid w:val="00266664"/>
    <w:rsid w:val="00277202"/>
    <w:rsid w:val="00297585"/>
    <w:rsid w:val="002A3462"/>
    <w:rsid w:val="002E1324"/>
    <w:rsid w:val="002E5BF1"/>
    <w:rsid w:val="00307053"/>
    <w:rsid w:val="003435D8"/>
    <w:rsid w:val="0036481A"/>
    <w:rsid w:val="00366FCD"/>
    <w:rsid w:val="0037350B"/>
    <w:rsid w:val="00373C45"/>
    <w:rsid w:val="003B65A0"/>
    <w:rsid w:val="003C1497"/>
    <w:rsid w:val="003E15C7"/>
    <w:rsid w:val="00400677"/>
    <w:rsid w:val="004067BA"/>
    <w:rsid w:val="004109EF"/>
    <w:rsid w:val="00413DD3"/>
    <w:rsid w:val="00450E03"/>
    <w:rsid w:val="00466E15"/>
    <w:rsid w:val="00485821"/>
    <w:rsid w:val="004863A6"/>
    <w:rsid w:val="004937BB"/>
    <w:rsid w:val="004B1698"/>
    <w:rsid w:val="004B2956"/>
    <w:rsid w:val="004B571B"/>
    <w:rsid w:val="004D11EE"/>
    <w:rsid w:val="004D2170"/>
    <w:rsid w:val="004D2578"/>
    <w:rsid w:val="004D36DF"/>
    <w:rsid w:val="004D3AA5"/>
    <w:rsid w:val="004E49F8"/>
    <w:rsid w:val="004F36D0"/>
    <w:rsid w:val="004F3C1A"/>
    <w:rsid w:val="004F4720"/>
    <w:rsid w:val="00504E2D"/>
    <w:rsid w:val="00511FDA"/>
    <w:rsid w:val="00512083"/>
    <w:rsid w:val="00516A58"/>
    <w:rsid w:val="00527213"/>
    <w:rsid w:val="0053013D"/>
    <w:rsid w:val="005333C8"/>
    <w:rsid w:val="00534E21"/>
    <w:rsid w:val="00537CBD"/>
    <w:rsid w:val="00544291"/>
    <w:rsid w:val="00545E95"/>
    <w:rsid w:val="00550F8B"/>
    <w:rsid w:val="0055567F"/>
    <w:rsid w:val="00592FC4"/>
    <w:rsid w:val="00596D53"/>
    <w:rsid w:val="005A3588"/>
    <w:rsid w:val="00612281"/>
    <w:rsid w:val="00622CE7"/>
    <w:rsid w:val="006662A2"/>
    <w:rsid w:val="006715B4"/>
    <w:rsid w:val="006B6F13"/>
    <w:rsid w:val="006F5063"/>
    <w:rsid w:val="0070138E"/>
    <w:rsid w:val="00710551"/>
    <w:rsid w:val="00774823"/>
    <w:rsid w:val="00797654"/>
    <w:rsid w:val="00797F7C"/>
    <w:rsid w:val="007B33A0"/>
    <w:rsid w:val="007B33AA"/>
    <w:rsid w:val="007E681A"/>
    <w:rsid w:val="007E72E7"/>
    <w:rsid w:val="00810C85"/>
    <w:rsid w:val="00812E9C"/>
    <w:rsid w:val="008300D5"/>
    <w:rsid w:val="00865E34"/>
    <w:rsid w:val="00867E34"/>
    <w:rsid w:val="0089434E"/>
    <w:rsid w:val="008C09F5"/>
    <w:rsid w:val="008C22D0"/>
    <w:rsid w:val="008C464D"/>
    <w:rsid w:val="008C4D66"/>
    <w:rsid w:val="008E0D10"/>
    <w:rsid w:val="0091471E"/>
    <w:rsid w:val="009234FC"/>
    <w:rsid w:val="00936CFB"/>
    <w:rsid w:val="00937A04"/>
    <w:rsid w:val="00946F8D"/>
    <w:rsid w:val="009632B0"/>
    <w:rsid w:val="00976DBC"/>
    <w:rsid w:val="0098433F"/>
    <w:rsid w:val="00985071"/>
    <w:rsid w:val="00986634"/>
    <w:rsid w:val="00997EC7"/>
    <w:rsid w:val="009A526E"/>
    <w:rsid w:val="009C11FE"/>
    <w:rsid w:val="009D4780"/>
    <w:rsid w:val="009D4F02"/>
    <w:rsid w:val="009E23B2"/>
    <w:rsid w:val="009E4BBB"/>
    <w:rsid w:val="009E561E"/>
    <w:rsid w:val="009E7D16"/>
    <w:rsid w:val="00A06DD7"/>
    <w:rsid w:val="00A26A7C"/>
    <w:rsid w:val="00A26E75"/>
    <w:rsid w:val="00A464F7"/>
    <w:rsid w:val="00A514AB"/>
    <w:rsid w:val="00A51B04"/>
    <w:rsid w:val="00A5319B"/>
    <w:rsid w:val="00A575D9"/>
    <w:rsid w:val="00A600E7"/>
    <w:rsid w:val="00A8528B"/>
    <w:rsid w:val="00AC78A4"/>
    <w:rsid w:val="00AC7A9B"/>
    <w:rsid w:val="00AC7B32"/>
    <w:rsid w:val="00AE5FE0"/>
    <w:rsid w:val="00AE7A78"/>
    <w:rsid w:val="00AF47A8"/>
    <w:rsid w:val="00AF487C"/>
    <w:rsid w:val="00B01A5D"/>
    <w:rsid w:val="00B0304A"/>
    <w:rsid w:val="00B17AC1"/>
    <w:rsid w:val="00B2116B"/>
    <w:rsid w:val="00B64E3B"/>
    <w:rsid w:val="00B8218E"/>
    <w:rsid w:val="00B845AB"/>
    <w:rsid w:val="00BB0367"/>
    <w:rsid w:val="00BB1C10"/>
    <w:rsid w:val="00BB210B"/>
    <w:rsid w:val="00BC347B"/>
    <w:rsid w:val="00BC5615"/>
    <w:rsid w:val="00BD0864"/>
    <w:rsid w:val="00BD344B"/>
    <w:rsid w:val="00BE30D2"/>
    <w:rsid w:val="00C01268"/>
    <w:rsid w:val="00C52E89"/>
    <w:rsid w:val="00C6385C"/>
    <w:rsid w:val="00C6527F"/>
    <w:rsid w:val="00C75128"/>
    <w:rsid w:val="00C84724"/>
    <w:rsid w:val="00C85D86"/>
    <w:rsid w:val="00CB3763"/>
    <w:rsid w:val="00CB5AE3"/>
    <w:rsid w:val="00CE71E3"/>
    <w:rsid w:val="00CE7F5B"/>
    <w:rsid w:val="00CF0EB3"/>
    <w:rsid w:val="00D22C33"/>
    <w:rsid w:val="00D23EBE"/>
    <w:rsid w:val="00D27306"/>
    <w:rsid w:val="00D42359"/>
    <w:rsid w:val="00D65D8B"/>
    <w:rsid w:val="00D679B3"/>
    <w:rsid w:val="00D9007C"/>
    <w:rsid w:val="00D90A80"/>
    <w:rsid w:val="00DA4C89"/>
    <w:rsid w:val="00DA697D"/>
    <w:rsid w:val="00DA73EA"/>
    <w:rsid w:val="00DC72DF"/>
    <w:rsid w:val="00DE3724"/>
    <w:rsid w:val="00DF28BE"/>
    <w:rsid w:val="00DF7683"/>
    <w:rsid w:val="00E02578"/>
    <w:rsid w:val="00E126D2"/>
    <w:rsid w:val="00E15C86"/>
    <w:rsid w:val="00E164E6"/>
    <w:rsid w:val="00E459AF"/>
    <w:rsid w:val="00E55A57"/>
    <w:rsid w:val="00E571A0"/>
    <w:rsid w:val="00E631E5"/>
    <w:rsid w:val="00E7468B"/>
    <w:rsid w:val="00E90761"/>
    <w:rsid w:val="00EA10EF"/>
    <w:rsid w:val="00EA160D"/>
    <w:rsid w:val="00EA53AA"/>
    <w:rsid w:val="00EB233C"/>
    <w:rsid w:val="00EB4573"/>
    <w:rsid w:val="00EB65C2"/>
    <w:rsid w:val="00EC363B"/>
    <w:rsid w:val="00ED7732"/>
    <w:rsid w:val="00EE0B54"/>
    <w:rsid w:val="00EE51BC"/>
    <w:rsid w:val="00EF07B5"/>
    <w:rsid w:val="00EF0B42"/>
    <w:rsid w:val="00EF0DD4"/>
    <w:rsid w:val="00F13428"/>
    <w:rsid w:val="00F25D22"/>
    <w:rsid w:val="00F31B74"/>
    <w:rsid w:val="00F348C2"/>
    <w:rsid w:val="00F72A0D"/>
    <w:rsid w:val="00F756C3"/>
    <w:rsid w:val="00FA52C6"/>
    <w:rsid w:val="00FB6846"/>
    <w:rsid w:val="00FC1256"/>
    <w:rsid w:val="00FE1AB3"/>
    <w:rsid w:val="00FE7FEB"/>
    <w:rsid w:val="00FF7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10ED9C"/>
  <w15:chartTrackingRefBased/>
  <w15:docId w15:val="{BE5C9BCE-3C5C-47EA-AF11-36F0EA32D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E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4E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4E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4E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4E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4E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4E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4E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4E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E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4E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4E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4E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4E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4E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4E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4E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4E21"/>
    <w:rPr>
      <w:rFonts w:eastAsiaTheme="majorEastAsia" w:cstheme="majorBidi"/>
      <w:color w:val="272727" w:themeColor="text1" w:themeTint="D8"/>
    </w:rPr>
  </w:style>
  <w:style w:type="paragraph" w:styleId="Title">
    <w:name w:val="Title"/>
    <w:basedOn w:val="Normal"/>
    <w:next w:val="Normal"/>
    <w:link w:val="TitleChar"/>
    <w:uiPriority w:val="10"/>
    <w:qFormat/>
    <w:rsid w:val="00534E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E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4E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4E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4E21"/>
    <w:pPr>
      <w:spacing w:before="160"/>
      <w:jc w:val="center"/>
    </w:pPr>
    <w:rPr>
      <w:i/>
      <w:iCs/>
      <w:color w:val="404040" w:themeColor="text1" w:themeTint="BF"/>
    </w:rPr>
  </w:style>
  <w:style w:type="character" w:customStyle="1" w:styleId="QuoteChar">
    <w:name w:val="Quote Char"/>
    <w:basedOn w:val="DefaultParagraphFont"/>
    <w:link w:val="Quote"/>
    <w:uiPriority w:val="29"/>
    <w:rsid w:val="00534E21"/>
    <w:rPr>
      <w:i/>
      <w:iCs/>
      <w:color w:val="404040" w:themeColor="text1" w:themeTint="BF"/>
    </w:rPr>
  </w:style>
  <w:style w:type="paragraph" w:styleId="ListParagraph">
    <w:name w:val="List Paragraph"/>
    <w:basedOn w:val="Normal"/>
    <w:uiPriority w:val="34"/>
    <w:qFormat/>
    <w:rsid w:val="00534E21"/>
    <w:pPr>
      <w:ind w:left="720"/>
      <w:contextualSpacing/>
    </w:pPr>
  </w:style>
  <w:style w:type="character" w:styleId="IntenseEmphasis">
    <w:name w:val="Intense Emphasis"/>
    <w:basedOn w:val="DefaultParagraphFont"/>
    <w:uiPriority w:val="21"/>
    <w:qFormat/>
    <w:rsid w:val="00534E21"/>
    <w:rPr>
      <w:i/>
      <w:iCs/>
      <w:color w:val="0F4761" w:themeColor="accent1" w:themeShade="BF"/>
    </w:rPr>
  </w:style>
  <w:style w:type="paragraph" w:styleId="IntenseQuote">
    <w:name w:val="Intense Quote"/>
    <w:basedOn w:val="Normal"/>
    <w:next w:val="Normal"/>
    <w:link w:val="IntenseQuoteChar"/>
    <w:uiPriority w:val="30"/>
    <w:qFormat/>
    <w:rsid w:val="00534E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4E21"/>
    <w:rPr>
      <w:i/>
      <w:iCs/>
      <w:color w:val="0F4761" w:themeColor="accent1" w:themeShade="BF"/>
    </w:rPr>
  </w:style>
  <w:style w:type="character" w:styleId="IntenseReference">
    <w:name w:val="Intense Reference"/>
    <w:basedOn w:val="DefaultParagraphFont"/>
    <w:uiPriority w:val="32"/>
    <w:qFormat/>
    <w:rsid w:val="00534E21"/>
    <w:rPr>
      <w:b/>
      <w:bCs/>
      <w:smallCaps/>
      <w:color w:val="0F4761" w:themeColor="accent1" w:themeShade="BF"/>
      <w:spacing w:val="5"/>
    </w:rPr>
  </w:style>
  <w:style w:type="paragraph" w:styleId="FootnoteText">
    <w:name w:val="footnote text"/>
    <w:basedOn w:val="Normal"/>
    <w:link w:val="FootnoteTextChar"/>
    <w:uiPriority w:val="99"/>
    <w:semiHidden/>
    <w:unhideWhenUsed/>
    <w:rsid w:val="004B16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1698"/>
    <w:rPr>
      <w:sz w:val="20"/>
      <w:szCs w:val="20"/>
    </w:rPr>
  </w:style>
  <w:style w:type="character" w:styleId="FootnoteReference">
    <w:name w:val="footnote reference"/>
    <w:basedOn w:val="DefaultParagraphFont"/>
    <w:uiPriority w:val="99"/>
    <w:semiHidden/>
    <w:unhideWhenUsed/>
    <w:rsid w:val="004B1698"/>
    <w:rPr>
      <w:vertAlign w:val="superscript"/>
    </w:rPr>
  </w:style>
  <w:style w:type="character" w:styleId="Hyperlink">
    <w:name w:val="Hyperlink"/>
    <w:basedOn w:val="DefaultParagraphFont"/>
    <w:uiPriority w:val="99"/>
    <w:unhideWhenUsed/>
    <w:rsid w:val="00A51B04"/>
    <w:rPr>
      <w:color w:val="467886" w:themeColor="hyperlink"/>
      <w:u w:val="single"/>
    </w:rPr>
  </w:style>
  <w:style w:type="character" w:styleId="UnresolvedMention">
    <w:name w:val="Unresolved Mention"/>
    <w:basedOn w:val="DefaultParagraphFont"/>
    <w:uiPriority w:val="99"/>
    <w:semiHidden/>
    <w:unhideWhenUsed/>
    <w:rsid w:val="00A51B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stable/10.7722/j.ctt6wp9gx.9.%20Accessed%2012%20Oct.%20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db2afc591fd09aa6907c0d70a09bc2b4">
  <xsd:schema xmlns:xsd="http://www.w3.org/2001/XMLSchema" xmlns:xs="http://www.w3.org/2001/XMLSchema" xmlns:p="http://schemas.microsoft.com/office/2006/metadata/properties" xmlns:ns3="0085e1a2-9cbf-4b92-866b-21f3c89040b6" targetNamespace="http://schemas.microsoft.com/office/2006/metadata/properties" ma:root="true" ma:fieldsID="b12d06c91831a0146968f4e6b1954d1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487585-7110-49C3-A93B-E1B23B575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B38171-15BE-4DF9-9204-5F1893496AFA}">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DB26F252-F748-4F04-8762-4244F27AFFD1}">
  <ds:schemaRefs>
    <ds:schemaRef ds:uri="http://schemas.openxmlformats.org/officeDocument/2006/bibliography"/>
  </ds:schemaRefs>
</ds:datastoreItem>
</file>

<file path=customXml/itemProps4.xml><?xml version="1.0" encoding="utf-8"?>
<ds:datastoreItem xmlns:ds="http://schemas.openxmlformats.org/officeDocument/2006/customXml" ds:itemID="{A693A33B-C4F4-4A42-B4B0-54C2EE5CB5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4</Pages>
  <Words>1455</Words>
  <Characters>7336</Characters>
  <Application>Microsoft Office Word</Application>
  <DocSecurity>0</DocSecurity>
  <Lines>118</Lines>
  <Paragraphs>27</Paragraphs>
  <ScaleCrop>false</ScaleCrop>
  <Company/>
  <LinksUpToDate>false</LinksUpToDate>
  <CharactersWithSpaces>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Dabell (2400501)</dc:creator>
  <cp:keywords/>
  <dc:description/>
  <cp:lastModifiedBy>Megan Dabell (2400501)</cp:lastModifiedBy>
  <cp:revision>215</cp:revision>
  <dcterms:created xsi:type="dcterms:W3CDTF">2026-10-01T10:50:00Z</dcterms:created>
  <dcterms:modified xsi:type="dcterms:W3CDTF">2026-10-17T10:59:00Z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