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Pr="00EC5618" w:rsidRDefault="00ED5964">
      <w:pPr>
        <w:rPr>
          <w:rFonts w:ascii="Arial" w:hAnsi="Arial" w:cs="Arial"/>
          <w:sz w:val="22"/>
        </w:rPr>
      </w:pPr>
    </w:p>
    <w:p w14:paraId="2EF804A0" w14:textId="4D23C670" w:rsidR="00ED5964" w:rsidRPr="00EC5618" w:rsidRDefault="00ED5964" w:rsidP="00ED5964">
      <w:pPr>
        <w:jc w:val="both"/>
        <w:rPr>
          <w:rFonts w:ascii="Arial" w:hAnsi="Arial" w:cs="Arial"/>
          <w:sz w:val="28"/>
          <w:szCs w:val="28"/>
        </w:rPr>
      </w:pPr>
      <w:r w:rsidRPr="00EC5618">
        <w:rPr>
          <w:rFonts w:ascii="Arial" w:hAnsi="Arial" w:cs="Arial"/>
          <w:b/>
          <w:bCs/>
          <w:sz w:val="28"/>
          <w:szCs w:val="28"/>
        </w:rPr>
        <w:t>Name:</w:t>
      </w:r>
      <w:r w:rsidRPr="00EC5618">
        <w:rPr>
          <w:rFonts w:ascii="Arial" w:hAnsi="Arial" w:cs="Arial"/>
          <w:sz w:val="28"/>
          <w:szCs w:val="28"/>
        </w:rPr>
        <w:t xml:space="preserve"> </w:t>
      </w:r>
      <w:r w:rsidR="004E3CA8" w:rsidRPr="00EC5618">
        <w:rPr>
          <w:rFonts w:ascii="Arial" w:hAnsi="Arial" w:cs="Arial"/>
          <w:sz w:val="28"/>
          <w:szCs w:val="28"/>
        </w:rPr>
        <w:t>Ejiroghene Barbara Onyeme Campbell</w:t>
      </w:r>
    </w:p>
    <w:p w14:paraId="485B6F49" w14:textId="6F675835" w:rsidR="00ED5964" w:rsidRPr="00EC5618" w:rsidRDefault="00ED5964" w:rsidP="00ED5964">
      <w:pPr>
        <w:jc w:val="both"/>
        <w:rPr>
          <w:rFonts w:ascii="Arial" w:hAnsi="Arial" w:cs="Arial"/>
          <w:sz w:val="28"/>
          <w:szCs w:val="28"/>
        </w:rPr>
      </w:pPr>
      <w:r w:rsidRPr="00EC5618">
        <w:rPr>
          <w:rFonts w:ascii="Arial" w:hAnsi="Arial" w:cs="Arial"/>
          <w:b/>
          <w:bCs/>
          <w:sz w:val="28"/>
          <w:szCs w:val="28"/>
        </w:rPr>
        <w:t>Student ID:</w:t>
      </w:r>
      <w:r w:rsidRPr="00EC5618">
        <w:rPr>
          <w:rFonts w:ascii="Arial" w:hAnsi="Arial" w:cs="Arial"/>
          <w:sz w:val="28"/>
          <w:szCs w:val="28"/>
        </w:rPr>
        <w:t xml:space="preserve"> </w:t>
      </w:r>
      <w:r w:rsidR="004E3CA8" w:rsidRPr="00EC5618">
        <w:rPr>
          <w:rFonts w:ascii="Arial" w:hAnsi="Arial" w:cs="Arial"/>
          <w:sz w:val="28"/>
          <w:szCs w:val="28"/>
        </w:rPr>
        <w:t>2516659</w:t>
      </w:r>
    </w:p>
    <w:p w14:paraId="3C1E7A20" w14:textId="0D115EC5" w:rsidR="00ED5964" w:rsidRPr="00EC5618" w:rsidRDefault="00ED5964" w:rsidP="00ED5964">
      <w:pPr>
        <w:jc w:val="both"/>
        <w:rPr>
          <w:rFonts w:ascii="Arial" w:hAnsi="Arial" w:cs="Arial"/>
          <w:sz w:val="28"/>
          <w:szCs w:val="28"/>
        </w:rPr>
      </w:pPr>
      <w:r w:rsidRPr="00EC5618">
        <w:rPr>
          <w:rFonts w:ascii="Arial" w:hAnsi="Arial" w:cs="Arial"/>
          <w:b/>
          <w:bCs/>
          <w:sz w:val="28"/>
          <w:szCs w:val="28"/>
        </w:rPr>
        <w:t>Module Code:</w:t>
      </w:r>
      <w:r w:rsidRPr="00EC5618">
        <w:rPr>
          <w:rFonts w:ascii="Arial" w:hAnsi="Arial" w:cs="Arial"/>
          <w:sz w:val="28"/>
          <w:szCs w:val="28"/>
        </w:rPr>
        <w:t xml:space="preserve"> </w:t>
      </w:r>
      <w:r w:rsidR="004E3CA8" w:rsidRPr="00EC5618">
        <w:rPr>
          <w:rFonts w:ascii="Arial" w:hAnsi="Arial" w:cs="Arial"/>
          <w:sz w:val="28"/>
          <w:szCs w:val="28"/>
        </w:rPr>
        <w:t>LCHS4001</w:t>
      </w:r>
    </w:p>
    <w:p w14:paraId="4EEB2DA3" w14:textId="6DEACB01" w:rsidR="00ED5964" w:rsidRPr="00EC5618" w:rsidRDefault="00ED5964" w:rsidP="00ED5964">
      <w:pPr>
        <w:jc w:val="both"/>
        <w:rPr>
          <w:rFonts w:ascii="Arial" w:hAnsi="Arial" w:cs="Arial"/>
          <w:sz w:val="28"/>
          <w:szCs w:val="28"/>
        </w:rPr>
      </w:pPr>
      <w:r w:rsidRPr="00EC5618">
        <w:rPr>
          <w:rFonts w:ascii="Arial" w:hAnsi="Arial" w:cs="Arial"/>
          <w:b/>
          <w:bCs/>
          <w:sz w:val="28"/>
          <w:szCs w:val="28"/>
        </w:rPr>
        <w:t xml:space="preserve">Module: </w:t>
      </w:r>
      <w:r w:rsidR="004E3CA8" w:rsidRPr="00EC5618">
        <w:rPr>
          <w:rFonts w:ascii="Arial" w:hAnsi="Arial" w:cs="Arial"/>
          <w:sz w:val="28"/>
          <w:szCs w:val="28"/>
        </w:rPr>
        <w:t xml:space="preserve">Academic and Employability Skills </w:t>
      </w:r>
    </w:p>
    <w:p w14:paraId="112342CB" w14:textId="12EAE8DC" w:rsidR="00ED5964" w:rsidRPr="00EC5618" w:rsidRDefault="00ED5964" w:rsidP="00ED5964">
      <w:pPr>
        <w:jc w:val="both"/>
        <w:rPr>
          <w:rFonts w:ascii="Arial" w:hAnsi="Arial" w:cs="Arial"/>
          <w:sz w:val="28"/>
          <w:szCs w:val="28"/>
        </w:rPr>
      </w:pPr>
      <w:r w:rsidRPr="00EC5618">
        <w:rPr>
          <w:rFonts w:ascii="Arial" w:hAnsi="Arial" w:cs="Arial"/>
          <w:b/>
          <w:bCs/>
          <w:sz w:val="28"/>
          <w:szCs w:val="28"/>
        </w:rPr>
        <w:t>Lecturer:</w:t>
      </w:r>
      <w:r w:rsidRPr="00EC5618">
        <w:rPr>
          <w:rFonts w:ascii="Arial" w:hAnsi="Arial" w:cs="Arial"/>
          <w:sz w:val="28"/>
          <w:szCs w:val="28"/>
        </w:rPr>
        <w:t xml:space="preserve"> </w:t>
      </w:r>
      <w:r w:rsidR="004E3CA8" w:rsidRPr="00EC5618">
        <w:rPr>
          <w:rFonts w:ascii="Arial" w:hAnsi="Arial" w:cs="Arial"/>
          <w:sz w:val="28"/>
          <w:szCs w:val="28"/>
        </w:rPr>
        <w:t>Mr M</w:t>
      </w:r>
      <w:r w:rsidR="00D81753" w:rsidRPr="00EC5618">
        <w:rPr>
          <w:rFonts w:ascii="Arial" w:hAnsi="Arial" w:cs="Arial"/>
          <w:sz w:val="28"/>
          <w:szCs w:val="28"/>
        </w:rPr>
        <w:t>ark Kane</w:t>
      </w:r>
      <w:r w:rsidR="00E34914">
        <w:rPr>
          <w:rFonts w:ascii="Arial" w:hAnsi="Arial" w:cs="Arial"/>
          <w:sz w:val="28"/>
          <w:szCs w:val="28"/>
        </w:rPr>
        <w:t xml:space="preserve"> / Mr Brian Mashumba</w:t>
      </w:r>
    </w:p>
    <w:p w14:paraId="78C0B80E" w14:textId="77777777" w:rsidR="00ED5964" w:rsidRPr="00EC5618" w:rsidRDefault="00ED5964" w:rsidP="00ED5964">
      <w:pPr>
        <w:jc w:val="both"/>
        <w:rPr>
          <w:rFonts w:ascii="Arial" w:hAnsi="Arial" w:cs="Arial"/>
          <w:sz w:val="28"/>
          <w:szCs w:val="28"/>
        </w:rPr>
      </w:pPr>
    </w:p>
    <w:p w14:paraId="0C6F95D6" w14:textId="77777777" w:rsidR="00ED5964" w:rsidRPr="00EC5618" w:rsidRDefault="00ED5964" w:rsidP="00ED5964">
      <w:pPr>
        <w:jc w:val="both"/>
        <w:rPr>
          <w:rFonts w:ascii="Arial" w:hAnsi="Arial" w:cs="Arial"/>
          <w:sz w:val="28"/>
          <w:szCs w:val="28"/>
        </w:rPr>
      </w:pPr>
    </w:p>
    <w:p w14:paraId="71D7459F" w14:textId="77777777" w:rsidR="00ED5964" w:rsidRPr="00EC5618" w:rsidRDefault="00ED5964" w:rsidP="00ED5964">
      <w:pPr>
        <w:jc w:val="both"/>
        <w:rPr>
          <w:rFonts w:ascii="Arial" w:hAnsi="Arial" w:cs="Arial"/>
          <w:sz w:val="28"/>
          <w:szCs w:val="28"/>
        </w:rPr>
      </w:pPr>
    </w:p>
    <w:p w14:paraId="38621A58" w14:textId="77777777" w:rsidR="00ED5964" w:rsidRPr="00EC5618" w:rsidRDefault="00ED5964" w:rsidP="00ED5964">
      <w:pPr>
        <w:jc w:val="both"/>
        <w:rPr>
          <w:rFonts w:ascii="Arial" w:hAnsi="Arial" w:cs="Arial"/>
          <w:sz w:val="28"/>
          <w:szCs w:val="28"/>
        </w:rPr>
      </w:pPr>
    </w:p>
    <w:p w14:paraId="6988A1DC" w14:textId="77777777" w:rsidR="00ED5964" w:rsidRPr="00EC5618" w:rsidRDefault="00ED5964" w:rsidP="00ED5964">
      <w:pPr>
        <w:jc w:val="both"/>
        <w:rPr>
          <w:rFonts w:ascii="Arial" w:hAnsi="Arial" w:cs="Arial"/>
          <w:sz w:val="28"/>
          <w:szCs w:val="28"/>
        </w:rPr>
      </w:pPr>
    </w:p>
    <w:p w14:paraId="072506E1" w14:textId="6D035EC9" w:rsidR="00ED5964" w:rsidRPr="00EC5618" w:rsidRDefault="00ED5964" w:rsidP="00580331">
      <w:pPr>
        <w:rPr>
          <w:rFonts w:ascii="Arial" w:hAnsi="Arial" w:cs="Arial"/>
          <w:sz w:val="28"/>
          <w:szCs w:val="28"/>
        </w:rPr>
      </w:pPr>
      <w:r w:rsidRPr="00EC5618">
        <w:rPr>
          <w:rFonts w:ascii="Arial" w:hAnsi="Arial" w:cs="Arial"/>
          <w:sz w:val="28"/>
          <w:szCs w:val="28"/>
        </w:rPr>
        <w:t xml:space="preserve">Submitted on:   </w:t>
      </w:r>
      <w:r w:rsidR="00012F4E">
        <w:rPr>
          <w:rFonts w:ascii="Arial" w:hAnsi="Arial" w:cs="Arial"/>
          <w:sz w:val="28"/>
          <w:szCs w:val="28"/>
        </w:rPr>
        <w:t>24</w:t>
      </w:r>
      <w:r w:rsidR="004E3CA8" w:rsidRPr="00EC5618">
        <w:rPr>
          <w:rFonts w:ascii="Arial" w:hAnsi="Arial" w:cs="Arial"/>
          <w:sz w:val="28"/>
          <w:szCs w:val="28"/>
        </w:rPr>
        <w:t>/</w:t>
      </w:r>
      <w:r w:rsidR="00C87AB5" w:rsidRPr="00EC5618">
        <w:rPr>
          <w:rFonts w:ascii="Arial" w:hAnsi="Arial" w:cs="Arial"/>
          <w:sz w:val="28"/>
          <w:szCs w:val="28"/>
        </w:rPr>
        <w:t>04</w:t>
      </w:r>
      <w:r w:rsidR="004E3CA8" w:rsidRPr="00EC5618">
        <w:rPr>
          <w:rFonts w:ascii="Arial" w:hAnsi="Arial" w:cs="Arial"/>
          <w:sz w:val="28"/>
          <w:szCs w:val="28"/>
        </w:rPr>
        <w:t>/2</w:t>
      </w:r>
      <w:r w:rsidR="00C87AB5" w:rsidRPr="00EC5618">
        <w:rPr>
          <w:rFonts w:ascii="Arial" w:hAnsi="Arial" w:cs="Arial"/>
          <w:sz w:val="28"/>
          <w:szCs w:val="28"/>
        </w:rPr>
        <w:t>6</w:t>
      </w:r>
    </w:p>
    <w:p w14:paraId="3C6FB008" w14:textId="77777777" w:rsidR="00ED5964" w:rsidRPr="00EC5618" w:rsidRDefault="00ED5964" w:rsidP="00ED5964">
      <w:pPr>
        <w:jc w:val="both"/>
        <w:rPr>
          <w:rFonts w:ascii="Arial" w:hAnsi="Arial" w:cs="Arial"/>
          <w:sz w:val="22"/>
        </w:rPr>
      </w:pPr>
    </w:p>
    <w:p w14:paraId="3EA711CF" w14:textId="77777777" w:rsidR="00ED5964" w:rsidRPr="00EC5618" w:rsidRDefault="00ED5964" w:rsidP="00ED5964">
      <w:pPr>
        <w:jc w:val="both"/>
        <w:rPr>
          <w:rFonts w:ascii="Arial" w:hAnsi="Arial" w:cs="Arial"/>
          <w:sz w:val="22"/>
        </w:rPr>
      </w:pPr>
    </w:p>
    <w:p w14:paraId="32C3A4F9" w14:textId="77777777" w:rsidR="00ED5964" w:rsidRPr="00EC5618" w:rsidRDefault="00ED5964" w:rsidP="00ED5964">
      <w:pPr>
        <w:jc w:val="both"/>
        <w:rPr>
          <w:rFonts w:ascii="Arial" w:hAnsi="Arial" w:cs="Arial"/>
          <w:sz w:val="22"/>
        </w:rPr>
      </w:pPr>
    </w:p>
    <w:p w14:paraId="1434F2B1" w14:textId="77777777" w:rsidR="00ED5964" w:rsidRPr="00EC5618" w:rsidRDefault="00ED5964" w:rsidP="00ED5964">
      <w:pPr>
        <w:jc w:val="both"/>
        <w:rPr>
          <w:rFonts w:ascii="Arial" w:hAnsi="Arial" w:cs="Arial"/>
          <w:sz w:val="22"/>
        </w:rPr>
      </w:pPr>
    </w:p>
    <w:p w14:paraId="4F979E62" w14:textId="77777777" w:rsidR="00ED5964" w:rsidRDefault="00ED5964" w:rsidP="00ED5964">
      <w:pPr>
        <w:jc w:val="both"/>
        <w:rPr>
          <w:rFonts w:ascii="Arial" w:hAnsi="Arial" w:cs="Arial"/>
          <w:sz w:val="22"/>
        </w:rPr>
      </w:pPr>
    </w:p>
    <w:p w14:paraId="2379450A" w14:textId="77777777" w:rsidR="00580331" w:rsidRDefault="00580331" w:rsidP="00ED5964">
      <w:pPr>
        <w:jc w:val="both"/>
        <w:rPr>
          <w:rFonts w:ascii="Arial" w:hAnsi="Arial" w:cs="Arial"/>
          <w:sz w:val="22"/>
        </w:rPr>
      </w:pPr>
    </w:p>
    <w:p w14:paraId="6D3D9AEE" w14:textId="77777777" w:rsidR="00580331" w:rsidRPr="00EC5618" w:rsidRDefault="00580331" w:rsidP="00ED5964">
      <w:pPr>
        <w:jc w:val="both"/>
        <w:rPr>
          <w:rFonts w:ascii="Arial" w:hAnsi="Arial" w:cs="Arial"/>
          <w:sz w:val="22"/>
        </w:rPr>
      </w:pPr>
    </w:p>
    <w:p w14:paraId="4180CDBC" w14:textId="77777777" w:rsidR="00ED5964" w:rsidRPr="00EC5618" w:rsidRDefault="00ED5964" w:rsidP="00ED5964">
      <w:pPr>
        <w:jc w:val="both"/>
        <w:rPr>
          <w:rFonts w:ascii="Arial" w:hAnsi="Arial" w:cs="Arial"/>
          <w:sz w:val="22"/>
        </w:rPr>
      </w:pPr>
    </w:p>
    <w:sdt>
      <w:sdtPr>
        <w:rPr>
          <w:rFonts w:ascii="Arial" w:eastAsiaTheme="minorEastAsia" w:hAnsi="Arial" w:cs="Arial"/>
          <w:b/>
          <w:color w:val="auto"/>
          <w:kern w:val="2"/>
          <w:sz w:val="22"/>
          <w:szCs w:val="22"/>
          <w:lang w:val="en-GB" w:eastAsia="zh-CN"/>
          <w14:ligatures w14:val="standardContextual"/>
        </w:rPr>
        <w:id w:val="2083777713"/>
        <w:docPartObj>
          <w:docPartGallery w:val="Table of Contents"/>
          <w:docPartUnique/>
        </w:docPartObj>
      </w:sdtPr>
      <w:sdtEndPr/>
      <w:sdtContent>
        <w:p w14:paraId="69A45AB4" w14:textId="1BC22B3F" w:rsidR="00184A9A" w:rsidRPr="00EC5618" w:rsidRDefault="00184A9A" w:rsidP="00D15BF7">
          <w:pPr>
            <w:pStyle w:val="TOCHeading"/>
            <w:spacing w:line="360" w:lineRule="auto"/>
            <w:rPr>
              <w:rFonts w:ascii="Arial" w:hAnsi="Arial" w:cs="Arial"/>
              <w:b/>
              <w:bCs w:val="0"/>
              <w:color w:val="auto"/>
              <w:sz w:val="22"/>
              <w:szCs w:val="22"/>
            </w:rPr>
          </w:pPr>
          <w:r w:rsidRPr="00EC5618">
            <w:rPr>
              <w:rFonts w:ascii="Arial" w:hAnsi="Arial" w:cs="Arial"/>
              <w:b/>
              <w:bCs w:val="0"/>
              <w:color w:val="auto"/>
              <w:sz w:val="22"/>
              <w:szCs w:val="22"/>
            </w:rPr>
            <w:t>Table of Contents</w:t>
          </w:r>
        </w:p>
        <w:p w14:paraId="3DE51DBF" w14:textId="73357937" w:rsidR="000B00CC" w:rsidRPr="00EC5618" w:rsidRDefault="0013232A" w:rsidP="00D15BF7">
          <w:pPr>
            <w:pStyle w:val="TOC2"/>
            <w:tabs>
              <w:tab w:val="right" w:leader="dot" w:pos="9015"/>
            </w:tabs>
            <w:spacing w:line="360" w:lineRule="auto"/>
            <w:rPr>
              <w:rFonts w:ascii="Arial" w:hAnsi="Arial" w:cs="Arial"/>
              <w:sz w:val="22"/>
            </w:rPr>
          </w:pPr>
        </w:p>
      </w:sdtContent>
    </w:sdt>
    <w:p w14:paraId="19B30347" w14:textId="79F321C8" w:rsidR="000B00CC" w:rsidRPr="00EC5618" w:rsidRDefault="000B00CC" w:rsidP="00D15BF7">
      <w:pPr>
        <w:spacing w:line="360" w:lineRule="auto"/>
        <w:rPr>
          <w:rFonts w:ascii="Arial" w:hAnsi="Arial" w:cs="Arial"/>
          <w:b/>
          <w:bCs/>
          <w:sz w:val="22"/>
        </w:rPr>
      </w:pPr>
      <w:r w:rsidRPr="00EC5618">
        <w:rPr>
          <w:rFonts w:ascii="Arial" w:hAnsi="Arial" w:cs="Arial"/>
          <w:b/>
          <w:bCs/>
          <w:sz w:val="22"/>
        </w:rPr>
        <w:t>1. Introduction ............................................................</w:t>
      </w:r>
      <w:r w:rsidR="004E4A6A" w:rsidRPr="00EC5618">
        <w:rPr>
          <w:rFonts w:ascii="Arial" w:hAnsi="Arial" w:cs="Arial"/>
          <w:b/>
          <w:bCs/>
          <w:sz w:val="22"/>
        </w:rPr>
        <w:t>..........................................................</w:t>
      </w:r>
      <w:r w:rsidR="00377206">
        <w:rPr>
          <w:rFonts w:ascii="Arial" w:hAnsi="Arial" w:cs="Arial"/>
          <w:b/>
          <w:bCs/>
          <w:sz w:val="22"/>
        </w:rPr>
        <w:t xml:space="preserve"> 3</w:t>
      </w:r>
    </w:p>
    <w:p w14:paraId="03917AF0" w14:textId="7C33F7EE" w:rsidR="000B00CC" w:rsidRPr="00EC5618" w:rsidRDefault="000B00CC" w:rsidP="00D15BF7">
      <w:pPr>
        <w:spacing w:line="360" w:lineRule="auto"/>
        <w:rPr>
          <w:rFonts w:ascii="Arial" w:hAnsi="Arial" w:cs="Arial"/>
          <w:b/>
          <w:bCs/>
          <w:sz w:val="22"/>
        </w:rPr>
      </w:pPr>
      <w:r w:rsidRPr="00EC5618">
        <w:rPr>
          <w:rFonts w:ascii="Arial" w:hAnsi="Arial" w:cs="Arial"/>
          <w:b/>
          <w:bCs/>
          <w:sz w:val="22"/>
        </w:rPr>
        <w:t>2. Role of a Mental Health Nurse .................................</w:t>
      </w:r>
      <w:r w:rsidR="004E4A6A" w:rsidRPr="00EC5618">
        <w:rPr>
          <w:rFonts w:ascii="Arial" w:hAnsi="Arial" w:cs="Arial"/>
          <w:b/>
          <w:bCs/>
          <w:sz w:val="22"/>
        </w:rPr>
        <w:t>......................................................</w:t>
      </w:r>
      <w:r w:rsidR="002211CF">
        <w:rPr>
          <w:rFonts w:ascii="Arial" w:hAnsi="Arial" w:cs="Arial"/>
          <w:b/>
          <w:bCs/>
          <w:sz w:val="22"/>
        </w:rPr>
        <w:t>. 3</w:t>
      </w:r>
    </w:p>
    <w:p w14:paraId="7F25E8E1" w14:textId="30C9B54D" w:rsidR="000B00CC" w:rsidRPr="00EC5618" w:rsidRDefault="000B00CC" w:rsidP="00D15BF7">
      <w:pPr>
        <w:spacing w:line="360" w:lineRule="auto"/>
        <w:rPr>
          <w:rFonts w:ascii="Arial" w:hAnsi="Arial" w:cs="Arial"/>
          <w:b/>
          <w:bCs/>
          <w:sz w:val="22"/>
        </w:rPr>
      </w:pPr>
      <w:r w:rsidRPr="00EC5618">
        <w:rPr>
          <w:rFonts w:ascii="Arial" w:hAnsi="Arial" w:cs="Arial"/>
          <w:b/>
          <w:bCs/>
          <w:sz w:val="22"/>
        </w:rPr>
        <w:t>3. Essential Skills ......................................................</w:t>
      </w:r>
      <w:r w:rsidR="004E4A6A" w:rsidRPr="00EC5618">
        <w:rPr>
          <w:rFonts w:ascii="Arial" w:hAnsi="Arial" w:cs="Arial"/>
          <w:b/>
          <w:bCs/>
          <w:sz w:val="22"/>
        </w:rPr>
        <w:t>.........................................................</w:t>
      </w:r>
      <w:r w:rsidR="00C542C7">
        <w:rPr>
          <w:rFonts w:ascii="Arial" w:hAnsi="Arial" w:cs="Arial"/>
          <w:b/>
          <w:bCs/>
          <w:sz w:val="22"/>
        </w:rPr>
        <w:t>.</w:t>
      </w:r>
      <w:r w:rsidR="004E4A6A" w:rsidRPr="00EC5618">
        <w:rPr>
          <w:rFonts w:ascii="Arial" w:hAnsi="Arial" w:cs="Arial"/>
          <w:b/>
          <w:bCs/>
          <w:sz w:val="22"/>
        </w:rPr>
        <w:t>.</w:t>
      </w:r>
      <w:r w:rsidR="00C542C7">
        <w:rPr>
          <w:rFonts w:ascii="Arial" w:hAnsi="Arial" w:cs="Arial"/>
          <w:b/>
          <w:bCs/>
          <w:sz w:val="22"/>
        </w:rPr>
        <w:t xml:space="preserve"> 4</w:t>
      </w:r>
    </w:p>
    <w:p w14:paraId="6C63F992" w14:textId="2CD95BB3" w:rsidR="000B00CC" w:rsidRPr="00EC5618" w:rsidRDefault="000B00CC" w:rsidP="00D15BF7">
      <w:pPr>
        <w:spacing w:line="360" w:lineRule="auto"/>
        <w:rPr>
          <w:rFonts w:ascii="Arial" w:hAnsi="Arial" w:cs="Arial"/>
          <w:b/>
          <w:bCs/>
          <w:sz w:val="22"/>
        </w:rPr>
      </w:pPr>
      <w:r w:rsidRPr="00EC5618">
        <w:rPr>
          <w:rFonts w:ascii="Arial" w:hAnsi="Arial" w:cs="Arial"/>
          <w:b/>
          <w:bCs/>
          <w:sz w:val="22"/>
        </w:rPr>
        <w:t>  3.1 Therapeutic Communication ...........................</w:t>
      </w:r>
      <w:r w:rsidR="004E4A6A" w:rsidRPr="00EC5618">
        <w:rPr>
          <w:rFonts w:ascii="Arial" w:hAnsi="Arial" w:cs="Arial"/>
          <w:b/>
          <w:bCs/>
          <w:sz w:val="22"/>
        </w:rPr>
        <w:t>......................................................</w:t>
      </w:r>
      <w:r w:rsidR="00C542C7">
        <w:rPr>
          <w:rFonts w:ascii="Arial" w:hAnsi="Arial" w:cs="Arial"/>
          <w:b/>
          <w:bCs/>
          <w:sz w:val="22"/>
        </w:rPr>
        <w:t xml:space="preserve"> 4</w:t>
      </w:r>
    </w:p>
    <w:p w14:paraId="526A3D5D" w14:textId="7C54A2B5" w:rsidR="000B00CC" w:rsidRPr="00EC5618" w:rsidRDefault="000B00CC" w:rsidP="00D15BF7">
      <w:pPr>
        <w:spacing w:line="360" w:lineRule="auto"/>
        <w:rPr>
          <w:rFonts w:ascii="Arial" w:hAnsi="Arial" w:cs="Arial"/>
          <w:b/>
          <w:bCs/>
          <w:sz w:val="22"/>
        </w:rPr>
      </w:pPr>
      <w:r w:rsidRPr="00EC5618">
        <w:rPr>
          <w:rFonts w:ascii="Arial" w:hAnsi="Arial" w:cs="Arial"/>
          <w:b/>
          <w:bCs/>
          <w:sz w:val="22"/>
        </w:rPr>
        <w:t>  3.2 De</w:t>
      </w:r>
      <w:r w:rsidRPr="00EC5618">
        <w:rPr>
          <w:rFonts w:ascii="Cambria Math" w:hAnsi="Cambria Math" w:cs="Cambria Math"/>
          <w:b/>
          <w:bCs/>
          <w:sz w:val="22"/>
        </w:rPr>
        <w:t>‑</w:t>
      </w:r>
      <w:r w:rsidRPr="00EC5618">
        <w:rPr>
          <w:rFonts w:ascii="Arial" w:hAnsi="Arial" w:cs="Arial"/>
          <w:b/>
          <w:bCs/>
          <w:sz w:val="22"/>
        </w:rPr>
        <w:t>escalation Techniques ..............................</w:t>
      </w:r>
      <w:r w:rsidR="004E4A6A" w:rsidRPr="00EC5618">
        <w:rPr>
          <w:rFonts w:ascii="Arial" w:hAnsi="Arial" w:cs="Arial"/>
          <w:b/>
          <w:bCs/>
          <w:sz w:val="22"/>
        </w:rPr>
        <w:t>.......................................................</w:t>
      </w:r>
      <w:r w:rsidR="00863F8B">
        <w:rPr>
          <w:rFonts w:ascii="Arial" w:hAnsi="Arial" w:cs="Arial"/>
          <w:b/>
          <w:bCs/>
          <w:sz w:val="22"/>
        </w:rPr>
        <w:t>.</w:t>
      </w:r>
      <w:r w:rsidR="00C542C7">
        <w:rPr>
          <w:rFonts w:ascii="Arial" w:hAnsi="Arial" w:cs="Arial"/>
          <w:b/>
          <w:bCs/>
          <w:sz w:val="22"/>
        </w:rPr>
        <w:t xml:space="preserve"> 5</w:t>
      </w:r>
    </w:p>
    <w:p w14:paraId="50C10535" w14:textId="3ECFA15B" w:rsidR="000B00CC" w:rsidRPr="00EC5618" w:rsidRDefault="000B00CC" w:rsidP="00D15BF7">
      <w:pPr>
        <w:spacing w:line="360" w:lineRule="auto"/>
        <w:rPr>
          <w:rFonts w:ascii="Arial" w:hAnsi="Arial" w:cs="Arial"/>
          <w:b/>
          <w:bCs/>
          <w:sz w:val="22"/>
        </w:rPr>
      </w:pPr>
      <w:r w:rsidRPr="00EC5618">
        <w:rPr>
          <w:rFonts w:ascii="Arial" w:hAnsi="Arial" w:cs="Arial"/>
          <w:b/>
          <w:bCs/>
          <w:sz w:val="22"/>
        </w:rPr>
        <w:t>  3.3 Risk Assessment ...........................................</w:t>
      </w:r>
      <w:r w:rsidR="004E4A6A" w:rsidRPr="00EC5618">
        <w:rPr>
          <w:rFonts w:ascii="Arial" w:hAnsi="Arial" w:cs="Arial"/>
          <w:b/>
          <w:bCs/>
          <w:sz w:val="22"/>
        </w:rPr>
        <w:t>.........................................................</w:t>
      </w:r>
      <w:r w:rsidR="00C542C7">
        <w:rPr>
          <w:rFonts w:ascii="Arial" w:hAnsi="Arial" w:cs="Arial"/>
          <w:b/>
          <w:bCs/>
          <w:sz w:val="22"/>
        </w:rPr>
        <w:t xml:space="preserve"> 5</w:t>
      </w:r>
    </w:p>
    <w:p w14:paraId="17F195BA" w14:textId="555A449C" w:rsidR="000B00CC" w:rsidRPr="00EC5618" w:rsidRDefault="000B00CC" w:rsidP="00D15BF7">
      <w:pPr>
        <w:spacing w:line="360" w:lineRule="auto"/>
        <w:rPr>
          <w:rFonts w:ascii="Arial" w:hAnsi="Arial" w:cs="Arial"/>
          <w:b/>
          <w:bCs/>
          <w:sz w:val="22"/>
        </w:rPr>
      </w:pPr>
      <w:r w:rsidRPr="00EC5618">
        <w:rPr>
          <w:rFonts w:ascii="Arial" w:hAnsi="Arial" w:cs="Arial"/>
          <w:b/>
          <w:bCs/>
          <w:sz w:val="22"/>
        </w:rPr>
        <w:t>4. Strategies for Skill Development ..............................</w:t>
      </w:r>
      <w:r w:rsidR="00D15BF7" w:rsidRPr="00EC5618">
        <w:rPr>
          <w:rFonts w:ascii="Arial" w:hAnsi="Arial" w:cs="Arial"/>
          <w:b/>
          <w:bCs/>
          <w:sz w:val="22"/>
        </w:rPr>
        <w:t>.....................................................</w:t>
      </w:r>
      <w:r w:rsidR="00863F8B">
        <w:rPr>
          <w:rFonts w:ascii="Arial" w:hAnsi="Arial" w:cs="Arial"/>
          <w:b/>
          <w:bCs/>
          <w:sz w:val="22"/>
        </w:rPr>
        <w:t>.</w:t>
      </w:r>
      <w:r w:rsidR="00C542C7">
        <w:rPr>
          <w:rFonts w:ascii="Arial" w:hAnsi="Arial" w:cs="Arial"/>
          <w:b/>
          <w:bCs/>
          <w:sz w:val="22"/>
        </w:rPr>
        <w:t xml:space="preserve"> 6</w:t>
      </w:r>
    </w:p>
    <w:p w14:paraId="2A09C163" w14:textId="0B1DEF1D" w:rsidR="000B00CC" w:rsidRPr="00EC5618" w:rsidRDefault="000B00CC" w:rsidP="00D15BF7">
      <w:pPr>
        <w:spacing w:line="360" w:lineRule="auto"/>
        <w:rPr>
          <w:rFonts w:ascii="Arial" w:hAnsi="Arial" w:cs="Arial"/>
          <w:b/>
          <w:bCs/>
          <w:sz w:val="22"/>
        </w:rPr>
      </w:pPr>
      <w:r w:rsidRPr="00EC5618">
        <w:rPr>
          <w:rFonts w:ascii="Arial" w:hAnsi="Arial" w:cs="Arial"/>
          <w:b/>
          <w:bCs/>
          <w:sz w:val="22"/>
        </w:rPr>
        <w:t>  4.1 Developing Therapeutic Communication ..........</w:t>
      </w:r>
      <w:r w:rsidR="00D15BF7" w:rsidRPr="00EC5618">
        <w:rPr>
          <w:rFonts w:ascii="Arial" w:hAnsi="Arial" w:cs="Arial"/>
          <w:b/>
          <w:bCs/>
          <w:sz w:val="22"/>
        </w:rPr>
        <w:t>.................................................</w:t>
      </w:r>
      <w:r w:rsidR="00863F8B">
        <w:rPr>
          <w:rFonts w:ascii="Arial" w:hAnsi="Arial" w:cs="Arial"/>
          <w:b/>
          <w:bCs/>
          <w:sz w:val="22"/>
        </w:rPr>
        <w:t>.</w:t>
      </w:r>
      <w:r w:rsidR="00D15BF7" w:rsidRPr="00EC5618">
        <w:rPr>
          <w:rFonts w:ascii="Arial" w:hAnsi="Arial" w:cs="Arial"/>
          <w:b/>
          <w:bCs/>
          <w:sz w:val="22"/>
        </w:rPr>
        <w:t>.</w:t>
      </w:r>
      <w:r w:rsidR="00863F8B">
        <w:rPr>
          <w:rFonts w:ascii="Arial" w:hAnsi="Arial" w:cs="Arial"/>
          <w:b/>
          <w:bCs/>
          <w:sz w:val="22"/>
        </w:rPr>
        <w:t xml:space="preserve"> 6</w:t>
      </w:r>
    </w:p>
    <w:p w14:paraId="534CAB03" w14:textId="1DC93E74" w:rsidR="000B00CC" w:rsidRPr="00EC5618" w:rsidRDefault="000B00CC" w:rsidP="00D15BF7">
      <w:pPr>
        <w:spacing w:line="360" w:lineRule="auto"/>
        <w:rPr>
          <w:rFonts w:ascii="Arial" w:hAnsi="Arial" w:cs="Arial"/>
          <w:b/>
          <w:bCs/>
          <w:sz w:val="22"/>
        </w:rPr>
      </w:pPr>
      <w:r w:rsidRPr="00EC5618">
        <w:rPr>
          <w:rFonts w:ascii="Arial" w:hAnsi="Arial" w:cs="Arial"/>
          <w:b/>
          <w:bCs/>
          <w:sz w:val="22"/>
        </w:rPr>
        <w:t>  4.2 Developing De</w:t>
      </w:r>
      <w:r w:rsidRPr="00EC5618">
        <w:rPr>
          <w:rFonts w:ascii="Cambria Math" w:hAnsi="Cambria Math" w:cs="Cambria Math"/>
          <w:b/>
          <w:bCs/>
          <w:sz w:val="22"/>
        </w:rPr>
        <w:t>‑</w:t>
      </w:r>
      <w:r w:rsidRPr="00EC5618">
        <w:rPr>
          <w:rFonts w:ascii="Arial" w:hAnsi="Arial" w:cs="Arial"/>
          <w:b/>
          <w:bCs/>
          <w:sz w:val="22"/>
        </w:rPr>
        <w:t>escalation Skills ......................</w:t>
      </w:r>
      <w:r w:rsidR="00D15BF7" w:rsidRPr="00EC5618">
        <w:rPr>
          <w:rFonts w:ascii="Arial" w:hAnsi="Arial" w:cs="Arial"/>
          <w:b/>
          <w:bCs/>
          <w:sz w:val="22"/>
        </w:rPr>
        <w:t>......................................................</w:t>
      </w:r>
      <w:r w:rsidR="00863F8B">
        <w:rPr>
          <w:rFonts w:ascii="Arial" w:hAnsi="Arial" w:cs="Arial"/>
          <w:b/>
          <w:bCs/>
          <w:sz w:val="22"/>
        </w:rPr>
        <w:t xml:space="preserve"> 6</w:t>
      </w:r>
    </w:p>
    <w:p w14:paraId="3F4966D6" w14:textId="3AA4505A" w:rsidR="000B00CC" w:rsidRPr="00EC5618" w:rsidRDefault="000B00CC" w:rsidP="00D15BF7">
      <w:pPr>
        <w:spacing w:line="360" w:lineRule="auto"/>
        <w:rPr>
          <w:rFonts w:ascii="Arial" w:hAnsi="Arial" w:cs="Arial"/>
          <w:b/>
          <w:bCs/>
          <w:sz w:val="22"/>
        </w:rPr>
      </w:pPr>
      <w:r w:rsidRPr="00EC5618">
        <w:rPr>
          <w:rFonts w:ascii="Arial" w:hAnsi="Arial" w:cs="Arial"/>
          <w:b/>
          <w:bCs/>
          <w:sz w:val="22"/>
        </w:rPr>
        <w:t>  4.3 Developing Risk Assessment Skills ..................</w:t>
      </w:r>
      <w:r w:rsidR="00D15BF7" w:rsidRPr="00EC5618">
        <w:rPr>
          <w:rFonts w:ascii="Arial" w:hAnsi="Arial" w:cs="Arial"/>
          <w:b/>
          <w:bCs/>
          <w:sz w:val="22"/>
        </w:rPr>
        <w:t>...................................................</w:t>
      </w:r>
      <w:r w:rsidR="00863F8B">
        <w:rPr>
          <w:rFonts w:ascii="Arial" w:hAnsi="Arial" w:cs="Arial"/>
          <w:b/>
          <w:bCs/>
          <w:sz w:val="22"/>
        </w:rPr>
        <w:t xml:space="preserve"> 6</w:t>
      </w:r>
    </w:p>
    <w:p w14:paraId="7DFAE3EC" w14:textId="6EBD7C70" w:rsidR="000B00CC" w:rsidRPr="00EC5618" w:rsidRDefault="000B00CC" w:rsidP="00D15BF7">
      <w:pPr>
        <w:spacing w:line="360" w:lineRule="auto"/>
        <w:rPr>
          <w:rFonts w:ascii="Arial" w:hAnsi="Arial" w:cs="Arial"/>
          <w:b/>
          <w:bCs/>
          <w:sz w:val="22"/>
        </w:rPr>
      </w:pPr>
      <w:r w:rsidRPr="00EC5618">
        <w:rPr>
          <w:rFonts w:ascii="Arial" w:hAnsi="Arial" w:cs="Arial"/>
          <w:b/>
          <w:bCs/>
          <w:sz w:val="22"/>
        </w:rPr>
        <w:t>5. Conclusion ...........................................................</w:t>
      </w:r>
      <w:r w:rsidR="00D15BF7" w:rsidRPr="00EC5618">
        <w:rPr>
          <w:rFonts w:ascii="Arial" w:hAnsi="Arial" w:cs="Arial"/>
          <w:b/>
          <w:bCs/>
          <w:sz w:val="22"/>
        </w:rPr>
        <w:t>....................................................</w:t>
      </w:r>
      <w:r w:rsidR="00863F8B">
        <w:rPr>
          <w:rFonts w:ascii="Arial" w:hAnsi="Arial" w:cs="Arial"/>
          <w:b/>
          <w:bCs/>
          <w:sz w:val="22"/>
        </w:rPr>
        <w:t>.</w:t>
      </w:r>
      <w:r w:rsidR="00D15BF7" w:rsidRPr="00EC5618">
        <w:rPr>
          <w:rFonts w:ascii="Arial" w:hAnsi="Arial" w:cs="Arial"/>
          <w:b/>
          <w:bCs/>
          <w:sz w:val="22"/>
        </w:rPr>
        <w:t>........</w:t>
      </w:r>
      <w:r w:rsidR="00863F8B">
        <w:rPr>
          <w:rFonts w:ascii="Arial" w:hAnsi="Arial" w:cs="Arial"/>
          <w:b/>
          <w:bCs/>
          <w:sz w:val="22"/>
        </w:rPr>
        <w:t xml:space="preserve"> 7</w:t>
      </w:r>
    </w:p>
    <w:p w14:paraId="1AB8FF20" w14:textId="4F240289" w:rsidR="0090182B" w:rsidRPr="00EC5618" w:rsidRDefault="000B00CC" w:rsidP="00D15BF7">
      <w:pPr>
        <w:pStyle w:val="Heading2"/>
        <w:spacing w:line="360" w:lineRule="auto"/>
        <w:rPr>
          <w:rFonts w:ascii="Arial" w:hAnsi="Arial" w:cs="Arial"/>
          <w:b/>
          <w:bCs/>
          <w:color w:val="auto"/>
          <w:sz w:val="22"/>
          <w:szCs w:val="22"/>
        </w:rPr>
      </w:pPr>
      <w:r w:rsidRPr="00EC5618">
        <w:rPr>
          <w:rFonts w:ascii="Arial" w:hAnsi="Arial" w:cs="Arial"/>
          <w:b/>
          <w:bCs/>
          <w:color w:val="auto"/>
          <w:sz w:val="22"/>
          <w:szCs w:val="22"/>
        </w:rPr>
        <w:t>6. References ...........................................................</w:t>
      </w:r>
      <w:r w:rsidR="00D15BF7" w:rsidRPr="00EC5618">
        <w:rPr>
          <w:rFonts w:ascii="Arial" w:hAnsi="Arial" w:cs="Arial"/>
          <w:b/>
          <w:bCs/>
          <w:color w:val="auto"/>
          <w:sz w:val="22"/>
          <w:szCs w:val="22"/>
        </w:rPr>
        <w:t>.........................................................</w:t>
      </w:r>
      <w:r w:rsidR="00863F8B">
        <w:rPr>
          <w:rFonts w:ascii="Arial" w:hAnsi="Arial" w:cs="Arial"/>
          <w:b/>
          <w:bCs/>
          <w:color w:val="auto"/>
          <w:sz w:val="22"/>
          <w:szCs w:val="22"/>
        </w:rPr>
        <w:t>.</w:t>
      </w:r>
      <w:r w:rsidR="00D15BF7" w:rsidRPr="00EC5618">
        <w:rPr>
          <w:rFonts w:ascii="Arial" w:hAnsi="Arial" w:cs="Arial"/>
          <w:b/>
          <w:bCs/>
          <w:color w:val="auto"/>
          <w:sz w:val="22"/>
          <w:szCs w:val="22"/>
        </w:rPr>
        <w:t>...</w:t>
      </w:r>
      <w:r w:rsidR="00377206">
        <w:rPr>
          <w:rFonts w:ascii="Arial" w:hAnsi="Arial" w:cs="Arial"/>
          <w:b/>
          <w:bCs/>
          <w:color w:val="auto"/>
          <w:sz w:val="22"/>
          <w:szCs w:val="22"/>
        </w:rPr>
        <w:t xml:space="preserve"> 8</w:t>
      </w:r>
    </w:p>
    <w:p w14:paraId="3A7905F6" w14:textId="77777777" w:rsidR="005B74C3" w:rsidRPr="00EC5618" w:rsidRDefault="005B74C3" w:rsidP="00D15BF7">
      <w:pPr>
        <w:spacing w:line="360" w:lineRule="auto"/>
        <w:rPr>
          <w:rFonts w:ascii="Arial" w:hAnsi="Arial" w:cs="Arial"/>
          <w:b/>
          <w:bCs/>
          <w:sz w:val="22"/>
        </w:rPr>
      </w:pPr>
    </w:p>
    <w:p w14:paraId="2552B62C" w14:textId="77777777" w:rsidR="00F509EF" w:rsidRPr="00EC5618" w:rsidRDefault="00F509EF" w:rsidP="002E571C">
      <w:pPr>
        <w:spacing w:line="360" w:lineRule="auto"/>
        <w:rPr>
          <w:rFonts w:ascii="Arial" w:hAnsi="Arial" w:cs="Arial"/>
          <w:sz w:val="22"/>
        </w:rPr>
      </w:pPr>
    </w:p>
    <w:p w14:paraId="76C28356" w14:textId="77777777" w:rsidR="00F509EF" w:rsidRPr="00EC5618" w:rsidRDefault="00F509EF" w:rsidP="002E571C">
      <w:pPr>
        <w:spacing w:line="360" w:lineRule="auto"/>
        <w:rPr>
          <w:rFonts w:ascii="Arial" w:hAnsi="Arial" w:cs="Arial"/>
          <w:sz w:val="22"/>
        </w:rPr>
      </w:pPr>
    </w:p>
    <w:p w14:paraId="6298AE4C" w14:textId="77777777" w:rsidR="00F509EF" w:rsidRPr="00EC5618" w:rsidRDefault="00F509EF" w:rsidP="002E571C">
      <w:pPr>
        <w:spacing w:line="360" w:lineRule="auto"/>
        <w:rPr>
          <w:rFonts w:ascii="Arial" w:hAnsi="Arial" w:cs="Arial"/>
          <w:sz w:val="22"/>
        </w:rPr>
      </w:pPr>
    </w:p>
    <w:p w14:paraId="01286AC1" w14:textId="77777777" w:rsidR="00F509EF" w:rsidRPr="00EC5618" w:rsidRDefault="00F509EF" w:rsidP="002E571C">
      <w:pPr>
        <w:spacing w:line="360" w:lineRule="auto"/>
        <w:rPr>
          <w:rFonts w:ascii="Arial" w:hAnsi="Arial" w:cs="Arial"/>
          <w:sz w:val="22"/>
        </w:rPr>
      </w:pPr>
    </w:p>
    <w:p w14:paraId="7B74D40D" w14:textId="77777777" w:rsidR="00F509EF" w:rsidRPr="00EC5618" w:rsidRDefault="00F509EF" w:rsidP="002E571C">
      <w:pPr>
        <w:spacing w:line="360" w:lineRule="auto"/>
        <w:rPr>
          <w:rFonts w:ascii="Arial" w:hAnsi="Arial" w:cs="Arial"/>
          <w:sz w:val="22"/>
        </w:rPr>
      </w:pPr>
    </w:p>
    <w:p w14:paraId="030EF2A3" w14:textId="77777777" w:rsidR="00F509EF" w:rsidRPr="00EC5618" w:rsidRDefault="00F509EF" w:rsidP="002E571C">
      <w:pPr>
        <w:spacing w:line="360" w:lineRule="auto"/>
        <w:rPr>
          <w:rFonts w:ascii="Arial" w:hAnsi="Arial" w:cs="Arial"/>
          <w:sz w:val="22"/>
        </w:rPr>
      </w:pPr>
    </w:p>
    <w:p w14:paraId="77541F46" w14:textId="77777777" w:rsidR="00F509EF" w:rsidRPr="00EC5618" w:rsidRDefault="00F509EF" w:rsidP="002E571C">
      <w:pPr>
        <w:spacing w:line="360" w:lineRule="auto"/>
        <w:rPr>
          <w:rFonts w:ascii="Arial" w:hAnsi="Arial" w:cs="Arial"/>
          <w:sz w:val="22"/>
        </w:rPr>
      </w:pPr>
    </w:p>
    <w:p w14:paraId="5C1F591D" w14:textId="77777777" w:rsidR="00F509EF" w:rsidRPr="00EC5618" w:rsidRDefault="00F509EF" w:rsidP="002E571C">
      <w:pPr>
        <w:spacing w:line="360" w:lineRule="auto"/>
        <w:rPr>
          <w:rFonts w:ascii="Arial" w:hAnsi="Arial" w:cs="Arial"/>
          <w:sz w:val="22"/>
        </w:rPr>
      </w:pPr>
    </w:p>
    <w:p w14:paraId="618D97B6" w14:textId="77777777" w:rsidR="00F509EF" w:rsidRPr="00EC5618" w:rsidRDefault="00F509EF" w:rsidP="002E571C">
      <w:pPr>
        <w:spacing w:line="360" w:lineRule="auto"/>
        <w:rPr>
          <w:rFonts w:ascii="Arial" w:hAnsi="Arial" w:cs="Arial"/>
          <w:sz w:val="22"/>
        </w:rPr>
      </w:pPr>
    </w:p>
    <w:p w14:paraId="3C355EEE" w14:textId="77777777" w:rsidR="00F509EF" w:rsidRPr="00EC5618" w:rsidRDefault="00F509EF" w:rsidP="002E571C">
      <w:pPr>
        <w:spacing w:line="360" w:lineRule="auto"/>
        <w:rPr>
          <w:rFonts w:ascii="Arial" w:hAnsi="Arial" w:cs="Arial"/>
          <w:sz w:val="22"/>
        </w:rPr>
      </w:pPr>
    </w:p>
    <w:p w14:paraId="54364547" w14:textId="77777777" w:rsidR="00D15BF7" w:rsidRPr="00EC5618" w:rsidRDefault="00D15BF7" w:rsidP="005D4E8D">
      <w:pPr>
        <w:rPr>
          <w:rFonts w:ascii="Arial" w:hAnsi="Arial" w:cs="Arial"/>
          <w:sz w:val="22"/>
        </w:rPr>
      </w:pPr>
    </w:p>
    <w:p w14:paraId="3E6D7BE1" w14:textId="0C3B263A" w:rsidR="005D4E8D" w:rsidRPr="00863F8B" w:rsidRDefault="005D4E8D" w:rsidP="00863F8B">
      <w:pPr>
        <w:spacing w:line="360" w:lineRule="auto"/>
        <w:rPr>
          <w:rFonts w:ascii="Arial" w:hAnsi="Arial" w:cs="Arial"/>
          <w:b/>
          <w:bCs/>
          <w:sz w:val="22"/>
        </w:rPr>
      </w:pPr>
      <w:r w:rsidRPr="00863F8B">
        <w:rPr>
          <w:rFonts w:ascii="Arial" w:hAnsi="Arial" w:cs="Arial"/>
          <w:b/>
          <w:bCs/>
          <w:sz w:val="22"/>
        </w:rPr>
        <w:lastRenderedPageBreak/>
        <w:t>The Role of a Mental Health Nurse: Essential Skills and Strategies for Professional Development</w:t>
      </w:r>
    </w:p>
    <w:p w14:paraId="309B4DA0"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t>1. Introduction</w:t>
      </w:r>
    </w:p>
    <w:p w14:paraId="50FDD32F" w14:textId="77777777" w:rsidR="000D2F08" w:rsidRPr="00863F8B" w:rsidRDefault="000D2F08" w:rsidP="00863F8B">
      <w:pPr>
        <w:spacing w:line="360" w:lineRule="auto"/>
        <w:rPr>
          <w:rFonts w:ascii="Arial" w:hAnsi="Arial" w:cs="Arial"/>
          <w:sz w:val="22"/>
        </w:rPr>
      </w:pPr>
      <w:r w:rsidRPr="00863F8B">
        <w:rPr>
          <w:rFonts w:ascii="Arial" w:hAnsi="Arial" w:cs="Arial"/>
          <w:sz w:val="22"/>
        </w:rPr>
        <w:t>Mental health nursing is a specialist area within health and social care focused on supporting people who are experiencing a wide range of mental health challenges. Nurses in this field work in different settings, including hospital wards, community services, crisis teams, and early intervention programmes, where they provide both clinical treatment and emotional support.</w:t>
      </w:r>
    </w:p>
    <w:p w14:paraId="349B86AB" w14:textId="77777777" w:rsidR="000D2F08" w:rsidRPr="00863F8B" w:rsidRDefault="000D2F08" w:rsidP="00863F8B">
      <w:pPr>
        <w:spacing w:line="360" w:lineRule="auto"/>
        <w:rPr>
          <w:rFonts w:ascii="Arial" w:hAnsi="Arial" w:cs="Arial"/>
          <w:sz w:val="22"/>
        </w:rPr>
      </w:pPr>
      <w:r w:rsidRPr="00863F8B">
        <w:rPr>
          <w:rFonts w:ascii="Arial" w:hAnsi="Arial" w:cs="Arial"/>
          <w:sz w:val="22"/>
        </w:rPr>
        <w:t>The rising demand for mental health services across the UK reflects how complex and essential this role has become. Mental health nurses must draw on clinical knowledge while also using strong interpersonal, ethical, and decision-making skills to deliver care that is safe, recovery-focused, and centred around the individual (Nursing and Midwifery Council, 2018). In addition, increasing awareness of inequalities in mental health care has highlighted the need for culturally sensitive and inclusive approaches.</w:t>
      </w:r>
    </w:p>
    <w:p w14:paraId="4D8A2ABB" w14:textId="77777777" w:rsidR="000D2F08" w:rsidRPr="00863F8B" w:rsidRDefault="000D2F08" w:rsidP="00863F8B">
      <w:pPr>
        <w:spacing w:line="360" w:lineRule="auto"/>
        <w:rPr>
          <w:rFonts w:ascii="Arial" w:hAnsi="Arial" w:cs="Arial"/>
          <w:sz w:val="22"/>
        </w:rPr>
      </w:pPr>
      <w:r w:rsidRPr="00863F8B">
        <w:rPr>
          <w:rFonts w:ascii="Arial" w:hAnsi="Arial" w:cs="Arial"/>
          <w:sz w:val="22"/>
        </w:rPr>
        <w:t>This report explores the role of a mental health nurse, identifies three key skills required for effective practice, and examines how these skills can be strengthened through appropriate development strategies. It also considers the expectation for care to be both clinically sound and ethically responsible, particularly in complex and high-risk situations.</w:t>
      </w:r>
    </w:p>
    <w:p w14:paraId="48963541" w14:textId="77777777" w:rsidR="000D2F08" w:rsidRPr="00863F8B" w:rsidRDefault="000D2F08" w:rsidP="00863F8B">
      <w:pPr>
        <w:spacing w:line="360" w:lineRule="auto"/>
        <w:rPr>
          <w:rFonts w:ascii="Arial" w:hAnsi="Arial" w:cs="Arial"/>
          <w:sz w:val="22"/>
        </w:rPr>
      </w:pPr>
    </w:p>
    <w:p w14:paraId="4585D8FA"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t>2. Role of a Mental Health Nurse</w:t>
      </w:r>
    </w:p>
    <w:p w14:paraId="3AE1CAE8" w14:textId="77777777" w:rsidR="000D2F08" w:rsidRPr="00863F8B" w:rsidRDefault="000D2F08" w:rsidP="00863F8B">
      <w:pPr>
        <w:spacing w:line="360" w:lineRule="auto"/>
        <w:rPr>
          <w:rFonts w:ascii="Arial" w:hAnsi="Arial" w:cs="Arial"/>
          <w:sz w:val="22"/>
        </w:rPr>
      </w:pPr>
      <w:r w:rsidRPr="00863F8B">
        <w:rPr>
          <w:rFonts w:ascii="Arial" w:hAnsi="Arial" w:cs="Arial"/>
          <w:sz w:val="22"/>
        </w:rPr>
        <w:t>Mental health nurses are responsible for assessing needs, planning and delivering care, and reviewing outcomes for individuals experiencing conditions such as depression, anxiety, bipolar disorder, and psychosis. The Nursing and Midwifery Council (2018) emphasises that nurses must place individuals at the centre of care, practise safely, and maintain professional standards, which shape everyday practice.</w:t>
      </w:r>
    </w:p>
    <w:p w14:paraId="03320931" w14:textId="77777777" w:rsidR="000D2F08" w:rsidRPr="00863F8B" w:rsidRDefault="000D2F08" w:rsidP="00863F8B">
      <w:pPr>
        <w:spacing w:line="360" w:lineRule="auto"/>
        <w:rPr>
          <w:rFonts w:ascii="Arial" w:hAnsi="Arial" w:cs="Arial"/>
          <w:sz w:val="22"/>
        </w:rPr>
      </w:pPr>
      <w:r w:rsidRPr="00863F8B">
        <w:rPr>
          <w:rFonts w:ascii="Arial" w:hAnsi="Arial" w:cs="Arial"/>
          <w:sz w:val="22"/>
        </w:rPr>
        <w:t>An important part of the role involves carrying out mental health and risk assessments. For example, when supporting someone who may be experiencing suicidal thoughts, nurses need to consider what the person says, how they behave, any protective factors, and their environment. These assessments rely not only on clinical knowledge but also on professional judgement and a clear understanding of the person’s situation. Because mental health can change quickly, assessments need to be reviewed regularly, with care plans adjusted where necessary.</w:t>
      </w:r>
    </w:p>
    <w:p w14:paraId="31974749" w14:textId="77777777" w:rsidR="000D2F08" w:rsidRPr="00863F8B" w:rsidRDefault="000D2F08" w:rsidP="00863F8B">
      <w:pPr>
        <w:spacing w:line="360" w:lineRule="auto"/>
        <w:rPr>
          <w:rFonts w:ascii="Arial" w:hAnsi="Arial" w:cs="Arial"/>
          <w:sz w:val="22"/>
        </w:rPr>
      </w:pPr>
      <w:r w:rsidRPr="00863F8B">
        <w:rPr>
          <w:rFonts w:ascii="Arial" w:hAnsi="Arial" w:cs="Arial"/>
          <w:sz w:val="22"/>
        </w:rPr>
        <w:lastRenderedPageBreak/>
        <w:t>Mental health nurses also work closely with multidisciplinary teams (MDTs), alongside professionals such as doctors, psychologists, and social workers. The Royal College of Nursing (2020) highlights that effective teamwork can improve continuity of care and overall outcomes. However, working in teams is not always straightforward. Differences in opinions, communication challenges, and workload pressures can affect decision-making. In some situations, disagreements between professionals may delay action, showing that effective collaboration depends on clear communication and mutual understanding.</w:t>
      </w:r>
    </w:p>
    <w:p w14:paraId="139694FD" w14:textId="77777777" w:rsidR="000D2F08" w:rsidRPr="00863F8B" w:rsidRDefault="000D2F08" w:rsidP="00863F8B">
      <w:pPr>
        <w:spacing w:line="360" w:lineRule="auto"/>
        <w:rPr>
          <w:rFonts w:ascii="Arial" w:hAnsi="Arial" w:cs="Arial"/>
          <w:sz w:val="22"/>
        </w:rPr>
      </w:pPr>
      <w:r w:rsidRPr="00863F8B">
        <w:rPr>
          <w:rFonts w:ascii="Arial" w:hAnsi="Arial" w:cs="Arial"/>
          <w:sz w:val="22"/>
        </w:rPr>
        <w:t>In addition to clinical duties, building strong therapeutic relationships is central to supporting recovery. This reflects a move away from purely medical approaches towards more holistic, person-centred care, where trust, engagement, and shared decision-making are key (Hildegard Peplau, 1997). However, maintaining these relationships can be difficult in busy environments where staffing levels are low or patient turnover is high, suggesting that organisational pressures can influence the quality of care provided.</w:t>
      </w:r>
    </w:p>
    <w:p w14:paraId="12DE73BF" w14:textId="77777777" w:rsidR="000D2F08" w:rsidRPr="00863F8B" w:rsidRDefault="000D2F08" w:rsidP="00863F8B">
      <w:pPr>
        <w:spacing w:line="360" w:lineRule="auto"/>
        <w:rPr>
          <w:rFonts w:ascii="Arial" w:hAnsi="Arial" w:cs="Arial"/>
          <w:b/>
          <w:bCs/>
          <w:sz w:val="22"/>
        </w:rPr>
      </w:pPr>
    </w:p>
    <w:p w14:paraId="7B0B24F3"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t>3. Essential Skills</w:t>
      </w:r>
    </w:p>
    <w:p w14:paraId="759571D0"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t>3.1 Therapeutic Communication</w:t>
      </w:r>
    </w:p>
    <w:p w14:paraId="013C3C5E" w14:textId="77777777" w:rsidR="000D2F08" w:rsidRPr="00863F8B" w:rsidRDefault="000D2F08" w:rsidP="00863F8B">
      <w:pPr>
        <w:spacing w:line="360" w:lineRule="auto"/>
        <w:rPr>
          <w:rFonts w:ascii="Arial" w:hAnsi="Arial" w:cs="Arial"/>
          <w:sz w:val="22"/>
        </w:rPr>
      </w:pPr>
      <w:r w:rsidRPr="00863F8B">
        <w:rPr>
          <w:rFonts w:ascii="Arial" w:hAnsi="Arial" w:cs="Arial"/>
          <w:sz w:val="22"/>
        </w:rPr>
        <w:t>Therapeutic communication is a fundamental skill that allows nurses to build trust and support individuals effectively. It includes listening carefully, showing empathy, recognising emotions, and using both verbal and non-verbal communication appropriately.</w:t>
      </w:r>
    </w:p>
    <w:p w14:paraId="7EE482BD" w14:textId="77777777" w:rsidR="000D2F08" w:rsidRPr="00863F8B" w:rsidRDefault="000D2F08" w:rsidP="00863F8B">
      <w:pPr>
        <w:spacing w:line="360" w:lineRule="auto"/>
        <w:rPr>
          <w:rFonts w:ascii="Arial" w:hAnsi="Arial" w:cs="Arial"/>
          <w:sz w:val="22"/>
        </w:rPr>
      </w:pPr>
      <w:r w:rsidRPr="00863F8B">
        <w:rPr>
          <w:rFonts w:ascii="Arial" w:hAnsi="Arial" w:cs="Arial"/>
          <w:sz w:val="22"/>
        </w:rPr>
        <w:t>This becomes particularly important because people experiencing mental health difficulties may feel overwhelmed or find it hard to express themselves. For instance, someone with severe anxiety may struggle to explain their needs clearly. In this situation, a nurse might use open questions, reassurance, and simple grounding techniques to help the person feel more comfortable and able to engage.</w:t>
      </w:r>
    </w:p>
    <w:p w14:paraId="1F788D64" w14:textId="77777777" w:rsidR="000D2F08" w:rsidRPr="00863F8B" w:rsidRDefault="000D2F08" w:rsidP="00863F8B">
      <w:pPr>
        <w:spacing w:line="360" w:lineRule="auto"/>
        <w:rPr>
          <w:rFonts w:ascii="Arial" w:hAnsi="Arial" w:cs="Arial"/>
          <w:sz w:val="22"/>
        </w:rPr>
      </w:pPr>
      <w:r w:rsidRPr="00863F8B">
        <w:rPr>
          <w:rFonts w:ascii="Arial" w:hAnsi="Arial" w:cs="Arial"/>
          <w:sz w:val="22"/>
        </w:rPr>
        <w:t>Research suggests that the quality of the relationship between nurse and patient can influence recovery outcomes (Morrissey and Callaghan, 2011). However, communication is not only shaped by individual ability. Factors such as limited time, high workload, and the clinical environment can affect how effectively nurses are able to communicate. Cultural differences and language barriers may also require nurses to adapt their approach to ensure understanding and inclusivity. This indicates that effective communication is shaped by more than individual ability alone.</w:t>
      </w:r>
    </w:p>
    <w:p w14:paraId="6ED4F697" w14:textId="77777777" w:rsidR="000D2F08" w:rsidRPr="00863F8B" w:rsidRDefault="000D2F08" w:rsidP="00863F8B">
      <w:pPr>
        <w:spacing w:line="360" w:lineRule="auto"/>
        <w:rPr>
          <w:rFonts w:ascii="Arial" w:hAnsi="Arial" w:cs="Arial"/>
          <w:sz w:val="22"/>
        </w:rPr>
      </w:pPr>
    </w:p>
    <w:p w14:paraId="0EDCF922" w14:textId="77777777" w:rsidR="00C542C7" w:rsidRPr="00863F8B" w:rsidRDefault="00C542C7" w:rsidP="00863F8B">
      <w:pPr>
        <w:spacing w:line="360" w:lineRule="auto"/>
        <w:rPr>
          <w:rFonts w:ascii="Arial" w:hAnsi="Arial" w:cs="Arial"/>
          <w:sz w:val="22"/>
        </w:rPr>
      </w:pPr>
    </w:p>
    <w:p w14:paraId="7B04E0B5"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lastRenderedPageBreak/>
        <w:t>3.2 De-escalation Techniques</w:t>
      </w:r>
    </w:p>
    <w:p w14:paraId="052D88A7" w14:textId="77777777" w:rsidR="000D2F08" w:rsidRPr="00863F8B" w:rsidRDefault="000D2F08" w:rsidP="00863F8B">
      <w:pPr>
        <w:spacing w:line="360" w:lineRule="auto"/>
        <w:rPr>
          <w:rFonts w:ascii="Arial" w:hAnsi="Arial" w:cs="Arial"/>
          <w:sz w:val="22"/>
        </w:rPr>
      </w:pPr>
      <w:r w:rsidRPr="00863F8B">
        <w:rPr>
          <w:rFonts w:ascii="Arial" w:hAnsi="Arial" w:cs="Arial"/>
          <w:sz w:val="22"/>
        </w:rPr>
        <w:t>De-escalation techniques are used when a person becomes distressed, anxious, or potentially aggressive. These approaches include remaining calm, using non-threatening body language, offering choices, and identifying early signs that a situation may be worsening.</w:t>
      </w:r>
    </w:p>
    <w:p w14:paraId="3EE01CC0" w14:textId="77777777" w:rsidR="000D2F08" w:rsidRPr="00863F8B" w:rsidRDefault="000D2F08" w:rsidP="00863F8B">
      <w:pPr>
        <w:spacing w:line="360" w:lineRule="auto"/>
        <w:rPr>
          <w:rFonts w:ascii="Arial" w:hAnsi="Arial" w:cs="Arial"/>
          <w:sz w:val="22"/>
        </w:rPr>
      </w:pPr>
      <w:r w:rsidRPr="00863F8B">
        <w:rPr>
          <w:rFonts w:ascii="Arial" w:hAnsi="Arial" w:cs="Arial"/>
          <w:sz w:val="22"/>
        </w:rPr>
        <w:t>Maintaining both safety and dignity relies heavily on this ability. Responding early to signs of distress can prevent escalation and reduce the likelihood of physical intervention. It also helps preserve the individual’s sense of control and respect.</w:t>
      </w:r>
    </w:p>
    <w:p w14:paraId="36BBC06D" w14:textId="77777777" w:rsidR="000D2F08" w:rsidRPr="00863F8B" w:rsidRDefault="000D2F08" w:rsidP="00863F8B">
      <w:pPr>
        <w:spacing w:line="360" w:lineRule="auto"/>
        <w:rPr>
          <w:rFonts w:ascii="Arial" w:hAnsi="Arial" w:cs="Arial"/>
          <w:sz w:val="22"/>
        </w:rPr>
      </w:pPr>
      <w:r w:rsidRPr="00863F8B">
        <w:rPr>
          <w:rFonts w:ascii="Arial" w:hAnsi="Arial" w:cs="Arial"/>
          <w:sz w:val="22"/>
        </w:rPr>
        <w:t>The Royal College of Nursing (2020) promotes de-escalation as a preferred alternative to restrictive practices such as restraint. However, its effectiveness can vary depending on factors such as staffing levels, the environment, and the individual’s mental state. In busy settings, nurses may not always have the time or support needed to apply these techniques fully. This reinforces the need for ongoing training, practical experience, and reflection (Price and Baker, 2012), as well as the ethical responsibility to use the least restrictive approach wherever possible.</w:t>
      </w:r>
    </w:p>
    <w:p w14:paraId="5BD1E4CC" w14:textId="77777777" w:rsidR="000D2F08" w:rsidRPr="00863F8B" w:rsidRDefault="000D2F08" w:rsidP="00863F8B">
      <w:pPr>
        <w:spacing w:line="360" w:lineRule="auto"/>
        <w:rPr>
          <w:rFonts w:ascii="Arial" w:hAnsi="Arial" w:cs="Arial"/>
          <w:sz w:val="22"/>
        </w:rPr>
      </w:pPr>
    </w:p>
    <w:p w14:paraId="1E433FBA"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t>3.3 Risk Assessment</w:t>
      </w:r>
    </w:p>
    <w:p w14:paraId="14F07F57" w14:textId="77777777" w:rsidR="000D2F08" w:rsidRPr="00863F8B" w:rsidRDefault="000D2F08" w:rsidP="00863F8B">
      <w:pPr>
        <w:spacing w:line="360" w:lineRule="auto"/>
        <w:rPr>
          <w:rFonts w:ascii="Arial" w:hAnsi="Arial" w:cs="Arial"/>
          <w:sz w:val="22"/>
        </w:rPr>
      </w:pPr>
      <w:r w:rsidRPr="00863F8B">
        <w:rPr>
          <w:rFonts w:ascii="Arial" w:hAnsi="Arial" w:cs="Arial"/>
          <w:sz w:val="22"/>
        </w:rPr>
        <w:t>Risk assessment involves identifying and managing potential harm, including risks of self-harm or harm to others. Nurses may use structured tools, such as the Health of the Nation Outcome Scales (</w:t>
      </w:r>
      <w:proofErr w:type="spellStart"/>
      <w:r w:rsidRPr="00863F8B">
        <w:rPr>
          <w:rFonts w:ascii="Arial" w:hAnsi="Arial" w:cs="Arial"/>
          <w:sz w:val="22"/>
        </w:rPr>
        <w:t>HoNOS</w:t>
      </w:r>
      <w:proofErr w:type="spellEnd"/>
      <w:r w:rsidRPr="00863F8B">
        <w:rPr>
          <w:rFonts w:ascii="Arial" w:hAnsi="Arial" w:cs="Arial"/>
          <w:sz w:val="22"/>
        </w:rPr>
        <w:t>), alongside their own professional judgement.</w:t>
      </w:r>
    </w:p>
    <w:p w14:paraId="6951EBFE" w14:textId="77777777" w:rsidR="000D2F08" w:rsidRPr="00863F8B" w:rsidRDefault="000D2F08" w:rsidP="00863F8B">
      <w:pPr>
        <w:spacing w:line="360" w:lineRule="auto"/>
        <w:rPr>
          <w:rFonts w:ascii="Arial" w:hAnsi="Arial" w:cs="Arial"/>
          <w:sz w:val="22"/>
        </w:rPr>
      </w:pPr>
      <w:r w:rsidRPr="00863F8B">
        <w:rPr>
          <w:rFonts w:ascii="Arial" w:hAnsi="Arial" w:cs="Arial"/>
          <w:sz w:val="22"/>
        </w:rPr>
        <w:t>Its importance lies in how it directly influences decisions about care and safety. For example, recognising early signs of self-harm can allow nurses to act quickly and provide appropriate support. It also informs decisions about observation levels and care planning.</w:t>
      </w:r>
    </w:p>
    <w:p w14:paraId="06D762BE" w14:textId="77777777" w:rsidR="000D2F08" w:rsidRPr="00863F8B" w:rsidRDefault="000D2F08" w:rsidP="00863F8B">
      <w:pPr>
        <w:spacing w:line="360" w:lineRule="auto"/>
        <w:rPr>
          <w:rFonts w:ascii="Arial" w:hAnsi="Arial" w:cs="Arial"/>
          <w:sz w:val="22"/>
        </w:rPr>
      </w:pPr>
      <w:r w:rsidRPr="00863F8B">
        <w:rPr>
          <w:rFonts w:ascii="Arial" w:hAnsi="Arial" w:cs="Arial"/>
          <w:sz w:val="22"/>
        </w:rPr>
        <w:t>However, risk assessment is not completely objective. While tools can provide structure, they cannot replace professional judgement. The Nursing and Midwifery Council (2018) stresses the importance of making decisions based on both evidence and experience. This shows that uncertainty is often part of the process, requiring nurses to carefully balance different sources of information. Over-reliance on tools may also lead to false confidence, reinforcing the need for critical thinking.</w:t>
      </w:r>
    </w:p>
    <w:p w14:paraId="0FF3C2FB" w14:textId="77777777" w:rsidR="000D2F08" w:rsidRPr="00863F8B" w:rsidRDefault="000D2F08" w:rsidP="00863F8B">
      <w:pPr>
        <w:spacing w:line="360" w:lineRule="auto"/>
        <w:rPr>
          <w:rFonts w:ascii="Arial" w:hAnsi="Arial" w:cs="Arial"/>
          <w:sz w:val="22"/>
        </w:rPr>
      </w:pPr>
    </w:p>
    <w:p w14:paraId="2B8FB163" w14:textId="77777777" w:rsidR="00C542C7" w:rsidRPr="00863F8B" w:rsidRDefault="00C542C7" w:rsidP="00863F8B">
      <w:pPr>
        <w:spacing w:line="360" w:lineRule="auto"/>
        <w:rPr>
          <w:rFonts w:ascii="Arial" w:hAnsi="Arial" w:cs="Arial"/>
          <w:b/>
          <w:bCs/>
          <w:sz w:val="22"/>
        </w:rPr>
      </w:pPr>
    </w:p>
    <w:p w14:paraId="664EF80D" w14:textId="77777777" w:rsidR="00C542C7" w:rsidRPr="00863F8B" w:rsidRDefault="00C542C7" w:rsidP="00863F8B">
      <w:pPr>
        <w:spacing w:line="360" w:lineRule="auto"/>
        <w:rPr>
          <w:rFonts w:ascii="Arial" w:hAnsi="Arial" w:cs="Arial"/>
          <w:b/>
          <w:bCs/>
          <w:sz w:val="22"/>
        </w:rPr>
      </w:pPr>
    </w:p>
    <w:p w14:paraId="158BD441" w14:textId="4294ECD8" w:rsidR="000D2F08" w:rsidRPr="00863F8B" w:rsidRDefault="000D2F08" w:rsidP="00863F8B">
      <w:pPr>
        <w:spacing w:line="360" w:lineRule="auto"/>
        <w:rPr>
          <w:rFonts w:ascii="Arial" w:hAnsi="Arial" w:cs="Arial"/>
          <w:b/>
          <w:bCs/>
          <w:sz w:val="22"/>
        </w:rPr>
      </w:pPr>
      <w:r w:rsidRPr="00863F8B">
        <w:rPr>
          <w:rFonts w:ascii="Arial" w:hAnsi="Arial" w:cs="Arial"/>
          <w:b/>
          <w:bCs/>
          <w:sz w:val="22"/>
        </w:rPr>
        <w:lastRenderedPageBreak/>
        <w:t>4. Strategies for Skill Development</w:t>
      </w:r>
    </w:p>
    <w:p w14:paraId="305A7684" w14:textId="77777777" w:rsidR="000D2F08" w:rsidRPr="00863F8B" w:rsidRDefault="000D2F08" w:rsidP="00863F8B">
      <w:pPr>
        <w:spacing w:line="360" w:lineRule="auto"/>
        <w:rPr>
          <w:rFonts w:ascii="Arial" w:hAnsi="Arial" w:cs="Arial"/>
          <w:sz w:val="22"/>
        </w:rPr>
      </w:pPr>
      <w:r w:rsidRPr="00863F8B">
        <w:rPr>
          <w:rFonts w:ascii="Arial" w:hAnsi="Arial" w:cs="Arial"/>
          <w:sz w:val="22"/>
        </w:rPr>
        <w:t>Developing professional skills is an ongoing process that requires regular practice, reflection, and support.</w:t>
      </w:r>
    </w:p>
    <w:p w14:paraId="19816293" w14:textId="77777777" w:rsidR="000D2F08" w:rsidRPr="00863F8B" w:rsidRDefault="000D2F08" w:rsidP="00863F8B">
      <w:pPr>
        <w:spacing w:line="360" w:lineRule="auto"/>
        <w:rPr>
          <w:rFonts w:ascii="Arial" w:hAnsi="Arial" w:cs="Arial"/>
          <w:sz w:val="22"/>
        </w:rPr>
      </w:pPr>
    </w:p>
    <w:p w14:paraId="13AF52DC"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t>4.1 Developing Therapeutic Communication</w:t>
      </w:r>
    </w:p>
    <w:p w14:paraId="480A70E7" w14:textId="77777777" w:rsidR="000D2F08" w:rsidRPr="00863F8B" w:rsidRDefault="000D2F08" w:rsidP="00863F8B">
      <w:pPr>
        <w:spacing w:line="360" w:lineRule="auto"/>
        <w:rPr>
          <w:rFonts w:ascii="Arial" w:hAnsi="Arial" w:cs="Arial"/>
          <w:sz w:val="22"/>
        </w:rPr>
      </w:pPr>
      <w:r w:rsidRPr="00863F8B">
        <w:rPr>
          <w:rFonts w:ascii="Arial" w:hAnsi="Arial" w:cs="Arial"/>
          <w:sz w:val="22"/>
        </w:rPr>
        <w:t>Communication skills can be improved through simulated learning, reflective exercises, and supervised clinical experience (Morrissey and Callaghan, 2011). These approaches allow nurses to practise real-life situations and gradually build confidence.</w:t>
      </w:r>
    </w:p>
    <w:p w14:paraId="539A237C" w14:textId="77777777" w:rsidR="000D2F08" w:rsidRPr="00863F8B" w:rsidRDefault="000D2F08" w:rsidP="00863F8B">
      <w:pPr>
        <w:spacing w:line="360" w:lineRule="auto"/>
        <w:rPr>
          <w:rFonts w:ascii="Arial" w:hAnsi="Arial" w:cs="Arial"/>
          <w:sz w:val="22"/>
        </w:rPr>
      </w:pPr>
      <w:r w:rsidRPr="00863F8B">
        <w:rPr>
          <w:rFonts w:ascii="Arial" w:hAnsi="Arial" w:cs="Arial"/>
          <w:sz w:val="22"/>
        </w:rPr>
        <w:t>Feedback from mentors, colleagues, and patients can also help identify areas for improvement. Using reflective models, such as Gibbs’ Reflective Cycle, can support self-awareness and continuous development. However, these strategies are most effective when applied consistently in practice.</w:t>
      </w:r>
    </w:p>
    <w:p w14:paraId="5B503685" w14:textId="77777777" w:rsidR="000D2F08" w:rsidRPr="00863F8B" w:rsidRDefault="000D2F08" w:rsidP="00863F8B">
      <w:pPr>
        <w:spacing w:line="360" w:lineRule="auto"/>
        <w:rPr>
          <w:rFonts w:ascii="Arial" w:hAnsi="Arial" w:cs="Arial"/>
          <w:sz w:val="22"/>
        </w:rPr>
      </w:pPr>
    </w:p>
    <w:p w14:paraId="2F486A6D"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t>4.2 Developing De-escalation Skills</w:t>
      </w:r>
    </w:p>
    <w:p w14:paraId="0827B6D6" w14:textId="77777777" w:rsidR="000D2F08" w:rsidRPr="00863F8B" w:rsidRDefault="000D2F08" w:rsidP="00863F8B">
      <w:pPr>
        <w:spacing w:line="360" w:lineRule="auto"/>
        <w:rPr>
          <w:rFonts w:ascii="Arial" w:hAnsi="Arial" w:cs="Arial"/>
          <w:sz w:val="22"/>
        </w:rPr>
      </w:pPr>
      <w:r w:rsidRPr="00863F8B">
        <w:rPr>
          <w:rFonts w:ascii="Arial" w:hAnsi="Arial" w:cs="Arial"/>
          <w:sz w:val="22"/>
        </w:rPr>
        <w:t>De-escalation skills can be developed through scenario-based training, observing experienced staff, and undertaking conflict management training (Price and Baker, 2012). Regular updates are important to ensure knowledge remains current.</w:t>
      </w:r>
    </w:p>
    <w:p w14:paraId="769DDE0B" w14:textId="77777777" w:rsidR="000D2F08" w:rsidRPr="00863F8B" w:rsidRDefault="000D2F08" w:rsidP="00863F8B">
      <w:pPr>
        <w:spacing w:line="360" w:lineRule="auto"/>
        <w:rPr>
          <w:rFonts w:ascii="Arial" w:hAnsi="Arial" w:cs="Arial"/>
          <w:sz w:val="22"/>
        </w:rPr>
      </w:pPr>
      <w:r w:rsidRPr="00863F8B">
        <w:rPr>
          <w:rFonts w:ascii="Arial" w:hAnsi="Arial" w:cs="Arial"/>
          <w:sz w:val="22"/>
        </w:rPr>
        <w:t>Although training is valuable, real clinical situations are often unpredictable. This means that hands-on experience is essential for building confidence and improving response in challenging situations.</w:t>
      </w:r>
    </w:p>
    <w:p w14:paraId="215C55F1" w14:textId="77777777" w:rsidR="000D2F08" w:rsidRPr="00863F8B" w:rsidRDefault="000D2F08" w:rsidP="00863F8B">
      <w:pPr>
        <w:spacing w:line="360" w:lineRule="auto"/>
        <w:rPr>
          <w:rFonts w:ascii="Arial" w:hAnsi="Arial" w:cs="Arial"/>
          <w:sz w:val="22"/>
        </w:rPr>
      </w:pPr>
    </w:p>
    <w:p w14:paraId="6E59C176"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t>4.3 Developing Risk Assessment Skills</w:t>
      </w:r>
    </w:p>
    <w:p w14:paraId="045FAD94" w14:textId="77777777" w:rsidR="000D2F08" w:rsidRPr="00863F8B" w:rsidRDefault="000D2F08" w:rsidP="00863F8B">
      <w:pPr>
        <w:spacing w:line="360" w:lineRule="auto"/>
        <w:rPr>
          <w:rFonts w:ascii="Arial" w:hAnsi="Arial" w:cs="Arial"/>
          <w:sz w:val="22"/>
        </w:rPr>
      </w:pPr>
      <w:r w:rsidRPr="00863F8B">
        <w:rPr>
          <w:rFonts w:ascii="Arial" w:hAnsi="Arial" w:cs="Arial"/>
          <w:sz w:val="22"/>
        </w:rPr>
        <w:t>Risk assessment skills can be strengthened through training in structured tools, reviewing case studies, and taking part in multidisciplinary discussions (Kinman et al., 2020). Observing how different professionals assess risk can support more balanced decision-making.</w:t>
      </w:r>
    </w:p>
    <w:p w14:paraId="6592B4D8" w14:textId="77777777" w:rsidR="000D2F08" w:rsidRPr="00863F8B" w:rsidRDefault="000D2F08" w:rsidP="00863F8B">
      <w:pPr>
        <w:spacing w:line="360" w:lineRule="auto"/>
        <w:rPr>
          <w:rFonts w:ascii="Arial" w:hAnsi="Arial" w:cs="Arial"/>
          <w:sz w:val="22"/>
        </w:rPr>
      </w:pPr>
      <w:r w:rsidRPr="00863F8B">
        <w:rPr>
          <w:rFonts w:ascii="Arial" w:hAnsi="Arial" w:cs="Arial"/>
          <w:sz w:val="22"/>
        </w:rPr>
        <w:t>Supervision and reflection are also important, as they help nurses develop confidence in their judgement. However, gaining competence in risk assessment takes time, as it depends heavily on experience in a range of situations.</w:t>
      </w:r>
    </w:p>
    <w:p w14:paraId="4830B782" w14:textId="77777777" w:rsidR="000D2F08" w:rsidRPr="00863F8B" w:rsidRDefault="000D2F08" w:rsidP="00863F8B">
      <w:pPr>
        <w:spacing w:line="360" w:lineRule="auto"/>
        <w:rPr>
          <w:rFonts w:ascii="Arial" w:hAnsi="Arial" w:cs="Arial"/>
          <w:sz w:val="22"/>
        </w:rPr>
      </w:pPr>
    </w:p>
    <w:p w14:paraId="0FFCC56E" w14:textId="77777777" w:rsidR="000D2F08" w:rsidRPr="00863F8B" w:rsidRDefault="000D2F08" w:rsidP="00863F8B">
      <w:pPr>
        <w:spacing w:line="360" w:lineRule="auto"/>
        <w:rPr>
          <w:rFonts w:ascii="Arial" w:hAnsi="Arial" w:cs="Arial"/>
          <w:b/>
          <w:bCs/>
          <w:sz w:val="22"/>
        </w:rPr>
      </w:pPr>
      <w:r w:rsidRPr="00863F8B">
        <w:rPr>
          <w:rFonts w:ascii="Arial" w:hAnsi="Arial" w:cs="Arial"/>
          <w:b/>
          <w:bCs/>
          <w:sz w:val="22"/>
        </w:rPr>
        <w:lastRenderedPageBreak/>
        <w:t>5. Conclusion</w:t>
      </w:r>
    </w:p>
    <w:p w14:paraId="6F2EC036" w14:textId="77777777" w:rsidR="000D2F08" w:rsidRPr="00863F8B" w:rsidRDefault="000D2F08" w:rsidP="00863F8B">
      <w:pPr>
        <w:spacing w:line="360" w:lineRule="auto"/>
        <w:rPr>
          <w:rFonts w:ascii="Arial" w:hAnsi="Arial" w:cs="Arial"/>
          <w:sz w:val="22"/>
        </w:rPr>
      </w:pPr>
      <w:r w:rsidRPr="00863F8B">
        <w:rPr>
          <w:rFonts w:ascii="Arial" w:hAnsi="Arial" w:cs="Arial"/>
          <w:sz w:val="22"/>
        </w:rPr>
        <w:t>Mental health nurses play an essential role in supporting individuals with complex needs. Their responsibilities include assessment, care planning, building therapeutic relationships, and working collaboratively with other professionals.</w:t>
      </w:r>
    </w:p>
    <w:p w14:paraId="6F90BABF" w14:textId="77777777" w:rsidR="000D2F08" w:rsidRPr="00863F8B" w:rsidRDefault="000D2F08" w:rsidP="00863F8B">
      <w:pPr>
        <w:spacing w:line="360" w:lineRule="auto"/>
        <w:rPr>
          <w:rFonts w:ascii="Arial" w:hAnsi="Arial" w:cs="Arial"/>
          <w:sz w:val="22"/>
        </w:rPr>
      </w:pPr>
      <w:r w:rsidRPr="00863F8B">
        <w:rPr>
          <w:rFonts w:ascii="Arial" w:hAnsi="Arial" w:cs="Arial"/>
          <w:sz w:val="22"/>
        </w:rPr>
        <w:t>Therapeutic communication, de-escalation, and risk assessment are key skills required for effective practice, but they need to be developed continuously and applied flexibly depending on the situation.</w:t>
      </w:r>
    </w:p>
    <w:p w14:paraId="1E591737" w14:textId="77777777" w:rsidR="000D2F08" w:rsidRPr="00863F8B" w:rsidRDefault="000D2F08" w:rsidP="00863F8B">
      <w:pPr>
        <w:spacing w:line="360" w:lineRule="auto"/>
        <w:rPr>
          <w:rFonts w:ascii="Arial" w:hAnsi="Arial" w:cs="Arial"/>
          <w:sz w:val="22"/>
        </w:rPr>
      </w:pPr>
      <w:r w:rsidRPr="00863F8B">
        <w:rPr>
          <w:rFonts w:ascii="Arial" w:hAnsi="Arial" w:cs="Arial"/>
          <w:sz w:val="22"/>
        </w:rPr>
        <w:t>In practice, effective mental health nursing depends on a combination of knowledge, interpersonal skills, and professional judgement. It is also important to recognise how organisational and environmental factors influence practice, as these can affect the quality and consistency of care provided. This highlights the need for ongoing support, effective leadership, and continuous professional development within mental health services.</w:t>
      </w:r>
    </w:p>
    <w:p w14:paraId="74EA28DC" w14:textId="77777777" w:rsidR="00580331" w:rsidRPr="00863F8B" w:rsidRDefault="00580331" w:rsidP="00863F8B">
      <w:pPr>
        <w:spacing w:line="360" w:lineRule="auto"/>
        <w:rPr>
          <w:rFonts w:ascii="Arial" w:hAnsi="Arial" w:cs="Arial"/>
          <w:b/>
          <w:bCs/>
          <w:sz w:val="22"/>
        </w:rPr>
      </w:pPr>
    </w:p>
    <w:p w14:paraId="2A67B9CB" w14:textId="77777777" w:rsidR="006C068A" w:rsidRPr="00863F8B" w:rsidRDefault="006C068A" w:rsidP="00863F8B">
      <w:pPr>
        <w:spacing w:line="360" w:lineRule="auto"/>
        <w:rPr>
          <w:rFonts w:ascii="Arial" w:hAnsi="Arial" w:cs="Arial"/>
          <w:b/>
          <w:bCs/>
          <w:sz w:val="22"/>
        </w:rPr>
      </w:pPr>
    </w:p>
    <w:p w14:paraId="48BA8538" w14:textId="77777777" w:rsidR="006C068A" w:rsidRPr="00863F8B" w:rsidRDefault="006C068A" w:rsidP="00863F8B">
      <w:pPr>
        <w:spacing w:line="360" w:lineRule="auto"/>
        <w:rPr>
          <w:rFonts w:ascii="Arial" w:hAnsi="Arial" w:cs="Arial"/>
          <w:b/>
          <w:bCs/>
          <w:sz w:val="22"/>
        </w:rPr>
      </w:pPr>
    </w:p>
    <w:p w14:paraId="251B334C" w14:textId="77777777" w:rsidR="006C068A" w:rsidRPr="00863F8B" w:rsidRDefault="006C068A" w:rsidP="00863F8B">
      <w:pPr>
        <w:spacing w:line="360" w:lineRule="auto"/>
        <w:rPr>
          <w:rFonts w:ascii="Arial" w:hAnsi="Arial" w:cs="Arial"/>
          <w:b/>
          <w:bCs/>
          <w:sz w:val="22"/>
        </w:rPr>
      </w:pPr>
    </w:p>
    <w:p w14:paraId="4C47AC20" w14:textId="77777777" w:rsidR="006C068A" w:rsidRPr="00863F8B" w:rsidRDefault="006C068A" w:rsidP="00863F8B">
      <w:pPr>
        <w:spacing w:line="360" w:lineRule="auto"/>
        <w:rPr>
          <w:rFonts w:ascii="Arial" w:hAnsi="Arial" w:cs="Arial"/>
          <w:b/>
          <w:bCs/>
          <w:sz w:val="22"/>
        </w:rPr>
      </w:pPr>
    </w:p>
    <w:p w14:paraId="33CB86EF" w14:textId="77777777" w:rsidR="006C068A" w:rsidRPr="00863F8B" w:rsidRDefault="006C068A" w:rsidP="00863F8B">
      <w:pPr>
        <w:spacing w:line="360" w:lineRule="auto"/>
        <w:rPr>
          <w:rFonts w:ascii="Arial" w:hAnsi="Arial" w:cs="Arial"/>
          <w:b/>
          <w:bCs/>
          <w:sz w:val="22"/>
        </w:rPr>
      </w:pPr>
    </w:p>
    <w:p w14:paraId="1B62C817" w14:textId="77777777" w:rsidR="006C068A" w:rsidRPr="00863F8B" w:rsidRDefault="006C068A" w:rsidP="00863F8B">
      <w:pPr>
        <w:spacing w:line="360" w:lineRule="auto"/>
        <w:rPr>
          <w:rFonts w:ascii="Arial" w:hAnsi="Arial" w:cs="Arial"/>
          <w:b/>
          <w:bCs/>
          <w:sz w:val="22"/>
        </w:rPr>
      </w:pPr>
    </w:p>
    <w:p w14:paraId="7AEA7F9E" w14:textId="77777777" w:rsidR="006C068A" w:rsidRPr="00863F8B" w:rsidRDefault="006C068A" w:rsidP="00863F8B">
      <w:pPr>
        <w:spacing w:line="360" w:lineRule="auto"/>
        <w:rPr>
          <w:rFonts w:ascii="Arial" w:hAnsi="Arial" w:cs="Arial"/>
          <w:b/>
          <w:bCs/>
          <w:sz w:val="22"/>
        </w:rPr>
      </w:pPr>
    </w:p>
    <w:p w14:paraId="4BA979D5" w14:textId="77777777" w:rsidR="006C068A" w:rsidRPr="00863F8B" w:rsidRDefault="006C068A" w:rsidP="00863F8B">
      <w:pPr>
        <w:spacing w:line="360" w:lineRule="auto"/>
        <w:rPr>
          <w:rFonts w:ascii="Arial" w:hAnsi="Arial" w:cs="Arial"/>
          <w:b/>
          <w:bCs/>
          <w:sz w:val="22"/>
        </w:rPr>
      </w:pPr>
    </w:p>
    <w:p w14:paraId="6ABA0202" w14:textId="77777777" w:rsidR="006C068A" w:rsidRPr="00863F8B" w:rsidRDefault="006C068A" w:rsidP="00863F8B">
      <w:pPr>
        <w:spacing w:line="360" w:lineRule="auto"/>
        <w:rPr>
          <w:rFonts w:ascii="Arial" w:hAnsi="Arial" w:cs="Arial"/>
          <w:b/>
          <w:bCs/>
          <w:sz w:val="22"/>
        </w:rPr>
      </w:pPr>
    </w:p>
    <w:p w14:paraId="0368A5F1" w14:textId="77777777" w:rsidR="006C068A" w:rsidRPr="00863F8B" w:rsidRDefault="006C068A" w:rsidP="00863F8B">
      <w:pPr>
        <w:spacing w:line="360" w:lineRule="auto"/>
        <w:rPr>
          <w:rFonts w:ascii="Arial" w:hAnsi="Arial" w:cs="Arial"/>
          <w:b/>
          <w:bCs/>
          <w:sz w:val="22"/>
        </w:rPr>
      </w:pPr>
    </w:p>
    <w:p w14:paraId="4548D286" w14:textId="77777777" w:rsidR="006C068A" w:rsidRPr="00863F8B" w:rsidRDefault="006C068A" w:rsidP="00863F8B">
      <w:pPr>
        <w:spacing w:line="360" w:lineRule="auto"/>
        <w:rPr>
          <w:rFonts w:ascii="Arial" w:hAnsi="Arial" w:cs="Arial"/>
          <w:b/>
          <w:bCs/>
          <w:sz w:val="22"/>
        </w:rPr>
      </w:pPr>
    </w:p>
    <w:p w14:paraId="322346A9" w14:textId="77777777" w:rsidR="006C068A" w:rsidRPr="00863F8B" w:rsidRDefault="006C068A" w:rsidP="00863F8B">
      <w:pPr>
        <w:spacing w:line="360" w:lineRule="auto"/>
        <w:rPr>
          <w:rFonts w:ascii="Arial" w:hAnsi="Arial" w:cs="Arial"/>
          <w:b/>
          <w:bCs/>
          <w:sz w:val="22"/>
        </w:rPr>
      </w:pPr>
    </w:p>
    <w:p w14:paraId="42AC395E" w14:textId="77777777" w:rsidR="006C068A" w:rsidRPr="00863F8B" w:rsidRDefault="006C068A" w:rsidP="00863F8B">
      <w:pPr>
        <w:spacing w:line="360" w:lineRule="auto"/>
        <w:rPr>
          <w:rFonts w:ascii="Arial" w:hAnsi="Arial" w:cs="Arial"/>
          <w:b/>
          <w:bCs/>
          <w:sz w:val="22"/>
        </w:rPr>
      </w:pPr>
    </w:p>
    <w:p w14:paraId="7BABF998" w14:textId="77777777" w:rsidR="006C068A" w:rsidRPr="00863F8B" w:rsidRDefault="006C068A" w:rsidP="00863F8B">
      <w:pPr>
        <w:spacing w:line="360" w:lineRule="auto"/>
        <w:rPr>
          <w:rFonts w:ascii="Arial" w:hAnsi="Arial" w:cs="Arial"/>
          <w:b/>
          <w:bCs/>
          <w:sz w:val="22"/>
        </w:rPr>
      </w:pPr>
    </w:p>
    <w:p w14:paraId="2A685920" w14:textId="77777777" w:rsidR="00863F8B" w:rsidRDefault="00863F8B" w:rsidP="00863F8B">
      <w:pPr>
        <w:spacing w:line="360" w:lineRule="auto"/>
        <w:rPr>
          <w:rFonts w:ascii="Arial" w:hAnsi="Arial" w:cs="Arial"/>
          <w:b/>
          <w:bCs/>
          <w:sz w:val="22"/>
        </w:rPr>
      </w:pPr>
    </w:p>
    <w:p w14:paraId="73A7AA9D" w14:textId="071421FB" w:rsidR="005D4E8D" w:rsidRPr="00863F8B" w:rsidRDefault="005D4E8D" w:rsidP="00863F8B">
      <w:pPr>
        <w:spacing w:line="360" w:lineRule="auto"/>
        <w:rPr>
          <w:rFonts w:ascii="Arial" w:hAnsi="Arial" w:cs="Arial"/>
          <w:sz w:val="22"/>
        </w:rPr>
      </w:pPr>
      <w:r w:rsidRPr="00863F8B">
        <w:rPr>
          <w:rFonts w:ascii="Arial" w:hAnsi="Arial" w:cs="Arial"/>
          <w:b/>
          <w:bCs/>
          <w:sz w:val="22"/>
        </w:rPr>
        <w:lastRenderedPageBreak/>
        <w:t>References</w:t>
      </w:r>
      <w:r w:rsidRPr="00863F8B">
        <w:rPr>
          <w:rFonts w:ascii="Arial" w:hAnsi="Arial" w:cs="Arial"/>
          <w:sz w:val="22"/>
        </w:rPr>
        <w:t xml:space="preserve"> </w:t>
      </w:r>
    </w:p>
    <w:p w14:paraId="56BC7F44" w14:textId="77777777" w:rsidR="00542CF1" w:rsidRPr="00863F8B" w:rsidRDefault="00542CF1" w:rsidP="00863F8B">
      <w:pPr>
        <w:spacing w:line="360" w:lineRule="auto"/>
        <w:rPr>
          <w:rFonts w:ascii="Arial" w:hAnsi="Arial" w:cs="Arial"/>
          <w:sz w:val="22"/>
        </w:rPr>
      </w:pPr>
    </w:p>
    <w:p w14:paraId="4F6F2EF6" w14:textId="2ED4C7CE" w:rsidR="00580331" w:rsidRPr="00863F8B" w:rsidRDefault="00542CF1" w:rsidP="00863F8B">
      <w:pPr>
        <w:spacing w:line="360" w:lineRule="auto"/>
        <w:rPr>
          <w:rFonts w:ascii="Arial" w:hAnsi="Arial" w:cs="Arial"/>
          <w:sz w:val="22"/>
        </w:rPr>
      </w:pPr>
      <w:r w:rsidRPr="00863F8B">
        <w:rPr>
          <w:rFonts w:ascii="Arial" w:hAnsi="Arial" w:cs="Arial"/>
          <w:sz w:val="22"/>
        </w:rPr>
        <w:t xml:space="preserve">Kinman, G., Teoh, K. And Harriss, A. (2020) ‘Supporting the wellbeing of healthcare workers’, </w:t>
      </w:r>
      <w:r w:rsidRPr="00863F8B">
        <w:rPr>
          <w:rFonts w:ascii="Arial" w:hAnsi="Arial" w:cs="Arial"/>
          <w:i/>
          <w:iCs/>
          <w:sz w:val="22"/>
        </w:rPr>
        <w:t>International Journal of Environmental Research and Public Health</w:t>
      </w:r>
      <w:r w:rsidRPr="00863F8B">
        <w:rPr>
          <w:rFonts w:ascii="Arial" w:hAnsi="Arial" w:cs="Arial"/>
          <w:sz w:val="22"/>
        </w:rPr>
        <w:t xml:space="preserve">, 17(3), p. 702. Available at: </w:t>
      </w:r>
      <w:hyperlink r:id="rId9" w:history="1">
        <w:r w:rsidRPr="00863F8B">
          <w:rPr>
            <w:rStyle w:val="Hyperlink"/>
            <w:rFonts w:ascii="Arial" w:hAnsi="Arial" w:cs="Arial"/>
            <w:sz w:val="22"/>
          </w:rPr>
          <w:t>https://www.mdpi.com/1660-4601/17/3/702</w:t>
        </w:r>
      </w:hyperlink>
      <w:r w:rsidRPr="00863F8B">
        <w:rPr>
          <w:rFonts w:ascii="Arial" w:hAnsi="Arial" w:cs="Arial"/>
          <w:sz w:val="22"/>
        </w:rPr>
        <w:t xml:space="preserve"> (Accessed: 22 April 2026).</w:t>
      </w:r>
    </w:p>
    <w:p w14:paraId="4A17CF41" w14:textId="77777777" w:rsidR="006C068A" w:rsidRPr="00863F8B" w:rsidRDefault="006C068A" w:rsidP="00863F8B">
      <w:pPr>
        <w:spacing w:line="360" w:lineRule="auto"/>
        <w:rPr>
          <w:rFonts w:ascii="Arial" w:hAnsi="Arial" w:cs="Arial"/>
          <w:sz w:val="22"/>
        </w:rPr>
      </w:pPr>
    </w:p>
    <w:p w14:paraId="02493EC0" w14:textId="77777777" w:rsidR="005D4E8D" w:rsidRPr="00863F8B" w:rsidRDefault="005D4E8D" w:rsidP="00863F8B">
      <w:pPr>
        <w:spacing w:line="360" w:lineRule="auto"/>
        <w:rPr>
          <w:rFonts w:ascii="Arial" w:hAnsi="Arial" w:cs="Arial"/>
          <w:sz w:val="22"/>
        </w:rPr>
      </w:pPr>
      <w:r w:rsidRPr="00863F8B">
        <w:rPr>
          <w:rFonts w:ascii="Arial" w:hAnsi="Arial" w:cs="Arial"/>
          <w:sz w:val="22"/>
        </w:rPr>
        <w:t xml:space="preserve">Morrissey, J. And Callaghan, P. (2011) </w:t>
      </w:r>
      <w:r w:rsidRPr="00863F8B">
        <w:rPr>
          <w:rFonts w:ascii="Arial" w:hAnsi="Arial" w:cs="Arial"/>
          <w:i/>
          <w:iCs/>
          <w:sz w:val="22"/>
        </w:rPr>
        <w:t>Communication Skills for Mental Health Nurses.</w:t>
      </w:r>
      <w:r w:rsidRPr="00863F8B">
        <w:rPr>
          <w:rFonts w:ascii="Arial" w:hAnsi="Arial" w:cs="Arial"/>
          <w:sz w:val="22"/>
        </w:rPr>
        <w:t xml:space="preserve"> Maidenhead: Open University Press.</w:t>
      </w:r>
    </w:p>
    <w:p w14:paraId="6016725F" w14:textId="77777777" w:rsidR="00502D59" w:rsidRPr="00863F8B" w:rsidRDefault="00502D59" w:rsidP="00863F8B">
      <w:pPr>
        <w:spacing w:line="360" w:lineRule="auto"/>
        <w:rPr>
          <w:rFonts w:ascii="Arial" w:hAnsi="Arial" w:cs="Arial"/>
          <w:sz w:val="22"/>
        </w:rPr>
      </w:pPr>
    </w:p>
    <w:p w14:paraId="02288CA0" w14:textId="77777777" w:rsidR="00502D59" w:rsidRPr="00863F8B" w:rsidRDefault="00502D59" w:rsidP="00863F8B">
      <w:pPr>
        <w:spacing w:line="360" w:lineRule="auto"/>
        <w:rPr>
          <w:rFonts w:ascii="Arial" w:hAnsi="Arial" w:cs="Arial"/>
          <w:sz w:val="22"/>
        </w:rPr>
      </w:pPr>
      <w:r w:rsidRPr="00863F8B">
        <w:rPr>
          <w:rFonts w:ascii="Arial" w:hAnsi="Arial" w:cs="Arial"/>
          <w:sz w:val="22"/>
        </w:rPr>
        <w:t xml:space="preserve">Nursing and Midwifery Council (2018) </w:t>
      </w:r>
      <w:r w:rsidRPr="00863F8B">
        <w:rPr>
          <w:rFonts w:ascii="Arial" w:hAnsi="Arial" w:cs="Arial"/>
          <w:i/>
          <w:iCs/>
          <w:sz w:val="22"/>
        </w:rPr>
        <w:t>The Code: Professional standards of practice and behaviour for nurses, midwives and nursing associates</w:t>
      </w:r>
      <w:r w:rsidRPr="00863F8B">
        <w:rPr>
          <w:rFonts w:ascii="Arial" w:hAnsi="Arial" w:cs="Arial"/>
          <w:sz w:val="22"/>
        </w:rPr>
        <w:t xml:space="preserve">. Available at: </w:t>
      </w:r>
      <w:hyperlink r:id="rId10" w:history="1">
        <w:r w:rsidRPr="00863F8B">
          <w:rPr>
            <w:rStyle w:val="Hyperlink"/>
            <w:rFonts w:ascii="Arial" w:hAnsi="Arial" w:cs="Arial"/>
            <w:sz w:val="22"/>
          </w:rPr>
          <w:t>https://www.nmc.org.uk/standards/code/</w:t>
        </w:r>
      </w:hyperlink>
      <w:r w:rsidRPr="00863F8B">
        <w:rPr>
          <w:rFonts w:ascii="Arial" w:hAnsi="Arial" w:cs="Arial"/>
          <w:sz w:val="22"/>
        </w:rPr>
        <w:t xml:space="preserve"> (Accessed: 22 April 2026).</w:t>
      </w:r>
    </w:p>
    <w:p w14:paraId="0B8332E4" w14:textId="77777777" w:rsidR="006C068A" w:rsidRPr="00863F8B" w:rsidRDefault="006C068A" w:rsidP="00863F8B">
      <w:pPr>
        <w:spacing w:line="360" w:lineRule="auto"/>
        <w:rPr>
          <w:rFonts w:ascii="Arial" w:hAnsi="Arial" w:cs="Arial"/>
          <w:sz w:val="22"/>
        </w:rPr>
      </w:pPr>
    </w:p>
    <w:p w14:paraId="26948C44" w14:textId="0D181E74" w:rsidR="006C068A" w:rsidRPr="00863F8B" w:rsidRDefault="006C068A" w:rsidP="00863F8B">
      <w:pPr>
        <w:spacing w:line="360" w:lineRule="auto"/>
        <w:rPr>
          <w:rFonts w:ascii="Arial" w:hAnsi="Arial" w:cs="Arial"/>
          <w:sz w:val="22"/>
        </w:rPr>
      </w:pPr>
      <w:r w:rsidRPr="00863F8B">
        <w:rPr>
          <w:rFonts w:ascii="Arial" w:hAnsi="Arial" w:cs="Arial"/>
          <w:sz w:val="22"/>
        </w:rPr>
        <w:t xml:space="preserve">Peplau, H.E. (1997) ‘Peplau’s theory of interpersonal relations’, </w:t>
      </w:r>
      <w:r w:rsidRPr="00863F8B">
        <w:rPr>
          <w:rFonts w:ascii="Arial" w:hAnsi="Arial" w:cs="Arial"/>
          <w:i/>
          <w:iCs/>
          <w:sz w:val="22"/>
        </w:rPr>
        <w:t>Nursing Science Quarterly,</w:t>
      </w:r>
      <w:r w:rsidRPr="00863F8B">
        <w:rPr>
          <w:rFonts w:ascii="Arial" w:hAnsi="Arial" w:cs="Arial"/>
          <w:sz w:val="22"/>
        </w:rPr>
        <w:t xml:space="preserve"> 10(4), pp. 162–167. Available at: </w:t>
      </w:r>
      <w:hyperlink r:id="rId11" w:history="1">
        <w:r w:rsidRPr="00863F8B">
          <w:rPr>
            <w:rStyle w:val="Hyperlink"/>
            <w:rFonts w:ascii="Arial" w:hAnsi="Arial" w:cs="Arial"/>
            <w:sz w:val="22"/>
          </w:rPr>
          <w:t>https://journals.sagepub.com/doi/10.1177/089431849701000407</w:t>
        </w:r>
      </w:hyperlink>
      <w:r w:rsidRPr="00863F8B">
        <w:rPr>
          <w:rFonts w:ascii="Arial" w:hAnsi="Arial" w:cs="Arial"/>
          <w:sz w:val="22"/>
        </w:rPr>
        <w:t xml:space="preserve"> (Accessed: 22 April 2026).</w:t>
      </w:r>
    </w:p>
    <w:p w14:paraId="7CA4F64B" w14:textId="77777777" w:rsidR="005D4E8D" w:rsidRPr="00863F8B" w:rsidRDefault="005D4E8D" w:rsidP="00863F8B">
      <w:pPr>
        <w:spacing w:line="360" w:lineRule="auto"/>
        <w:rPr>
          <w:rFonts w:ascii="Arial" w:hAnsi="Arial" w:cs="Arial"/>
          <w:sz w:val="22"/>
        </w:rPr>
      </w:pPr>
    </w:p>
    <w:p w14:paraId="146EA97E" w14:textId="5526D58A" w:rsidR="005D4E8D" w:rsidRPr="00863F8B" w:rsidRDefault="005D4E8D" w:rsidP="00863F8B">
      <w:pPr>
        <w:spacing w:line="360" w:lineRule="auto"/>
        <w:rPr>
          <w:rFonts w:ascii="Arial" w:hAnsi="Arial" w:cs="Arial"/>
          <w:sz w:val="22"/>
        </w:rPr>
      </w:pPr>
      <w:r w:rsidRPr="00863F8B">
        <w:rPr>
          <w:rFonts w:ascii="Arial" w:hAnsi="Arial" w:cs="Arial"/>
          <w:sz w:val="22"/>
        </w:rPr>
        <w:t xml:space="preserve">Price, O. And Baker, J. (2012) ‘Key components of de-escalation techniques’, </w:t>
      </w:r>
      <w:r w:rsidRPr="00863F8B">
        <w:rPr>
          <w:rFonts w:ascii="Arial" w:hAnsi="Arial" w:cs="Arial"/>
          <w:i/>
          <w:iCs/>
          <w:sz w:val="22"/>
        </w:rPr>
        <w:t>International Journal of Mental Health Nursing</w:t>
      </w:r>
      <w:r w:rsidRPr="00863F8B">
        <w:rPr>
          <w:rFonts w:ascii="Arial" w:hAnsi="Arial" w:cs="Arial"/>
          <w:sz w:val="22"/>
        </w:rPr>
        <w:t xml:space="preserve">, 21(4), pp. 310–319. Available at: </w:t>
      </w:r>
      <w:hyperlink r:id="rId12" w:history="1">
        <w:r w:rsidR="00EC5618" w:rsidRPr="00863F8B">
          <w:rPr>
            <w:rStyle w:val="Hyperlink"/>
            <w:rFonts w:ascii="Arial" w:hAnsi="Arial" w:cs="Arial"/>
            <w:sz w:val="22"/>
          </w:rPr>
          <w:t>https://onlinelibrary.wiley.com/doi/10.1111/j.1447-0349.2011.00765.x</w:t>
        </w:r>
      </w:hyperlink>
      <w:r w:rsidR="00EC5618" w:rsidRPr="00863F8B">
        <w:rPr>
          <w:rFonts w:ascii="Arial" w:hAnsi="Arial" w:cs="Arial"/>
          <w:sz w:val="22"/>
        </w:rPr>
        <w:t xml:space="preserve"> </w:t>
      </w:r>
      <w:r w:rsidRPr="00863F8B">
        <w:rPr>
          <w:rFonts w:ascii="Arial" w:hAnsi="Arial" w:cs="Arial"/>
          <w:sz w:val="22"/>
        </w:rPr>
        <w:t>(Accessed: 22 April 2026).</w:t>
      </w:r>
    </w:p>
    <w:p w14:paraId="62ACA42E" w14:textId="77777777" w:rsidR="006C068A" w:rsidRPr="00863F8B" w:rsidRDefault="006C068A" w:rsidP="00863F8B">
      <w:pPr>
        <w:spacing w:line="360" w:lineRule="auto"/>
        <w:rPr>
          <w:rFonts w:ascii="Arial" w:hAnsi="Arial" w:cs="Arial"/>
          <w:sz w:val="22"/>
        </w:rPr>
      </w:pPr>
    </w:p>
    <w:p w14:paraId="7468FDC5" w14:textId="09C0DABD" w:rsidR="005D4E8D" w:rsidRPr="00863F8B" w:rsidRDefault="005D4E8D" w:rsidP="00863F8B">
      <w:pPr>
        <w:spacing w:line="360" w:lineRule="auto"/>
        <w:rPr>
          <w:rFonts w:ascii="Arial" w:hAnsi="Arial" w:cs="Arial"/>
          <w:sz w:val="22"/>
        </w:rPr>
      </w:pPr>
      <w:r w:rsidRPr="00863F8B">
        <w:rPr>
          <w:rFonts w:ascii="Arial" w:hAnsi="Arial" w:cs="Arial"/>
          <w:sz w:val="22"/>
        </w:rPr>
        <w:t xml:space="preserve">Royal College of Nursing (2020) </w:t>
      </w:r>
      <w:r w:rsidRPr="00863F8B">
        <w:rPr>
          <w:rFonts w:ascii="Arial" w:hAnsi="Arial" w:cs="Arial"/>
          <w:i/>
          <w:iCs/>
          <w:sz w:val="22"/>
        </w:rPr>
        <w:t>Reducing restrictive practices in health and social care.</w:t>
      </w:r>
      <w:r w:rsidRPr="00863F8B">
        <w:rPr>
          <w:rFonts w:ascii="Arial" w:hAnsi="Arial" w:cs="Arial"/>
          <w:sz w:val="22"/>
        </w:rPr>
        <w:t xml:space="preserve"> Available at: </w:t>
      </w:r>
      <w:hyperlink r:id="rId13" w:history="1">
        <w:r w:rsidR="00EC5618" w:rsidRPr="00863F8B">
          <w:rPr>
            <w:rStyle w:val="Hyperlink"/>
            <w:rFonts w:ascii="Arial" w:hAnsi="Arial" w:cs="Arial"/>
            <w:sz w:val="22"/>
          </w:rPr>
          <w:t>https://www.rcn.org.uk/professional-development/publications/pub-009002</w:t>
        </w:r>
      </w:hyperlink>
      <w:r w:rsidR="00EC5618" w:rsidRPr="00863F8B">
        <w:rPr>
          <w:rFonts w:ascii="Arial" w:hAnsi="Arial" w:cs="Arial"/>
          <w:sz w:val="22"/>
        </w:rPr>
        <w:t xml:space="preserve"> </w:t>
      </w:r>
      <w:r w:rsidRPr="00863F8B">
        <w:rPr>
          <w:rFonts w:ascii="Arial" w:hAnsi="Arial" w:cs="Arial"/>
          <w:sz w:val="22"/>
        </w:rPr>
        <w:t>(Accessed: 22 April 2026).</w:t>
      </w:r>
    </w:p>
    <w:p w14:paraId="2B092E14" w14:textId="77777777" w:rsidR="00C243E8" w:rsidRPr="00863F8B" w:rsidRDefault="00C243E8" w:rsidP="00863F8B">
      <w:pPr>
        <w:pStyle w:val="Heading2"/>
        <w:spacing w:line="360" w:lineRule="auto"/>
        <w:rPr>
          <w:rFonts w:ascii="Arial" w:hAnsi="Arial" w:cs="Arial"/>
          <w:color w:val="auto"/>
          <w:sz w:val="22"/>
          <w:szCs w:val="22"/>
        </w:rPr>
      </w:pPr>
    </w:p>
    <w:sectPr w:rsidR="00C243E8" w:rsidRPr="00863F8B"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FB0D6" w14:textId="77777777" w:rsidR="0013232A" w:rsidRDefault="0013232A" w:rsidP="003C7C97">
      <w:pPr>
        <w:spacing w:after="0" w:line="240" w:lineRule="auto"/>
      </w:pPr>
      <w:r>
        <w:separator/>
      </w:r>
    </w:p>
  </w:endnote>
  <w:endnote w:type="continuationSeparator" w:id="0">
    <w:p w14:paraId="560A1224" w14:textId="77777777" w:rsidR="0013232A" w:rsidRDefault="0013232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5BD93" w14:textId="77777777" w:rsidR="0013232A" w:rsidRDefault="0013232A" w:rsidP="003C7C97">
      <w:pPr>
        <w:spacing w:after="0" w:line="240" w:lineRule="auto"/>
      </w:pPr>
      <w:r>
        <w:separator/>
      </w:r>
    </w:p>
  </w:footnote>
  <w:footnote w:type="continuationSeparator" w:id="0">
    <w:p w14:paraId="2A0585A4" w14:textId="77777777" w:rsidR="0013232A" w:rsidRDefault="0013232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6B82E50"/>
    <w:lvl w:ilvl="0" w:tplc="09D23946">
      <w:start w:val="1"/>
      <w:numFmt w:val="bullet"/>
      <w:lvlText w:val=""/>
      <w:lvlJc w:val="left"/>
      <w:pPr>
        <w:ind w:left="720" w:hanging="360"/>
      </w:pPr>
      <w:rPr>
        <w:rFonts w:ascii="Symbol" w:hAnsi="Symbol" w:hint="default"/>
      </w:rPr>
    </w:lvl>
    <w:lvl w:ilvl="1" w:tplc="B5A65224">
      <w:start w:val="1"/>
      <w:numFmt w:val="bullet"/>
      <w:lvlText w:val="o"/>
      <w:lvlJc w:val="left"/>
      <w:pPr>
        <w:ind w:left="1440" w:hanging="360"/>
      </w:pPr>
      <w:rPr>
        <w:rFonts w:ascii="Courier New" w:hAnsi="Courier New" w:hint="default"/>
      </w:rPr>
    </w:lvl>
    <w:lvl w:ilvl="2" w:tplc="AC4C6C22">
      <w:start w:val="1"/>
      <w:numFmt w:val="bullet"/>
      <w:lvlText w:val=""/>
      <w:lvlJc w:val="left"/>
      <w:pPr>
        <w:ind w:left="2160" w:hanging="360"/>
      </w:pPr>
      <w:rPr>
        <w:rFonts w:ascii="Wingdings" w:hAnsi="Wingdings" w:hint="default"/>
      </w:rPr>
    </w:lvl>
    <w:lvl w:ilvl="3" w:tplc="DBA4AB3E">
      <w:start w:val="1"/>
      <w:numFmt w:val="bullet"/>
      <w:lvlText w:val=""/>
      <w:lvlJc w:val="left"/>
      <w:pPr>
        <w:ind w:left="2880" w:hanging="360"/>
      </w:pPr>
      <w:rPr>
        <w:rFonts w:ascii="Symbol" w:hAnsi="Symbol" w:hint="default"/>
      </w:rPr>
    </w:lvl>
    <w:lvl w:ilvl="4" w:tplc="F306D018">
      <w:start w:val="1"/>
      <w:numFmt w:val="bullet"/>
      <w:lvlText w:val="o"/>
      <w:lvlJc w:val="left"/>
      <w:pPr>
        <w:ind w:left="3600" w:hanging="360"/>
      </w:pPr>
      <w:rPr>
        <w:rFonts w:ascii="Courier New" w:hAnsi="Courier New" w:hint="default"/>
      </w:rPr>
    </w:lvl>
    <w:lvl w:ilvl="5" w:tplc="DE8C3334">
      <w:start w:val="1"/>
      <w:numFmt w:val="bullet"/>
      <w:lvlText w:val=""/>
      <w:lvlJc w:val="left"/>
      <w:pPr>
        <w:ind w:left="4320" w:hanging="360"/>
      </w:pPr>
      <w:rPr>
        <w:rFonts w:ascii="Wingdings" w:hAnsi="Wingdings" w:hint="default"/>
      </w:rPr>
    </w:lvl>
    <w:lvl w:ilvl="6" w:tplc="9A6EF08A">
      <w:start w:val="1"/>
      <w:numFmt w:val="bullet"/>
      <w:lvlText w:val=""/>
      <w:lvlJc w:val="left"/>
      <w:pPr>
        <w:ind w:left="5040" w:hanging="360"/>
      </w:pPr>
      <w:rPr>
        <w:rFonts w:ascii="Symbol" w:hAnsi="Symbol" w:hint="default"/>
      </w:rPr>
    </w:lvl>
    <w:lvl w:ilvl="7" w:tplc="6448ADEE">
      <w:start w:val="1"/>
      <w:numFmt w:val="bullet"/>
      <w:lvlText w:val="o"/>
      <w:lvlJc w:val="left"/>
      <w:pPr>
        <w:ind w:left="5760" w:hanging="360"/>
      </w:pPr>
      <w:rPr>
        <w:rFonts w:ascii="Courier New" w:hAnsi="Courier New" w:hint="default"/>
      </w:rPr>
    </w:lvl>
    <w:lvl w:ilvl="8" w:tplc="1D22E2D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8709BAA"/>
    <w:lvl w:ilvl="0" w:tplc="4EBCDFDC">
      <w:start w:val="1"/>
      <w:numFmt w:val="bullet"/>
      <w:lvlText w:val=""/>
      <w:lvlJc w:val="left"/>
      <w:pPr>
        <w:ind w:left="720" w:hanging="360"/>
      </w:pPr>
      <w:rPr>
        <w:rFonts w:ascii="Symbol" w:hAnsi="Symbol" w:hint="default"/>
      </w:rPr>
    </w:lvl>
    <w:lvl w:ilvl="1" w:tplc="A5EE4326">
      <w:start w:val="1"/>
      <w:numFmt w:val="bullet"/>
      <w:lvlText w:val="o"/>
      <w:lvlJc w:val="left"/>
      <w:pPr>
        <w:ind w:left="1440" w:hanging="360"/>
      </w:pPr>
      <w:rPr>
        <w:rFonts w:ascii="Courier New" w:hAnsi="Courier New" w:hint="default"/>
      </w:rPr>
    </w:lvl>
    <w:lvl w:ilvl="2" w:tplc="5CC6835A">
      <w:start w:val="1"/>
      <w:numFmt w:val="bullet"/>
      <w:lvlText w:val=""/>
      <w:lvlJc w:val="left"/>
      <w:pPr>
        <w:ind w:left="2160" w:hanging="360"/>
      </w:pPr>
      <w:rPr>
        <w:rFonts w:ascii="Wingdings" w:hAnsi="Wingdings" w:hint="default"/>
      </w:rPr>
    </w:lvl>
    <w:lvl w:ilvl="3" w:tplc="74A07926">
      <w:start w:val="1"/>
      <w:numFmt w:val="bullet"/>
      <w:lvlText w:val=""/>
      <w:lvlJc w:val="left"/>
      <w:pPr>
        <w:ind w:left="2880" w:hanging="360"/>
      </w:pPr>
      <w:rPr>
        <w:rFonts w:ascii="Symbol" w:hAnsi="Symbol" w:hint="default"/>
      </w:rPr>
    </w:lvl>
    <w:lvl w:ilvl="4" w:tplc="3CDE8BD0">
      <w:start w:val="1"/>
      <w:numFmt w:val="bullet"/>
      <w:lvlText w:val="o"/>
      <w:lvlJc w:val="left"/>
      <w:pPr>
        <w:ind w:left="3600" w:hanging="360"/>
      </w:pPr>
      <w:rPr>
        <w:rFonts w:ascii="Courier New" w:hAnsi="Courier New" w:hint="default"/>
      </w:rPr>
    </w:lvl>
    <w:lvl w:ilvl="5" w:tplc="1CCADE14">
      <w:start w:val="1"/>
      <w:numFmt w:val="bullet"/>
      <w:lvlText w:val=""/>
      <w:lvlJc w:val="left"/>
      <w:pPr>
        <w:ind w:left="4320" w:hanging="360"/>
      </w:pPr>
      <w:rPr>
        <w:rFonts w:ascii="Wingdings" w:hAnsi="Wingdings" w:hint="default"/>
      </w:rPr>
    </w:lvl>
    <w:lvl w:ilvl="6" w:tplc="2810546A">
      <w:start w:val="1"/>
      <w:numFmt w:val="bullet"/>
      <w:lvlText w:val=""/>
      <w:lvlJc w:val="left"/>
      <w:pPr>
        <w:ind w:left="5040" w:hanging="360"/>
      </w:pPr>
      <w:rPr>
        <w:rFonts w:ascii="Symbol" w:hAnsi="Symbol" w:hint="default"/>
      </w:rPr>
    </w:lvl>
    <w:lvl w:ilvl="7" w:tplc="ED429850">
      <w:start w:val="1"/>
      <w:numFmt w:val="bullet"/>
      <w:lvlText w:val="o"/>
      <w:lvlJc w:val="left"/>
      <w:pPr>
        <w:ind w:left="5760" w:hanging="360"/>
      </w:pPr>
      <w:rPr>
        <w:rFonts w:ascii="Courier New" w:hAnsi="Courier New" w:hint="default"/>
      </w:rPr>
    </w:lvl>
    <w:lvl w:ilvl="8" w:tplc="B8B487B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5DA97D8"/>
    <w:lvl w:ilvl="0" w:tplc="E286DAE6">
      <w:start w:val="1"/>
      <w:numFmt w:val="bullet"/>
      <w:lvlText w:val=""/>
      <w:lvlJc w:val="left"/>
      <w:pPr>
        <w:ind w:left="720" w:hanging="360"/>
      </w:pPr>
      <w:rPr>
        <w:rFonts w:ascii="Symbol" w:hAnsi="Symbol" w:hint="default"/>
      </w:rPr>
    </w:lvl>
    <w:lvl w:ilvl="1" w:tplc="42483944">
      <w:start w:val="1"/>
      <w:numFmt w:val="bullet"/>
      <w:lvlText w:val="o"/>
      <w:lvlJc w:val="left"/>
      <w:pPr>
        <w:ind w:left="1440" w:hanging="360"/>
      </w:pPr>
      <w:rPr>
        <w:rFonts w:ascii="Courier New" w:hAnsi="Courier New" w:hint="default"/>
      </w:rPr>
    </w:lvl>
    <w:lvl w:ilvl="2" w:tplc="40B23FF8">
      <w:start w:val="1"/>
      <w:numFmt w:val="bullet"/>
      <w:lvlText w:val=""/>
      <w:lvlJc w:val="left"/>
      <w:pPr>
        <w:ind w:left="2160" w:hanging="360"/>
      </w:pPr>
      <w:rPr>
        <w:rFonts w:ascii="Wingdings" w:hAnsi="Wingdings" w:hint="default"/>
      </w:rPr>
    </w:lvl>
    <w:lvl w:ilvl="3" w:tplc="9DCAE88A">
      <w:start w:val="1"/>
      <w:numFmt w:val="bullet"/>
      <w:lvlText w:val=""/>
      <w:lvlJc w:val="left"/>
      <w:pPr>
        <w:ind w:left="2880" w:hanging="360"/>
      </w:pPr>
      <w:rPr>
        <w:rFonts w:ascii="Symbol" w:hAnsi="Symbol" w:hint="default"/>
      </w:rPr>
    </w:lvl>
    <w:lvl w:ilvl="4" w:tplc="B9CC3EE6">
      <w:start w:val="1"/>
      <w:numFmt w:val="bullet"/>
      <w:lvlText w:val="o"/>
      <w:lvlJc w:val="left"/>
      <w:pPr>
        <w:ind w:left="3600" w:hanging="360"/>
      </w:pPr>
      <w:rPr>
        <w:rFonts w:ascii="Courier New" w:hAnsi="Courier New" w:hint="default"/>
      </w:rPr>
    </w:lvl>
    <w:lvl w:ilvl="5" w:tplc="7E7498AA">
      <w:start w:val="1"/>
      <w:numFmt w:val="bullet"/>
      <w:lvlText w:val=""/>
      <w:lvlJc w:val="left"/>
      <w:pPr>
        <w:ind w:left="4320" w:hanging="360"/>
      </w:pPr>
      <w:rPr>
        <w:rFonts w:ascii="Wingdings" w:hAnsi="Wingdings" w:hint="default"/>
      </w:rPr>
    </w:lvl>
    <w:lvl w:ilvl="6" w:tplc="4752A8AA">
      <w:start w:val="1"/>
      <w:numFmt w:val="bullet"/>
      <w:lvlText w:val=""/>
      <w:lvlJc w:val="left"/>
      <w:pPr>
        <w:ind w:left="5040" w:hanging="360"/>
      </w:pPr>
      <w:rPr>
        <w:rFonts w:ascii="Symbol" w:hAnsi="Symbol" w:hint="default"/>
      </w:rPr>
    </w:lvl>
    <w:lvl w:ilvl="7" w:tplc="0018EAE6">
      <w:start w:val="1"/>
      <w:numFmt w:val="bullet"/>
      <w:lvlText w:val="o"/>
      <w:lvlJc w:val="left"/>
      <w:pPr>
        <w:ind w:left="5760" w:hanging="360"/>
      </w:pPr>
      <w:rPr>
        <w:rFonts w:ascii="Courier New" w:hAnsi="Courier New" w:hint="default"/>
      </w:rPr>
    </w:lvl>
    <w:lvl w:ilvl="8" w:tplc="26D4125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824038F2"/>
    <w:lvl w:ilvl="0" w:tplc="F9469A8E">
      <w:start w:val="1"/>
      <w:numFmt w:val="bullet"/>
      <w:lvlText w:val=""/>
      <w:lvlJc w:val="left"/>
      <w:pPr>
        <w:ind w:left="720" w:hanging="360"/>
      </w:pPr>
      <w:rPr>
        <w:rFonts w:ascii="Symbol" w:hAnsi="Symbol" w:hint="default"/>
      </w:rPr>
    </w:lvl>
    <w:lvl w:ilvl="1" w:tplc="DCB81F20">
      <w:start w:val="1"/>
      <w:numFmt w:val="bullet"/>
      <w:lvlText w:val="o"/>
      <w:lvlJc w:val="left"/>
      <w:pPr>
        <w:ind w:left="1440" w:hanging="360"/>
      </w:pPr>
      <w:rPr>
        <w:rFonts w:ascii="Courier New" w:hAnsi="Courier New" w:hint="default"/>
      </w:rPr>
    </w:lvl>
    <w:lvl w:ilvl="2" w:tplc="56A6944C">
      <w:start w:val="1"/>
      <w:numFmt w:val="bullet"/>
      <w:lvlText w:val=""/>
      <w:lvlJc w:val="left"/>
      <w:pPr>
        <w:ind w:left="2160" w:hanging="360"/>
      </w:pPr>
      <w:rPr>
        <w:rFonts w:ascii="Wingdings" w:hAnsi="Wingdings" w:hint="default"/>
      </w:rPr>
    </w:lvl>
    <w:lvl w:ilvl="3" w:tplc="BD029790">
      <w:start w:val="1"/>
      <w:numFmt w:val="bullet"/>
      <w:lvlText w:val=""/>
      <w:lvlJc w:val="left"/>
      <w:pPr>
        <w:ind w:left="2880" w:hanging="360"/>
      </w:pPr>
      <w:rPr>
        <w:rFonts w:ascii="Symbol" w:hAnsi="Symbol" w:hint="default"/>
      </w:rPr>
    </w:lvl>
    <w:lvl w:ilvl="4" w:tplc="DED2D86A">
      <w:start w:val="1"/>
      <w:numFmt w:val="bullet"/>
      <w:lvlText w:val="o"/>
      <w:lvlJc w:val="left"/>
      <w:pPr>
        <w:ind w:left="3600" w:hanging="360"/>
      </w:pPr>
      <w:rPr>
        <w:rFonts w:ascii="Courier New" w:hAnsi="Courier New" w:hint="default"/>
      </w:rPr>
    </w:lvl>
    <w:lvl w:ilvl="5" w:tplc="DF905CAC">
      <w:start w:val="1"/>
      <w:numFmt w:val="bullet"/>
      <w:lvlText w:val=""/>
      <w:lvlJc w:val="left"/>
      <w:pPr>
        <w:ind w:left="4320" w:hanging="360"/>
      </w:pPr>
      <w:rPr>
        <w:rFonts w:ascii="Wingdings" w:hAnsi="Wingdings" w:hint="default"/>
      </w:rPr>
    </w:lvl>
    <w:lvl w:ilvl="6" w:tplc="B3E61BAC">
      <w:start w:val="1"/>
      <w:numFmt w:val="bullet"/>
      <w:lvlText w:val=""/>
      <w:lvlJc w:val="left"/>
      <w:pPr>
        <w:ind w:left="5040" w:hanging="360"/>
      </w:pPr>
      <w:rPr>
        <w:rFonts w:ascii="Symbol" w:hAnsi="Symbol" w:hint="default"/>
      </w:rPr>
    </w:lvl>
    <w:lvl w:ilvl="7" w:tplc="DAF8FEEE">
      <w:start w:val="1"/>
      <w:numFmt w:val="bullet"/>
      <w:lvlText w:val="o"/>
      <w:lvlJc w:val="left"/>
      <w:pPr>
        <w:ind w:left="5760" w:hanging="360"/>
      </w:pPr>
      <w:rPr>
        <w:rFonts w:ascii="Courier New" w:hAnsi="Courier New" w:hint="default"/>
      </w:rPr>
    </w:lvl>
    <w:lvl w:ilvl="8" w:tplc="BAC6ADA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85E6BEA"/>
    <w:lvl w:ilvl="0" w:tplc="5FF8139E">
      <w:start w:val="1"/>
      <w:numFmt w:val="bullet"/>
      <w:lvlText w:val=""/>
      <w:lvlJc w:val="left"/>
      <w:pPr>
        <w:ind w:left="720" w:hanging="360"/>
      </w:pPr>
      <w:rPr>
        <w:rFonts w:ascii="Symbol" w:hAnsi="Symbol" w:hint="default"/>
      </w:rPr>
    </w:lvl>
    <w:lvl w:ilvl="1" w:tplc="080CF4C2">
      <w:start w:val="1"/>
      <w:numFmt w:val="bullet"/>
      <w:lvlText w:val="o"/>
      <w:lvlJc w:val="left"/>
      <w:pPr>
        <w:ind w:left="1440" w:hanging="360"/>
      </w:pPr>
      <w:rPr>
        <w:rFonts w:ascii="Courier New" w:hAnsi="Courier New" w:hint="default"/>
      </w:rPr>
    </w:lvl>
    <w:lvl w:ilvl="2" w:tplc="72105C14">
      <w:start w:val="1"/>
      <w:numFmt w:val="bullet"/>
      <w:lvlText w:val=""/>
      <w:lvlJc w:val="left"/>
      <w:pPr>
        <w:ind w:left="2160" w:hanging="360"/>
      </w:pPr>
      <w:rPr>
        <w:rFonts w:ascii="Wingdings" w:hAnsi="Wingdings" w:hint="default"/>
      </w:rPr>
    </w:lvl>
    <w:lvl w:ilvl="3" w:tplc="E02ED6AC">
      <w:start w:val="1"/>
      <w:numFmt w:val="bullet"/>
      <w:lvlText w:val=""/>
      <w:lvlJc w:val="left"/>
      <w:pPr>
        <w:ind w:left="2880" w:hanging="360"/>
      </w:pPr>
      <w:rPr>
        <w:rFonts w:ascii="Symbol" w:hAnsi="Symbol" w:hint="default"/>
      </w:rPr>
    </w:lvl>
    <w:lvl w:ilvl="4" w:tplc="1446FEA2">
      <w:start w:val="1"/>
      <w:numFmt w:val="bullet"/>
      <w:lvlText w:val="o"/>
      <w:lvlJc w:val="left"/>
      <w:pPr>
        <w:ind w:left="3600" w:hanging="360"/>
      </w:pPr>
      <w:rPr>
        <w:rFonts w:ascii="Courier New" w:hAnsi="Courier New" w:hint="default"/>
      </w:rPr>
    </w:lvl>
    <w:lvl w:ilvl="5" w:tplc="24EE0622">
      <w:start w:val="1"/>
      <w:numFmt w:val="bullet"/>
      <w:lvlText w:val=""/>
      <w:lvlJc w:val="left"/>
      <w:pPr>
        <w:ind w:left="4320" w:hanging="360"/>
      </w:pPr>
      <w:rPr>
        <w:rFonts w:ascii="Wingdings" w:hAnsi="Wingdings" w:hint="default"/>
      </w:rPr>
    </w:lvl>
    <w:lvl w:ilvl="6" w:tplc="C05E4B46">
      <w:start w:val="1"/>
      <w:numFmt w:val="bullet"/>
      <w:lvlText w:val=""/>
      <w:lvlJc w:val="left"/>
      <w:pPr>
        <w:ind w:left="5040" w:hanging="360"/>
      </w:pPr>
      <w:rPr>
        <w:rFonts w:ascii="Symbol" w:hAnsi="Symbol" w:hint="default"/>
      </w:rPr>
    </w:lvl>
    <w:lvl w:ilvl="7" w:tplc="51DE441A">
      <w:start w:val="1"/>
      <w:numFmt w:val="bullet"/>
      <w:lvlText w:val="o"/>
      <w:lvlJc w:val="left"/>
      <w:pPr>
        <w:ind w:left="5760" w:hanging="360"/>
      </w:pPr>
      <w:rPr>
        <w:rFonts w:ascii="Courier New" w:hAnsi="Courier New" w:hint="default"/>
      </w:rPr>
    </w:lvl>
    <w:lvl w:ilvl="8" w:tplc="065C54F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1AB612F"/>
    <w:multiLevelType w:val="multilevel"/>
    <w:tmpl w:val="3C5CFFA0"/>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0088BE30"/>
    <w:lvl w:ilvl="0" w:tplc="AEEC1A84">
      <w:start w:val="1"/>
      <w:numFmt w:val="bullet"/>
      <w:lvlText w:val=""/>
      <w:lvlJc w:val="left"/>
      <w:pPr>
        <w:ind w:left="720" w:hanging="360"/>
      </w:pPr>
      <w:rPr>
        <w:rFonts w:ascii="Symbol" w:hAnsi="Symbol" w:hint="default"/>
      </w:rPr>
    </w:lvl>
    <w:lvl w:ilvl="1" w:tplc="A4BA05AE">
      <w:start w:val="1"/>
      <w:numFmt w:val="bullet"/>
      <w:lvlText w:val="o"/>
      <w:lvlJc w:val="left"/>
      <w:pPr>
        <w:ind w:left="1440" w:hanging="360"/>
      </w:pPr>
      <w:rPr>
        <w:rFonts w:ascii="Courier New" w:hAnsi="Courier New" w:hint="default"/>
      </w:rPr>
    </w:lvl>
    <w:lvl w:ilvl="2" w:tplc="247E3C24">
      <w:start w:val="1"/>
      <w:numFmt w:val="bullet"/>
      <w:lvlText w:val=""/>
      <w:lvlJc w:val="left"/>
      <w:pPr>
        <w:ind w:left="2160" w:hanging="360"/>
      </w:pPr>
      <w:rPr>
        <w:rFonts w:ascii="Wingdings" w:hAnsi="Wingdings" w:hint="default"/>
      </w:rPr>
    </w:lvl>
    <w:lvl w:ilvl="3" w:tplc="7C4625A2">
      <w:start w:val="1"/>
      <w:numFmt w:val="bullet"/>
      <w:lvlText w:val=""/>
      <w:lvlJc w:val="left"/>
      <w:pPr>
        <w:ind w:left="2880" w:hanging="360"/>
      </w:pPr>
      <w:rPr>
        <w:rFonts w:ascii="Symbol" w:hAnsi="Symbol" w:hint="default"/>
      </w:rPr>
    </w:lvl>
    <w:lvl w:ilvl="4" w:tplc="1498517E">
      <w:start w:val="1"/>
      <w:numFmt w:val="bullet"/>
      <w:lvlText w:val="o"/>
      <w:lvlJc w:val="left"/>
      <w:pPr>
        <w:ind w:left="3600" w:hanging="360"/>
      </w:pPr>
      <w:rPr>
        <w:rFonts w:ascii="Courier New" w:hAnsi="Courier New" w:hint="default"/>
      </w:rPr>
    </w:lvl>
    <w:lvl w:ilvl="5" w:tplc="B2FE3E3E">
      <w:start w:val="1"/>
      <w:numFmt w:val="bullet"/>
      <w:lvlText w:val=""/>
      <w:lvlJc w:val="left"/>
      <w:pPr>
        <w:ind w:left="4320" w:hanging="360"/>
      </w:pPr>
      <w:rPr>
        <w:rFonts w:ascii="Wingdings" w:hAnsi="Wingdings" w:hint="default"/>
      </w:rPr>
    </w:lvl>
    <w:lvl w:ilvl="6" w:tplc="61986622">
      <w:start w:val="1"/>
      <w:numFmt w:val="bullet"/>
      <w:lvlText w:val=""/>
      <w:lvlJc w:val="left"/>
      <w:pPr>
        <w:ind w:left="5040" w:hanging="360"/>
      </w:pPr>
      <w:rPr>
        <w:rFonts w:ascii="Symbol" w:hAnsi="Symbol" w:hint="default"/>
      </w:rPr>
    </w:lvl>
    <w:lvl w:ilvl="7" w:tplc="96F81132">
      <w:start w:val="1"/>
      <w:numFmt w:val="bullet"/>
      <w:lvlText w:val="o"/>
      <w:lvlJc w:val="left"/>
      <w:pPr>
        <w:ind w:left="5760" w:hanging="360"/>
      </w:pPr>
      <w:rPr>
        <w:rFonts w:ascii="Courier New" w:hAnsi="Courier New" w:hint="default"/>
      </w:rPr>
    </w:lvl>
    <w:lvl w:ilvl="8" w:tplc="EBAA882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5789633">
    <w:abstractNumId w:val="11"/>
  </w:num>
  <w:num w:numId="2" w16cid:durableId="1363824069">
    <w:abstractNumId w:val="12"/>
  </w:num>
  <w:num w:numId="3" w16cid:durableId="1582182946">
    <w:abstractNumId w:val="1"/>
  </w:num>
  <w:num w:numId="4" w16cid:durableId="1645349409">
    <w:abstractNumId w:val="3"/>
  </w:num>
  <w:num w:numId="5" w16cid:durableId="222251559">
    <w:abstractNumId w:val="15"/>
  </w:num>
  <w:num w:numId="6" w16cid:durableId="356542589">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6"/>
  </w:num>
  <w:num w:numId="17" w16cid:durableId="806699681">
    <w:abstractNumId w:val="18"/>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6499414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863"/>
    <w:rsid w:val="00012F4E"/>
    <w:rsid w:val="0001715D"/>
    <w:rsid w:val="00022C42"/>
    <w:rsid w:val="0002711F"/>
    <w:rsid w:val="00027B15"/>
    <w:rsid w:val="00030A05"/>
    <w:rsid w:val="00032363"/>
    <w:rsid w:val="00070818"/>
    <w:rsid w:val="00077193"/>
    <w:rsid w:val="0008238F"/>
    <w:rsid w:val="00082EC6"/>
    <w:rsid w:val="00085388"/>
    <w:rsid w:val="000A1B06"/>
    <w:rsid w:val="000B00CC"/>
    <w:rsid w:val="000C1E0B"/>
    <w:rsid w:val="000D2F08"/>
    <w:rsid w:val="000D41DC"/>
    <w:rsid w:val="000E028E"/>
    <w:rsid w:val="000E75F2"/>
    <w:rsid w:val="000F3FD0"/>
    <w:rsid w:val="00111C56"/>
    <w:rsid w:val="00125D37"/>
    <w:rsid w:val="00127C1A"/>
    <w:rsid w:val="00130D64"/>
    <w:rsid w:val="0013232A"/>
    <w:rsid w:val="00146F5F"/>
    <w:rsid w:val="00150D81"/>
    <w:rsid w:val="001573AE"/>
    <w:rsid w:val="001575CC"/>
    <w:rsid w:val="00166CEB"/>
    <w:rsid w:val="00170057"/>
    <w:rsid w:val="00181971"/>
    <w:rsid w:val="00183CB9"/>
    <w:rsid w:val="0018403E"/>
    <w:rsid w:val="00184A9A"/>
    <w:rsid w:val="00190625"/>
    <w:rsid w:val="001947DF"/>
    <w:rsid w:val="001B22BB"/>
    <w:rsid w:val="001B619C"/>
    <w:rsid w:val="001C12AE"/>
    <w:rsid w:val="001C5358"/>
    <w:rsid w:val="001D1D3C"/>
    <w:rsid w:val="001E0CD3"/>
    <w:rsid w:val="001F1348"/>
    <w:rsid w:val="00210F26"/>
    <w:rsid w:val="0021669C"/>
    <w:rsid w:val="002205D4"/>
    <w:rsid w:val="002211CF"/>
    <w:rsid w:val="00222C3A"/>
    <w:rsid w:val="00224DA1"/>
    <w:rsid w:val="00226D31"/>
    <w:rsid w:val="00236401"/>
    <w:rsid w:val="002370CE"/>
    <w:rsid w:val="00242974"/>
    <w:rsid w:val="002976D4"/>
    <w:rsid w:val="002A5577"/>
    <w:rsid w:val="002B4AA4"/>
    <w:rsid w:val="002E571C"/>
    <w:rsid w:val="002E71BA"/>
    <w:rsid w:val="002F0E96"/>
    <w:rsid w:val="002F5066"/>
    <w:rsid w:val="003003FD"/>
    <w:rsid w:val="00304361"/>
    <w:rsid w:val="00310245"/>
    <w:rsid w:val="00316C95"/>
    <w:rsid w:val="0034420E"/>
    <w:rsid w:val="003458DB"/>
    <w:rsid w:val="003523D3"/>
    <w:rsid w:val="00356658"/>
    <w:rsid w:val="00364C35"/>
    <w:rsid w:val="003677C8"/>
    <w:rsid w:val="00376DB4"/>
    <w:rsid w:val="00377206"/>
    <w:rsid w:val="00396F60"/>
    <w:rsid w:val="003A51D6"/>
    <w:rsid w:val="003B125E"/>
    <w:rsid w:val="003B2A5E"/>
    <w:rsid w:val="003C7C97"/>
    <w:rsid w:val="003D086C"/>
    <w:rsid w:val="003F3410"/>
    <w:rsid w:val="003F440E"/>
    <w:rsid w:val="00406B8D"/>
    <w:rsid w:val="00410068"/>
    <w:rsid w:val="00414DF2"/>
    <w:rsid w:val="0041618E"/>
    <w:rsid w:val="0042295C"/>
    <w:rsid w:val="00425BBF"/>
    <w:rsid w:val="00426EEC"/>
    <w:rsid w:val="00436EF3"/>
    <w:rsid w:val="00442AC5"/>
    <w:rsid w:val="00444C91"/>
    <w:rsid w:val="004466C3"/>
    <w:rsid w:val="004552CE"/>
    <w:rsid w:val="00460F37"/>
    <w:rsid w:val="00481FF7"/>
    <w:rsid w:val="00496820"/>
    <w:rsid w:val="004C6D59"/>
    <w:rsid w:val="004E3CA8"/>
    <w:rsid w:val="004E4A6A"/>
    <w:rsid w:val="004F00A6"/>
    <w:rsid w:val="00500295"/>
    <w:rsid w:val="00501AAF"/>
    <w:rsid w:val="00502D59"/>
    <w:rsid w:val="00507732"/>
    <w:rsid w:val="00517374"/>
    <w:rsid w:val="00527AFA"/>
    <w:rsid w:val="005419DA"/>
    <w:rsid w:val="00542CF1"/>
    <w:rsid w:val="005678AC"/>
    <w:rsid w:val="005679BD"/>
    <w:rsid w:val="005709B1"/>
    <w:rsid w:val="00572B3B"/>
    <w:rsid w:val="00580331"/>
    <w:rsid w:val="005826D0"/>
    <w:rsid w:val="005836D2"/>
    <w:rsid w:val="00587C58"/>
    <w:rsid w:val="00591179"/>
    <w:rsid w:val="005A282A"/>
    <w:rsid w:val="005A7FD4"/>
    <w:rsid w:val="005B1A84"/>
    <w:rsid w:val="005B74C3"/>
    <w:rsid w:val="005C344B"/>
    <w:rsid w:val="005D1AF9"/>
    <w:rsid w:val="005D4E8D"/>
    <w:rsid w:val="005D5457"/>
    <w:rsid w:val="005E2699"/>
    <w:rsid w:val="005E44B5"/>
    <w:rsid w:val="00612DEA"/>
    <w:rsid w:val="00614572"/>
    <w:rsid w:val="006232DF"/>
    <w:rsid w:val="00624797"/>
    <w:rsid w:val="00627CA0"/>
    <w:rsid w:val="00631F2E"/>
    <w:rsid w:val="00633B4A"/>
    <w:rsid w:val="006457C0"/>
    <w:rsid w:val="00652BB7"/>
    <w:rsid w:val="00661758"/>
    <w:rsid w:val="00674D18"/>
    <w:rsid w:val="0067612C"/>
    <w:rsid w:val="00676FEB"/>
    <w:rsid w:val="006912C4"/>
    <w:rsid w:val="006A5CFC"/>
    <w:rsid w:val="006B6E70"/>
    <w:rsid w:val="006C068A"/>
    <w:rsid w:val="006C5138"/>
    <w:rsid w:val="006C689B"/>
    <w:rsid w:val="006E005C"/>
    <w:rsid w:val="006E531B"/>
    <w:rsid w:val="006E6EE5"/>
    <w:rsid w:val="006F0029"/>
    <w:rsid w:val="006F481D"/>
    <w:rsid w:val="007138EF"/>
    <w:rsid w:val="007235B6"/>
    <w:rsid w:val="007339F8"/>
    <w:rsid w:val="007577A9"/>
    <w:rsid w:val="007632A9"/>
    <w:rsid w:val="00774092"/>
    <w:rsid w:val="00774DE5"/>
    <w:rsid w:val="00777EC0"/>
    <w:rsid w:val="00782830"/>
    <w:rsid w:val="0078664A"/>
    <w:rsid w:val="007A698B"/>
    <w:rsid w:val="007B0F6D"/>
    <w:rsid w:val="007C62C3"/>
    <w:rsid w:val="007D25AA"/>
    <w:rsid w:val="007F0873"/>
    <w:rsid w:val="007F3773"/>
    <w:rsid w:val="00805726"/>
    <w:rsid w:val="008104BB"/>
    <w:rsid w:val="00815117"/>
    <w:rsid w:val="00824CB1"/>
    <w:rsid w:val="008520F8"/>
    <w:rsid w:val="00855F34"/>
    <w:rsid w:val="00863F8B"/>
    <w:rsid w:val="008826B6"/>
    <w:rsid w:val="008B0B22"/>
    <w:rsid w:val="008B0C8F"/>
    <w:rsid w:val="008C58B0"/>
    <w:rsid w:val="008C591B"/>
    <w:rsid w:val="008C6182"/>
    <w:rsid w:val="008E08B5"/>
    <w:rsid w:val="008E352E"/>
    <w:rsid w:val="008F19DA"/>
    <w:rsid w:val="008F3957"/>
    <w:rsid w:val="008F5971"/>
    <w:rsid w:val="0090182B"/>
    <w:rsid w:val="0090779E"/>
    <w:rsid w:val="00926458"/>
    <w:rsid w:val="00930BFE"/>
    <w:rsid w:val="00933094"/>
    <w:rsid w:val="00933720"/>
    <w:rsid w:val="00953B6E"/>
    <w:rsid w:val="00967089"/>
    <w:rsid w:val="009C7E52"/>
    <w:rsid w:val="009D0AA5"/>
    <w:rsid w:val="009E4934"/>
    <w:rsid w:val="009F40A7"/>
    <w:rsid w:val="009F5CE6"/>
    <w:rsid w:val="00A01AFF"/>
    <w:rsid w:val="00A035CD"/>
    <w:rsid w:val="00A50E80"/>
    <w:rsid w:val="00A513B0"/>
    <w:rsid w:val="00A55914"/>
    <w:rsid w:val="00A63F7F"/>
    <w:rsid w:val="00A667CE"/>
    <w:rsid w:val="00A75042"/>
    <w:rsid w:val="00A774BC"/>
    <w:rsid w:val="00A82678"/>
    <w:rsid w:val="00A946CB"/>
    <w:rsid w:val="00AA77C8"/>
    <w:rsid w:val="00AC7BE2"/>
    <w:rsid w:val="00AE35BF"/>
    <w:rsid w:val="00AF7A80"/>
    <w:rsid w:val="00B1067E"/>
    <w:rsid w:val="00B4235B"/>
    <w:rsid w:val="00B54E38"/>
    <w:rsid w:val="00B76520"/>
    <w:rsid w:val="00B81790"/>
    <w:rsid w:val="00B81BBC"/>
    <w:rsid w:val="00B85C4D"/>
    <w:rsid w:val="00BA5D83"/>
    <w:rsid w:val="00BC5E30"/>
    <w:rsid w:val="00BD03D5"/>
    <w:rsid w:val="00BD6A92"/>
    <w:rsid w:val="00C02609"/>
    <w:rsid w:val="00C243E8"/>
    <w:rsid w:val="00C3215E"/>
    <w:rsid w:val="00C45272"/>
    <w:rsid w:val="00C47770"/>
    <w:rsid w:val="00C542C7"/>
    <w:rsid w:val="00C75856"/>
    <w:rsid w:val="00C84626"/>
    <w:rsid w:val="00C85A7C"/>
    <w:rsid w:val="00C87AB5"/>
    <w:rsid w:val="00C95214"/>
    <w:rsid w:val="00C979C1"/>
    <w:rsid w:val="00CA5604"/>
    <w:rsid w:val="00CC3F59"/>
    <w:rsid w:val="00CD3207"/>
    <w:rsid w:val="00CD4774"/>
    <w:rsid w:val="00CE1732"/>
    <w:rsid w:val="00CE1E78"/>
    <w:rsid w:val="00CF1363"/>
    <w:rsid w:val="00D10AAF"/>
    <w:rsid w:val="00D15BF7"/>
    <w:rsid w:val="00D27540"/>
    <w:rsid w:val="00D3138E"/>
    <w:rsid w:val="00D4006B"/>
    <w:rsid w:val="00D40D7A"/>
    <w:rsid w:val="00D64A0D"/>
    <w:rsid w:val="00D676C3"/>
    <w:rsid w:val="00D750B4"/>
    <w:rsid w:val="00D81753"/>
    <w:rsid w:val="00D81C18"/>
    <w:rsid w:val="00D837AE"/>
    <w:rsid w:val="00D8461A"/>
    <w:rsid w:val="00D95CAF"/>
    <w:rsid w:val="00DB336D"/>
    <w:rsid w:val="00DB60B6"/>
    <w:rsid w:val="00DC06D7"/>
    <w:rsid w:val="00DC165F"/>
    <w:rsid w:val="00DC1CC6"/>
    <w:rsid w:val="00DC6B76"/>
    <w:rsid w:val="00DD49A2"/>
    <w:rsid w:val="00DD5135"/>
    <w:rsid w:val="00DD7002"/>
    <w:rsid w:val="00E067A8"/>
    <w:rsid w:val="00E13924"/>
    <w:rsid w:val="00E15FD5"/>
    <w:rsid w:val="00E1725A"/>
    <w:rsid w:val="00E33758"/>
    <w:rsid w:val="00E34914"/>
    <w:rsid w:val="00E53E5E"/>
    <w:rsid w:val="00E64325"/>
    <w:rsid w:val="00E673C5"/>
    <w:rsid w:val="00E67967"/>
    <w:rsid w:val="00E72DF9"/>
    <w:rsid w:val="00E82723"/>
    <w:rsid w:val="00E90901"/>
    <w:rsid w:val="00EA29A5"/>
    <w:rsid w:val="00EC107C"/>
    <w:rsid w:val="00EC5618"/>
    <w:rsid w:val="00EC7EBE"/>
    <w:rsid w:val="00EC7FD2"/>
    <w:rsid w:val="00ED0F39"/>
    <w:rsid w:val="00ED5964"/>
    <w:rsid w:val="00EE0049"/>
    <w:rsid w:val="00EE3B96"/>
    <w:rsid w:val="00EE7DBD"/>
    <w:rsid w:val="00F1720B"/>
    <w:rsid w:val="00F36ADC"/>
    <w:rsid w:val="00F4033C"/>
    <w:rsid w:val="00F509EF"/>
    <w:rsid w:val="00F57084"/>
    <w:rsid w:val="00F605C6"/>
    <w:rsid w:val="00F6785B"/>
    <w:rsid w:val="00F9012D"/>
    <w:rsid w:val="00F90F4E"/>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AF7A80"/>
    <w:rPr>
      <w:color w:val="605E5C"/>
      <w:shd w:val="clear" w:color="auto" w:fill="E1DFDD"/>
    </w:rPr>
  </w:style>
  <w:style w:type="paragraph" w:styleId="Revision">
    <w:name w:val="Revision"/>
    <w:hidden/>
    <w:uiPriority w:val="99"/>
    <w:semiHidden/>
    <w:rsid w:val="00B85C4D"/>
    <w:pPr>
      <w:spacing w:after="0" w:line="240" w:lineRule="auto"/>
    </w:pPr>
    <w:rPr>
      <w:rFonts w:ascii="Segoe UI" w:hAnsi="Segoe UI"/>
      <w:sz w:val="20"/>
    </w:rPr>
  </w:style>
  <w:style w:type="character" w:customStyle="1" w:styleId="normaltextrun">
    <w:name w:val="normaltextrun"/>
    <w:basedOn w:val="DefaultParagraphFont"/>
    <w:rsid w:val="00130D64"/>
  </w:style>
  <w:style w:type="character" w:customStyle="1" w:styleId="eop">
    <w:name w:val="eop"/>
    <w:basedOn w:val="DefaultParagraphFont"/>
    <w:rsid w:val="00130D64"/>
  </w:style>
  <w:style w:type="paragraph" w:customStyle="1" w:styleId="paragraph">
    <w:name w:val="paragraph"/>
    <w:basedOn w:val="Normal"/>
    <w:rsid w:val="004968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cn.org.uk/professional-development/publications/pub-0090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10.1111/j.1447-0349.2011.00765.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10.1177/089431849701000407"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nmc.org.uk/standards/code/" TargetMode="External"/><Relationship Id="rId4" Type="http://schemas.openxmlformats.org/officeDocument/2006/relationships/settings" Target="settings.xml"/><Relationship Id="rId9" Type="http://schemas.openxmlformats.org/officeDocument/2006/relationships/hyperlink" Target="https://www.mdpi.com/1660-4601/17/3/70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8</Pages>
  <Words>1929</Words>
  <Characters>10998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barbara campbell</cp:lastModifiedBy>
  <cp:revision>33</cp:revision>
  <dcterms:created xsi:type="dcterms:W3CDTF">2026-03-19T18:24:00Z</dcterms:created>
  <dcterms:modified xsi:type="dcterms:W3CDTF">2026-04-24T13:26:00Z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1150494d-4be0-4349-8af0-2753ffb87094</vt:lpwstr>
  </property>
</Properties>
</file>