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78D1" w:rsidRPr="00F621CD" w:rsidRDefault="00F621CD" w:rsidP="007278D1">
      <w:pPr>
        <w:jc w:val="center"/>
        <w:rPr>
          <w:rFonts w:ascii="Arial" w:hAnsi="Arial" w:cs="Arial"/>
          <w:color w:val="1F3864" w:themeColor="accent1" w:themeShade="80"/>
          <w:sz w:val="52"/>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621CD">
        <w:rPr>
          <w:rFonts w:ascii="Arial" w:hAnsi="Arial" w:cs="Arial"/>
          <w:noProof/>
          <w:color w:val="1F3864" w:themeColor="accent1" w:themeShade="80"/>
          <w:sz w:val="52"/>
          <w:szCs w:val="44"/>
        </w:rPr>
        <mc:AlternateContent>
          <mc:Choice Requires="wps">
            <w:drawing>
              <wp:anchor distT="0" distB="0" distL="114300" distR="114300" simplePos="0" relativeHeight="251659263" behindDoc="1" locked="0" layoutInCell="1" allowOverlap="1">
                <wp:simplePos x="0" y="0"/>
                <wp:positionH relativeFrom="column">
                  <wp:posOffset>-435935</wp:posOffset>
                </wp:positionH>
                <wp:positionV relativeFrom="paragraph">
                  <wp:posOffset>-425302</wp:posOffset>
                </wp:positionV>
                <wp:extent cx="10621926" cy="1297172"/>
                <wp:effectExtent l="0" t="0" r="27305" b="17780"/>
                <wp:wrapNone/>
                <wp:docPr id="8" name="Rectangle 8"/>
                <wp:cNvGraphicFramePr/>
                <a:graphic xmlns:a="http://schemas.openxmlformats.org/drawingml/2006/main">
                  <a:graphicData uri="http://schemas.microsoft.com/office/word/2010/wordprocessingShape">
                    <wps:wsp>
                      <wps:cNvSpPr/>
                      <wps:spPr>
                        <a:xfrm>
                          <a:off x="0" y="0"/>
                          <a:ext cx="10621926" cy="1297172"/>
                        </a:xfrm>
                        <a:prstGeom prst="rect">
                          <a:avLst/>
                        </a:prstGeom>
                        <a:solidFill>
                          <a:schemeClr val="accent2"/>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39EEFF" id="Rectangle 8" o:spid="_x0000_s1026" style="position:absolute;margin-left:-34.35pt;margin-top:-33.5pt;width:836.35pt;height:102.15pt;z-index:-25165721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JlTdgIAAEsFAAAOAAAAZHJzL2Uyb0RvYy54bWysVN9P2zAQfp+0/8Hy+0gTsQIVKapATJMQ&#10;IGDi2Th2a83xeWe3affX7+ykoWJ9mvbi3OXuux+f73x5tW0t2ygMBlzNy5MJZ8pJaIxb1vzHy+2X&#10;c85CFK4RFpyq+U4FfjX//Omy8zNVwQpso5BREBdmna/5KkY/K4ogV6oV4QS8cmTUgK2IpOKyaFB0&#10;FL21RTWZTIsOsPEIUoVAf296I5/n+ForGR+0DioyW3OqLeYT8/mWzmJ+KWZLFH5l5FCG+IcqWmEc&#10;JR1D3Ygo2BrNX6FaIxEC6HgioS1AayNV7oG6KScfunleCa9yL0RO8CNN4f+FlfebR2SmqTldlBMt&#10;XdETkSbc0ip2nujpfJiR17N/xEELJKZetxrb9KUu2DZTuhspVdvIJP0sJ9OqvKimnEkyltXFWXlW&#10;pbDFO95jiN8UtCwJNUfKn7kUm7sQe9e9S0oXwJrm1liblTQo6toi2wi6YiGlcnGf4MCzSG30hWcp&#10;7qxKeOuelKb+qdQqJ82T9zHgdKg4eyeYpvQjsDwGtLEcQINvgqk8kSNwcgzYt7DPOCJyVnBxBLfG&#10;AR4L0PwcM/f+RPZBz0l8g2ZH147Q70Pw8tYQ93cixEeBtAC0KrTU8YEObaGrOQwSZyvA38f+J3+a&#10;S7Jy1tFC1Tz8WgtUnNnvjib2ojw9TRuYldOvZxUpeGh5O7S4dXsNdKElPR9eZjH5R7sXNUL7Sru/&#10;SFnJJJyk3DWXEffKdewXnV4PqRaL7EZb50W8c89epuCJ1TRbL9tXgX4YwEjDew/75ROzD3PY+yak&#10;g8U6gjZ5SN95Hfimjc1jPrwu6Uk41LPX+xs4/wMAAP//AwBQSwMEFAAGAAgAAAAhAMDn29LeAAAA&#10;DAEAAA8AAABkcnMvZG93bnJldi54bWxMj8FOwzAQRO9I/IO1SNxah7ZKqhCnQgg4Iigg9ejGW9tq&#10;bEexm4S/Z3OitxntaPZNtZtcywbsow1ewMMyA4a+Ccp6LeD763WxBRaT9Eq2waOAX4ywq29vKlmq&#10;MPpPHPZJMyrxsZQCTEpdyXlsDDoZl6FDT7dT6J1MZHvNVS9HKnctX2VZzp20nj4Y2eGzwea8vzgB&#10;H9YO7xs16pfD4U2nHzSr2E1C3N9NT4/AEk7pPwwzPqFDTUzHcPEqslbAIt8WFJ1FQaPmRJ5tSB1J&#10;rYs18Lri1yPqPwAAAP//AwBQSwECLQAUAAYACAAAACEAtoM4kv4AAADhAQAAEwAAAAAAAAAAAAAA&#10;AAAAAAAAW0NvbnRlbnRfVHlwZXNdLnhtbFBLAQItABQABgAIAAAAIQA4/SH/1gAAAJQBAAALAAAA&#10;AAAAAAAAAAAAAC8BAABfcmVscy8ucmVsc1BLAQItABQABgAIAAAAIQCQdJlTdgIAAEsFAAAOAAAA&#10;AAAAAAAAAAAAAC4CAABkcnMvZTJvRG9jLnhtbFBLAQItABQABgAIAAAAIQDA59vS3gAAAAwBAAAP&#10;AAAAAAAAAAAAAAAAANAEAABkcnMvZG93bnJldi54bWxQSwUGAAAAAAQABADzAAAA2wUAAAAA&#10;" fillcolor="#ed7d31 [3205]" strokecolor="#70ad47 [3209]" strokeweight="1pt"/>
            </w:pict>
          </mc:Fallback>
        </mc:AlternateContent>
      </w:r>
      <w:r w:rsidR="007278D1" w:rsidRPr="00F621CD">
        <w:rPr>
          <w:rFonts w:ascii="Arial" w:hAnsi="Arial" w:cs="Arial"/>
          <w:color w:val="1F3864" w:themeColor="accent1" w:themeShade="80"/>
          <w:sz w:val="52"/>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effectiveness of offender education: is rehabilitation possible?</w:t>
      </w:r>
    </w:p>
    <w:p w:rsidR="007278D1" w:rsidRDefault="00F621CD" w:rsidP="00F621CD">
      <w:pPr>
        <w:tabs>
          <w:tab w:val="left" w:pos="3700"/>
          <w:tab w:val="right" w:pos="4712"/>
        </w:tabs>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4B38">
        <w:rPr>
          <w:rFonts w:ascii="Arial" w:hAnsi="Arial" w:cs="Arial"/>
          <w:noProof/>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69504" behindDoc="0" locked="0" layoutInCell="1" allowOverlap="1">
                <wp:simplePos x="0" y="0"/>
                <wp:positionH relativeFrom="column">
                  <wp:posOffset>3105150</wp:posOffset>
                </wp:positionH>
                <wp:positionV relativeFrom="paragraph">
                  <wp:posOffset>391160</wp:posOffset>
                </wp:positionV>
                <wp:extent cx="3609975" cy="108585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1085850"/>
                        </a:xfrm>
                        <a:prstGeom prst="rect">
                          <a:avLst/>
                        </a:prstGeom>
                        <a:solidFill>
                          <a:srgbClr val="FFFFFF"/>
                        </a:solidFill>
                        <a:ln w="9525">
                          <a:noFill/>
                          <a:miter lim="800000"/>
                          <a:headEnd/>
                          <a:tailEnd/>
                        </a:ln>
                      </wps:spPr>
                      <wps:txbx>
                        <w:txbxContent>
                          <w:p w:rsidR="00D34B38" w:rsidRPr="00D34B38" w:rsidRDefault="00D34B38">
                            <w:pPr>
                              <w:rPr>
                                <w:rFonts w:ascii="Arial" w:hAnsi="Arial" w:cs="Arial"/>
                                <w:color w:val="ED7D31" w:themeColor="accent2"/>
                                <w:sz w:val="32"/>
                              </w:rPr>
                            </w:pPr>
                            <w:r w:rsidRPr="00D34B38">
                              <w:rPr>
                                <w:rFonts w:ascii="Arial" w:hAnsi="Arial" w:cs="Arial"/>
                                <w:color w:val="ED7D31" w:themeColor="accent2"/>
                                <w:sz w:val="32"/>
                              </w:rPr>
                              <w:t>Offenders need more time out of cells to have access to effective learning</w:t>
                            </w:r>
                            <w:r w:rsidR="00A544D1">
                              <w:rPr>
                                <w:rFonts w:ascii="Arial" w:hAnsi="Arial" w:cs="Arial"/>
                                <w:color w:val="ED7D31" w:themeColor="accent2"/>
                                <w:sz w:val="32"/>
                              </w:rPr>
                              <w:t xml:space="preserve"> (</w:t>
                            </w:r>
                            <w:r w:rsidR="0095443B">
                              <w:rPr>
                                <w:rFonts w:ascii="Arial" w:hAnsi="Arial" w:cs="Arial"/>
                                <w:color w:val="ED7D31" w:themeColor="accent2"/>
                                <w:sz w:val="32"/>
                              </w:rPr>
                              <w:t>The Howard League for Penal Reform, 2014</w:t>
                            </w:r>
                            <w:r w:rsidR="00A544D1" w:rsidRPr="00A544D1">
                              <w:rPr>
                                <w:rFonts w:ascii="Arial" w:hAnsi="Arial" w:cs="Arial"/>
                                <w:color w:val="ED7D31" w:themeColor="accent2"/>
                                <w:sz w:val="32"/>
                              </w:rPr>
                              <w:t>)</w:t>
                            </w:r>
                            <w:r w:rsidR="00A544D1">
                              <w:rPr>
                                <w:rFonts w:ascii="Arial" w:hAnsi="Arial" w:cs="Arial"/>
                                <w:color w:val="ED7D31" w:themeColor="accent2"/>
                                <w:sz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4.5pt;margin-top:30.8pt;width:284.25pt;height:8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w5IQIAABwEAAAOAAAAZHJzL2Uyb0RvYy54bWysU21v2yAQ/j5p/wHxfbGTxW1ixam6dJkm&#10;dS9Sux+AMY7RgGNAYme/fgdO06j7VpUPiOOOh7vnnlvdDFqRg3BegqnodJJTIgyHRppdRX89bj8s&#10;KPGBmYYpMKKiR+Hpzfr9u1VvSzGDDlQjHEEQ48veVrQLwZZZ5nknNPMTsMKgswWnWUDT7bLGsR7R&#10;tcpmeX6V9eAa64AL7/H2bnTSdcJvW8HDj7b1IhBVUcwtpN2lvY57tl6xcueY7SQ/pcFekYVm0uCn&#10;Z6g7FhjZO/kflJbcgYc2TDjoDNpWcpFqwGqm+YtqHjpmRaoFyfH2TJN/O1j+/fDTEdlUdE6JYRpb&#10;9CiGQD7BQGaRnd76EoMeLIaFAa+xy6lSb++B//bEwKZjZidunYO+E6zB7KbxZXbxdMTxEaTuv0GD&#10;37B9gAQ0tE5H6pAMgujYpeO5MzEVjpcfr/Ll8rqghKNvmi+KRZF6l7Hy6bl1PnwRoEk8VNRh6xM8&#10;O9z7ENNh5VNI/M2Dks1WKpUMt6s3ypEDQ5ls00oVvAhThvQVXRazIiEbiO+TgrQMKGMldUUXeVyj&#10;sCIdn02TQgKTajxjJsqc+ImUjOSEoR4wMJJWQ3NEphyMcsXxwkMH7i8lPUq1ov7PnjlBifpqkO3l&#10;dD6P2k7GvLieoeEuPfWlhxmOUBUNlIzHTUjzEHkwcItdaWXi6zmTU64owUTjaVyixi/tFPU81Ot/&#10;AAAA//8DAFBLAwQUAAYACAAAACEA/KpLYOAAAAALAQAADwAAAGRycy9kb3ducmV2LnhtbEyPQU+D&#10;QBSE7yb+h80z8WLsUixLiyyNmmi8tvYHPOAViOxbwm4L/fduT/Y4mcnMN/l2Nr040+g6yxqWiwgE&#10;cWXrjhsNh5/P5zUI55Fr7C2Thgs52Bb3dzlmtZ14R+e9b0QoYZehhtb7IZPSVS0ZdAs7EAfvaEeD&#10;PsixkfWIUyg3vYyjSEmDHYeFFgf6aKn63Z+MhuP39JRspvLLH9LdSr1jl5b2ovXjw/z2CsLT7P/D&#10;cMUP6FAEptKeuHai17Bab8IXr0EtFYhrIErSBESpIX6JFcgil7cfij8AAAD//wMAUEsBAi0AFAAG&#10;AAgAAAAhALaDOJL+AAAA4QEAABMAAAAAAAAAAAAAAAAAAAAAAFtDb250ZW50X1R5cGVzXS54bWxQ&#10;SwECLQAUAAYACAAAACEAOP0h/9YAAACUAQAACwAAAAAAAAAAAAAAAAAvAQAAX3JlbHMvLnJlbHNQ&#10;SwECLQAUAAYACAAAACEAB6JsOSECAAAcBAAADgAAAAAAAAAAAAAAAAAuAgAAZHJzL2Uyb0RvYy54&#10;bWxQSwECLQAUAAYACAAAACEA/KpLYOAAAAALAQAADwAAAAAAAAAAAAAAAAB7BAAAZHJzL2Rvd25y&#10;ZXYueG1sUEsFBgAAAAAEAAQA8wAAAIgFAAAAAA==&#10;" stroked="f">
                <v:textbox>
                  <w:txbxContent>
                    <w:p w:rsidR="00D34B38" w:rsidRPr="00D34B38" w:rsidRDefault="00D34B38">
                      <w:pPr>
                        <w:rPr>
                          <w:rFonts w:ascii="Arial" w:hAnsi="Arial" w:cs="Arial"/>
                          <w:color w:val="ED7D31" w:themeColor="accent2"/>
                          <w:sz w:val="32"/>
                        </w:rPr>
                      </w:pPr>
                      <w:r w:rsidRPr="00D34B38">
                        <w:rPr>
                          <w:rFonts w:ascii="Arial" w:hAnsi="Arial" w:cs="Arial"/>
                          <w:color w:val="ED7D31" w:themeColor="accent2"/>
                          <w:sz w:val="32"/>
                        </w:rPr>
                        <w:t>Offenders need more time out of cells to have access to effective learning</w:t>
                      </w:r>
                      <w:r w:rsidR="00A544D1">
                        <w:rPr>
                          <w:rFonts w:ascii="Arial" w:hAnsi="Arial" w:cs="Arial"/>
                          <w:color w:val="ED7D31" w:themeColor="accent2"/>
                          <w:sz w:val="32"/>
                        </w:rPr>
                        <w:t xml:space="preserve"> (</w:t>
                      </w:r>
                      <w:r w:rsidR="0095443B">
                        <w:rPr>
                          <w:rFonts w:ascii="Arial" w:hAnsi="Arial" w:cs="Arial"/>
                          <w:color w:val="ED7D31" w:themeColor="accent2"/>
                          <w:sz w:val="32"/>
                        </w:rPr>
                        <w:t>The Howard League for Penal Reform, 2014</w:t>
                      </w:r>
                      <w:r w:rsidR="00A544D1" w:rsidRPr="00A544D1">
                        <w:rPr>
                          <w:rFonts w:ascii="Arial" w:hAnsi="Arial" w:cs="Arial"/>
                          <w:color w:val="ED7D31" w:themeColor="accent2"/>
                          <w:sz w:val="32"/>
                        </w:rPr>
                        <w:t>)</w:t>
                      </w:r>
                      <w:r w:rsidR="00A544D1">
                        <w:rPr>
                          <w:rFonts w:ascii="Arial" w:hAnsi="Arial" w:cs="Arial"/>
                          <w:color w:val="ED7D31" w:themeColor="accent2"/>
                          <w:sz w:val="32"/>
                        </w:rPr>
                        <w:t>.</w:t>
                      </w:r>
                    </w:p>
                  </w:txbxContent>
                </v:textbox>
                <w10:wrap type="square"/>
              </v:shape>
            </w:pict>
          </mc:Fallback>
        </mc:AlternateContent>
      </w:r>
      <w:r w:rsidR="00664C47" w:rsidRPr="00D34B38">
        <w:rPr>
          <w:rFonts w:ascii="Arial" w:hAnsi="Arial" w:cs="Arial"/>
          <w:noProof/>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74624" behindDoc="0" locked="0" layoutInCell="1" allowOverlap="1">
                <wp:simplePos x="0" y="0"/>
                <wp:positionH relativeFrom="page">
                  <wp:posOffset>7185409</wp:posOffset>
                </wp:positionH>
                <wp:positionV relativeFrom="paragraph">
                  <wp:posOffset>723531</wp:posOffset>
                </wp:positionV>
                <wp:extent cx="3315335" cy="1404620"/>
                <wp:effectExtent l="0" t="0" r="0" b="38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5335" cy="1404620"/>
                        </a:xfrm>
                        <a:prstGeom prst="rect">
                          <a:avLst/>
                        </a:prstGeom>
                        <a:solidFill>
                          <a:srgbClr val="FFFFFF"/>
                        </a:solidFill>
                        <a:ln w="9525">
                          <a:noFill/>
                          <a:miter lim="800000"/>
                          <a:headEnd/>
                          <a:tailEnd/>
                        </a:ln>
                      </wps:spPr>
                      <wps:txbx>
                        <w:txbxContent>
                          <w:p w:rsidR="00D34B38" w:rsidRPr="00D34B38" w:rsidRDefault="00D34B38">
                            <w:pPr>
                              <w:rPr>
                                <w:color w:val="ED7D31" w:themeColor="accent2"/>
                              </w:rPr>
                            </w:pPr>
                            <w:r w:rsidRPr="00664C47">
                              <w:rPr>
                                <w:color w:val="ED7D31" w:themeColor="accent2"/>
                                <w:sz w:val="32"/>
                              </w:rPr>
                              <w:t>People are more likely to rehabilitate if participating in Higher Education as there is more opportunities when released</w:t>
                            </w:r>
                            <w:r w:rsidR="007A3C47">
                              <w:rPr>
                                <w:color w:val="ED7D31" w:themeColor="accent2"/>
                                <w:sz w:val="32"/>
                              </w:rPr>
                              <w:t xml:space="preserve"> (Coates, 2015)</w:t>
                            </w:r>
                            <w:r w:rsidRPr="00D34B38">
                              <w:rPr>
                                <w:color w:val="ED7D31" w:themeColor="accent2"/>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565.8pt;margin-top:56.95pt;width:261.05pt;height:110.6pt;z-index:25167462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irIgIAACMEAAAOAAAAZHJzL2Uyb0RvYy54bWysU11v2yAUfZ+0/4B4X2zna60Vp+rSZZrU&#10;fUjtfgDGOEYDLgMSO/v1u+A0jbq3qjwg4F4O5557WN0MWpGDcF6CqWgxySkRhkMjza6ivx63H64o&#10;8YGZhikwoqJH4enN+v27VW9LMYUOVCMcQRDjy95WtAvBllnmeSc08xOwwmCwBadZwK3bZY1jPaJr&#10;lU3zfJn14BrrgAvv8fRuDNJ1wm9bwcOPtvUiEFVR5BbS7NJcxzlbr1i5c8x2kp9osFew0EwafPQM&#10;dccCI3sn/4PSkjvw0IYJB51B20ouUg1YTZG/qOahY1akWlAcb88y+beD5d8PPx2RTUWXlBimsUWP&#10;YgjkEwxkGtXprS8x6cFiWhjwGLucKvX2HvhvTwxsOmZ24tY56DvBGmRXxJvZxdURx0eQuv8GDT7D&#10;9gES0NA6HaVDMQiiY5eO585EKhwPZ7NiMZstKOEYK+b5fDlNvctY+XTdOh++CNAkLirqsPUJnh3u&#10;fYh0WPmUEl/zoGSzlUqljdvVG+XIgaFNtmmkCl6kKUP6il4vpouEbCDeTw7SMqCNldQVvcrjGI0V&#10;5fhsmpQSmFTjGpkoc9InSjKKE4Z6SI1I4kXtamiOKJiD0bX4y3DRgftLSY+Oraj/s2dOUKK+GhT9&#10;upjPo8XTZr74iAoRdxmpLyPMcISqaKBkXG5C+hZJDnuLzdnKJNszkxNldGJS8/RrotUv9ynr+W+v&#10;/wEAAP//AwBQSwMEFAAGAAgAAAAhABVa6UrgAAAADQEAAA8AAABkcnMvZG93bnJldi54bWxMj8FO&#10;wzAMhu9IvENkJG4sLVULlKbTxMSFAxIDCY5Z4zYViVMlWVfenowLu/mXP/3+3KwXa9iMPoyOBOSr&#10;DBhS59RIg4CP9+ebe2AhSlLSOEIBPxhg3V5eNLJW7khvOO/iwFIJhVoK0DFONeeh02hlWLkJKe16&#10;562MKfqBKy+PqdwafptlFbdypHRBywmfNHbfu4MV8Gn1qLb+9atXZt6+9JtyWvwkxPXVsnkEFnGJ&#10;/zCc9JM6tMlp7w6kAjMp50VeJfZvegB2QqqyuAO2F1AUZQ68bfj5F+0vAAAA//8DAFBLAQItABQA&#10;BgAIAAAAIQC2gziS/gAAAOEBAAATAAAAAAAAAAAAAAAAAAAAAABbQ29udGVudF9UeXBlc10ueG1s&#10;UEsBAi0AFAAGAAgAAAAhADj9If/WAAAAlAEAAAsAAAAAAAAAAAAAAAAALwEAAF9yZWxzLy5yZWxz&#10;UEsBAi0AFAAGAAgAAAAhAENuuKsiAgAAIwQAAA4AAAAAAAAAAAAAAAAALgIAAGRycy9lMm9Eb2Mu&#10;eG1sUEsBAi0AFAAGAAgAAAAhABVa6UrgAAAADQEAAA8AAAAAAAAAAAAAAAAAfAQAAGRycy9kb3du&#10;cmV2LnhtbFBLBQYAAAAABAAEAPMAAACJBQAAAAA=&#10;" stroked="f">
                <v:textbox style="mso-fit-shape-to-text:t">
                  <w:txbxContent>
                    <w:p w:rsidR="00D34B38" w:rsidRPr="00D34B38" w:rsidRDefault="00D34B38">
                      <w:pPr>
                        <w:rPr>
                          <w:color w:val="ED7D31" w:themeColor="accent2"/>
                        </w:rPr>
                      </w:pPr>
                      <w:r w:rsidRPr="00664C47">
                        <w:rPr>
                          <w:color w:val="ED7D31" w:themeColor="accent2"/>
                          <w:sz w:val="32"/>
                        </w:rPr>
                        <w:t>People are more likely to rehabilitate if participating in Higher Education as there is more opportunities when released</w:t>
                      </w:r>
                      <w:r w:rsidR="007A3C47">
                        <w:rPr>
                          <w:color w:val="ED7D31" w:themeColor="accent2"/>
                          <w:sz w:val="32"/>
                        </w:rPr>
                        <w:t xml:space="preserve"> (Coates, 2015)</w:t>
                      </w:r>
                      <w:r w:rsidRPr="00D34B38">
                        <w:rPr>
                          <w:color w:val="ED7D31" w:themeColor="accent2"/>
                        </w:rPr>
                        <w:t xml:space="preserve">. </w:t>
                      </w:r>
                    </w:p>
                  </w:txbxContent>
                </v:textbox>
                <w10:wrap type="square" anchorx="page"/>
              </v:shape>
            </w:pict>
          </mc:Fallback>
        </mc:AlternateContent>
      </w:r>
      <w:r w:rsidR="007278D1">
        <w:rPr>
          <w:rFonts w:ascii="Arial" w:hAnsi="Arial" w:cs="Arial"/>
          <w:noProof/>
          <w:color w:val="4472C4" w:themeColor="accent1"/>
          <w:sz w:val="44"/>
          <w:szCs w:val="44"/>
        </w:rPr>
        <mc:AlternateContent>
          <mc:Choice Requires="wps">
            <w:drawing>
              <wp:anchor distT="0" distB="0" distL="114300" distR="114300" simplePos="0" relativeHeight="251660288" behindDoc="0" locked="0" layoutInCell="1" allowOverlap="1">
                <wp:simplePos x="0" y="0"/>
                <wp:positionH relativeFrom="column">
                  <wp:posOffset>-796940</wp:posOffset>
                </wp:positionH>
                <wp:positionV relativeFrom="paragraph">
                  <wp:posOffset>395221</wp:posOffset>
                </wp:positionV>
                <wp:extent cx="3566160" cy="1287145"/>
                <wp:effectExtent l="0" t="0" r="0" b="8255"/>
                <wp:wrapSquare wrapText="bothSides"/>
                <wp:docPr id="200" name="Text Box 200"/>
                <wp:cNvGraphicFramePr/>
                <a:graphic xmlns:a="http://schemas.openxmlformats.org/drawingml/2006/main">
                  <a:graphicData uri="http://schemas.microsoft.com/office/word/2010/wordprocessingShape">
                    <wps:wsp>
                      <wps:cNvSpPr txBox="1"/>
                      <wps:spPr>
                        <a:xfrm>
                          <a:off x="0" y="0"/>
                          <a:ext cx="3566160" cy="12871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78D1" w:rsidRPr="00D34B38" w:rsidRDefault="007278D1">
                            <w:pPr>
                              <w:rPr>
                                <w:caps/>
                                <w:color w:val="ED7D31" w:themeColor="accent2"/>
                                <w:sz w:val="28"/>
                                <w:szCs w:val="26"/>
                              </w:rPr>
                            </w:pPr>
                            <w:r w:rsidRPr="00D34B38">
                              <w:rPr>
                                <w:rFonts w:ascii="Arial" w:hAnsi="Arial" w:cs="Arial"/>
                                <w:color w:val="ED7D31" w:themeColor="accent2"/>
                                <w:sz w:val="28"/>
                                <w:szCs w:val="24"/>
                              </w:rPr>
                              <w:t>Effective prisoner engagement in education could also help ease the security risks in prisons as prisoner violence will increase if they are bored, therefore their days should be kept busy by participating in activities</w:t>
                            </w:r>
                            <w:r w:rsidR="00757DB3">
                              <w:rPr>
                                <w:rFonts w:ascii="Arial" w:hAnsi="Arial" w:cs="Arial"/>
                                <w:color w:val="ED7D31" w:themeColor="accent2"/>
                                <w:sz w:val="28"/>
                                <w:szCs w:val="24"/>
                              </w:rPr>
                              <w:t xml:space="preserve"> </w:t>
                            </w:r>
                            <w:r w:rsidR="000553BB">
                              <w:rPr>
                                <w:rFonts w:ascii="Arial" w:hAnsi="Arial" w:cs="Arial"/>
                                <w:color w:val="ED7D31" w:themeColor="accent2"/>
                                <w:sz w:val="28"/>
                                <w:szCs w:val="24"/>
                              </w:rPr>
                              <w:t xml:space="preserve">(Farley, Helen and Pike, Anne, 2016).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a:graphicData>
                </a:graphic>
              </wp:anchor>
            </w:drawing>
          </mc:Choice>
          <mc:Fallback>
            <w:pict>
              <v:shape id="Text Box 200" o:spid="_x0000_s1028" type="#_x0000_t202" style="position:absolute;margin-left:-62.75pt;margin-top:31.1pt;width:280.8pt;height:101.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3QfAIAAGoFAAAOAAAAZHJzL2Uyb0RvYy54bWysVFtv0zAUfkfiP1h+Z2l2KaNaOpVNQ0jT&#10;NrGhPbuOvUb4hu02Kb+ez07SVoOXIV6S43M+fz73i8tOK7IRPjTWVLQ8mlAiDLd1Y14q+v3p5sM5&#10;JSEyUzNljajoVgR6OX//7qJ1M3FsV1bVwhOQmDBrXUVXMbpZUQS+EpqFI+uEgVFar1nE0b8UtWct&#10;2LUqjieTadFaXztvuQgB2uveSOeZX0rB472UQUSiKgrfYv76/F2mbzG/YLMXz9yq4YMb7B+80Kwx&#10;eHRHdc0iI2vf/EGlG+5tsDIecasLK2XDRY4B0ZSTV9E8rpgTORYkJ7hdmsL/o+V3mwdPmrqiyCYl&#10;hmkU6Ul0kXy2HUk6ZKh1YQbgowM0djCg0qM+QJkC76TX6Y+QCOzg2u7ym+g4lCdn02k5hYnDVh6f&#10;fyxPzxJPsb/ufIhfhNUkCRX1KGDOK9vchthDR0h6zdibRqlcRGVIW9HpydkkX9hZQK5MworcDgNN&#10;Cql3PUtxq0TCKPNNSKQjR5AUuRHFlfJkw9BCjHNhYg4+8wKdUBJOvOXigN979ZbLfRzjy9bE3WXd&#10;GOtz9K/crn+MLssej5wfxJ3E2C27vg/Gyi5tvUXBve2HJjh+06AotyzEB+YxJSgkJj/e4yOVRfLt&#10;IFGysv7X3/QJj+aFlZIWU1fR8HPNvKBEfTVo60/l6Slo4+HBHx6W+QCIWesri4qU2C+OZxFaH9Uo&#10;Sm/1M5bDIr0IEzMc71Y0juJV7PcAlgsXi0UGYSgdi7fm0fFEnQqU2u2pe2beDT0Z0c53dpxNNnvV&#10;mj02945brCMaNPdtynGf0SH3GOjc+cPySRvj8JxR+xU5/w0AAP//AwBQSwMEFAAGAAgAAAAhALtZ&#10;pyfiAAAACwEAAA8AAABkcnMvZG93bnJldi54bWxMj01Lw0AQhu+C/2EZwVu7+WjTNmZSRLHQi2AV&#10;pLdtdkyi2dmQ3bTx37ue9Di8D+/7TLGdTCfONLjWMkI8j0AQV1a3XCO8vT7N1iCcV6xVZ5kQvsnB&#10;try+KlSu7YVf6HzwtQgl7HKF0Hjf51K6qiGj3Nz2xCH7sINRPpxDLfWgLqHcdDKJokwa1XJYaFRP&#10;Dw1VX4fRILynn+ud20fj45g+e7laHaXe7RFvb6b7OxCeJv8Hw69+UIcyOJ3syNqJDmEWJ8tlYBGy&#10;JAERiEWaxSBOCEm22IAsC/n/h/IHAAD//wMAUEsBAi0AFAAGAAgAAAAhALaDOJL+AAAA4QEAABMA&#10;AAAAAAAAAAAAAAAAAAAAAFtDb250ZW50X1R5cGVzXS54bWxQSwECLQAUAAYACAAAACEAOP0h/9YA&#10;AACUAQAACwAAAAAAAAAAAAAAAAAvAQAAX3JlbHMvLnJlbHNQSwECLQAUAAYACAAAACEArLg90HwC&#10;AABqBQAADgAAAAAAAAAAAAAAAAAuAgAAZHJzL2Uyb0RvYy54bWxQSwECLQAUAAYACAAAACEAu1mn&#10;J+IAAAALAQAADwAAAAAAAAAAAAAAAADWBAAAZHJzL2Rvd25yZXYueG1sUEsFBgAAAAAEAAQA8wAA&#10;AOUFAAAAAA==&#10;" filled="f" stroked="f" strokeweight=".5pt">
                <v:textbox style="mso-fit-shape-to-text:t" inset=",7.2pt,,0">
                  <w:txbxContent>
                    <w:p w:rsidR="007278D1" w:rsidRPr="00D34B38" w:rsidRDefault="007278D1">
                      <w:pPr>
                        <w:rPr>
                          <w:caps/>
                          <w:color w:val="ED7D31" w:themeColor="accent2"/>
                          <w:sz w:val="28"/>
                          <w:szCs w:val="26"/>
                        </w:rPr>
                      </w:pPr>
                      <w:r w:rsidRPr="00D34B38">
                        <w:rPr>
                          <w:rFonts w:ascii="Arial" w:hAnsi="Arial" w:cs="Arial"/>
                          <w:color w:val="ED7D31" w:themeColor="accent2"/>
                          <w:sz w:val="28"/>
                          <w:szCs w:val="24"/>
                        </w:rPr>
                        <w:t>Effective prisoner engagement in education could also help ease the security risks in prisons as prisoner violence will increase if they are bored, therefore their days should be kept busy by participating in activities</w:t>
                      </w:r>
                      <w:r w:rsidR="00757DB3">
                        <w:rPr>
                          <w:rFonts w:ascii="Arial" w:hAnsi="Arial" w:cs="Arial"/>
                          <w:color w:val="ED7D31" w:themeColor="accent2"/>
                          <w:sz w:val="28"/>
                          <w:szCs w:val="24"/>
                        </w:rPr>
                        <w:t xml:space="preserve"> </w:t>
                      </w:r>
                      <w:r w:rsidR="000553BB">
                        <w:rPr>
                          <w:rFonts w:ascii="Arial" w:hAnsi="Arial" w:cs="Arial"/>
                          <w:color w:val="ED7D31" w:themeColor="accent2"/>
                          <w:sz w:val="28"/>
                          <w:szCs w:val="24"/>
                        </w:rPr>
                        <w:t xml:space="preserve">(Farley, Helen and Pike, Anne, 2016). </w:t>
                      </w:r>
                    </w:p>
                  </w:txbxContent>
                </v:textbox>
                <w10:wrap type="square"/>
              </v:shape>
            </w:pict>
          </mc:Fallback>
        </mc:AlternateContent>
      </w:r>
      <w:r>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rsidR="007278D1" w:rsidRDefault="00F621CD" w:rsidP="007278D1">
      <w:pPr>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278D1">
        <w:drawing>
          <wp:anchor distT="0" distB="0" distL="114300" distR="114300" simplePos="0" relativeHeight="251672576" behindDoc="1" locked="0" layoutInCell="1" allowOverlap="1" wp14:anchorId="4AA1977F">
            <wp:simplePos x="0" y="0"/>
            <wp:positionH relativeFrom="margin">
              <wp:align>center</wp:align>
            </wp:positionH>
            <wp:positionV relativeFrom="paragraph">
              <wp:posOffset>721773</wp:posOffset>
            </wp:positionV>
            <wp:extent cx="3316658" cy="254118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316658" cy="2541181"/>
                    </a:xfrm>
                    <a:prstGeom prst="rect">
                      <a:avLst/>
                    </a:prstGeom>
                  </pic:spPr>
                </pic:pic>
              </a:graphicData>
            </a:graphic>
            <wp14:sizeRelH relativeFrom="page">
              <wp14:pctWidth>0</wp14:pctWidth>
            </wp14:sizeRelH>
            <wp14:sizeRelV relativeFrom="page">
              <wp14:pctHeight>0</wp14:pctHeight>
            </wp14:sizeRelV>
          </wp:anchor>
        </w:drawing>
      </w:r>
    </w:p>
    <w:p w:rsidR="00A544D1" w:rsidRDefault="008F2F4F" w:rsidP="007278D1">
      <w:pPr>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621CD">
        <w:rPr>
          <w:rFonts w:ascii="Arial" w:hAnsi="Arial" w:cs="Arial"/>
          <w:noProof/>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76672" behindDoc="0" locked="0" layoutInCell="1" allowOverlap="1">
                <wp:simplePos x="0" y="0"/>
                <wp:positionH relativeFrom="margin">
                  <wp:posOffset>6715125</wp:posOffset>
                </wp:positionH>
                <wp:positionV relativeFrom="paragraph">
                  <wp:posOffset>360680</wp:posOffset>
                </wp:positionV>
                <wp:extent cx="2838450" cy="2619375"/>
                <wp:effectExtent l="0" t="0" r="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2619375"/>
                        </a:xfrm>
                        <a:prstGeom prst="rect">
                          <a:avLst/>
                        </a:prstGeom>
                        <a:solidFill>
                          <a:srgbClr val="FFFFFF"/>
                        </a:solidFill>
                        <a:ln w="9525">
                          <a:noFill/>
                          <a:miter lim="800000"/>
                          <a:headEnd/>
                          <a:tailEnd/>
                        </a:ln>
                      </wps:spPr>
                      <wps:txbx>
                        <w:txbxContent>
                          <w:p w:rsidR="00F621CD" w:rsidRPr="00F621CD" w:rsidRDefault="00F621CD">
                            <w:pPr>
                              <w:rPr>
                                <w:rFonts w:ascii="Arial" w:hAnsi="Arial" w:cs="Arial"/>
                                <w:color w:val="ED7D31" w:themeColor="accent2"/>
                                <w:sz w:val="28"/>
                              </w:rPr>
                            </w:pPr>
                            <w:r w:rsidRPr="00F621CD">
                              <w:rPr>
                                <w:rFonts w:ascii="Arial" w:hAnsi="Arial" w:cs="Arial"/>
                                <w:color w:val="ED7D31" w:themeColor="accent2"/>
                                <w:sz w:val="28"/>
                              </w:rPr>
                              <w:t>Learners are not fully involved with their education as the instructors do not record the skills that prisoners have developed, therefore they have no record of achievements to take to them when transferring to another prison or when they are being released, they are not aware of their qualifications and skills</w:t>
                            </w:r>
                            <w:r w:rsidR="007E3F52">
                              <w:rPr>
                                <w:rFonts w:ascii="Arial" w:hAnsi="Arial" w:cs="Arial"/>
                                <w:color w:val="ED7D31" w:themeColor="accent2"/>
                                <w:sz w:val="28"/>
                              </w:rPr>
                              <w:t xml:space="preserve">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528.75pt;margin-top:28.4pt;width:223.5pt;height:206.2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vyIJAIAACMEAAAOAAAAZHJzL2Uyb0RvYy54bWysU9uO2yAQfa/Uf0C8N06cZJNYcVbbbFNV&#10;2l6k3X4AxjhGBYYCiZ1+/Q44m03bt6o8IIaZOZw5M6xve63IUTgvwZR0MhpTIgyHWpp9Sb8/7d4t&#10;KfGBmZopMKKkJ+Hp7ebtm3VnC5FDC6oWjiCI8UVnS9qGYIss87wVmvkRWGHQ2YDTLKDp9lntWIfo&#10;WmX5eHyTdeBq64AL7/H2fnDSTcJvGsHD16bxIhBVUuQW0u7SXsU926xZsXfMtpKfabB/YKGZNPjo&#10;BeqeBUYOTv4FpSV34KEJIw46g6aRXKQasJrJ+I9qHltmRaoFxfH2IpP/f7D8y/GbI7Iu6YISwzS2&#10;6En0gbyHnuRRnc76AoMeLYaFHq+xy6lSbx+A//DEwLZlZi/unIOuFaxGdpOYmV2lDjg+glTdZ6jx&#10;GXYIkID6xukoHYpBEB27dLp0JlLheJkvp8vZHF0cffnNZDVdzNMbrHhJt86HjwI0iYeSOmx9gmfH&#10;Bx8iHVa8hMTXPChZ76RSyXD7aqscOTIck11aZ/TfwpQhXUlX83yekA3E/DRBWgYcYyV1SZfjuGI6&#10;K6IcH0ydzoFJNZyRiTJnfaIkgzihr/rUiGnMjdpVUJ9QMAfD1OIvw0ML7hclHU5sSf3PA3OCEvXJ&#10;oOiryWwWRzwZs/kiR8Nde6prDzMcoUoaKBmO25C+RaRt4A6b08gk2yuTM2WcxKTm+dfEUb+2U9Tr&#10;3948AwAA//8DAFBLAwQUAAYACAAAACEAX7TqhN4AAAAMAQAADwAAAGRycy9kb3ducmV2LnhtbEyP&#10;zU7DMBCE70i8g7VIXBC1gfzQEKcCJBDXlj6AE2+TiHgdxW6Tvj3bExxn9tPsTLlZ3CBOOIXek4aH&#10;lQKB1HjbU6th//1x/wwiREPWDJ5QwxkDbKrrq9IU1s+0xdMutoJDKBRGQxfjWEgZmg6dCSs/IvHt&#10;4CdnIsuplXYyM4e7QT4qlUlneuIPnRnxvcPmZ3d0Gg5f8126nuvPuM+3SfZm+rz2Z61vb5bXFxAR&#10;l/gHw6U+V4eKO9X+SDaIgbVK85RZDWnGGy5EqhJ2ag1Jtn4CWZXy/4jqFwAA//8DAFBLAQItABQA&#10;BgAIAAAAIQC2gziS/gAAAOEBAAATAAAAAAAAAAAAAAAAAAAAAABbQ29udGVudF9UeXBlc10ueG1s&#10;UEsBAi0AFAAGAAgAAAAhADj9If/WAAAAlAEAAAsAAAAAAAAAAAAAAAAALwEAAF9yZWxzLy5yZWxz&#10;UEsBAi0AFAAGAAgAAAAhAGh+/IgkAgAAIwQAAA4AAAAAAAAAAAAAAAAALgIAAGRycy9lMm9Eb2Mu&#10;eG1sUEsBAi0AFAAGAAgAAAAhAF+06oTeAAAADAEAAA8AAAAAAAAAAAAAAAAAfgQAAGRycy9kb3du&#10;cmV2LnhtbFBLBQYAAAAABAAEAPMAAACJBQAAAAA=&#10;" stroked="f">
                <v:textbox>
                  <w:txbxContent>
                    <w:p w:rsidR="00F621CD" w:rsidRPr="00F621CD" w:rsidRDefault="00F621CD">
                      <w:pPr>
                        <w:rPr>
                          <w:rFonts w:ascii="Arial" w:hAnsi="Arial" w:cs="Arial"/>
                          <w:color w:val="ED7D31" w:themeColor="accent2"/>
                          <w:sz w:val="28"/>
                        </w:rPr>
                      </w:pPr>
                      <w:r w:rsidRPr="00F621CD">
                        <w:rPr>
                          <w:rFonts w:ascii="Arial" w:hAnsi="Arial" w:cs="Arial"/>
                          <w:color w:val="ED7D31" w:themeColor="accent2"/>
                          <w:sz w:val="28"/>
                        </w:rPr>
                        <w:t>Learners are not fully involved with their education as the instructors do not record the skills that prisoners have developed, therefore they have no record of achievements to take to them when transferring to another prison or when they are being released, they are not aware of their qualifications and skills</w:t>
                      </w:r>
                      <w:r w:rsidR="007E3F52">
                        <w:rPr>
                          <w:rFonts w:ascii="Arial" w:hAnsi="Arial" w:cs="Arial"/>
                          <w:color w:val="ED7D31" w:themeColor="accent2"/>
                          <w:sz w:val="28"/>
                        </w:rPr>
                        <w:t xml:space="preserve"> (Ofsted, 2018)</w:t>
                      </w:r>
                    </w:p>
                  </w:txbxContent>
                </v:textbox>
                <w10:wrap type="square" anchorx="margin"/>
              </v:shape>
            </w:pict>
          </mc:Fallback>
        </mc:AlternateContent>
      </w:r>
      <w:r w:rsidRPr="006118BD">
        <w:rPr>
          <w:rFonts w:ascii="Arial" w:hAnsi="Arial" w:cs="Arial"/>
          <w:noProof/>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62336" behindDoc="0" locked="0" layoutInCell="1" allowOverlap="1">
                <wp:simplePos x="0" y="0"/>
                <wp:positionH relativeFrom="page">
                  <wp:align>left</wp:align>
                </wp:positionH>
                <wp:positionV relativeFrom="paragraph">
                  <wp:posOffset>284480</wp:posOffset>
                </wp:positionV>
                <wp:extent cx="3689350" cy="2136775"/>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0" cy="2136775"/>
                        </a:xfrm>
                        <a:prstGeom prst="rect">
                          <a:avLst/>
                        </a:prstGeom>
                        <a:solidFill>
                          <a:srgbClr val="FFFFFF"/>
                        </a:solidFill>
                        <a:ln w="9525">
                          <a:noFill/>
                          <a:miter lim="800000"/>
                          <a:headEnd/>
                          <a:tailEnd/>
                        </a:ln>
                      </wps:spPr>
                      <wps:txbx>
                        <w:txbxContent>
                          <w:p w:rsidR="006118BD" w:rsidRPr="00D34B38" w:rsidRDefault="006118BD" w:rsidP="006118BD">
                            <w:pPr>
                              <w:spacing w:line="276" w:lineRule="auto"/>
                              <w:rPr>
                                <w:color w:val="ED7D31" w:themeColor="accent2"/>
                                <w:sz w:val="24"/>
                              </w:rPr>
                            </w:pPr>
                            <w:r w:rsidRPr="00D34B38">
                              <w:rPr>
                                <w:rFonts w:ascii="Arial" w:hAnsi="Arial" w:cs="Arial"/>
                                <w:color w:val="ED7D31" w:themeColor="accent2"/>
                                <w:sz w:val="28"/>
                                <w:szCs w:val="24"/>
                                <w:shd w:val="clear" w:color="auto" w:fill="FFFFFF"/>
                              </w:rPr>
                              <w:t>The turnover of prisoners in an overcrowded environment interrupts the delivery of effective teaching and learning. Prisoners should have the opportunity to receive a learning record which they can take with them to other prisons so that they can continue to develop and achieve</w:t>
                            </w:r>
                            <w:r w:rsidR="000553BB">
                              <w:rPr>
                                <w:rFonts w:ascii="Arial" w:hAnsi="Arial" w:cs="Arial"/>
                                <w:color w:val="ED7D31" w:themeColor="accent2"/>
                                <w:sz w:val="28"/>
                                <w:szCs w:val="24"/>
                                <w:shd w:val="clear" w:color="auto" w:fill="FFFFFF"/>
                              </w:rPr>
                              <w:t xml:space="preserve"> (Coates,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22.4pt;width:290.5pt;height:168.25pt;z-index:25166233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ujGJQIAACUEAAAOAAAAZHJzL2Uyb0RvYy54bWysU9uO2yAQfa/Uf0C8N46duxVntc02VaXt&#10;RdrtB2CMY1RgKJDY26/fgWSzaftWlQfEMDOHM2eG9c2gFTkK5yWYiuajMSXCcGik2Vf0++Pu3ZIS&#10;H5hpmAIjKvokPL3ZvH2z7m0pCuhANcIRBDG+7G1FuxBsmWWed0IzPwIrDDpbcJoFNN0+axzrEV2r&#10;rBiP51kPrrEOuPAeb+9OTrpJ+G0rePjatl4EoiqK3ELaXdrruGebNSv3jtlO8jMN9g8sNJMGH71A&#10;3bHAyMHJv6C05A48tGHEQWfQtpKLVANWk4//qOahY1akWlAcby8y+f8Hy78cvzkim4oW+YISwzQ2&#10;6VEMgbyHgRRRn976EsMeLAaGAa+xz6lWb++B//DEwLZjZi9unYO+E6xBfnnMzK5STzg+gtT9Z2jw&#10;GXYIkICG1ukoHspBEB379HTpTaTC8XIyX64mM3Rx9BX5ZL5YzNIbrHxJt86HjwI0iYeKOmx+gmfH&#10;ex8iHVa+hMTXPCjZ7KRSyXD7eqscOTIclF1aZ/TfwpQhfUVXs2KWkA3E/DRDWgYcZCV1RZfjuGI6&#10;K6McH0yTzoFJdTojE2XO+kRJTuKEoR5SK6YxN2pXQ/OEgjk4zS3+Mzx04H5R0uPMVtT/PDAnKFGf&#10;DIq+yqfTOOTJmM4WBRru2lNfe5jhCFXRQMnpuA3pY0TaBm6xOa1Msr0yOVPGWUxqnv9NHPZrO0W9&#10;/u7NMwAAAP//AwBQSwMEFAAGAAgAAAAhAEVnxvbcAAAABwEAAA8AAABkcnMvZG93bnJldi54bWxM&#10;j0FPg0AQhe8m/ofNmHgxdsHSFpGhURON19b+gAGmQGR3Cbst9N87nuxx3nt575t8O5tenXn0nbMI&#10;8SICxbZydWcbhMP3x2MKygeyNfXOMsKFPWyL25ucstpNdsfnfWiUlFifEUIbwpBp7auWDfmFG9iK&#10;d3SjoSDn2Oh6pEnKTa+fomitDXVWFloa+L3l6md/MgjHr+lh9TyVn+Gw2SXrN+o2pbsg3t/Nry+g&#10;As/hPwx/+IIOhTCV7mRrr3oEeSQgJInwi7tKYxFKhGUaL0EXub7mL34BAAD//wMAUEsBAi0AFAAG&#10;AAgAAAAhALaDOJL+AAAA4QEAABMAAAAAAAAAAAAAAAAAAAAAAFtDb250ZW50X1R5cGVzXS54bWxQ&#10;SwECLQAUAAYACAAAACEAOP0h/9YAAACUAQAACwAAAAAAAAAAAAAAAAAvAQAAX3JlbHMvLnJlbHNQ&#10;SwECLQAUAAYACAAAACEAXWLoxiUCAAAlBAAADgAAAAAAAAAAAAAAAAAuAgAAZHJzL2Uyb0RvYy54&#10;bWxQSwECLQAUAAYACAAAACEARWfG9twAAAAHAQAADwAAAAAAAAAAAAAAAAB/BAAAZHJzL2Rvd25y&#10;ZXYueG1sUEsFBgAAAAAEAAQA8wAAAIgFAAAAAA==&#10;" stroked="f">
                <v:textbox>
                  <w:txbxContent>
                    <w:p w:rsidR="006118BD" w:rsidRPr="00D34B38" w:rsidRDefault="006118BD" w:rsidP="006118BD">
                      <w:pPr>
                        <w:spacing w:line="276" w:lineRule="auto"/>
                        <w:rPr>
                          <w:color w:val="ED7D31" w:themeColor="accent2"/>
                          <w:sz w:val="24"/>
                        </w:rPr>
                      </w:pPr>
                      <w:r w:rsidRPr="00D34B38">
                        <w:rPr>
                          <w:rFonts w:ascii="Arial" w:hAnsi="Arial" w:cs="Arial"/>
                          <w:color w:val="ED7D31" w:themeColor="accent2"/>
                          <w:sz w:val="28"/>
                          <w:szCs w:val="24"/>
                          <w:shd w:val="clear" w:color="auto" w:fill="FFFFFF"/>
                        </w:rPr>
                        <w:t>The turnover of prisoners in an overcrowded environment interrupts the delivery of effective teaching and learning. Prisoners should have the opportunity to receive a learning record which they can take with them to other prisons so that they can continue to develop and achieve</w:t>
                      </w:r>
                      <w:r w:rsidR="000553BB">
                        <w:rPr>
                          <w:rFonts w:ascii="Arial" w:hAnsi="Arial" w:cs="Arial"/>
                          <w:color w:val="ED7D31" w:themeColor="accent2"/>
                          <w:sz w:val="28"/>
                          <w:szCs w:val="24"/>
                          <w:shd w:val="clear" w:color="auto" w:fill="FFFFFF"/>
                        </w:rPr>
                        <w:t xml:space="preserve"> (Coates, 2015)</w:t>
                      </w:r>
                    </w:p>
                  </w:txbxContent>
                </v:textbox>
                <w10:wrap type="square" anchorx="page"/>
              </v:shape>
            </w:pict>
          </mc:Fallback>
        </mc:AlternateContent>
      </w:r>
      <w:r w:rsidR="007E3F52" w:rsidRPr="006118BD">
        <w:rPr>
          <w:rFonts w:ascii="Arial" w:hAnsi="Arial" w:cs="Arial"/>
          <w:noProof/>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66432" behindDoc="0" locked="0" layoutInCell="1" allowOverlap="1">
                <wp:simplePos x="0" y="0"/>
                <wp:positionH relativeFrom="column">
                  <wp:posOffset>3291205</wp:posOffset>
                </wp:positionH>
                <wp:positionV relativeFrom="paragraph">
                  <wp:posOffset>2350135</wp:posOffset>
                </wp:positionV>
                <wp:extent cx="3359785" cy="1668780"/>
                <wp:effectExtent l="0" t="0" r="0" b="76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785" cy="1668780"/>
                        </a:xfrm>
                        <a:prstGeom prst="rect">
                          <a:avLst/>
                        </a:prstGeom>
                        <a:solidFill>
                          <a:srgbClr val="FFFFFF"/>
                        </a:solidFill>
                        <a:ln w="9525">
                          <a:noFill/>
                          <a:miter lim="800000"/>
                          <a:headEnd/>
                          <a:tailEnd/>
                        </a:ln>
                      </wps:spPr>
                      <wps:txbx>
                        <w:txbxContent>
                          <w:p w:rsidR="006118BD" w:rsidRPr="00D34B38" w:rsidRDefault="006118BD">
                            <w:pPr>
                              <w:rPr>
                                <w:b/>
                                <w:color w:val="ED7D31" w:themeColor="accent2"/>
                                <w:sz w:val="28"/>
                              </w:rPr>
                            </w:pPr>
                            <w:r w:rsidRPr="00D34B38">
                              <w:rPr>
                                <w:b/>
                                <w:color w:val="ED7D31" w:themeColor="accent2"/>
                                <w:sz w:val="28"/>
                              </w:rPr>
                              <w:t>Higher Education are more likely to transform when released as they can continue with their learning with organisations such as the Prisoner Education</w:t>
                            </w:r>
                            <w:r w:rsidR="007E3F52">
                              <w:rPr>
                                <w:b/>
                                <w:color w:val="ED7D31" w:themeColor="accent2"/>
                                <w:sz w:val="28"/>
                              </w:rPr>
                              <w:t xml:space="preserve"> (Coates, 2015).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59.15pt;margin-top:185.05pt;width:264.55pt;height:131.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ySxJAIAACMEAAAOAAAAZHJzL2Uyb0RvYy54bWysU9uO2yAQfa/Uf0C8N87N2cSKs9pmm6rS&#10;9iLt9gMwxjEqMBRI7PTrO+AkjbZvVXlADDMcZs6cWd/3WpGjcF6CKelkNKZEGA61NPuSfn/ZvVtS&#10;4gMzNVNgRElPwtP7zds3684WYgotqFo4giDGF50taRuCLbLM81Zo5kdghUFnA06zgKbbZ7VjHaJr&#10;lU3H40XWgautAy68x9vHwUk3Cb9pBA9fm8aLQFRJMbeQdpf2Ku7ZZs2KvWO2lfycBvuHLDSTBj+9&#10;Qj2ywMjByb+gtOQOPDRhxEFn0DSSi1QDVjMZv6rmuWVWpFqQHG+vNPn/B8u/HL85IuuSzigxTGOL&#10;XkQfyHvoyTSy01lfYNCzxbDQ4zV2OVXq7RPwH54Y2LbM7MWDc9C1gtWY3SS+zG6eDjg+glTdZ6jx&#10;G3YIkID6xulIHZJBEB27dLp2JqbC8XI2y1d3y5wSjr7JYrG8W6beZay4PLfOh48CNImHkjpsfYJn&#10;xycfYjqsuITE3zwoWe+kUslw+2qrHDkylMkurVTBqzBlSFfSVT7NE7KB+D4pSMuAMlZSl3Q5jmsQ&#10;VqTjg6lTSGBSDWfMRJkzP5GSgZzQV31qRH6hvYL6hIQ5GFSLU4aHFtwvSjpUbEn9zwNzghL1ySDp&#10;q8l8HiWejHl+N0XD3XqqWw8zHKFKGigZjtuQxiLSYeABm9PIRFvs4pDJOWVUYmLzPDVR6rd2ivoz&#10;25vfAAAA//8DAFBLAwQUAAYACAAAACEAUckNUOEAAAAMAQAADwAAAGRycy9kb3ducmV2LnhtbEyP&#10;QW6DMBBF95V6B2sqdVM1NoFAQhiitlKrbpPmAAZPAAXbCDuB3L7Oql2O/tP/b4rdrHt2pdF11iBE&#10;CwGMTG1VZxqE48/n6xqY89Io2VtDCDdysCsfHwqZKzuZPV0PvmGhxLhcIrTeDznnrm5JS7ewA5mQ&#10;neyopQ/n2HA1yimU654vhUi5lp0JC60c6KOl+ny4aITT9/Sy2kzVlz9m+yR9l11W2Rvi89P8tgXm&#10;afZ/MNz1gzqUwamyF6Mc6xFW0ToOKEKciQjYnRBJlgCrENJ4uQFeFvz/E+UvAAAA//8DAFBLAQIt&#10;ABQABgAIAAAAIQC2gziS/gAAAOEBAAATAAAAAAAAAAAAAAAAAAAAAABbQ29udGVudF9UeXBlc10u&#10;eG1sUEsBAi0AFAAGAAgAAAAhADj9If/WAAAAlAEAAAsAAAAAAAAAAAAAAAAALwEAAF9yZWxzLy5y&#10;ZWxzUEsBAi0AFAAGAAgAAAAhAIl7JLEkAgAAIwQAAA4AAAAAAAAAAAAAAAAALgIAAGRycy9lMm9E&#10;b2MueG1sUEsBAi0AFAAGAAgAAAAhAFHJDVDhAAAADAEAAA8AAAAAAAAAAAAAAAAAfgQAAGRycy9k&#10;b3ducmV2LnhtbFBLBQYAAAAABAAEAPMAAACMBQAAAAA=&#10;" stroked="f">
                <v:textbox>
                  <w:txbxContent>
                    <w:p w:rsidR="006118BD" w:rsidRPr="00D34B38" w:rsidRDefault="006118BD">
                      <w:pPr>
                        <w:rPr>
                          <w:b/>
                          <w:color w:val="ED7D31" w:themeColor="accent2"/>
                          <w:sz w:val="28"/>
                        </w:rPr>
                      </w:pPr>
                      <w:r w:rsidRPr="00D34B38">
                        <w:rPr>
                          <w:b/>
                          <w:color w:val="ED7D31" w:themeColor="accent2"/>
                          <w:sz w:val="28"/>
                        </w:rPr>
                        <w:t>Higher Education are more likely to transform when released as they can continue with their learning with organisations such as the Prisoner Education</w:t>
                      </w:r>
                      <w:r w:rsidR="007E3F52">
                        <w:rPr>
                          <w:b/>
                          <w:color w:val="ED7D31" w:themeColor="accent2"/>
                          <w:sz w:val="28"/>
                        </w:rPr>
                        <w:t xml:space="preserve"> (Coates, 2015). </w:t>
                      </w:r>
                    </w:p>
                  </w:txbxContent>
                </v:textbox>
                <w10:wrap type="square"/>
              </v:shape>
            </w:pict>
          </mc:Fallback>
        </mc:AlternateContent>
      </w:r>
      <w:r w:rsidR="005C3D07" w:rsidRPr="006118BD">
        <w:rPr>
          <w:rFonts w:ascii="Arial" w:hAnsi="Arial" w:cs="Arial"/>
          <w:noProof/>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64384" behindDoc="0" locked="0" layoutInCell="1" allowOverlap="1">
                <wp:simplePos x="0" y="0"/>
                <wp:positionH relativeFrom="page">
                  <wp:posOffset>38100</wp:posOffset>
                </wp:positionH>
                <wp:positionV relativeFrom="paragraph">
                  <wp:posOffset>2519045</wp:posOffset>
                </wp:positionV>
                <wp:extent cx="3827145" cy="1945640"/>
                <wp:effectExtent l="0" t="0" r="190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1945640"/>
                        </a:xfrm>
                        <a:prstGeom prst="rect">
                          <a:avLst/>
                        </a:prstGeom>
                        <a:solidFill>
                          <a:srgbClr val="FFFFFF"/>
                        </a:solidFill>
                        <a:ln w="9525">
                          <a:noFill/>
                          <a:miter lim="800000"/>
                          <a:headEnd/>
                          <a:tailEnd/>
                        </a:ln>
                      </wps:spPr>
                      <wps:txbx>
                        <w:txbxContent>
                          <w:p w:rsidR="006118BD" w:rsidRDefault="006118BD" w:rsidP="000553BB">
                            <w:pPr>
                              <w:spacing w:before="240" w:after="0" w:line="276" w:lineRule="auto"/>
                            </w:pPr>
                            <w:r w:rsidRPr="000553BB">
                              <w:rPr>
                                <w:rFonts w:ascii="Arial" w:hAnsi="Arial" w:cs="Arial"/>
                                <w:color w:val="ED7D31" w:themeColor="accent2"/>
                                <w:sz w:val="24"/>
                                <w:szCs w:val="24"/>
                                <w:shd w:val="clear" w:color="auto" w:fill="FFFFFF"/>
                              </w:rPr>
                              <w:t>Learners are not fully involved with their education as the instructors do not record the skills that prisoners have developed, therefore they have no record of achievements to take to them when transferring to another prison or when they are being released, they are not aware of their qualifications and skills</w:t>
                            </w:r>
                            <w:r w:rsidR="000553BB">
                              <w:rPr>
                                <w:rFonts w:ascii="Arial" w:hAnsi="Arial" w:cs="Arial"/>
                                <w:color w:val="ED7D31" w:themeColor="accent2"/>
                                <w:sz w:val="24"/>
                                <w:szCs w:val="24"/>
                                <w:shd w:val="clear" w:color="auto" w:fill="FFFFFF"/>
                              </w:rPr>
                              <w:t xml:space="preserve"> (Farley</w:t>
                            </w:r>
                            <w:r w:rsidR="005C3D07">
                              <w:rPr>
                                <w:rFonts w:ascii="Arial" w:hAnsi="Arial" w:cs="Arial"/>
                                <w:color w:val="ED7D31" w:themeColor="accent2"/>
                                <w:sz w:val="24"/>
                                <w:szCs w:val="24"/>
                                <w:shd w:val="clear" w:color="auto" w:fill="FFFFFF"/>
                              </w:rPr>
                              <w:t>, Helen and Pike, Anne, 2016)</w:t>
                            </w:r>
                          </w:p>
                          <w:p w:rsidR="00A544D1" w:rsidRDefault="00A544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pt;margin-top:198.35pt;width:301.35pt;height:153.2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z0JAIAACMEAAAOAAAAZHJzL2Uyb0RvYy54bWysU9uO2yAQfa/Uf0C8N47dJJtYcVbbbFNV&#10;2l6k3X4AxjhGBYYCib39+h1wkkbbt6o8IIYZDjPnzKxvB63IUTgvwVQ0n0wpEYZDI82+oj+edu+W&#10;lPjATMMUGFHRZ+Hp7ebtm3VvS1FAB6oRjiCI8WVvK9qFYMss87wTmvkJWGHQ2YLTLKDp9lnjWI/o&#10;WmXFdLrIenCNdcCF93h7PzrpJuG3reDhW9t6EYiqKOYW0u7SXsc926xZuXfMdpKf0mD/kIVm0uCn&#10;F6h7Fhg5OPkXlJbcgYc2TDjoDNpWcpFqwGry6atqHjtmRaoFyfH2QpP/f7D86/G7I7KpaEGJYRol&#10;ehJDIB9gIEVkp7e+xKBHi2FhwGtUOVXq7QPwn54Y2HbM7MWdc9B3gjWYXR5fZldPRxwfQer+CzT4&#10;DTsESEBD63SkDskgiI4qPV+UialwvHy/LG7y2ZwSjr58NZsvZkm7jJXn59b58EmAJvFQUYfSJ3h2&#10;fPAhpsPKc0j8zYOSzU4qlQy3r7fKkSPDNtmllSp4FaYM6Su6mhfzhGwgvk8dpGXANlZSV3Q5jWts&#10;rEjHR9OkkMCkGs+YiTInfiIlIzlhqIckxOJMew3NMxLmYOxanDI8dOB+U9Jjx1bU/zowJyhRnw2S&#10;vspnSAoJyZjNbwo03LWnvvYwwxGqooGS8bgNaSwiHQbuUJxWJtqiimMmp5SxExObp6mJrX5tp6g/&#10;s715AQAA//8DAFBLAwQUAAYACAAAACEATxo9pd4AAAAJAQAADwAAAGRycy9kb3ducmV2LnhtbEyP&#10;wU7DMBBE70j8g7VIXBC1S8FpQ5wKkEBcW/oBm9hNIuJ1FLtN+vcsJ7jNalYzb4rt7HtxdmPsAhlY&#10;LhQIR3WwHTUGDl/v92sQMSFZ7AM5AxcXYVteXxWY2zDRzp33qREcQjFHA21KQy5lrFvnMS7C4Ii9&#10;Yxg9Jj7HRtoRJw73vXxQSkuPHXFDi4N7a139vT95A8fP6e5pM1Uf6ZDtHvUrdlkVLsbc3swvzyCS&#10;m9PfM/ziMzqUzFSFE9koegOalyQDq43OQLCv1ZpFZSBTqyXIspD/F5Q/AAAA//8DAFBLAQItABQA&#10;BgAIAAAAIQC2gziS/gAAAOEBAAATAAAAAAAAAAAAAAAAAAAAAABbQ29udGVudF9UeXBlc10ueG1s&#10;UEsBAi0AFAAGAAgAAAAhADj9If/WAAAAlAEAAAsAAAAAAAAAAAAAAAAALwEAAF9yZWxzLy5yZWxz&#10;UEsBAi0AFAAGAAgAAAAhAGONvPQkAgAAIwQAAA4AAAAAAAAAAAAAAAAALgIAAGRycy9lMm9Eb2Mu&#10;eG1sUEsBAi0AFAAGAAgAAAAhAE8aPaXeAAAACQEAAA8AAAAAAAAAAAAAAAAAfgQAAGRycy9kb3du&#10;cmV2LnhtbFBLBQYAAAAABAAEAPMAAACJBQAAAAA=&#10;" stroked="f">
                <v:textbox>
                  <w:txbxContent>
                    <w:p w:rsidR="006118BD" w:rsidRDefault="006118BD" w:rsidP="000553BB">
                      <w:pPr>
                        <w:spacing w:before="240" w:after="0" w:line="276" w:lineRule="auto"/>
                      </w:pPr>
                      <w:r w:rsidRPr="000553BB">
                        <w:rPr>
                          <w:rFonts w:ascii="Arial" w:hAnsi="Arial" w:cs="Arial"/>
                          <w:color w:val="ED7D31" w:themeColor="accent2"/>
                          <w:sz w:val="24"/>
                          <w:szCs w:val="24"/>
                          <w:shd w:val="clear" w:color="auto" w:fill="FFFFFF"/>
                        </w:rPr>
                        <w:t>Learners are not fully involved with their education as the instructors do not record the skills that prisoners have developed, therefore they have no record of achievements to take to them when transferring to another prison or when they are being released, they are not aware of their qualifications and skills</w:t>
                      </w:r>
                      <w:r w:rsidR="000553BB">
                        <w:rPr>
                          <w:rFonts w:ascii="Arial" w:hAnsi="Arial" w:cs="Arial"/>
                          <w:color w:val="ED7D31" w:themeColor="accent2"/>
                          <w:sz w:val="24"/>
                          <w:szCs w:val="24"/>
                          <w:shd w:val="clear" w:color="auto" w:fill="FFFFFF"/>
                        </w:rPr>
                        <w:t xml:space="preserve"> (Farley</w:t>
                      </w:r>
                      <w:r w:rsidR="005C3D07">
                        <w:rPr>
                          <w:rFonts w:ascii="Arial" w:hAnsi="Arial" w:cs="Arial"/>
                          <w:color w:val="ED7D31" w:themeColor="accent2"/>
                          <w:sz w:val="24"/>
                          <w:szCs w:val="24"/>
                          <w:shd w:val="clear" w:color="auto" w:fill="FFFFFF"/>
                        </w:rPr>
                        <w:t>, Helen and Pike, Anne, 2016)</w:t>
                      </w:r>
                    </w:p>
                    <w:p w:rsidR="00A544D1" w:rsidRDefault="00A544D1"/>
                  </w:txbxContent>
                </v:textbox>
                <w10:wrap type="square" anchorx="page"/>
              </v:shape>
            </w:pict>
          </mc:Fallback>
        </mc:AlternateContent>
      </w:r>
      <w:r w:rsidR="00D34B38">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A544D1" w:rsidRPr="00A544D1" w:rsidRDefault="00A544D1" w:rsidP="00A544D1">
      <w:pPr>
        <w:rPr>
          <w:rFonts w:ascii="Arial" w:hAnsi="Arial" w:cs="Arial"/>
          <w:sz w:val="44"/>
          <w:szCs w:val="44"/>
        </w:rPr>
      </w:pPr>
    </w:p>
    <w:p w:rsidR="00A544D1" w:rsidRPr="00A544D1" w:rsidRDefault="00A544D1" w:rsidP="00A544D1">
      <w:pPr>
        <w:rPr>
          <w:rFonts w:ascii="Arial" w:hAnsi="Arial" w:cs="Arial"/>
          <w:sz w:val="44"/>
          <w:szCs w:val="44"/>
        </w:rPr>
      </w:pPr>
    </w:p>
    <w:p w:rsidR="00A544D1" w:rsidRDefault="00A544D1" w:rsidP="00A544D1">
      <w:pPr>
        <w:rPr>
          <w:rFonts w:ascii="Arial" w:hAnsi="Arial" w:cs="Arial"/>
          <w:sz w:val="44"/>
          <w:szCs w:val="44"/>
        </w:rPr>
      </w:pPr>
    </w:p>
    <w:p w:rsidR="007278D1" w:rsidRDefault="008F2F4F" w:rsidP="00A544D1">
      <w:pPr>
        <w:tabs>
          <w:tab w:val="left" w:pos="1770"/>
        </w:tabs>
        <w:rPr>
          <w:rFonts w:ascii="Arial" w:hAnsi="Arial" w:cs="Arial"/>
          <w:sz w:val="44"/>
          <w:szCs w:val="44"/>
        </w:rPr>
      </w:pPr>
      <w:r w:rsidRPr="00D34B38">
        <w:rPr>
          <w:rFonts w:ascii="Arial" w:hAnsi="Arial" w:cs="Arial"/>
          <w:noProof/>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71552" behindDoc="0" locked="0" layoutInCell="1" allowOverlap="1">
                <wp:simplePos x="0" y="0"/>
                <wp:positionH relativeFrom="margin">
                  <wp:posOffset>6128385</wp:posOffset>
                </wp:positionH>
                <wp:positionV relativeFrom="paragraph">
                  <wp:posOffset>1163955</wp:posOffset>
                </wp:positionV>
                <wp:extent cx="2360930" cy="1404620"/>
                <wp:effectExtent l="0" t="0" r="0" b="889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D34B38" w:rsidRPr="00D34B38" w:rsidRDefault="00D34B38">
                            <w:pPr>
                              <w:rPr>
                                <w:rFonts w:ascii="Arial" w:hAnsi="Arial" w:cs="Arial"/>
                                <w:color w:val="ED7D31" w:themeColor="accent2"/>
                                <w:sz w:val="32"/>
                              </w:rPr>
                            </w:pPr>
                            <w:r w:rsidRPr="00D34B38">
                              <w:rPr>
                                <w:rFonts w:ascii="Arial" w:hAnsi="Arial" w:cs="Arial"/>
                                <w:color w:val="ED7D31" w:themeColor="accent2"/>
                                <w:sz w:val="32"/>
                              </w:rPr>
                              <w:t>More funding is needed for teachers, resources and access to Higher Education</w:t>
                            </w:r>
                            <w:r w:rsidR="005C3D07">
                              <w:rPr>
                                <w:rFonts w:ascii="Arial" w:hAnsi="Arial" w:cs="Arial"/>
                                <w:color w:val="ED7D31" w:themeColor="accent2"/>
                                <w:sz w:val="32"/>
                              </w:rPr>
                              <w:t xml:space="preserve"> (The Howard League for Penal Reform, 2014).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margin-left:482.55pt;margin-top:91.65pt;width:185.9pt;height:110.6pt;z-index:25167155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DfuIwIAACM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puKzikxTKNE&#10;L2II5D0MpIjs9NaXmPRsMS0MeIwqp069fQL+wxMDm46ZnXhwDvpOsAarm8ab2dXVEcdHkLr/DA0+&#10;w/YBEtDQOh2pQzIIoqNKx4sysRSOh8XNIl/eYIhjbDrLZ4siaZex8nzdOh8+CtAkLirqUPoEzw5P&#10;PsRyWHlOia95ULLZSqXSxu3qjXLkwNAm2zRSB6/SlCF9RZfzYp6QDcT7yUFaBrSxkrqid3kco7Ei&#10;HR9Mk1ICk2pcYyXKnPiJlIzkhKEekhC3Z9praI5ImIPRtfjLcNGB+0VJj46tqP+5Z05Qoj4ZJH05&#10;nc2ixdNmNr9Fhoi7jtTXEWY4QlU0UDIuNyF9i0SHfUBxtjLRFlUcKzmVjE5MbJ5+TbT69T5l/fnb&#10;698AAAD//wMAUEsDBBQABgAIAAAAIQAKmb224gAAAAwBAAAPAAAAZHJzL2Rvd25yZXYueG1sTI/L&#10;bsIwEEX3lfoP1lTqpirOAyJI4yD62rCDBonlkAxJ2ngcxQbSfn3Nql2O7tG9Z7LlqDtxpsG2hhWE&#10;kwAEcWmqlmsFxcf74xyEdcgVdoZJwTdZWOa3Nxmmlbnwhs5bVwtfwjZFBY1zfSqlLRvSaCemJ/bZ&#10;0QwanT+HWlYDXny57mQUBInU2LJfaLCnl4bKr+1JK/h5Ll5Xbw8uPEZuH+02el2Un6jU/d24egLh&#10;aHR/MFz1vTrk3ulgTlxZ0SlYJLPQoz6YxzGIKxHHyQLEQcE0mM5A5pn8/0T+CwAA//8DAFBLAQIt&#10;ABQABgAIAAAAIQC2gziS/gAAAOEBAAATAAAAAAAAAAAAAAAAAAAAAABbQ29udGVudF9UeXBlc10u&#10;eG1sUEsBAi0AFAAGAAgAAAAhADj9If/WAAAAlAEAAAsAAAAAAAAAAAAAAAAALwEAAF9yZWxzLy5y&#10;ZWxzUEsBAi0AFAAGAAgAAAAhAOnMN+4jAgAAIwQAAA4AAAAAAAAAAAAAAAAALgIAAGRycy9lMm9E&#10;b2MueG1sUEsBAi0AFAAGAAgAAAAhAAqZvbbiAAAADAEAAA8AAAAAAAAAAAAAAAAAfQQAAGRycy9k&#10;b3ducmV2LnhtbFBLBQYAAAAABAAEAPMAAACMBQAAAAA=&#10;" stroked="f">
                <v:textbox style="mso-fit-shape-to-text:t">
                  <w:txbxContent>
                    <w:p w:rsidR="00D34B38" w:rsidRPr="00D34B38" w:rsidRDefault="00D34B38">
                      <w:pPr>
                        <w:rPr>
                          <w:rFonts w:ascii="Arial" w:hAnsi="Arial" w:cs="Arial"/>
                          <w:color w:val="ED7D31" w:themeColor="accent2"/>
                          <w:sz w:val="32"/>
                        </w:rPr>
                      </w:pPr>
                      <w:r w:rsidRPr="00D34B38">
                        <w:rPr>
                          <w:rFonts w:ascii="Arial" w:hAnsi="Arial" w:cs="Arial"/>
                          <w:color w:val="ED7D31" w:themeColor="accent2"/>
                          <w:sz w:val="32"/>
                        </w:rPr>
                        <w:t>More funding is needed for teachers, resources and access to Higher Education</w:t>
                      </w:r>
                      <w:r w:rsidR="005C3D07">
                        <w:rPr>
                          <w:rFonts w:ascii="Arial" w:hAnsi="Arial" w:cs="Arial"/>
                          <w:color w:val="ED7D31" w:themeColor="accent2"/>
                          <w:sz w:val="32"/>
                        </w:rPr>
                        <w:t xml:space="preserve"> (The Howard League for Penal Reform, 2014). </w:t>
                      </w:r>
                    </w:p>
                  </w:txbxContent>
                </v:textbox>
                <w10:wrap type="square" anchorx="margin"/>
              </v:shape>
            </w:pict>
          </mc:Fallback>
        </mc:AlternateContent>
      </w:r>
      <w:r w:rsidR="00A544D1">
        <w:rPr>
          <w:rFonts w:ascii="Arial" w:hAnsi="Arial" w:cs="Arial"/>
          <w:sz w:val="44"/>
          <w:szCs w:val="44"/>
        </w:rPr>
        <w:tab/>
      </w:r>
    </w:p>
    <w:p w:rsidR="00A544D1" w:rsidRDefault="00A544D1" w:rsidP="00A544D1">
      <w:pPr>
        <w:tabs>
          <w:tab w:val="left" w:pos="1770"/>
        </w:tabs>
        <w:rPr>
          <w:rFonts w:ascii="Arial" w:hAnsi="Arial" w:cs="Arial"/>
          <w:sz w:val="44"/>
          <w:szCs w:val="44"/>
        </w:rPr>
      </w:pPr>
      <w:r>
        <w:rPr>
          <w:rFonts w:ascii="Arial" w:hAnsi="Arial" w:cs="Arial"/>
          <w:sz w:val="44"/>
          <w:szCs w:val="44"/>
        </w:rPr>
        <w:lastRenderedPageBreak/>
        <w:t xml:space="preserve">References </w:t>
      </w:r>
    </w:p>
    <w:p w:rsidR="00A544D1" w:rsidRPr="0046628D" w:rsidRDefault="00A544D1" w:rsidP="00A544D1">
      <w:pPr>
        <w:spacing w:after="180" w:line="360" w:lineRule="auto"/>
        <w:ind w:left="450" w:hanging="450"/>
        <w:rPr>
          <w:rFonts w:ascii="Arial" w:eastAsia="Times New Roman" w:hAnsi="Arial" w:cs="Arial"/>
          <w:color w:val="000000"/>
          <w:sz w:val="24"/>
          <w:szCs w:val="24"/>
          <w:lang w:eastAsia="en-GB"/>
        </w:rPr>
      </w:pPr>
      <w:r w:rsidRPr="0046628D">
        <w:rPr>
          <w:rFonts w:ascii="Arial" w:eastAsia="Times New Roman" w:hAnsi="Arial" w:cs="Arial"/>
          <w:color w:val="000000"/>
          <w:sz w:val="24"/>
          <w:szCs w:val="24"/>
          <w:lang w:eastAsia="en-GB"/>
        </w:rPr>
        <w:t>Coates, S. (2016). </w:t>
      </w:r>
      <w:r w:rsidRPr="0046628D">
        <w:rPr>
          <w:rFonts w:ascii="Arial" w:eastAsia="Times New Roman" w:hAnsi="Arial" w:cs="Arial"/>
          <w:i/>
          <w:iCs/>
          <w:color w:val="000000"/>
          <w:sz w:val="24"/>
          <w:szCs w:val="24"/>
          <w:lang w:eastAsia="en-GB"/>
        </w:rPr>
        <w:t>Unlocking potential: a review of education in prison</w:t>
      </w:r>
      <w:r w:rsidRPr="0046628D">
        <w:rPr>
          <w:rFonts w:ascii="Arial" w:eastAsia="Times New Roman" w:hAnsi="Arial" w:cs="Arial"/>
          <w:color w:val="000000"/>
          <w:sz w:val="24"/>
          <w:szCs w:val="24"/>
          <w:lang w:eastAsia="en-GB"/>
        </w:rPr>
        <w:t>. [online] GOV.UK. Available at: https://www.gov.uk/government/publications/unlocking-potential-a-review-of-education-in-prison [Accessed 23 Feb. 2019].</w:t>
      </w:r>
    </w:p>
    <w:p w:rsidR="00A544D1" w:rsidRPr="0046628D" w:rsidRDefault="00A544D1" w:rsidP="00A544D1">
      <w:pPr>
        <w:spacing w:before="100" w:beforeAutospacing="1" w:after="100" w:afterAutospacing="1" w:line="360" w:lineRule="auto"/>
        <w:rPr>
          <w:rFonts w:ascii="Arial" w:eastAsia="Times New Roman" w:hAnsi="Arial" w:cs="Arial"/>
          <w:sz w:val="24"/>
          <w:szCs w:val="24"/>
          <w:lang w:eastAsia="en-GB"/>
        </w:rPr>
      </w:pPr>
      <w:r w:rsidRPr="0046628D">
        <w:rPr>
          <w:rFonts w:ascii="Arial" w:eastAsia="Times New Roman" w:hAnsi="Arial" w:cs="Arial"/>
          <w:sz w:val="24"/>
          <w:szCs w:val="24"/>
          <w:lang w:eastAsia="en-GB"/>
        </w:rPr>
        <w:t>Farley, Helen and Pike, Anne (2016). Engaging prisoners in Education. Reducing risk and recidivism. Advancing Corrections: Journal of the International Corrections and Prison Association. 1pp. 65-73</w:t>
      </w:r>
    </w:p>
    <w:p w:rsidR="008F2F4F" w:rsidRDefault="008F2F4F" w:rsidP="008F2F4F">
      <w:pPr>
        <w:spacing w:after="180" w:line="360" w:lineRule="auto"/>
        <w:ind w:left="450" w:hanging="450"/>
        <w:rPr>
          <w:rFonts w:ascii="Arial" w:eastAsia="Times New Roman" w:hAnsi="Arial" w:cs="Arial"/>
          <w:color w:val="000000"/>
          <w:sz w:val="24"/>
          <w:szCs w:val="24"/>
          <w:lang w:eastAsia="en-GB"/>
        </w:rPr>
      </w:pPr>
      <w:r w:rsidRPr="0046628D">
        <w:rPr>
          <w:rFonts w:ascii="Arial" w:eastAsia="Times New Roman" w:hAnsi="Arial" w:cs="Arial"/>
          <w:color w:val="000000"/>
          <w:sz w:val="24"/>
          <w:szCs w:val="24"/>
          <w:lang w:eastAsia="en-GB"/>
        </w:rPr>
        <w:t>Ofsted (2018). </w:t>
      </w:r>
      <w:r w:rsidRPr="0046628D">
        <w:rPr>
          <w:rFonts w:ascii="Arial" w:eastAsia="Times New Roman" w:hAnsi="Arial" w:cs="Arial"/>
          <w:i/>
          <w:iCs/>
          <w:color w:val="000000"/>
          <w:sz w:val="24"/>
          <w:szCs w:val="24"/>
          <w:lang w:eastAsia="en-GB"/>
        </w:rPr>
        <w:t>The Annual Report of Her Majesty’s Chief Inspector of Education, Children’s Services and Skills 2017/18</w:t>
      </w:r>
      <w:r w:rsidRPr="0046628D">
        <w:rPr>
          <w:rFonts w:ascii="Arial" w:eastAsia="Times New Roman" w:hAnsi="Arial" w:cs="Arial"/>
          <w:color w:val="000000"/>
          <w:sz w:val="24"/>
          <w:szCs w:val="24"/>
          <w:lang w:eastAsia="en-GB"/>
        </w:rPr>
        <w:t>. [online] GOV.UK. Available at: https://www.gov.uk/government/publications/ofsted-annual-report-201718-education-childrens-services-and-skills/the-annual-report-of-her-majestys-chief-inspector-of-education-childrens-services-and-skills-201718#FES-prisons-YOIs [Accessed 23 Feb. 2019].</w:t>
      </w:r>
    </w:p>
    <w:p w:rsidR="0095443B" w:rsidRPr="0046628D" w:rsidRDefault="0095443B" w:rsidP="0095443B">
      <w:pPr>
        <w:spacing w:after="180" w:line="360" w:lineRule="auto"/>
        <w:ind w:left="450" w:hanging="450"/>
        <w:rPr>
          <w:rFonts w:ascii="Arial" w:eastAsia="Times New Roman" w:hAnsi="Arial" w:cs="Arial"/>
          <w:color w:val="000000"/>
          <w:sz w:val="24"/>
          <w:szCs w:val="24"/>
          <w:lang w:eastAsia="en-GB"/>
        </w:rPr>
      </w:pPr>
      <w:r w:rsidRPr="0046628D">
        <w:rPr>
          <w:rFonts w:ascii="Arial" w:eastAsia="Times New Roman" w:hAnsi="Arial" w:cs="Arial"/>
          <w:color w:val="000000"/>
          <w:sz w:val="24"/>
          <w:szCs w:val="24"/>
          <w:lang w:eastAsia="en-GB"/>
        </w:rPr>
        <w:t>The Howard League for Penal Reform (2019). </w:t>
      </w:r>
      <w:r w:rsidRPr="0046628D">
        <w:rPr>
          <w:rFonts w:ascii="Arial" w:eastAsia="Times New Roman" w:hAnsi="Arial" w:cs="Arial"/>
          <w:i/>
          <w:iCs/>
          <w:color w:val="000000"/>
          <w:sz w:val="24"/>
          <w:szCs w:val="24"/>
          <w:lang w:eastAsia="en-GB"/>
        </w:rPr>
        <w:t>Breaking point: Understaffing and overcrowding in prisons</w:t>
      </w:r>
      <w:r w:rsidRPr="0046628D">
        <w:rPr>
          <w:rFonts w:ascii="Arial" w:eastAsia="Times New Roman" w:hAnsi="Arial" w:cs="Arial"/>
          <w:color w:val="000000"/>
          <w:sz w:val="24"/>
          <w:szCs w:val="24"/>
          <w:lang w:eastAsia="en-GB"/>
        </w:rPr>
        <w:t>. [online] Howardleague.org. Available at: https://howardleague.org/wp-content/uploads/2016/03/Breaking-point-10.07.2014.pdf [Accessed 23 Feb. 2019].</w:t>
      </w:r>
    </w:p>
    <w:p w:rsidR="0095443B" w:rsidRPr="0046628D" w:rsidRDefault="0095443B" w:rsidP="008F2F4F">
      <w:pPr>
        <w:spacing w:after="180" w:line="360" w:lineRule="auto"/>
        <w:ind w:left="450" w:hanging="450"/>
        <w:rPr>
          <w:rFonts w:ascii="Arial" w:eastAsia="Times New Roman" w:hAnsi="Arial" w:cs="Arial"/>
          <w:color w:val="000000"/>
          <w:sz w:val="24"/>
          <w:szCs w:val="24"/>
          <w:lang w:eastAsia="en-GB"/>
        </w:rPr>
      </w:pPr>
      <w:bookmarkStart w:id="0" w:name="_GoBack"/>
      <w:bookmarkEnd w:id="0"/>
    </w:p>
    <w:p w:rsidR="00A544D1" w:rsidRPr="00A544D1" w:rsidRDefault="00A544D1" w:rsidP="00A544D1">
      <w:pPr>
        <w:tabs>
          <w:tab w:val="left" w:pos="1770"/>
        </w:tabs>
        <w:rPr>
          <w:rFonts w:ascii="Arial" w:hAnsi="Arial" w:cs="Arial"/>
          <w:sz w:val="44"/>
          <w:szCs w:val="44"/>
        </w:rPr>
      </w:pPr>
    </w:p>
    <w:sectPr w:rsidR="00A544D1" w:rsidRPr="00A544D1" w:rsidSect="00D34B3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5BDC" w:rsidRDefault="00685BDC" w:rsidP="006118BD">
      <w:pPr>
        <w:spacing w:after="0" w:line="240" w:lineRule="auto"/>
      </w:pPr>
      <w:r>
        <w:separator/>
      </w:r>
    </w:p>
  </w:endnote>
  <w:endnote w:type="continuationSeparator" w:id="0">
    <w:p w:rsidR="00685BDC" w:rsidRDefault="00685BDC" w:rsidP="00611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5BDC" w:rsidRDefault="00685BDC" w:rsidP="006118BD">
      <w:pPr>
        <w:spacing w:after="0" w:line="240" w:lineRule="auto"/>
      </w:pPr>
      <w:r>
        <w:separator/>
      </w:r>
    </w:p>
  </w:footnote>
  <w:footnote w:type="continuationSeparator" w:id="0">
    <w:p w:rsidR="00685BDC" w:rsidRDefault="00685BDC" w:rsidP="006118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D1"/>
    <w:rsid w:val="000553BB"/>
    <w:rsid w:val="002A63AA"/>
    <w:rsid w:val="005C3D07"/>
    <w:rsid w:val="006118BD"/>
    <w:rsid w:val="00664C47"/>
    <w:rsid w:val="00685BDC"/>
    <w:rsid w:val="007278D1"/>
    <w:rsid w:val="00757DB3"/>
    <w:rsid w:val="007A3C47"/>
    <w:rsid w:val="007E3F52"/>
    <w:rsid w:val="008F2F4F"/>
    <w:rsid w:val="0095443B"/>
    <w:rsid w:val="00A544D1"/>
    <w:rsid w:val="00D34B38"/>
    <w:rsid w:val="00F62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9081"/>
  <w15:chartTrackingRefBased/>
  <w15:docId w15:val="{E137827F-DE6A-4CD8-A972-DCBEBFD38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8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8BD"/>
  </w:style>
  <w:style w:type="paragraph" w:styleId="Footer">
    <w:name w:val="footer"/>
    <w:basedOn w:val="Normal"/>
    <w:link w:val="FooterChar"/>
    <w:uiPriority w:val="99"/>
    <w:unhideWhenUsed/>
    <w:rsid w:val="006118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176</Words>
  <Characters>1005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Payne</dc:creator>
  <cp:keywords/>
  <dc:description/>
  <cp:lastModifiedBy>Georgina Payne</cp:lastModifiedBy>
  <cp:revision>6</cp:revision>
  <dcterms:created xsi:type="dcterms:W3CDTF">2019-03-06T15:48:00Z</dcterms:created>
  <dcterms:modified xsi:type="dcterms:W3CDTF">2019-03-06T17:37:00Z</dcterms:modified>
</cp:coreProperties>
</file>