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D0078E" w:rsidP="00D0078E" w14:paraId="784A04C8" w14:textId="2C946E95">
      <w:pPr>
        <w:ind w:firstLine="720"/>
        <w:jc w:val="center"/>
      </w:pPr>
      <w:r>
        <w:t>Twelfth Night Theatre Review</w:t>
      </w:r>
    </w:p>
    <w:p w:rsidR="00CC5DA6" w:rsidP="004E1249" w14:paraId="48EBF7B2" w14:textId="1276F2B7">
      <w:pPr>
        <w:ind w:firstLine="720"/>
      </w:pPr>
      <w:r w:rsidRPr="00B9739A">
        <w:t xml:space="preserve">Twelfth Night, or as this performance is titled; Shakespeare Globe </w:t>
      </w:r>
      <w:r w:rsidRPr="00B9739A" w:rsidR="00085F19">
        <w:t>Theatre</w:t>
      </w:r>
      <w:r w:rsidRPr="00B9739A">
        <w:t>: Twelfth Night. Is a comedic stage play, it is an adaptation of a work of the same name</w:t>
      </w:r>
      <w:r w:rsidR="00085F19">
        <w:t xml:space="preserve">. The Original Twelfth Night was </w:t>
      </w:r>
      <w:r w:rsidR="0084764A">
        <w:t xml:space="preserve">originally written around the year </w:t>
      </w:r>
      <w:r w:rsidR="00A728C4">
        <w:t xml:space="preserve">Sixteen Hundred </w:t>
      </w:r>
      <w:r w:rsidR="0084764A">
        <w:t>, 1600-160</w:t>
      </w:r>
      <w:r w:rsidR="00A728C4">
        <w:t xml:space="preserve">2, but the </w:t>
      </w:r>
      <w:r>
        <w:t>first folio was published in 1623, from either a playbook or a manuscript draft.</w:t>
      </w:r>
      <w:r>
        <w:rPr>
          <w:rStyle w:val="FootnoteReference"/>
        </w:rPr>
        <w:footnoteReference w:id="2"/>
      </w:r>
      <w:r>
        <w:t xml:space="preserve"> This Production of Twelfth Night was </w:t>
      </w:r>
      <w:r w:rsidR="00D1127B">
        <w:t>originally performed in</w:t>
      </w:r>
      <w:r w:rsidR="00837C9A">
        <w:t xml:space="preserve"> 2012</w:t>
      </w:r>
      <w:r w:rsidR="00D1127B">
        <w:t xml:space="preserve"> for </w:t>
      </w:r>
      <w:r w:rsidR="004E1249">
        <w:t>Shakespeare’s</w:t>
      </w:r>
      <w:r w:rsidR="00711A19">
        <w:t xml:space="preserve"> Globe Theatre Co</w:t>
      </w:r>
      <w:r w:rsidR="004E1249">
        <w:t>mpany.</w:t>
      </w:r>
      <w:r>
        <w:rPr>
          <w:rStyle w:val="FootnoteReference"/>
        </w:rPr>
        <w:footnoteReference w:id="3"/>
      </w:r>
      <w:r w:rsidR="004E1249">
        <w:t xml:space="preserve"> It was an interesting </w:t>
      </w:r>
      <w:r w:rsidR="0090479C">
        <w:t>adaptation</w:t>
      </w:r>
      <w:r w:rsidR="004E1249">
        <w:t xml:space="preserve"> of the play, although it is a bit strange</w:t>
      </w:r>
      <w:r w:rsidR="0090479C">
        <w:t>, in that in many ways it is a faithful adaptation of not only the original script but also in many ways of the authentic Renaissance theatre experience itself</w:t>
      </w:r>
      <w:r w:rsidR="00BC6219">
        <w:t>, with a few glaring exce</w:t>
      </w:r>
      <w:r w:rsidR="00F55391">
        <w:t xml:space="preserve">ptions. </w:t>
      </w:r>
    </w:p>
    <w:p w:rsidR="00834EDC" w:rsidP="004E1249" w14:paraId="73A05B39" w14:textId="5D03BA8D">
      <w:pPr>
        <w:ind w:firstLine="720"/>
      </w:pPr>
      <w:r>
        <w:t>The play itself was performed at the Globe Theatre in London, and unlike some other contemporary plays it stuck fairly closely to the Shakespearean and Renaissance practice of having very bare and undecorated sets</w:t>
      </w:r>
      <w:r w:rsidR="00A97406">
        <w:t xml:space="preserve"> with “a few key props”</w:t>
      </w:r>
      <w:r>
        <w:t>.</w:t>
      </w:r>
      <w:r>
        <w:rPr>
          <w:rStyle w:val="FootnoteReference"/>
        </w:rPr>
        <w:footnoteReference w:id="4"/>
      </w:r>
      <w:r>
        <w:t xml:space="preserve"> </w:t>
      </w:r>
      <w:r w:rsidR="002F608B">
        <w:t>The bareness of the stage was in no way a detriment to this performance, in many ways the simple garlands and wreaths that were used to decorate the pillars and back</w:t>
      </w:r>
      <w:r w:rsidR="00AD4CB7">
        <w:t xml:space="preserve"> wall</w:t>
      </w:r>
      <w:r w:rsidR="00E32A12">
        <w:t xml:space="preserve"> of the upstage area added all that was needed. The lack of elaborate </w:t>
      </w:r>
      <w:r w:rsidR="00232B4A">
        <w:t>sets led to some very clever direction and acting on the part of the players</w:t>
      </w:r>
      <w:r w:rsidR="002568D1">
        <w:t xml:space="preserve">, the cast used the few props that were present in a way that painted a picture of what the audience should imagine the stage to look like. </w:t>
      </w:r>
      <w:r w:rsidR="007E7426">
        <w:t xml:space="preserve">The whole of the furniture on the stage amounted to a table, </w:t>
      </w:r>
      <w:r w:rsidR="002E0E30">
        <w:t xml:space="preserve">two sets of long benches and one short bench. </w:t>
      </w:r>
      <w:r w:rsidR="00D940FC">
        <w:t xml:space="preserve">The actors used this limited arsenal of furniture to great effect and it didn't seem that the audience, or the actors for that matter, felt the need for any more props than they had. </w:t>
      </w:r>
      <w:r w:rsidR="00FB4A38">
        <w:t xml:space="preserve">As an adaptation of Shakespeare's work </w:t>
      </w:r>
      <w:r w:rsidR="00FA1F96">
        <w:t>this reliance on</w:t>
      </w:r>
      <w:r w:rsidR="003A5037">
        <w:t xml:space="preserve"> a </w:t>
      </w:r>
      <w:r w:rsidR="00F654BF">
        <w:t>‘</w:t>
      </w:r>
      <w:r w:rsidR="003A5037">
        <w:t>bare stage</w:t>
      </w:r>
      <w:r w:rsidR="00F654BF">
        <w:t>’</w:t>
      </w:r>
      <w:r w:rsidR="003A5037">
        <w:t xml:space="preserve"> was an excellent choice on</w:t>
      </w:r>
      <w:r w:rsidR="00EC4B10">
        <w:t xml:space="preserve"> the </w:t>
      </w:r>
      <w:r w:rsidR="008131F9">
        <w:t>director’s, Tim</w:t>
      </w:r>
      <w:r w:rsidR="00EC4B10">
        <w:t xml:space="preserve"> Carolle</w:t>
      </w:r>
      <w:r w:rsidR="008131F9">
        <w:t>’s</w:t>
      </w:r>
      <w:r w:rsidR="00EC4B10">
        <w:t xml:space="preserve">, part. This choice grounds the adaptation </w:t>
      </w:r>
      <w:r w:rsidR="00435F27">
        <w:t>in the context of the original work. An overly set-heavy and decorated stage would have detracted from the authentic feel of this adaptation of Shakespeare's great comedy.</w:t>
      </w:r>
      <w:r w:rsidR="0086242A">
        <w:t xml:space="preserve"> </w:t>
      </w:r>
    </w:p>
    <w:p w:rsidR="00F55391" w:rsidP="004E1249" w14:paraId="195DC9C7" w14:textId="5249F98E">
      <w:pPr>
        <w:ind w:firstLine="720"/>
      </w:pPr>
      <w:r>
        <w:t>This decision to ground the play allowed for a few factors that elevated this play as an adaptation of Shakespear</w:t>
      </w:r>
      <w:r w:rsidR="00834EDC">
        <w:t>’</w:t>
      </w:r>
      <w:r>
        <w:t>s work, the first is a feeling of authenticity, a feeling that it is a performance very similar to what may have been performed in a very similar globe theatre four hundred years before. The second is that it allows the director to have a</w:t>
      </w:r>
      <w:r w:rsidR="00D259E5">
        <w:t>n</w:t>
      </w:r>
      <w:r>
        <w:t xml:space="preserve"> </w:t>
      </w:r>
      <w:r w:rsidR="00D259E5">
        <w:t>exceptionally</w:t>
      </w:r>
      <w:r>
        <w:t xml:space="preserve"> fluid change from scene to scene and act to act. </w:t>
      </w:r>
      <w:r w:rsidR="00D259E5">
        <w:t>The main method for changing scenes was the sound of music. The three</w:t>
      </w:r>
      <w:r w:rsidR="00834EDC">
        <w:t xml:space="preserve">, what can only be described as </w:t>
      </w:r>
      <w:r w:rsidR="00834EDC">
        <w:t xml:space="preserve">minstrels or troubadours on the balcony above the main stage would play a tune and the cast walked out from the scene as the cast for the new scene came on. </w:t>
      </w:r>
      <w:r w:rsidR="008131F9">
        <w:t>The grips would carry on or take away the table as needed with no break in the performance. It led to a sort of immersion that is difficult to achieve, where there is no break in the entertainment</w:t>
      </w:r>
      <w:r w:rsidR="00532367">
        <w:t xml:space="preserve">. </w:t>
      </w:r>
      <w:r w:rsidR="00961C0F">
        <w:t xml:space="preserve">The way that one scene </w:t>
      </w:r>
      <w:r w:rsidR="00B157D6">
        <w:t xml:space="preserve">spilled into the next brought life to the play, after about an hour and a half it almost felt real in a very stage-performance way. </w:t>
      </w:r>
    </w:p>
    <w:p w:rsidR="00B157D6" w:rsidP="004E1249" w14:paraId="060AF404" w14:textId="03C6739A">
      <w:pPr>
        <w:ind w:firstLine="720"/>
      </w:pPr>
      <w:r>
        <w:t xml:space="preserve">The play stayed true to Renaissance stage productions in one way, the cast was all male, and the parts of Viola or Ceasario, Lady Olivia and Maria were played by </w:t>
      </w:r>
      <w:r w:rsidR="00024EAB">
        <w:t xml:space="preserve">Johnny Flynn, </w:t>
      </w:r>
      <w:r w:rsidR="00134EDB">
        <w:t>Mark Rylance, and Paul Chahidi</w:t>
      </w:r>
      <w:r w:rsidR="0043731D">
        <w:t>.</w:t>
      </w:r>
      <w:r>
        <w:rPr>
          <w:rStyle w:val="FootnoteReference"/>
        </w:rPr>
        <w:footnoteReference w:id="5"/>
      </w:r>
      <w:r w:rsidR="0043731D">
        <w:t xml:space="preserve"> This was surprising at first, but by the end of the first scene, it didn't seem very odd or out of place. There is one big difference between the </w:t>
      </w:r>
      <w:r w:rsidR="00710019">
        <w:t xml:space="preserve">three actors above and their nameless seventeenth-century counterparts, and that is that in </w:t>
      </w:r>
      <w:r w:rsidR="00260BEF">
        <w:t>the late sixth century and into the middle of the seventeenth century all female parts were played by males, yes, but they were played by boys</w:t>
      </w:r>
      <w:r w:rsidR="000C5D47">
        <w:t xml:space="preserve"> specifically.</w:t>
      </w:r>
      <w:r>
        <w:rPr>
          <w:rStyle w:val="FootnoteReference"/>
        </w:rPr>
        <w:footnoteReference w:id="6"/>
      </w:r>
      <w:r w:rsidR="000C5D47">
        <w:t xml:space="preserve"> </w:t>
      </w:r>
      <w:r w:rsidR="009D72FC">
        <w:t xml:space="preserve">This does lead to discrepancies </w:t>
      </w:r>
      <w:r w:rsidR="002E39C5">
        <w:t>in the adaptation. While the actors played their roles well, th</w:t>
      </w:r>
      <w:r w:rsidR="00EA1EC0">
        <w:t xml:space="preserve">is did lead to confusion with how old some of the characters were supposed to be. </w:t>
      </w:r>
      <w:r w:rsidR="00606EDC">
        <w:t xml:space="preserve">The main example is the Lady Olivia, by her </w:t>
      </w:r>
      <w:r w:rsidR="0036055A">
        <w:t>mannerisms</w:t>
      </w:r>
      <w:r w:rsidR="00606EDC">
        <w:t xml:space="preserve"> and the way </w:t>
      </w:r>
      <w:r w:rsidR="00606EDC">
        <w:t>Mark Rylance</w:t>
      </w:r>
      <w:r w:rsidR="00606EDC">
        <w:t xml:space="preserve"> portrays the character,</w:t>
      </w:r>
      <w:r w:rsidR="0036055A">
        <w:t xml:space="preserve"> she is supposed to be a young woman</w:t>
      </w:r>
      <w:r w:rsidR="0092576C">
        <w:t xml:space="preserve">. In the seventeenth </w:t>
      </w:r>
      <w:r w:rsidR="00C261AF">
        <w:t>century with a young boy as the actor, this would have been easier to believe, and there would have been</w:t>
      </w:r>
      <w:r w:rsidR="00E045E9">
        <w:t xml:space="preserve"> more</w:t>
      </w:r>
      <w:r w:rsidR="00C261AF">
        <w:t xml:space="preserve"> </w:t>
      </w:r>
      <w:r w:rsidRPr="00E045E9" w:rsidR="00E045E9">
        <w:t>verisimilitude</w:t>
      </w:r>
      <w:r w:rsidR="00E045E9">
        <w:t xml:space="preserve"> with that performance</w:t>
      </w:r>
      <w:r w:rsidR="00E8516A">
        <w:t xml:space="preserve">, Mark Rylance did a very good job but the makeup did make his character look older than she was intended to be. </w:t>
      </w:r>
    </w:p>
    <w:p w:rsidR="00E8516A" w:rsidP="004E1249" w14:paraId="0D2F98FB" w14:textId="3C3B6343">
      <w:pPr>
        <w:ind w:firstLine="720"/>
      </w:pPr>
      <w:r>
        <w:t xml:space="preserve">The actors brought the characters to life very well. They did a good job acting, in a similar way to how the seventeenth-century actors did. </w:t>
      </w:r>
      <w:r w:rsidR="00312AE9">
        <w:t>That is to say, their aim was to tell the story and to entertain more than it was to lend life to the character</w:t>
      </w:r>
      <w:r w:rsidR="004E1DFE">
        <w:t>s. This is a difference in modern entertainment and films and renaissance drama.</w:t>
      </w:r>
      <w:r w:rsidR="00312AE9">
        <w:t xml:space="preserve"> </w:t>
      </w:r>
      <w:r w:rsidR="004E1DFE">
        <w:t>The character</w:t>
      </w:r>
      <w:r w:rsidR="00D7458F">
        <w:t>s</w:t>
      </w:r>
      <w:r w:rsidR="004E1DFE">
        <w:t xml:space="preserve"> in a modern television series or film will speak in a very lifelike manner; an example of lifelike dialogue is the Australian television series Mr. In-between </w:t>
      </w:r>
      <w:r w:rsidR="00832386">
        <w:t xml:space="preserve">by FX </w:t>
      </w:r>
      <w:r w:rsidR="004E1DFE">
        <w:t xml:space="preserve">which has been </w:t>
      </w:r>
      <w:r w:rsidR="003B5EFE">
        <w:t xml:space="preserve">lauded for its very life-like </w:t>
      </w:r>
      <w:r w:rsidR="00832386">
        <w:t>dialogue.</w:t>
      </w:r>
      <w:r>
        <w:rPr>
          <w:rStyle w:val="FootnoteReference"/>
        </w:rPr>
        <w:footnoteReference w:id="7"/>
      </w:r>
      <w:r w:rsidR="00832386">
        <w:t xml:space="preserve"> That is not the aim in Shakespeare, or in the writing of his contemporaries, </w:t>
      </w:r>
      <w:r w:rsidR="008A2EA5">
        <w:t>this is something that this adaptation of his work nails, there is not a wasted word in the play, and there is no pretence that this adaptation is anything else other than a play.</w:t>
      </w:r>
    </w:p>
    <w:p w:rsidR="00C369DA" w:rsidP="004E1249" w14:paraId="1B6A4782" w14:textId="4222C195">
      <w:pPr>
        <w:ind w:firstLine="720"/>
      </w:pPr>
      <w:r>
        <w:t>The dialogue for this play is faithful to the original, even in places where a change would have made the line make more sense. An example of this is the use of the Liver as a centre of human feeling, particularly</w:t>
      </w:r>
      <w:r w:rsidR="00B776EF">
        <w:t xml:space="preserve"> in </w:t>
      </w:r>
      <w:r w:rsidR="00FE77E0">
        <w:t>Act</w:t>
      </w:r>
      <w:r w:rsidR="005E7811">
        <w:t xml:space="preserve"> IV.I when Sebastian is fighting with Sir Andrew. </w:t>
      </w:r>
      <w:r w:rsidR="00C47B1D">
        <w:t xml:space="preserve">The use of Shakespearian language was a bold choice as it did make many of </w:t>
      </w:r>
      <w:r w:rsidR="00C47B1D">
        <w:t xml:space="preserve">the jokes </w:t>
      </w:r>
      <w:r w:rsidR="003C0F3D">
        <w:t>not seem</w:t>
      </w:r>
      <w:r w:rsidR="00C47B1D">
        <w:t xml:space="preserve"> particularly funny to a modern audience. </w:t>
      </w:r>
      <w:r w:rsidR="00AE3EDC">
        <w:t>A prime example of this is in Act 1</w:t>
      </w:r>
      <w:r w:rsidR="00D822C5">
        <w:t xml:space="preserve"> Scene 5, when</w:t>
      </w:r>
      <w:r w:rsidR="00A8539C">
        <w:t xml:space="preserve"> </w:t>
      </w:r>
      <w:r w:rsidR="003C0F3D">
        <w:t>Feste the fool is talking about points</w:t>
      </w:r>
      <w:r w:rsidR="00D822C5">
        <w:t xml:space="preserve"> </w:t>
      </w:r>
      <w:r w:rsidR="001C489F">
        <w:t xml:space="preserve">Maria replies to </w:t>
      </w:r>
      <w:r w:rsidR="003C0F3D">
        <w:t>“</w:t>
      </w:r>
      <w:r w:rsidRPr="00A8539C" w:rsidR="00A8539C">
        <w:rPr>
          <w:i/>
          <w:iCs/>
        </w:rPr>
        <w:t>That if one break, the other will hold; or if both break, your gaskins fall.”</w:t>
      </w:r>
      <w:r>
        <w:rPr>
          <w:rStyle w:val="FootnoteReference"/>
          <w:i/>
          <w:iCs/>
        </w:rPr>
        <w:footnoteReference w:id="8"/>
      </w:r>
      <w:r w:rsidR="00A826EC">
        <w:rPr>
          <w:i/>
          <w:iCs/>
        </w:rPr>
        <w:t xml:space="preserve"> </w:t>
      </w:r>
      <w:r w:rsidR="00A826EC">
        <w:t>This is a joke about the clothes of the late sixteenth and early seventeenth centuries, where hoes or gask</w:t>
      </w:r>
      <w:r w:rsidR="00B309EB">
        <w:t>ins</w:t>
      </w:r>
      <w:r w:rsidR="00A826EC">
        <w:t xml:space="preserve"> were held up by points,</w:t>
      </w:r>
      <w:r w:rsidR="00B309EB">
        <w:t xml:space="preserve"> that is stings of straps. One disadvantage of the Shakespearean language is that small witticisms like this, and others are lost on most of the modern audience. This </w:t>
      </w:r>
      <w:r w:rsidR="002A4393">
        <w:t xml:space="preserve">leads to a reliance on the actor's tone to tell the audience when something was meant to be subtly funny. This </w:t>
      </w:r>
      <w:r w:rsidR="00974092">
        <w:t>leads to a strange phenomenon with this performance. Where, unlike a modern comedic work, or work whose script has been altere</w:t>
      </w:r>
      <w:r w:rsidR="00C066AA">
        <w:t xml:space="preserve">d and updated. In productions like that there are chuckles from the audience all the way through as they </w:t>
      </w:r>
      <w:r w:rsidR="00A70E9E">
        <w:t>pick up on all the small culture-specific jokes and references. This was absent from this performance. There was much laughter, but overall it was uproarious laughter, then followed by silence, rather than a steady murmur of laughter. Despite this, the masterful writing of Shakespeare and the direction of Tim C</w:t>
      </w:r>
      <w:r w:rsidR="0056788F">
        <w:t xml:space="preserve">arroll presented this a highly entertaining an amusing play, as well as a faithful adaptation of the original work. </w:t>
      </w:r>
    </w:p>
    <w:p w:rsidR="00DF3912" w:rsidP="004E1249" w14:paraId="33433D87" w14:textId="77777777">
      <w:pPr>
        <w:ind w:firstLine="720"/>
      </w:pPr>
    </w:p>
    <w:p w:rsidR="00DF3912" w:rsidP="004E1249" w14:paraId="441BEE80" w14:textId="77777777">
      <w:pPr>
        <w:ind w:firstLine="720"/>
      </w:pPr>
    </w:p>
    <w:p w:rsidR="00DF3912" w:rsidP="004E1249" w14:paraId="61C45EF3" w14:textId="77777777">
      <w:pPr>
        <w:ind w:firstLine="720"/>
      </w:pPr>
    </w:p>
    <w:p w:rsidR="00DF3912" w:rsidP="004E1249" w14:paraId="2AF34EF3" w14:textId="77777777">
      <w:pPr>
        <w:ind w:firstLine="720"/>
      </w:pPr>
    </w:p>
    <w:p w:rsidR="00DF3912" w:rsidP="004E1249" w14:paraId="579083DD" w14:textId="77777777">
      <w:pPr>
        <w:ind w:firstLine="720"/>
      </w:pPr>
    </w:p>
    <w:p w:rsidR="00DF3912" w:rsidP="004E1249" w14:paraId="7C1E8C28" w14:textId="77777777">
      <w:pPr>
        <w:ind w:firstLine="720"/>
      </w:pPr>
    </w:p>
    <w:p w:rsidR="00DF3912" w:rsidP="004E1249" w14:paraId="35860DCA" w14:textId="77777777">
      <w:pPr>
        <w:ind w:firstLine="720"/>
      </w:pPr>
    </w:p>
    <w:p w:rsidR="00DF3912" w:rsidP="004E1249" w14:paraId="107DBC88" w14:textId="77777777">
      <w:pPr>
        <w:ind w:firstLine="720"/>
      </w:pPr>
    </w:p>
    <w:p w:rsidR="00DF3912" w:rsidP="004E1249" w14:paraId="684B1FCF" w14:textId="77777777">
      <w:pPr>
        <w:ind w:firstLine="720"/>
      </w:pPr>
    </w:p>
    <w:p w:rsidR="00DF3912" w:rsidP="004E1249" w14:paraId="78BCD6DE" w14:textId="77777777">
      <w:pPr>
        <w:ind w:firstLine="720"/>
      </w:pPr>
    </w:p>
    <w:p w:rsidR="00DF3912" w:rsidP="004E1249" w14:paraId="396D35E9" w14:textId="77777777">
      <w:pPr>
        <w:ind w:firstLine="720"/>
      </w:pPr>
    </w:p>
    <w:p w:rsidR="00DF3912" w:rsidP="004E1249" w14:paraId="507D653E" w14:textId="77777777">
      <w:pPr>
        <w:ind w:firstLine="720"/>
      </w:pPr>
    </w:p>
    <w:p w:rsidR="004D3ECE" w:rsidP="00447BD7" w14:paraId="18AA3DDE" w14:textId="77777777"/>
    <w:p w:rsidR="00447BD7" w:rsidRPr="00447BD7" w:rsidP="00447BD7" w14:paraId="6AE80678" w14:textId="0C75A792">
      <w:pPr>
        <w:rPr>
          <w:b/>
          <w:bCs/>
        </w:rPr>
      </w:pPr>
      <w:r w:rsidRPr="00447BD7">
        <w:rPr>
          <w:b/>
          <w:bCs/>
        </w:rPr>
        <w:t>Bibliography</w:t>
      </w:r>
    </w:p>
    <w:p w:rsidR="00447BD7" w:rsidP="00447BD7" w14:paraId="624D1184" w14:textId="0520B28F">
      <w:pPr>
        <w:ind w:firstLine="720"/>
      </w:pPr>
      <w:r w:rsidRPr="00447BD7">
        <w:t xml:space="preserve">Bevington, David. 2014. ‘Twelfth Night | Play by Shakespeare’, </w:t>
      </w:r>
      <w:r w:rsidRPr="00447BD7">
        <w:rPr>
          <w:i/>
          <w:iCs/>
        </w:rPr>
        <w:t>Encyclopædia Britannica</w:t>
      </w:r>
      <w:r w:rsidRPr="00447BD7">
        <w:t xml:space="preserve"> </w:t>
      </w:r>
      <w:hyperlink r:id="rId5" w:history="1">
        <w:r w:rsidRPr="00447BD7" w:rsidR="0024059B">
          <w:rPr>
            <w:rStyle w:val="Hyperlink"/>
          </w:rPr>
          <w:t>https://www.britannica.com/topic/Twelfth-Night</w:t>
        </w:r>
      </w:hyperlink>
    </w:p>
    <w:p w:rsidR="0024059B" w:rsidP="00447BD7" w14:paraId="76DE282D" w14:textId="44C0CB91">
      <w:pPr>
        <w:ind w:firstLine="720"/>
      </w:pPr>
      <w:r w:rsidRPr="0024059B">
        <w:t xml:space="preserve">Mitchell, Peter, ‘Error and Sweet Violence: Shakespeare and Renaissance Comedy and Tragedy’, </w:t>
      </w:r>
      <w:r w:rsidRPr="0024059B">
        <w:rPr>
          <w:i/>
          <w:iCs/>
        </w:rPr>
        <w:t>HPEN5033/HPEN6033</w:t>
      </w:r>
      <w:r w:rsidRPr="0024059B">
        <w:t>, University of Wales Trinity Saint David, Lampeter, 1 October 2024.</w:t>
      </w:r>
    </w:p>
    <w:p w:rsidR="00D02B63" w:rsidP="00447BD7" w14:paraId="2B1B7F6F" w14:textId="0A111898">
      <w:pPr>
        <w:ind w:firstLine="720"/>
      </w:pPr>
      <w:r w:rsidRPr="00D02B63">
        <w:t xml:space="preserve">Mitchell, Peter, ‘Error and Sweet Violence: Shakespeare and Renaissance Comedy and Tragedy’, </w:t>
      </w:r>
      <w:r w:rsidRPr="00D02B63">
        <w:rPr>
          <w:i/>
          <w:iCs/>
        </w:rPr>
        <w:t>HPEN5033/HPEN6033</w:t>
      </w:r>
      <w:r w:rsidRPr="00D02B63">
        <w:t xml:space="preserve">, University of Wales Trinity Saint David, Lampeter, </w:t>
      </w:r>
      <w:r>
        <w:t>27 September</w:t>
      </w:r>
      <w:r w:rsidRPr="00D02B63">
        <w:t xml:space="preserve"> 2024.</w:t>
      </w:r>
    </w:p>
    <w:p w:rsidR="00682948" w:rsidRPr="00447BD7" w:rsidP="00682948" w14:paraId="378D78CF" w14:textId="5726F8DF">
      <w:pPr>
        <w:ind w:firstLine="720"/>
      </w:pPr>
      <w:r w:rsidRPr="00682948">
        <w:t xml:space="preserve">Ryan, Scott. 2018. ‘Mr Inbetween’, </w:t>
      </w:r>
      <w:r w:rsidRPr="00682948">
        <w:rPr>
          <w:i/>
          <w:iCs/>
        </w:rPr>
        <w:t>IMDb</w:t>
      </w:r>
      <w:r w:rsidRPr="00682948">
        <w:t xml:space="preserve"> </w:t>
      </w:r>
      <w:hyperlink r:id="rId6" w:history="1">
        <w:r w:rsidRPr="00682948">
          <w:rPr>
            <w:rStyle w:val="Hyperlink"/>
          </w:rPr>
          <w:t>https://www.imdb.com/title/tt7472896/?ref_=nv_sr_srsg_0_tt_8_nm_0_in_0_q_mr%2520in</w:t>
        </w:r>
      </w:hyperlink>
      <w:r>
        <w:t xml:space="preserve"> </w:t>
      </w:r>
      <w:r w:rsidRPr="00682948">
        <w:t xml:space="preserve">[accessed </w:t>
      </w:r>
      <w:r>
        <w:t>8</w:t>
      </w:r>
      <w:r w:rsidRPr="00682948">
        <w:t xml:space="preserve"> October 2024]</w:t>
      </w:r>
    </w:p>
    <w:p w:rsidR="00447BD7" w:rsidRPr="00447BD7" w:rsidP="00447BD7" w14:paraId="41A5F2C2" w14:textId="4678F365">
      <w:pPr>
        <w:ind w:firstLine="720"/>
      </w:pPr>
      <w:r w:rsidRPr="00447BD7">
        <w:t xml:space="preserve">Shakespeare, William. 2013. ‘Twelfth Night’, </w:t>
      </w:r>
      <w:r w:rsidRPr="00447BD7">
        <w:rPr>
          <w:i/>
          <w:iCs/>
        </w:rPr>
        <w:t>IMDb</w:t>
      </w:r>
      <w:r w:rsidRPr="00447BD7">
        <w:t xml:space="preserve"> </w:t>
      </w:r>
      <w:hyperlink r:id="rId7" w:history="1">
        <w:r w:rsidRPr="00447BD7" w:rsidR="000B6C03">
          <w:rPr>
            <w:rStyle w:val="Hyperlink"/>
          </w:rPr>
          <w:t>https://www.imdb.com/title/tt5622262/</w:t>
        </w:r>
      </w:hyperlink>
      <w:r w:rsidR="000B6C03">
        <w:t xml:space="preserve"> </w:t>
      </w:r>
    </w:p>
    <w:p w:rsidR="00447BD7" w:rsidRPr="00447BD7" w:rsidP="00447BD7" w14:paraId="165ED558" w14:textId="77777777">
      <w:pPr>
        <w:ind w:firstLine="720"/>
      </w:pPr>
      <w:r w:rsidRPr="00447BD7">
        <w:t xml:space="preserve">Shakespeare, William, Gary Taylor, John Jowett, Terri Bourus, and Gabriel Egan. 2016. </w:t>
      </w:r>
      <w:r w:rsidRPr="00447BD7">
        <w:rPr>
          <w:i/>
          <w:iCs/>
        </w:rPr>
        <w:t>The New Oxford Shakespeare : The Complete Works</w:t>
      </w:r>
      <w:r w:rsidRPr="00447BD7">
        <w:t xml:space="preserve"> (Oxford, United Kingdom: New York, Ny)</w:t>
      </w:r>
    </w:p>
    <w:p w:rsidR="00DF3912" w:rsidRPr="00A826EC" w:rsidP="00DF3912" w14:paraId="1252D1AE" w14:textId="77777777">
      <w:pPr>
        <w:ind w:firstLine="720"/>
      </w:pPr>
    </w:p>
    <w:sectPr>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00711A19" w:rsidP="00711A19" w14:paraId="467F0C69" w14:textId="77777777">
      <w:pPr>
        <w:spacing w:after="0" w:line="240" w:lineRule="auto"/>
      </w:pPr>
      <w:r>
        <w:separator/>
      </w:r>
    </w:p>
  </w:footnote>
  <w:footnote w:type="continuationSeparator" w:id="1">
    <w:p w:rsidR="00711A19" w:rsidP="00711A19" w14:paraId="333C5325" w14:textId="77777777">
      <w:pPr>
        <w:spacing w:after="0" w:line="240" w:lineRule="auto"/>
      </w:pPr>
      <w:r>
        <w:continuationSeparator/>
      </w:r>
    </w:p>
  </w:footnote>
  <w:footnote w:id="2">
    <w:p w:rsidR="00711A19" w:rsidP="00447BD7" w14:paraId="1B27F537" w14:textId="147A9542">
      <w:pPr>
        <w:ind w:firstLine="720"/>
      </w:pPr>
      <w:r>
        <w:rPr>
          <w:rStyle w:val="FootnoteReference"/>
        </w:rPr>
        <w:footnoteRef/>
      </w:r>
      <w:r>
        <w:t xml:space="preserve"> </w:t>
      </w:r>
      <w:r w:rsidRPr="00447BD7" w:rsidR="00447BD7">
        <w:t xml:space="preserve">Bevington, David. 2014. ‘Twelfth Night | Play by Shakespeare’, </w:t>
      </w:r>
      <w:r w:rsidRPr="00447BD7" w:rsidR="00447BD7">
        <w:rPr>
          <w:i/>
          <w:iCs/>
        </w:rPr>
        <w:t>Encyclopædia Britannica</w:t>
      </w:r>
      <w:r w:rsidRPr="00447BD7" w:rsidR="00447BD7">
        <w:t xml:space="preserve"> </w:t>
      </w:r>
      <w:hyperlink r:id="rId1" w:history="1">
        <w:r w:rsidRPr="00447BD7" w:rsidR="00447BD7">
          <w:rPr>
            <w:rStyle w:val="Hyperlink"/>
          </w:rPr>
          <w:t>https://www.britannica.com/topic/Twelfth-Night</w:t>
        </w:r>
      </w:hyperlink>
      <w:r w:rsidR="00447BD7">
        <w:t xml:space="preserve"> </w:t>
      </w:r>
    </w:p>
  </w:footnote>
  <w:footnote w:id="3">
    <w:p w:rsidR="006F47CA" w:rsidP="00447BD7" w14:paraId="2E153EA6" w14:textId="49F88719">
      <w:pPr>
        <w:ind w:firstLine="720"/>
      </w:pPr>
      <w:r>
        <w:rPr>
          <w:rStyle w:val="FootnoteReference"/>
        </w:rPr>
        <w:footnoteRef/>
      </w:r>
      <w:r>
        <w:t xml:space="preserve"> </w:t>
      </w:r>
      <w:r w:rsidR="00A47A2D">
        <w:t xml:space="preserve"> </w:t>
      </w:r>
      <w:r w:rsidRPr="00447BD7" w:rsidR="00447BD7">
        <w:t xml:space="preserve">Shakespeare, William. 2013. ‘Twelfth Night’, </w:t>
      </w:r>
      <w:r w:rsidRPr="00447BD7" w:rsidR="00447BD7">
        <w:rPr>
          <w:i/>
          <w:iCs/>
        </w:rPr>
        <w:t>IMDb</w:t>
      </w:r>
      <w:r w:rsidRPr="00447BD7" w:rsidR="00447BD7">
        <w:t xml:space="preserve"> </w:t>
      </w:r>
      <w:hyperlink r:id="rId2" w:history="1">
        <w:r w:rsidRPr="00447BD7" w:rsidR="00447BD7">
          <w:rPr>
            <w:rStyle w:val="Hyperlink"/>
          </w:rPr>
          <w:t>https://www.imdb.com/title/tt5622262/</w:t>
        </w:r>
      </w:hyperlink>
      <w:r w:rsidR="00447BD7">
        <w:t xml:space="preserve"> </w:t>
      </w:r>
    </w:p>
  </w:footnote>
  <w:footnote w:id="4">
    <w:p w:rsidR="00A97406" w14:paraId="58A64EB1" w14:textId="18B444D7">
      <w:pPr>
        <w:pStyle w:val="FootnoteText"/>
      </w:pPr>
      <w:r>
        <w:rPr>
          <w:rStyle w:val="FootnoteReference"/>
        </w:rPr>
        <w:footnoteRef/>
      </w:r>
      <w:r>
        <w:t xml:space="preserve"> </w:t>
      </w:r>
      <w:r w:rsidRPr="009F6B3C" w:rsidR="009F6B3C">
        <w:t>Dr. Peter Mitchell, ‘Error and Sweet Violence: Shakespeare and Renaissance Comedy and Tragedy’, HPEN5033/HPEN6033, University of Wales Trinity Saint David, Lampeter, 1 October 2024.</w:t>
      </w:r>
    </w:p>
  </w:footnote>
  <w:footnote w:id="5">
    <w:p w:rsidR="00606EDC" w14:paraId="5F1F5839" w14:textId="47F7A784">
      <w:pPr>
        <w:pStyle w:val="FootnoteText"/>
      </w:pPr>
      <w:r>
        <w:rPr>
          <w:rStyle w:val="FootnoteReference"/>
        </w:rPr>
        <w:footnoteRef/>
      </w:r>
      <w:r>
        <w:t xml:space="preserve"> </w:t>
      </w:r>
      <w:r w:rsidRPr="00447BD7" w:rsidR="00AF5BDF">
        <w:t xml:space="preserve">Shakespeare, William. 2013. ‘Twelfth Night’, </w:t>
      </w:r>
      <w:r w:rsidRPr="00447BD7" w:rsidR="00AF5BDF">
        <w:rPr>
          <w:i/>
          <w:iCs/>
        </w:rPr>
        <w:t>IMDb</w:t>
      </w:r>
    </w:p>
  </w:footnote>
  <w:footnote w:id="6">
    <w:p w:rsidR="002E39C5" w14:paraId="181AB815" w14:textId="3F9F7507">
      <w:pPr>
        <w:pStyle w:val="FootnoteText"/>
      </w:pPr>
      <w:r>
        <w:rPr>
          <w:rStyle w:val="FootnoteReference"/>
        </w:rPr>
        <w:footnoteRef/>
      </w:r>
      <w:r>
        <w:t xml:space="preserve"> </w:t>
      </w:r>
      <w:r w:rsidRPr="009F6B3C" w:rsidR="002B07DF">
        <w:t xml:space="preserve">Dr. Peter Mitchell, ‘Error and Sweet Violence: Shakespeare and Renaissance Comedy and Tragedy’, HPEN5033/HPEN6033, University of Wales Trinity Saint David, Lampeter, </w:t>
      </w:r>
      <w:r w:rsidR="002B07DF">
        <w:t>27</w:t>
      </w:r>
      <w:r w:rsidRPr="009F6B3C" w:rsidR="002B07DF">
        <w:t xml:space="preserve"> </w:t>
      </w:r>
      <w:r w:rsidR="002B07DF">
        <w:t>September</w:t>
      </w:r>
      <w:r w:rsidRPr="009F6B3C" w:rsidR="002B07DF">
        <w:t xml:space="preserve"> 2024.</w:t>
      </w:r>
    </w:p>
  </w:footnote>
  <w:footnote w:id="7">
    <w:p w:rsidR="00682948" w:rsidRPr="00682948" w:rsidP="00682948" w14:paraId="55E42CBA" w14:textId="1D2CFF2E">
      <w:pPr>
        <w:pStyle w:val="FootnoteText"/>
      </w:pPr>
      <w:r>
        <w:rPr>
          <w:rStyle w:val="FootnoteReference"/>
        </w:rPr>
        <w:footnoteRef/>
      </w:r>
      <w:r>
        <w:t xml:space="preserve"> </w:t>
      </w:r>
      <w:r w:rsidRPr="00682948" w:rsidR="00BD5182">
        <w:t>Scott</w:t>
      </w:r>
      <w:r w:rsidRPr="00682948" w:rsidR="00BD5182">
        <w:t xml:space="preserve"> </w:t>
      </w:r>
      <w:r w:rsidR="00BD5182">
        <w:t xml:space="preserve"> </w:t>
      </w:r>
      <w:r w:rsidRPr="00682948">
        <w:t xml:space="preserve">Ryan. 2018. ‘Mr Inbetween’, </w:t>
      </w:r>
      <w:r w:rsidRPr="00682948">
        <w:rPr>
          <w:i/>
          <w:iCs/>
        </w:rPr>
        <w:t>IMDb</w:t>
      </w:r>
      <w:r w:rsidRPr="00682948">
        <w:t xml:space="preserve"> </w:t>
      </w:r>
      <w:hyperlink r:id="rId3" w:history="1">
        <w:r w:rsidRPr="00145FD9" w:rsidR="00BD5182">
          <w:rPr>
            <w:rStyle w:val="Hyperlink"/>
          </w:rPr>
          <w:t>https://www.imdb.com/title/tt7472896/?ref_=nv_sr_srsg_0_tt_8_nm_0_in_0_q_mr%2520in</w:t>
        </w:r>
      </w:hyperlink>
      <w:r w:rsidR="00BD5182">
        <w:t xml:space="preserve"> </w:t>
      </w:r>
    </w:p>
    <w:p w:rsidR="00137D85" w14:paraId="4D5BD93B" w14:textId="2D94CA04">
      <w:pPr>
        <w:pStyle w:val="FootnoteText"/>
      </w:pPr>
    </w:p>
  </w:footnote>
  <w:footnote w:id="8">
    <w:p w:rsidR="003C0F3D" w:rsidP="000B6C03" w14:paraId="011808F2" w14:textId="17012C96">
      <w:pPr>
        <w:ind w:firstLine="720"/>
      </w:pPr>
      <w:r>
        <w:rPr>
          <w:rStyle w:val="FootnoteReference"/>
        </w:rPr>
        <w:footnoteRef/>
      </w:r>
      <w:r>
        <w:t xml:space="preserve"> </w:t>
      </w:r>
      <w:r w:rsidRPr="00447BD7" w:rsidR="000B6C03">
        <w:t xml:space="preserve">Shakespeare, William, Gary Taylor, John Jowett, Terri Bourus, and Gabriel Egan. 2016. </w:t>
      </w:r>
      <w:r w:rsidRPr="00447BD7" w:rsidR="000B6C03">
        <w:rPr>
          <w:i/>
          <w:iCs/>
        </w:rPr>
        <w:t>The New Oxford Shakespeare : The Complete Works</w:t>
      </w:r>
      <w:r w:rsidRPr="00447BD7" w:rsidR="000B6C03">
        <w:t xml:space="preserve"> (Oxford, United Kingdom: New York, NY)</w:t>
      </w:r>
      <w:r w:rsidR="000B6C03">
        <w:t xml:space="preserve"> Twelfth Night </w:t>
      </w:r>
      <w:r w:rsidR="00A826EC">
        <w:t>1.5.2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39A"/>
    <w:rsid w:val="00024EAB"/>
    <w:rsid w:val="00085F19"/>
    <w:rsid w:val="000B6C03"/>
    <w:rsid w:val="000C5D47"/>
    <w:rsid w:val="00134EDB"/>
    <w:rsid w:val="00137D85"/>
    <w:rsid w:val="00145FD9"/>
    <w:rsid w:val="001C489F"/>
    <w:rsid w:val="00232B4A"/>
    <w:rsid w:val="0024059B"/>
    <w:rsid w:val="002568D1"/>
    <w:rsid w:val="00260BEF"/>
    <w:rsid w:val="002A4393"/>
    <w:rsid w:val="002B07DF"/>
    <w:rsid w:val="002E0E30"/>
    <w:rsid w:val="002E39C5"/>
    <w:rsid w:val="002F608B"/>
    <w:rsid w:val="00312AE9"/>
    <w:rsid w:val="0036055A"/>
    <w:rsid w:val="003A5037"/>
    <w:rsid w:val="003B5EFE"/>
    <w:rsid w:val="003C0F3D"/>
    <w:rsid w:val="00435F27"/>
    <w:rsid w:val="0043731D"/>
    <w:rsid w:val="00447BD7"/>
    <w:rsid w:val="004D3ECE"/>
    <w:rsid w:val="004E1249"/>
    <w:rsid w:val="004E1DFE"/>
    <w:rsid w:val="00532367"/>
    <w:rsid w:val="00537BE1"/>
    <w:rsid w:val="0056788F"/>
    <w:rsid w:val="005E7811"/>
    <w:rsid w:val="00606EDC"/>
    <w:rsid w:val="00682948"/>
    <w:rsid w:val="006F47CA"/>
    <w:rsid w:val="00710019"/>
    <w:rsid w:val="00711A19"/>
    <w:rsid w:val="007E7426"/>
    <w:rsid w:val="008131F9"/>
    <w:rsid w:val="00832386"/>
    <w:rsid w:val="00834EDC"/>
    <w:rsid w:val="00837C9A"/>
    <w:rsid w:val="0084764A"/>
    <w:rsid w:val="0086242A"/>
    <w:rsid w:val="008634F1"/>
    <w:rsid w:val="008A2EA5"/>
    <w:rsid w:val="0090479C"/>
    <w:rsid w:val="0092576C"/>
    <w:rsid w:val="00961C0F"/>
    <w:rsid w:val="00974092"/>
    <w:rsid w:val="009B6828"/>
    <w:rsid w:val="009D72FC"/>
    <w:rsid w:val="009F6B3C"/>
    <w:rsid w:val="00A47A2D"/>
    <w:rsid w:val="00A70E9E"/>
    <w:rsid w:val="00A728C4"/>
    <w:rsid w:val="00A826EC"/>
    <w:rsid w:val="00A8539C"/>
    <w:rsid w:val="00A97406"/>
    <w:rsid w:val="00AD4CB7"/>
    <w:rsid w:val="00AE3EDC"/>
    <w:rsid w:val="00AF5BDF"/>
    <w:rsid w:val="00B157D6"/>
    <w:rsid w:val="00B309EB"/>
    <w:rsid w:val="00B776EF"/>
    <w:rsid w:val="00B9739A"/>
    <w:rsid w:val="00BC6219"/>
    <w:rsid w:val="00BD5182"/>
    <w:rsid w:val="00C066AA"/>
    <w:rsid w:val="00C113B0"/>
    <w:rsid w:val="00C261AF"/>
    <w:rsid w:val="00C369DA"/>
    <w:rsid w:val="00C47B1D"/>
    <w:rsid w:val="00CC5DA6"/>
    <w:rsid w:val="00D0078E"/>
    <w:rsid w:val="00D02B63"/>
    <w:rsid w:val="00D1127B"/>
    <w:rsid w:val="00D259E5"/>
    <w:rsid w:val="00D7458F"/>
    <w:rsid w:val="00D822C5"/>
    <w:rsid w:val="00D940FC"/>
    <w:rsid w:val="00DF3912"/>
    <w:rsid w:val="00E045E9"/>
    <w:rsid w:val="00E32A12"/>
    <w:rsid w:val="00E8516A"/>
    <w:rsid w:val="00EA1EC0"/>
    <w:rsid w:val="00EC4B10"/>
    <w:rsid w:val="00F55391"/>
    <w:rsid w:val="00F654BF"/>
    <w:rsid w:val="00FA1F96"/>
    <w:rsid w:val="00FB4A38"/>
    <w:rsid w:val="00FE77E0"/>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4852FA05"/>
  <w15:chartTrackingRefBased/>
  <w15:docId w15:val="{62178338-B035-42A9-9F46-837C0B3BA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3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3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3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3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3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3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3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3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3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3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3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3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3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3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3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3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3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39A"/>
    <w:rPr>
      <w:rFonts w:eastAsiaTheme="majorEastAsia" w:cstheme="majorBidi"/>
      <w:color w:val="272727" w:themeColor="text1" w:themeTint="D8"/>
    </w:rPr>
  </w:style>
  <w:style w:type="paragraph" w:styleId="Title">
    <w:name w:val="Title"/>
    <w:basedOn w:val="Normal"/>
    <w:next w:val="Normal"/>
    <w:link w:val="TitleChar"/>
    <w:uiPriority w:val="10"/>
    <w:qFormat/>
    <w:rsid w:val="00B973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3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3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3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39A"/>
    <w:pPr>
      <w:spacing w:before="160"/>
      <w:jc w:val="center"/>
    </w:pPr>
    <w:rPr>
      <w:i/>
      <w:iCs/>
      <w:color w:val="404040" w:themeColor="text1" w:themeTint="BF"/>
    </w:rPr>
  </w:style>
  <w:style w:type="character" w:customStyle="1" w:styleId="QuoteChar">
    <w:name w:val="Quote Char"/>
    <w:basedOn w:val="DefaultParagraphFont"/>
    <w:link w:val="Quote"/>
    <w:uiPriority w:val="29"/>
    <w:rsid w:val="00B9739A"/>
    <w:rPr>
      <w:i/>
      <w:iCs/>
      <w:color w:val="404040" w:themeColor="text1" w:themeTint="BF"/>
    </w:rPr>
  </w:style>
  <w:style w:type="paragraph" w:styleId="ListParagraph">
    <w:name w:val="List Paragraph"/>
    <w:basedOn w:val="Normal"/>
    <w:uiPriority w:val="34"/>
    <w:qFormat/>
    <w:rsid w:val="00B9739A"/>
    <w:pPr>
      <w:ind w:left="720"/>
      <w:contextualSpacing/>
    </w:pPr>
  </w:style>
  <w:style w:type="character" w:styleId="IntenseEmphasis">
    <w:name w:val="Intense Emphasis"/>
    <w:basedOn w:val="DefaultParagraphFont"/>
    <w:uiPriority w:val="21"/>
    <w:qFormat/>
    <w:rsid w:val="00B9739A"/>
    <w:rPr>
      <w:i/>
      <w:iCs/>
      <w:color w:val="0F4761" w:themeColor="accent1" w:themeShade="BF"/>
    </w:rPr>
  </w:style>
  <w:style w:type="paragraph" w:styleId="IntenseQuote">
    <w:name w:val="Intense Quote"/>
    <w:basedOn w:val="Normal"/>
    <w:next w:val="Normal"/>
    <w:link w:val="IntenseQuoteChar"/>
    <w:uiPriority w:val="30"/>
    <w:qFormat/>
    <w:rsid w:val="00B973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39A"/>
    <w:rPr>
      <w:i/>
      <w:iCs/>
      <w:color w:val="0F4761" w:themeColor="accent1" w:themeShade="BF"/>
    </w:rPr>
  </w:style>
  <w:style w:type="character" w:styleId="IntenseReference">
    <w:name w:val="Intense Reference"/>
    <w:basedOn w:val="DefaultParagraphFont"/>
    <w:uiPriority w:val="32"/>
    <w:qFormat/>
    <w:rsid w:val="00B9739A"/>
    <w:rPr>
      <w:b/>
      <w:bCs/>
      <w:smallCaps/>
      <w:color w:val="0F4761" w:themeColor="accent1" w:themeShade="BF"/>
      <w:spacing w:val="5"/>
    </w:rPr>
  </w:style>
  <w:style w:type="paragraph" w:styleId="FootnoteText">
    <w:name w:val="footnote text"/>
    <w:basedOn w:val="Normal"/>
    <w:link w:val="FootnoteTextChar"/>
    <w:uiPriority w:val="99"/>
    <w:semiHidden/>
    <w:unhideWhenUsed/>
    <w:rsid w:val="00711A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1A19"/>
    <w:rPr>
      <w:sz w:val="20"/>
      <w:szCs w:val="20"/>
    </w:rPr>
  </w:style>
  <w:style w:type="character" w:styleId="FootnoteReference">
    <w:name w:val="footnote reference"/>
    <w:basedOn w:val="DefaultParagraphFont"/>
    <w:uiPriority w:val="99"/>
    <w:semiHidden/>
    <w:unhideWhenUsed/>
    <w:rsid w:val="00711A19"/>
    <w:rPr>
      <w:vertAlign w:val="superscript"/>
    </w:rPr>
  </w:style>
  <w:style w:type="character" w:styleId="Hyperlink">
    <w:name w:val="Hyperlink"/>
    <w:basedOn w:val="DefaultParagraphFont"/>
    <w:uiPriority w:val="99"/>
    <w:unhideWhenUsed/>
    <w:rsid w:val="00447BD7"/>
    <w:rPr>
      <w:color w:val="467886" w:themeColor="hyperlink"/>
      <w:u w:val="single"/>
    </w:rPr>
  </w:style>
  <w:style w:type="character" w:styleId="UnresolvedMention">
    <w:name w:val="Unresolved Mention"/>
    <w:basedOn w:val="DefaultParagraphFont"/>
    <w:uiPriority w:val="99"/>
    <w:semiHidden/>
    <w:unhideWhenUsed/>
    <w:rsid w:val="00447BD7"/>
    <w:rPr>
      <w:color w:val="605E5C"/>
      <w:shd w:val="clear" w:color="auto" w:fill="E1DFDD"/>
    </w:rPr>
  </w:style>
  <w:style w:type="paragraph" w:styleId="NormalWeb">
    <w:name w:val="Normal (Web)"/>
    <w:basedOn w:val="Normal"/>
    <w:uiPriority w:val="99"/>
    <w:semiHidden/>
    <w:unhideWhenUsed/>
    <w:rsid w:val="0068294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footnotes" Target="footnot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hyperlink" Target="https://www.britannica.com/topic/Twelfth-Night" TargetMode="External" /><Relationship Id="rId6" Type="http://schemas.openxmlformats.org/officeDocument/2006/relationships/hyperlink" Target="https://www.imdb.com/title/tt7472896/?ref_=nv_sr_srsg_0_tt_8_nm_0_in_0_q_mr%2520in" TargetMode="External" /><Relationship Id="rId7" Type="http://schemas.openxmlformats.org/officeDocument/2006/relationships/hyperlink" Target="https://www.imdb.com/title/tt5622262/" TargetMode="External" /><Relationship Id="rId8" Type="http://schemas.openxmlformats.org/officeDocument/2006/relationships/theme" Target="theme/theme1.xml" /><Relationship Id="rId9" Type="http://schemas.openxmlformats.org/officeDocument/2006/relationships/styles" Target="styles.xml" /></Relationships>
</file>

<file path=word/_rels/footnotes.xml.rels><?xml version="1.0" encoding="utf-8" standalone="yes"?><Relationships xmlns="http://schemas.openxmlformats.org/package/2006/relationships"><Relationship Id="rId1" Type="http://schemas.openxmlformats.org/officeDocument/2006/relationships/hyperlink" Target="https://www.britannica.com/topic/Twelfth-Night" TargetMode="External" /><Relationship Id="rId2" Type="http://schemas.openxmlformats.org/officeDocument/2006/relationships/hyperlink" Target="https://www.imdb.com/title/tt5622262/" TargetMode="External" /><Relationship Id="rId3" Type="http://schemas.openxmlformats.org/officeDocument/2006/relationships/hyperlink" Target="https://www.imdb.com/title/tt7472896/?ref_=nv_sr_srsg_0_tt_8_nm_0_in_0_q_mr%2520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95</TotalTime>
  <Pages>4</Pages>
  <Words>1184</Words>
  <Characters>6750</Characters>
  <Application>Microsoft Office Word</Application>
  <DocSecurity>0</DocSecurity>
  <Lines>56</Lines>
  <Paragraphs>15</Paragraphs>
  <ScaleCrop>false</ScaleCrop>
  <Company/>
  <LinksUpToDate>false</LinksUpToDate>
  <CharactersWithSpaces>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91</cp:revision>
  <dcterms:created xsi:type="dcterms:W3CDTF">2024-10-10T19:21:00Z</dcterms:created>
  <dcterms:modified xsi:type="dcterms:W3CDTF">2024-10-10T20:57:00Z</dcterms:modified>
</cp:coreProperties>
</file>