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72BC4" w14:textId="3C90B2BC" w:rsidR="0001465D" w:rsidRDefault="0001465D" w:rsidP="0001465D">
      <w:pPr>
        <w:jc w:val="center"/>
        <w:rPr>
          <w:rFonts w:cs="Arial"/>
          <w:noProof/>
          <w:lang w:val="en-GB"/>
        </w:rPr>
      </w:pPr>
      <w:r>
        <w:rPr>
          <w:rFonts w:cs="Arial"/>
          <w:noProof/>
          <w:lang w:val="en-GB"/>
        </w:rPr>
        <w:t>Name: Ana-Maria Moise</w:t>
      </w:r>
    </w:p>
    <w:p w14:paraId="3DE60BC5" w14:textId="715EFD17" w:rsidR="0001465D" w:rsidRDefault="0001465D" w:rsidP="0001465D">
      <w:pPr>
        <w:jc w:val="center"/>
        <w:rPr>
          <w:rFonts w:cs="Arial"/>
          <w:noProof/>
          <w:lang w:val="en-GB"/>
        </w:rPr>
      </w:pPr>
      <w:r>
        <w:rPr>
          <w:rFonts w:cs="Arial"/>
          <w:noProof/>
          <w:lang w:val="en-GB"/>
        </w:rPr>
        <w:t>Student number:2233131</w:t>
      </w:r>
    </w:p>
    <w:p w14:paraId="5EC6400A" w14:textId="287CB4F7" w:rsidR="00EA6E55" w:rsidRPr="0001465D" w:rsidRDefault="00EA6E55" w:rsidP="0001465D">
      <w:pPr>
        <w:jc w:val="center"/>
        <w:rPr>
          <w:rFonts w:cs="Arial"/>
          <w:noProof/>
          <w:lang w:val="en-GB"/>
        </w:rPr>
      </w:pPr>
      <w:r w:rsidRPr="0001465D">
        <w:rPr>
          <w:rFonts w:cs="Arial"/>
          <w:noProof/>
          <w:lang w:val="en-GB"/>
        </w:rPr>
        <w:t>Module: Financial Management for the Hotel Industry</w:t>
      </w:r>
    </w:p>
    <w:p w14:paraId="367BD4F9" w14:textId="18F0890C" w:rsidR="00FB4866" w:rsidRPr="0001465D" w:rsidRDefault="00EA6E55" w:rsidP="0001465D">
      <w:pPr>
        <w:jc w:val="center"/>
        <w:rPr>
          <w:rFonts w:cs="Arial"/>
          <w:noProof/>
          <w:lang w:val="en-GB"/>
        </w:rPr>
      </w:pPr>
      <w:r w:rsidRPr="0001465D">
        <w:rPr>
          <w:rFonts w:cs="Arial"/>
          <w:noProof/>
          <w:lang w:val="en-GB"/>
        </w:rPr>
        <w:t>Module code: BMIH5007</w:t>
      </w:r>
    </w:p>
    <w:p w14:paraId="01B7B596" w14:textId="3D45042B" w:rsidR="0043678B" w:rsidRPr="0001465D" w:rsidRDefault="0043678B" w:rsidP="0001465D">
      <w:pPr>
        <w:jc w:val="center"/>
        <w:rPr>
          <w:rFonts w:cs="Arial"/>
          <w:noProof/>
          <w:lang w:val="en-GB"/>
        </w:rPr>
      </w:pPr>
      <w:r w:rsidRPr="0001465D">
        <w:rPr>
          <w:rFonts w:cs="Arial"/>
          <w:noProof/>
          <w:lang w:val="en-GB"/>
        </w:rPr>
        <w:t>Lecturer: Ernest Wavei</w:t>
      </w:r>
    </w:p>
    <w:p w14:paraId="61352AF1" w14:textId="77777777" w:rsidR="0043678B" w:rsidRPr="00161116" w:rsidRDefault="0043678B" w:rsidP="00161116">
      <w:pPr>
        <w:jc w:val="left"/>
        <w:rPr>
          <w:rFonts w:cs="Arial"/>
          <w:noProof/>
          <w:sz w:val="36"/>
          <w:szCs w:val="36"/>
          <w:lang w:val="en-GB"/>
        </w:rPr>
      </w:pPr>
      <w:r w:rsidRPr="00161116">
        <w:rPr>
          <w:rFonts w:cs="Arial"/>
          <w:noProof/>
          <w:sz w:val="36"/>
          <w:szCs w:val="36"/>
          <w:lang w:val="en-GB"/>
        </w:rPr>
        <w:br w:type="page"/>
      </w:r>
    </w:p>
    <w:p w14:paraId="387137A1" w14:textId="1C77BCEE" w:rsidR="0043678B" w:rsidRPr="0001465D" w:rsidRDefault="0043678B" w:rsidP="0001465D">
      <w:pPr>
        <w:pStyle w:val="Heading1"/>
      </w:pPr>
      <w:bookmarkStart w:id="0" w:name="_Toc168333357"/>
      <w:r w:rsidRPr="0001465D">
        <w:lastRenderedPageBreak/>
        <w:t>Executive Summary</w:t>
      </w:r>
      <w:bookmarkEnd w:id="0"/>
      <w:r w:rsidRPr="0001465D">
        <w:t xml:space="preserve"> </w:t>
      </w:r>
    </w:p>
    <w:p w14:paraId="1768F078" w14:textId="056A5516" w:rsidR="00DA69A0" w:rsidRPr="00161116" w:rsidRDefault="00161116" w:rsidP="00161116">
      <w:pPr>
        <w:rPr>
          <w:rFonts w:cs="Arial"/>
          <w:noProof/>
          <w:lang w:val="en-GB"/>
        </w:rPr>
      </w:pPr>
      <w:r w:rsidRPr="00161116">
        <w:rPr>
          <w:rFonts w:cs="Arial"/>
          <w:noProof/>
          <w:lang w:val="en-GB"/>
        </w:rPr>
        <w:t>Urban Heights Hotel's declining profits after 2021 are the focus of this study on its financial management. The analysis shows that sales and profits have dropped, costs are rising, cash flow is falling, and debt is rising. Main reasons include pandemic recovery issues, inflation, poor resource management, and declining service quality. These issues are addressed by a comprehensive turnaround plan. Audits and outsourcing lower costs, dynamic prices and multiple income streams improve income management, staff and environmental training improves service quality, and a strong digital and traditional marketing plan is needed. With these strategies, the hotel hopes to recover its finances and ensure its future profitability.</w:t>
      </w:r>
    </w:p>
    <w:p w14:paraId="6E9B1D82" w14:textId="77777777" w:rsidR="00DA69A0" w:rsidRPr="00161116" w:rsidRDefault="00DA69A0" w:rsidP="00161116">
      <w:pPr>
        <w:rPr>
          <w:rFonts w:cs="Arial"/>
          <w:noProof/>
          <w:lang w:val="en-GB"/>
        </w:rPr>
      </w:pPr>
      <w:r w:rsidRPr="00161116">
        <w:rPr>
          <w:rFonts w:cs="Arial"/>
          <w:noProof/>
          <w:lang w:val="en-GB"/>
        </w:rPr>
        <w:br w:type="page"/>
      </w:r>
    </w:p>
    <w:sdt>
      <w:sdtPr>
        <w:rPr>
          <w:rFonts w:ascii="Arial" w:eastAsiaTheme="minorEastAsia" w:hAnsi="Arial" w:cstheme="minorBidi"/>
          <w:b w:val="0"/>
          <w:bCs w:val="0"/>
          <w:noProof w:val="0"/>
          <w:kern w:val="2"/>
          <w:szCs w:val="24"/>
          <w:lang w:val="en-US"/>
          <w14:ligatures w14:val="standardContextual"/>
        </w:rPr>
        <w:id w:val="192743729"/>
        <w:docPartObj>
          <w:docPartGallery w:val="Table of Contents"/>
          <w:docPartUnique/>
        </w:docPartObj>
      </w:sdtPr>
      <w:sdtContent>
        <w:p w14:paraId="26FBF59F" w14:textId="05A84516" w:rsidR="00063978" w:rsidRPr="0001465D" w:rsidRDefault="00063978" w:rsidP="0001465D">
          <w:pPr>
            <w:pStyle w:val="TOCHeading"/>
            <w:rPr>
              <w:b w:val="0"/>
              <w:bCs w:val="0"/>
              <w:szCs w:val="24"/>
            </w:rPr>
          </w:pPr>
          <w:r w:rsidRPr="0001465D">
            <w:rPr>
              <w:b w:val="0"/>
              <w:bCs w:val="0"/>
              <w:szCs w:val="24"/>
            </w:rPr>
            <w:t>Contents</w:t>
          </w:r>
        </w:p>
        <w:p w14:paraId="34CAD943" w14:textId="4506AB49" w:rsidR="001851CF" w:rsidRPr="0001465D" w:rsidRDefault="00000000">
          <w:pPr>
            <w:pStyle w:val="TOC1"/>
            <w:tabs>
              <w:tab w:val="right" w:leader="dot" w:pos="9016"/>
            </w:tabs>
            <w:rPr>
              <w:rFonts w:asciiTheme="minorHAnsi" w:hAnsiTheme="minorHAnsi"/>
              <w:noProof/>
              <w:lang w:val="en-GB" w:eastAsia="en-GB"/>
            </w:rPr>
          </w:pPr>
          <w:hyperlink w:anchor="_Toc168333357" w:history="1">
            <w:r w:rsidR="001851CF" w:rsidRPr="0001465D">
              <w:rPr>
                <w:rStyle w:val="Hyperlink"/>
                <w:rFonts w:cs="Arial"/>
                <w:noProof/>
                <w:color w:val="auto"/>
                <w:lang w:val="en-GB"/>
              </w:rPr>
              <w:t>Executive Summary</w:t>
            </w:r>
            <w:r w:rsidR="001851CF" w:rsidRPr="0001465D">
              <w:rPr>
                <w:noProof/>
                <w:webHidden/>
              </w:rPr>
              <w:tab/>
            </w:r>
            <w:r w:rsidR="001851CF" w:rsidRPr="0001465D">
              <w:rPr>
                <w:noProof/>
                <w:webHidden/>
              </w:rPr>
              <w:fldChar w:fldCharType="begin"/>
            </w:r>
            <w:r w:rsidR="001851CF" w:rsidRPr="0001465D">
              <w:rPr>
                <w:noProof/>
                <w:webHidden/>
              </w:rPr>
              <w:instrText xml:space="preserve"> PAGEREF _Toc168333357 \h </w:instrText>
            </w:r>
            <w:r w:rsidR="001851CF" w:rsidRPr="0001465D">
              <w:rPr>
                <w:noProof/>
                <w:webHidden/>
              </w:rPr>
            </w:r>
            <w:r w:rsidR="001851CF" w:rsidRPr="0001465D">
              <w:rPr>
                <w:noProof/>
                <w:webHidden/>
              </w:rPr>
              <w:fldChar w:fldCharType="separate"/>
            </w:r>
            <w:r w:rsidR="001851CF" w:rsidRPr="0001465D">
              <w:rPr>
                <w:noProof/>
                <w:webHidden/>
              </w:rPr>
              <w:t>2</w:t>
            </w:r>
            <w:r w:rsidR="001851CF" w:rsidRPr="0001465D">
              <w:rPr>
                <w:noProof/>
                <w:webHidden/>
              </w:rPr>
              <w:fldChar w:fldCharType="end"/>
            </w:r>
          </w:hyperlink>
        </w:p>
        <w:p w14:paraId="64FDB2F5" w14:textId="1B2F504F" w:rsidR="001851CF" w:rsidRPr="0001465D" w:rsidRDefault="00000000">
          <w:pPr>
            <w:pStyle w:val="TOC1"/>
            <w:tabs>
              <w:tab w:val="right" w:leader="dot" w:pos="9016"/>
            </w:tabs>
            <w:rPr>
              <w:rFonts w:asciiTheme="minorHAnsi" w:hAnsiTheme="minorHAnsi"/>
              <w:noProof/>
              <w:lang w:val="en-GB" w:eastAsia="en-GB"/>
            </w:rPr>
          </w:pPr>
          <w:hyperlink w:anchor="_Toc168333358" w:history="1">
            <w:r w:rsidR="001851CF" w:rsidRPr="0001465D">
              <w:rPr>
                <w:rStyle w:val="Hyperlink"/>
                <w:rFonts w:cs="Arial"/>
                <w:noProof/>
                <w:color w:val="auto"/>
                <w:lang w:val="en-GB"/>
              </w:rPr>
              <w:t>Introduction</w:t>
            </w:r>
            <w:r w:rsidR="001851CF" w:rsidRPr="0001465D">
              <w:rPr>
                <w:noProof/>
                <w:webHidden/>
              </w:rPr>
              <w:tab/>
              <w:t>4</w:t>
            </w:r>
          </w:hyperlink>
        </w:p>
        <w:p w14:paraId="73C7561D" w14:textId="0F623D1A" w:rsidR="001851CF" w:rsidRPr="0001465D" w:rsidRDefault="00000000">
          <w:pPr>
            <w:pStyle w:val="TOC1"/>
            <w:tabs>
              <w:tab w:val="right" w:leader="dot" w:pos="9016"/>
            </w:tabs>
            <w:rPr>
              <w:rFonts w:asciiTheme="minorHAnsi" w:hAnsiTheme="minorHAnsi"/>
              <w:noProof/>
              <w:lang w:val="en-GB" w:eastAsia="en-GB"/>
            </w:rPr>
          </w:pPr>
          <w:hyperlink w:anchor="_Toc168333359" w:history="1">
            <w:r w:rsidR="001851CF" w:rsidRPr="0001465D">
              <w:rPr>
                <w:rStyle w:val="Hyperlink"/>
                <w:rFonts w:cs="Arial"/>
                <w:noProof/>
                <w:color w:val="auto"/>
                <w:lang w:val="en-GB"/>
              </w:rPr>
              <w:t>Evaluation of the Trends and Patterns of the Urban Heights Hotel</w:t>
            </w:r>
            <w:r w:rsidR="001851CF" w:rsidRPr="0001465D">
              <w:rPr>
                <w:noProof/>
                <w:webHidden/>
              </w:rPr>
              <w:tab/>
              <w:t>4</w:t>
            </w:r>
          </w:hyperlink>
        </w:p>
        <w:p w14:paraId="413F9311" w14:textId="60607DC0" w:rsidR="001851CF" w:rsidRPr="0001465D" w:rsidRDefault="00000000">
          <w:pPr>
            <w:pStyle w:val="TOC2"/>
            <w:tabs>
              <w:tab w:val="right" w:leader="dot" w:pos="9016"/>
            </w:tabs>
            <w:rPr>
              <w:rFonts w:asciiTheme="minorHAnsi" w:hAnsiTheme="minorHAnsi"/>
              <w:noProof/>
              <w:lang w:val="en-GB" w:eastAsia="en-GB"/>
            </w:rPr>
          </w:pPr>
          <w:hyperlink w:anchor="_Toc168333360" w:history="1">
            <w:r w:rsidR="001851CF" w:rsidRPr="0001465D">
              <w:rPr>
                <w:rStyle w:val="Hyperlink"/>
                <w:rFonts w:cs="Arial"/>
                <w:noProof/>
                <w:color w:val="auto"/>
                <w:lang w:val="en-GB"/>
              </w:rPr>
              <w:t>Revenue Trend</w:t>
            </w:r>
            <w:r w:rsidR="001851CF" w:rsidRPr="0001465D">
              <w:rPr>
                <w:noProof/>
                <w:webHidden/>
              </w:rPr>
              <w:tab/>
              <w:t>4</w:t>
            </w:r>
          </w:hyperlink>
        </w:p>
        <w:p w14:paraId="3EF9C8D2" w14:textId="37568EB6" w:rsidR="001851CF" w:rsidRPr="0001465D" w:rsidRDefault="00000000">
          <w:pPr>
            <w:pStyle w:val="TOC2"/>
            <w:tabs>
              <w:tab w:val="right" w:leader="dot" w:pos="9016"/>
            </w:tabs>
            <w:rPr>
              <w:rFonts w:asciiTheme="minorHAnsi" w:hAnsiTheme="minorHAnsi"/>
              <w:noProof/>
              <w:lang w:val="en-GB" w:eastAsia="en-GB"/>
            </w:rPr>
          </w:pPr>
          <w:hyperlink w:anchor="_Toc168333361" w:history="1">
            <w:r w:rsidR="001851CF" w:rsidRPr="0001465D">
              <w:rPr>
                <w:rStyle w:val="Hyperlink"/>
                <w:rFonts w:cs="Arial"/>
                <w:noProof/>
                <w:color w:val="auto"/>
                <w:lang w:val="en-GB"/>
              </w:rPr>
              <w:t>Expenses Trend</w:t>
            </w:r>
            <w:r w:rsidR="001851CF" w:rsidRPr="0001465D">
              <w:rPr>
                <w:noProof/>
                <w:webHidden/>
              </w:rPr>
              <w:tab/>
              <w:t>5</w:t>
            </w:r>
          </w:hyperlink>
        </w:p>
        <w:p w14:paraId="0F99EB5F" w14:textId="07113E78" w:rsidR="001851CF" w:rsidRPr="0001465D" w:rsidRDefault="00000000">
          <w:pPr>
            <w:pStyle w:val="TOC2"/>
            <w:tabs>
              <w:tab w:val="right" w:leader="dot" w:pos="9016"/>
            </w:tabs>
            <w:rPr>
              <w:rFonts w:asciiTheme="minorHAnsi" w:hAnsiTheme="minorHAnsi"/>
              <w:noProof/>
              <w:lang w:val="en-GB" w:eastAsia="en-GB"/>
            </w:rPr>
          </w:pPr>
          <w:hyperlink w:anchor="_Toc168333362" w:history="1">
            <w:r w:rsidR="001851CF" w:rsidRPr="0001465D">
              <w:rPr>
                <w:rStyle w:val="Hyperlink"/>
                <w:rFonts w:cs="Arial"/>
                <w:noProof/>
                <w:color w:val="auto"/>
                <w:lang w:val="en-GB"/>
              </w:rPr>
              <w:t>Profitability Ratios</w:t>
            </w:r>
            <w:r w:rsidR="001851CF" w:rsidRPr="0001465D">
              <w:rPr>
                <w:noProof/>
                <w:webHidden/>
              </w:rPr>
              <w:tab/>
              <w:t>5</w:t>
            </w:r>
          </w:hyperlink>
        </w:p>
        <w:p w14:paraId="1EE74F24" w14:textId="2EFDB525" w:rsidR="001851CF" w:rsidRPr="0001465D" w:rsidRDefault="00000000">
          <w:pPr>
            <w:pStyle w:val="TOC2"/>
            <w:tabs>
              <w:tab w:val="right" w:leader="dot" w:pos="9016"/>
            </w:tabs>
            <w:rPr>
              <w:rFonts w:asciiTheme="minorHAnsi" w:hAnsiTheme="minorHAnsi"/>
              <w:noProof/>
              <w:lang w:val="en-GB" w:eastAsia="en-GB"/>
            </w:rPr>
          </w:pPr>
          <w:hyperlink w:anchor="_Toc168333363" w:history="1">
            <w:r w:rsidR="001851CF" w:rsidRPr="0001465D">
              <w:rPr>
                <w:rStyle w:val="Hyperlink"/>
                <w:rFonts w:cs="Arial"/>
                <w:noProof/>
                <w:color w:val="auto"/>
                <w:lang w:val="en-GB"/>
              </w:rPr>
              <w:t>Liquidity Ratio</w:t>
            </w:r>
            <w:r w:rsidR="001851CF" w:rsidRPr="0001465D">
              <w:rPr>
                <w:noProof/>
                <w:webHidden/>
              </w:rPr>
              <w:tab/>
              <w:t>6</w:t>
            </w:r>
          </w:hyperlink>
        </w:p>
        <w:p w14:paraId="2AD3D153" w14:textId="24154DF9" w:rsidR="001851CF" w:rsidRPr="0001465D" w:rsidRDefault="00000000">
          <w:pPr>
            <w:pStyle w:val="TOC2"/>
            <w:tabs>
              <w:tab w:val="right" w:leader="dot" w:pos="9016"/>
            </w:tabs>
            <w:rPr>
              <w:rFonts w:asciiTheme="minorHAnsi" w:hAnsiTheme="minorHAnsi"/>
              <w:noProof/>
              <w:lang w:val="en-GB" w:eastAsia="en-GB"/>
            </w:rPr>
          </w:pPr>
          <w:hyperlink w:anchor="_Toc168333364" w:history="1">
            <w:r w:rsidR="001851CF" w:rsidRPr="0001465D">
              <w:rPr>
                <w:rStyle w:val="Hyperlink"/>
                <w:rFonts w:cs="Arial"/>
                <w:noProof/>
                <w:color w:val="auto"/>
                <w:lang w:val="en-GB"/>
              </w:rPr>
              <w:t>Solvency Ratios</w:t>
            </w:r>
            <w:r w:rsidR="001851CF" w:rsidRPr="0001465D">
              <w:rPr>
                <w:noProof/>
                <w:webHidden/>
              </w:rPr>
              <w:tab/>
              <w:t>6</w:t>
            </w:r>
          </w:hyperlink>
        </w:p>
        <w:p w14:paraId="1B122E4D" w14:textId="65584F5F" w:rsidR="001851CF" w:rsidRPr="0001465D" w:rsidRDefault="00000000">
          <w:pPr>
            <w:pStyle w:val="TOC1"/>
            <w:tabs>
              <w:tab w:val="right" w:leader="dot" w:pos="9016"/>
            </w:tabs>
            <w:rPr>
              <w:rFonts w:asciiTheme="minorHAnsi" w:hAnsiTheme="minorHAnsi"/>
              <w:noProof/>
              <w:lang w:val="en-GB" w:eastAsia="en-GB"/>
            </w:rPr>
          </w:pPr>
          <w:hyperlink w:anchor="_Toc168333365" w:history="1">
            <w:r w:rsidR="001851CF" w:rsidRPr="0001465D">
              <w:rPr>
                <w:rStyle w:val="Hyperlink"/>
                <w:rFonts w:cs="Arial"/>
                <w:noProof/>
                <w:color w:val="auto"/>
                <w:lang w:val="en-GB"/>
              </w:rPr>
              <w:t>Identification of the Key Reasons for Declining Profitability</w:t>
            </w:r>
            <w:r w:rsidR="001851CF" w:rsidRPr="0001465D">
              <w:rPr>
                <w:noProof/>
                <w:webHidden/>
              </w:rPr>
              <w:tab/>
              <w:t>7</w:t>
            </w:r>
          </w:hyperlink>
        </w:p>
        <w:p w14:paraId="23870EF3" w14:textId="2417FA9B" w:rsidR="001851CF" w:rsidRPr="0001465D" w:rsidRDefault="00000000">
          <w:pPr>
            <w:pStyle w:val="TOC1"/>
            <w:tabs>
              <w:tab w:val="right" w:leader="dot" w:pos="9016"/>
            </w:tabs>
            <w:rPr>
              <w:rFonts w:asciiTheme="minorHAnsi" w:hAnsiTheme="minorHAnsi"/>
              <w:noProof/>
              <w:lang w:val="en-GB" w:eastAsia="en-GB"/>
            </w:rPr>
          </w:pPr>
          <w:hyperlink w:anchor="_Toc168333366" w:history="1">
            <w:r w:rsidR="001851CF" w:rsidRPr="0001465D">
              <w:rPr>
                <w:rStyle w:val="Hyperlink"/>
                <w:rFonts w:cs="Arial"/>
                <w:noProof/>
                <w:color w:val="auto"/>
                <w:lang w:val="en-GB"/>
              </w:rPr>
              <w:t>Development of a Comprehensive Turnaround Strategy</w:t>
            </w:r>
            <w:r w:rsidR="001851CF" w:rsidRPr="0001465D">
              <w:rPr>
                <w:noProof/>
                <w:webHidden/>
              </w:rPr>
              <w:tab/>
              <w:t>8</w:t>
            </w:r>
          </w:hyperlink>
        </w:p>
        <w:p w14:paraId="0F5544FD" w14:textId="4436DDF5" w:rsidR="001851CF" w:rsidRPr="0001465D" w:rsidRDefault="00000000">
          <w:pPr>
            <w:pStyle w:val="TOC1"/>
            <w:tabs>
              <w:tab w:val="right" w:leader="dot" w:pos="9016"/>
            </w:tabs>
            <w:rPr>
              <w:rFonts w:asciiTheme="minorHAnsi" w:hAnsiTheme="minorHAnsi"/>
              <w:noProof/>
              <w:lang w:val="en-GB" w:eastAsia="en-GB"/>
            </w:rPr>
          </w:pPr>
          <w:hyperlink w:anchor="_Toc168333367" w:history="1">
            <w:r w:rsidR="001851CF" w:rsidRPr="0001465D">
              <w:rPr>
                <w:rStyle w:val="Hyperlink"/>
                <w:rFonts w:cs="Arial"/>
                <w:noProof/>
                <w:color w:val="auto"/>
                <w:lang w:val="en-GB"/>
              </w:rPr>
              <w:t>Conclusion</w:t>
            </w:r>
            <w:r w:rsidR="001851CF" w:rsidRPr="0001465D">
              <w:rPr>
                <w:noProof/>
                <w:webHidden/>
              </w:rPr>
              <w:tab/>
              <w:t>10</w:t>
            </w:r>
          </w:hyperlink>
        </w:p>
        <w:p w14:paraId="5544670A" w14:textId="7D50A6BF" w:rsidR="001851CF" w:rsidRDefault="00000000">
          <w:pPr>
            <w:pStyle w:val="TOC1"/>
            <w:tabs>
              <w:tab w:val="right" w:leader="dot" w:pos="9016"/>
            </w:tabs>
            <w:rPr>
              <w:rFonts w:asciiTheme="minorHAnsi" w:hAnsiTheme="minorHAnsi"/>
              <w:noProof/>
              <w:lang w:val="en-GB" w:eastAsia="en-GB"/>
            </w:rPr>
          </w:pPr>
          <w:hyperlink w:anchor="_Toc168333368" w:history="1">
            <w:r w:rsidR="001851CF" w:rsidRPr="0001465D">
              <w:rPr>
                <w:rStyle w:val="Hyperlink"/>
                <w:rFonts w:eastAsia="Times New Roman" w:cs="Arial"/>
                <w:noProof/>
                <w:color w:val="auto"/>
                <w:lang w:val="en-GB"/>
              </w:rPr>
              <w:t>Reference list</w:t>
            </w:r>
            <w:r w:rsidR="001851CF" w:rsidRPr="0001465D">
              <w:rPr>
                <w:noProof/>
                <w:webHidden/>
              </w:rPr>
              <w:tab/>
              <w:t>11</w:t>
            </w:r>
          </w:hyperlink>
        </w:p>
        <w:p w14:paraId="2B0A95E0" w14:textId="3C31CF43" w:rsidR="00063978" w:rsidRPr="00161116" w:rsidRDefault="00000000" w:rsidP="00161116">
          <w:pPr>
            <w:rPr>
              <w:rFonts w:cs="Arial"/>
              <w:noProof/>
              <w:lang w:val="en-GB"/>
            </w:rPr>
          </w:pPr>
        </w:p>
      </w:sdtContent>
    </w:sdt>
    <w:p w14:paraId="47A61F29" w14:textId="2FDDE4B1" w:rsidR="00FB4866" w:rsidRPr="00161116" w:rsidRDefault="00FB4866" w:rsidP="00161116">
      <w:pPr>
        <w:rPr>
          <w:rFonts w:cs="Arial"/>
          <w:noProof/>
          <w:lang w:val="en-GB"/>
        </w:rPr>
      </w:pPr>
      <w:r w:rsidRPr="00161116">
        <w:rPr>
          <w:rFonts w:cs="Arial"/>
          <w:noProof/>
          <w:lang w:val="en-GB"/>
        </w:rPr>
        <w:br w:type="page"/>
      </w:r>
    </w:p>
    <w:p w14:paraId="4B064568" w14:textId="77777777" w:rsidR="00FB4866" w:rsidRPr="00161116" w:rsidRDefault="00FB4866" w:rsidP="0001465D">
      <w:pPr>
        <w:pStyle w:val="Heading1"/>
        <w:rPr>
          <w:b/>
        </w:rPr>
      </w:pPr>
      <w:bookmarkStart w:id="1" w:name="_Toc168333358"/>
      <w:r w:rsidRPr="00161116">
        <w:lastRenderedPageBreak/>
        <w:t>Introduction</w:t>
      </w:r>
      <w:bookmarkEnd w:id="1"/>
      <w:r w:rsidRPr="00161116">
        <w:t xml:space="preserve"> </w:t>
      </w:r>
    </w:p>
    <w:p w14:paraId="1B35FB91" w14:textId="5EB906E5" w:rsidR="00DA69A0" w:rsidRPr="00161116" w:rsidRDefault="00BD66A0" w:rsidP="00161116">
      <w:pPr>
        <w:rPr>
          <w:rFonts w:cs="Arial"/>
          <w:noProof/>
          <w:lang w:val="en-GB"/>
        </w:rPr>
      </w:pPr>
      <w:r w:rsidRPr="00161116">
        <w:rPr>
          <w:rFonts w:cs="Arial"/>
          <w:noProof/>
          <w:lang w:val="en-GB"/>
        </w:rPr>
        <w:t xml:space="preserve">Financial management helps businesses to utilise </w:t>
      </w:r>
      <w:r w:rsidR="00DA69A0" w:rsidRPr="00161116">
        <w:rPr>
          <w:rFonts w:cs="Arial"/>
          <w:noProof/>
          <w:lang w:val="en-GB"/>
        </w:rPr>
        <w:t>resources properly and enhance their performance</w:t>
      </w:r>
      <w:r w:rsidR="00340F54" w:rsidRPr="00161116">
        <w:rPr>
          <w:rFonts w:cs="Arial"/>
          <w:noProof/>
          <w:lang w:val="en-GB"/>
        </w:rPr>
        <w:t xml:space="preserve"> (Tranter et al., 2014)</w:t>
      </w:r>
      <w:r w:rsidR="00DA69A0" w:rsidRPr="00161116">
        <w:rPr>
          <w:rFonts w:cs="Arial"/>
          <w:noProof/>
          <w:lang w:val="en-GB"/>
        </w:rPr>
        <w:t xml:space="preserve">. The report will emphasise the financial management aspects by considering a case study on Urban Heights Hotel. The hotel was profitable in 2021 but it encountered several financial challenges in the subsequent years. The first part of the report will analyse the financial aspects. The second part will analyse the reasons for declining profitability. Finally, a comprehensive turnaround strategy will be provided to make the hotel profitable and sustainable in the long run. </w:t>
      </w:r>
    </w:p>
    <w:p w14:paraId="0100BD3A" w14:textId="77777777" w:rsidR="00DA69A0" w:rsidRPr="00161116" w:rsidRDefault="00DA69A0" w:rsidP="0001465D">
      <w:pPr>
        <w:pStyle w:val="Heading1"/>
        <w:rPr>
          <w:b/>
        </w:rPr>
      </w:pPr>
      <w:bookmarkStart w:id="2" w:name="_Toc168333359"/>
      <w:r w:rsidRPr="00161116">
        <w:t>Evaluation of the Trends and Patterns of the Urban Heights Hotel</w:t>
      </w:r>
      <w:bookmarkEnd w:id="2"/>
      <w:r w:rsidRPr="00161116">
        <w:t xml:space="preserve"> </w:t>
      </w:r>
    </w:p>
    <w:p w14:paraId="4FD1201F" w14:textId="1467FB7E" w:rsidR="00EB3E33" w:rsidRPr="00161116" w:rsidRDefault="00DA69A0" w:rsidP="00161116">
      <w:pPr>
        <w:rPr>
          <w:rFonts w:cs="Arial"/>
          <w:noProof/>
          <w:lang w:val="en-GB"/>
        </w:rPr>
      </w:pPr>
      <w:r w:rsidRPr="00161116">
        <w:rPr>
          <w:rFonts w:cs="Arial"/>
          <w:noProof/>
          <w:lang w:val="en-GB"/>
        </w:rPr>
        <w:t>The trends and patterns of Urban Heights Hotel have</w:t>
      </w:r>
      <w:r w:rsidR="00241809" w:rsidRPr="00161116">
        <w:rPr>
          <w:rFonts w:cs="Arial"/>
          <w:noProof/>
          <w:lang w:val="en-GB"/>
        </w:rPr>
        <w:t xml:space="preserve"> been evaluated below based on revenue, expenses, profitability, liquidity, and solvency aspects. </w:t>
      </w:r>
    </w:p>
    <w:p w14:paraId="6DFEA8C9" w14:textId="10EF5756" w:rsidR="00F27DF9" w:rsidRPr="0001465D" w:rsidRDefault="00F27DF9" w:rsidP="0001465D">
      <w:pPr>
        <w:pStyle w:val="Heading2"/>
      </w:pPr>
      <w:bookmarkStart w:id="3" w:name="_Toc168333360"/>
      <w:r w:rsidRPr="0001465D">
        <w:t>Revenue Trend</w:t>
      </w:r>
      <w:bookmarkEnd w:id="3"/>
      <w:r w:rsidRPr="0001465D">
        <w:t xml:space="preserve"> </w:t>
      </w:r>
    </w:p>
    <w:tbl>
      <w:tblPr>
        <w:tblStyle w:val="GridTable2-Accent1"/>
        <w:tblW w:w="3580" w:type="dxa"/>
        <w:tblLook w:val="04A0" w:firstRow="1" w:lastRow="0" w:firstColumn="1" w:lastColumn="0" w:noHBand="0" w:noVBand="1"/>
      </w:tblPr>
      <w:tblGrid>
        <w:gridCol w:w="1700"/>
        <w:gridCol w:w="1900"/>
      </w:tblGrid>
      <w:tr w:rsidR="00F27DF9" w:rsidRPr="00161116" w14:paraId="380A84A6" w14:textId="77777777" w:rsidTr="00F27DF9">
        <w:trPr>
          <w:cnfStyle w:val="100000000000" w:firstRow="1" w:lastRow="0" w:firstColumn="0" w:lastColumn="0" w:oddVBand="0" w:evenVBand="0" w:oddHBand="0" w:evenHBand="0" w:firstRowFirstColumn="0" w:firstRowLastColumn="0" w:lastRowFirstColumn="0" w:lastRowLastColumn="0"/>
          <w:divId w:val="1239756052"/>
          <w:trHeight w:val="300"/>
        </w:trPr>
        <w:tc>
          <w:tcPr>
            <w:cnfStyle w:val="001000000000" w:firstRow="0" w:lastRow="0" w:firstColumn="1" w:lastColumn="0" w:oddVBand="0" w:evenVBand="0" w:oddHBand="0" w:evenHBand="0" w:firstRowFirstColumn="0" w:firstRowLastColumn="0" w:lastRowFirstColumn="0" w:lastRowLastColumn="0"/>
            <w:tcW w:w="1700" w:type="dxa"/>
            <w:noWrap/>
            <w:hideMark/>
          </w:tcPr>
          <w:p w14:paraId="20EC6FA3" w14:textId="77777777" w:rsidR="00F27DF9" w:rsidRPr="00161116" w:rsidRDefault="00F27DF9"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Year</w:t>
            </w:r>
          </w:p>
        </w:tc>
        <w:tc>
          <w:tcPr>
            <w:tcW w:w="1900" w:type="dxa"/>
            <w:noWrap/>
            <w:hideMark/>
          </w:tcPr>
          <w:p w14:paraId="2983957C" w14:textId="77777777" w:rsidR="00F27DF9" w:rsidRPr="00161116" w:rsidRDefault="00F27DF9" w:rsidP="00161116">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Revenue Trend</w:t>
            </w:r>
          </w:p>
        </w:tc>
      </w:tr>
      <w:tr w:rsidR="00F27DF9" w:rsidRPr="00161116" w14:paraId="7C2D649E" w14:textId="77777777" w:rsidTr="00F27DF9">
        <w:trPr>
          <w:cnfStyle w:val="000000100000" w:firstRow="0" w:lastRow="0" w:firstColumn="0" w:lastColumn="0" w:oddVBand="0" w:evenVBand="0" w:oddHBand="1" w:evenHBand="0" w:firstRowFirstColumn="0" w:firstRowLastColumn="0" w:lastRowFirstColumn="0" w:lastRowLastColumn="0"/>
          <w:divId w:val="1239756052"/>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68F9C8A" w14:textId="77777777" w:rsidR="00F27DF9" w:rsidRPr="00161116" w:rsidRDefault="00F27DF9"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2022</w:t>
            </w:r>
          </w:p>
        </w:tc>
        <w:tc>
          <w:tcPr>
            <w:tcW w:w="0" w:type="auto"/>
            <w:noWrap/>
            <w:hideMark/>
          </w:tcPr>
          <w:p w14:paraId="4E751181" w14:textId="77777777" w:rsidR="00F27DF9" w:rsidRPr="00161116" w:rsidRDefault="00F27DF9"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-12%</w:t>
            </w:r>
          </w:p>
        </w:tc>
      </w:tr>
      <w:tr w:rsidR="00F27DF9" w:rsidRPr="00161116" w14:paraId="408CCE31" w14:textId="77777777" w:rsidTr="00F27DF9">
        <w:trPr>
          <w:divId w:val="1239756052"/>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479EAAB" w14:textId="77777777" w:rsidR="00F27DF9" w:rsidRPr="00161116" w:rsidRDefault="00F27DF9"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2023</w:t>
            </w:r>
          </w:p>
        </w:tc>
        <w:tc>
          <w:tcPr>
            <w:tcW w:w="0" w:type="auto"/>
            <w:noWrap/>
            <w:hideMark/>
          </w:tcPr>
          <w:p w14:paraId="042CAA45" w14:textId="77777777" w:rsidR="00F27DF9" w:rsidRPr="00161116" w:rsidRDefault="00F27DF9"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-18.18%</w:t>
            </w:r>
          </w:p>
        </w:tc>
      </w:tr>
    </w:tbl>
    <w:p w14:paraId="42C87852" w14:textId="617141FD" w:rsidR="00F27DF9" w:rsidRPr="00161116" w:rsidRDefault="004F053B" w:rsidP="00161116">
      <w:pPr>
        <w:rPr>
          <w:rFonts w:cs="Arial"/>
          <w:noProof/>
          <w:lang w:val="en-GB"/>
        </w:rPr>
      </w:pPr>
      <w:r w:rsidRPr="00161116">
        <w:rPr>
          <w:rFonts w:cs="Arial"/>
          <w:noProof/>
          <w:lang w:val="en-GB"/>
        </w:rPr>
        <w:t>Urban Heights Hotel's last three years' revenue shows that the company is facing various challenges to generate enough revenue to support its business activities. In 2021 the revenue was enough that it could make a profit. But in the following two years, the company had a decreasing revenue trend. In 2022, the hotel's revenue decreased by 12% compared to 2021's revenue. In 2023, the decrease in revenue was even greater than the previous year and it was 18.18% less than 2022's revenue. Many reasons can be attributed to that consistent decrease in revenue. The hotel might have decreased in occupancy rate because of customer dissatisfaction with the services</w:t>
      </w:r>
      <w:r w:rsidR="00C37F8A" w:rsidRPr="00161116">
        <w:rPr>
          <w:rFonts w:cs="Arial"/>
          <w:noProof/>
          <w:lang w:val="en-GB"/>
        </w:rPr>
        <w:t xml:space="preserve"> (Walker, 2020)</w:t>
      </w:r>
      <w:r w:rsidRPr="00161116">
        <w:rPr>
          <w:rFonts w:cs="Arial"/>
          <w:noProof/>
          <w:lang w:val="en-GB"/>
        </w:rPr>
        <w:t>. The hotel's revenue might also have decreased due to the lower rate for rooms. Furthermore, the decreasing sales in the hotel's restaurant and bar might have an impact on its total revenue</w:t>
      </w:r>
      <w:r w:rsidR="00340F54" w:rsidRPr="00161116">
        <w:rPr>
          <w:rFonts w:cs="Arial"/>
          <w:noProof/>
          <w:lang w:val="en-GB"/>
        </w:rPr>
        <w:t xml:space="preserve"> (Tranter et al., 2014)</w:t>
      </w:r>
      <w:r w:rsidRPr="00161116">
        <w:rPr>
          <w:rFonts w:cs="Arial"/>
          <w:noProof/>
          <w:lang w:val="en-GB"/>
        </w:rPr>
        <w:t>.</w:t>
      </w:r>
    </w:p>
    <w:p w14:paraId="0EABA45F" w14:textId="292F6E9E" w:rsidR="00511117" w:rsidRPr="00161116" w:rsidRDefault="00511117" w:rsidP="0001465D">
      <w:pPr>
        <w:pStyle w:val="Heading2"/>
      </w:pPr>
      <w:bookmarkStart w:id="4" w:name="_Toc168333361"/>
      <w:r w:rsidRPr="00161116">
        <w:t>Expenses Trend</w:t>
      </w:r>
      <w:bookmarkEnd w:id="4"/>
      <w:r w:rsidRPr="00161116">
        <w:t xml:space="preserve"> </w:t>
      </w:r>
    </w:p>
    <w:tbl>
      <w:tblPr>
        <w:tblStyle w:val="GridTable2-Accent1"/>
        <w:tblW w:w="3580" w:type="dxa"/>
        <w:tblLook w:val="04A0" w:firstRow="1" w:lastRow="0" w:firstColumn="1" w:lastColumn="0" w:noHBand="0" w:noVBand="1"/>
      </w:tblPr>
      <w:tblGrid>
        <w:gridCol w:w="1700"/>
        <w:gridCol w:w="1900"/>
      </w:tblGrid>
      <w:tr w:rsidR="00511117" w:rsidRPr="00161116" w14:paraId="2504D7CC" w14:textId="77777777" w:rsidTr="00511117">
        <w:trPr>
          <w:cnfStyle w:val="100000000000" w:firstRow="1" w:lastRow="0" w:firstColumn="0" w:lastColumn="0" w:oddVBand="0" w:evenVBand="0" w:oddHBand="0" w:evenHBand="0" w:firstRowFirstColumn="0" w:firstRowLastColumn="0" w:lastRowFirstColumn="0" w:lastRowLastColumn="0"/>
          <w:divId w:val="1213269934"/>
          <w:trHeight w:val="300"/>
        </w:trPr>
        <w:tc>
          <w:tcPr>
            <w:cnfStyle w:val="001000000000" w:firstRow="0" w:lastRow="0" w:firstColumn="1" w:lastColumn="0" w:oddVBand="0" w:evenVBand="0" w:oddHBand="0" w:evenHBand="0" w:firstRowFirstColumn="0" w:firstRowLastColumn="0" w:lastRowFirstColumn="0" w:lastRowLastColumn="0"/>
            <w:tcW w:w="1700" w:type="dxa"/>
            <w:noWrap/>
            <w:hideMark/>
          </w:tcPr>
          <w:p w14:paraId="2533254E" w14:textId="77777777" w:rsidR="00511117" w:rsidRPr="00161116" w:rsidRDefault="00511117"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Year</w:t>
            </w:r>
          </w:p>
        </w:tc>
        <w:tc>
          <w:tcPr>
            <w:tcW w:w="1900" w:type="dxa"/>
            <w:noWrap/>
            <w:hideMark/>
          </w:tcPr>
          <w:p w14:paraId="362ADA48" w14:textId="77777777" w:rsidR="00511117" w:rsidRPr="00161116" w:rsidRDefault="00511117" w:rsidP="00161116">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 xml:space="preserve">Expenses </w:t>
            </w:r>
            <w:r w:rsidRPr="00161116">
              <w:rPr>
                <w:rFonts w:eastAsia="Times New Roman" w:cs="Arial"/>
                <w:noProof/>
                <w:color w:val="000000"/>
                <w:kern w:val="0"/>
                <w:lang w:val="en-GB"/>
                <w14:ligatures w14:val="none"/>
              </w:rPr>
              <w:lastRenderedPageBreak/>
              <w:t>Trend</w:t>
            </w:r>
          </w:p>
        </w:tc>
      </w:tr>
      <w:tr w:rsidR="00511117" w:rsidRPr="00161116" w14:paraId="7AC92672" w14:textId="77777777" w:rsidTr="00511117">
        <w:trPr>
          <w:cnfStyle w:val="000000100000" w:firstRow="0" w:lastRow="0" w:firstColumn="0" w:lastColumn="0" w:oddVBand="0" w:evenVBand="0" w:oddHBand="1" w:evenHBand="0" w:firstRowFirstColumn="0" w:firstRowLastColumn="0" w:lastRowFirstColumn="0" w:lastRowLastColumn="0"/>
          <w:divId w:val="1213269934"/>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5D76634" w14:textId="77777777" w:rsidR="00511117" w:rsidRPr="00161116" w:rsidRDefault="00511117"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lastRenderedPageBreak/>
              <w:t>2022</w:t>
            </w:r>
          </w:p>
        </w:tc>
        <w:tc>
          <w:tcPr>
            <w:tcW w:w="0" w:type="auto"/>
            <w:noWrap/>
            <w:hideMark/>
          </w:tcPr>
          <w:p w14:paraId="7378C276" w14:textId="77777777" w:rsidR="00511117" w:rsidRPr="00161116" w:rsidRDefault="00511117"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11.11%</w:t>
            </w:r>
          </w:p>
        </w:tc>
      </w:tr>
      <w:tr w:rsidR="00511117" w:rsidRPr="00161116" w14:paraId="229B01BA" w14:textId="77777777" w:rsidTr="00511117">
        <w:trPr>
          <w:divId w:val="1213269934"/>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1D4CDBE" w14:textId="77777777" w:rsidR="00511117" w:rsidRPr="00161116" w:rsidRDefault="00511117"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2023</w:t>
            </w:r>
          </w:p>
        </w:tc>
        <w:tc>
          <w:tcPr>
            <w:tcW w:w="0" w:type="auto"/>
            <w:noWrap/>
            <w:hideMark/>
          </w:tcPr>
          <w:p w14:paraId="2BE59BE9" w14:textId="77777777" w:rsidR="00511117" w:rsidRPr="00161116" w:rsidRDefault="00511117"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15%</w:t>
            </w:r>
          </w:p>
        </w:tc>
      </w:tr>
    </w:tbl>
    <w:p w14:paraId="74B302D9" w14:textId="4D759F99" w:rsidR="00F27DF9" w:rsidRPr="00161116" w:rsidRDefault="00102C66" w:rsidP="00161116">
      <w:pPr>
        <w:rPr>
          <w:rFonts w:cs="Arial"/>
          <w:noProof/>
          <w:lang w:val="en-GB"/>
        </w:rPr>
      </w:pPr>
      <w:r w:rsidRPr="00161116">
        <w:rPr>
          <w:rFonts w:cs="Arial"/>
          <w:noProof/>
          <w:lang w:val="en-GB"/>
        </w:rPr>
        <w:t xml:space="preserve">The trend at the expense of the hotel shows that in the last three years, expenses have increased at a significant rate. In 2022, the hotel had an 11.11% increase in operating expenses. Next year, the operating expenses increased to 15%. Such a consistent increase in total operating expenses can be related to different operating inefficiencies in the hotel. These inefficiencies have created more sources of costs. </w:t>
      </w:r>
    </w:p>
    <w:p w14:paraId="7801491D" w14:textId="1EA9F437" w:rsidR="00366275" w:rsidRPr="00161116" w:rsidRDefault="00366275" w:rsidP="0001465D">
      <w:pPr>
        <w:pStyle w:val="Heading2"/>
      </w:pPr>
      <w:bookmarkStart w:id="5" w:name="_Toc168333362"/>
      <w:r w:rsidRPr="00161116">
        <w:t>Profitability Ratios</w:t>
      </w:r>
      <w:bookmarkEnd w:id="5"/>
      <w:r w:rsidRPr="00161116">
        <w:t xml:space="preserve"> </w:t>
      </w:r>
    </w:p>
    <w:tbl>
      <w:tblPr>
        <w:tblStyle w:val="GridTable2-Accent1"/>
        <w:tblW w:w="6780" w:type="dxa"/>
        <w:tblLook w:val="04A0" w:firstRow="1" w:lastRow="0" w:firstColumn="1" w:lastColumn="0" w:noHBand="0" w:noVBand="1"/>
      </w:tblPr>
      <w:tblGrid>
        <w:gridCol w:w="1700"/>
        <w:gridCol w:w="2017"/>
        <w:gridCol w:w="2057"/>
        <w:gridCol w:w="2004"/>
      </w:tblGrid>
      <w:tr w:rsidR="00366275" w:rsidRPr="00161116" w14:paraId="774D175C" w14:textId="77777777" w:rsidTr="00366275">
        <w:trPr>
          <w:cnfStyle w:val="100000000000" w:firstRow="1" w:lastRow="0" w:firstColumn="0" w:lastColumn="0" w:oddVBand="0" w:evenVBand="0" w:oddHBand="0" w:evenHBand="0" w:firstRowFirstColumn="0" w:firstRowLastColumn="0" w:lastRowFirstColumn="0" w:lastRowLastColumn="0"/>
          <w:divId w:val="722485535"/>
          <w:trHeight w:val="300"/>
        </w:trPr>
        <w:tc>
          <w:tcPr>
            <w:cnfStyle w:val="001000000000" w:firstRow="0" w:lastRow="0" w:firstColumn="1" w:lastColumn="0" w:oddVBand="0" w:evenVBand="0" w:oddHBand="0" w:evenHBand="0" w:firstRowFirstColumn="0" w:firstRowLastColumn="0" w:lastRowFirstColumn="0" w:lastRowLastColumn="0"/>
            <w:tcW w:w="1700" w:type="dxa"/>
            <w:noWrap/>
            <w:hideMark/>
          </w:tcPr>
          <w:p w14:paraId="2C5E10CA" w14:textId="77777777" w:rsidR="00366275" w:rsidRPr="0001465D" w:rsidRDefault="00366275" w:rsidP="00161116">
            <w:pPr>
              <w:rPr>
                <w:rFonts w:eastAsia="Times New Roman" w:cs="Arial"/>
                <w:b w:val="0"/>
                <w:bCs w:val="0"/>
                <w:noProof/>
                <w:color w:val="000000"/>
                <w:kern w:val="0"/>
                <w:lang w:val="en-GB"/>
                <w14:ligatures w14:val="none"/>
              </w:rPr>
            </w:pPr>
            <w:r w:rsidRPr="0001465D">
              <w:rPr>
                <w:rFonts w:eastAsia="Times New Roman" w:cs="Arial"/>
                <w:b w:val="0"/>
                <w:bCs w:val="0"/>
                <w:noProof/>
                <w:color w:val="000000"/>
                <w:kern w:val="0"/>
                <w:lang w:val="en-GB"/>
                <w14:ligatures w14:val="none"/>
              </w:rPr>
              <w:t>Profitability Ratios</w:t>
            </w:r>
          </w:p>
        </w:tc>
        <w:tc>
          <w:tcPr>
            <w:tcW w:w="1900" w:type="dxa"/>
            <w:noWrap/>
            <w:hideMark/>
          </w:tcPr>
          <w:p w14:paraId="2FB6E050" w14:textId="77777777" w:rsidR="00366275" w:rsidRPr="00161116" w:rsidRDefault="00366275" w:rsidP="00161116">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p>
        </w:tc>
        <w:tc>
          <w:tcPr>
            <w:tcW w:w="1620" w:type="dxa"/>
            <w:noWrap/>
            <w:hideMark/>
          </w:tcPr>
          <w:p w14:paraId="15C8291E" w14:textId="77777777" w:rsidR="00366275" w:rsidRPr="00161116" w:rsidRDefault="00366275" w:rsidP="00161116">
            <w:pPr>
              <w:cnfStyle w:val="100000000000" w:firstRow="1" w:lastRow="0" w:firstColumn="0" w:lastColumn="0" w:oddVBand="0" w:evenVBand="0" w:oddHBand="0" w:evenHBand="0" w:firstRowFirstColumn="0" w:firstRowLastColumn="0" w:lastRowFirstColumn="0" w:lastRowLastColumn="0"/>
              <w:rPr>
                <w:rFonts w:eastAsia="Times New Roman" w:cs="Arial"/>
                <w:noProof/>
                <w:kern w:val="0"/>
                <w:lang w:val="en-GB"/>
                <w14:ligatures w14:val="none"/>
              </w:rPr>
            </w:pPr>
          </w:p>
        </w:tc>
        <w:tc>
          <w:tcPr>
            <w:tcW w:w="1580" w:type="dxa"/>
            <w:noWrap/>
            <w:hideMark/>
          </w:tcPr>
          <w:p w14:paraId="3ADE2563" w14:textId="77777777" w:rsidR="00366275" w:rsidRPr="00161116" w:rsidRDefault="00366275" w:rsidP="00161116">
            <w:pPr>
              <w:cnfStyle w:val="100000000000" w:firstRow="1" w:lastRow="0" w:firstColumn="0" w:lastColumn="0" w:oddVBand="0" w:evenVBand="0" w:oddHBand="0" w:evenHBand="0" w:firstRowFirstColumn="0" w:firstRowLastColumn="0" w:lastRowFirstColumn="0" w:lastRowLastColumn="0"/>
              <w:rPr>
                <w:rFonts w:eastAsia="Times New Roman" w:cs="Arial"/>
                <w:noProof/>
                <w:kern w:val="0"/>
                <w:lang w:val="en-GB"/>
                <w14:ligatures w14:val="none"/>
              </w:rPr>
            </w:pPr>
          </w:p>
        </w:tc>
      </w:tr>
      <w:tr w:rsidR="00366275" w:rsidRPr="00161116" w14:paraId="6B89AD94" w14:textId="77777777" w:rsidTr="00366275">
        <w:trPr>
          <w:cnfStyle w:val="000000100000" w:firstRow="0" w:lastRow="0" w:firstColumn="0" w:lastColumn="0" w:oddVBand="0" w:evenVBand="0" w:oddHBand="1" w:evenHBand="0" w:firstRowFirstColumn="0" w:firstRowLastColumn="0" w:lastRowFirstColumn="0" w:lastRowLastColumn="0"/>
          <w:divId w:val="722485535"/>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38620CD" w14:textId="77777777" w:rsidR="00366275" w:rsidRPr="00161116" w:rsidRDefault="00366275"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Year</w:t>
            </w:r>
          </w:p>
        </w:tc>
        <w:tc>
          <w:tcPr>
            <w:tcW w:w="0" w:type="auto"/>
            <w:noWrap/>
            <w:hideMark/>
          </w:tcPr>
          <w:p w14:paraId="2BA54665" w14:textId="77777777" w:rsidR="00366275" w:rsidRPr="00161116" w:rsidRDefault="00366275"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Net Profit Margin</w:t>
            </w:r>
          </w:p>
        </w:tc>
        <w:tc>
          <w:tcPr>
            <w:tcW w:w="0" w:type="auto"/>
            <w:noWrap/>
            <w:hideMark/>
          </w:tcPr>
          <w:p w14:paraId="7E8A5612" w14:textId="77777777" w:rsidR="00366275" w:rsidRPr="00161116" w:rsidRDefault="00366275"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Return on Assets</w:t>
            </w:r>
          </w:p>
        </w:tc>
        <w:tc>
          <w:tcPr>
            <w:tcW w:w="0" w:type="auto"/>
            <w:noWrap/>
            <w:hideMark/>
          </w:tcPr>
          <w:p w14:paraId="1C14F863" w14:textId="77777777" w:rsidR="00366275" w:rsidRPr="00161116" w:rsidRDefault="00366275"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Return on Equity</w:t>
            </w:r>
          </w:p>
        </w:tc>
      </w:tr>
      <w:tr w:rsidR="00366275" w:rsidRPr="00161116" w14:paraId="3AD9BD76" w14:textId="77777777" w:rsidTr="00366275">
        <w:trPr>
          <w:divId w:val="722485535"/>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BD4E8C6" w14:textId="77777777" w:rsidR="00366275" w:rsidRPr="00161116" w:rsidRDefault="00366275"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2021</w:t>
            </w:r>
          </w:p>
        </w:tc>
        <w:tc>
          <w:tcPr>
            <w:tcW w:w="0" w:type="auto"/>
            <w:noWrap/>
            <w:hideMark/>
          </w:tcPr>
          <w:p w14:paraId="51F2BDE2" w14:textId="77777777" w:rsidR="00366275" w:rsidRPr="00161116" w:rsidRDefault="00366275"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28%</w:t>
            </w:r>
          </w:p>
        </w:tc>
        <w:tc>
          <w:tcPr>
            <w:tcW w:w="0" w:type="auto"/>
            <w:noWrap/>
            <w:hideMark/>
          </w:tcPr>
          <w:p w14:paraId="686B6BA7" w14:textId="77777777" w:rsidR="00366275" w:rsidRPr="00161116" w:rsidRDefault="00366275"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12.84%</w:t>
            </w:r>
          </w:p>
        </w:tc>
        <w:tc>
          <w:tcPr>
            <w:tcW w:w="0" w:type="auto"/>
            <w:noWrap/>
            <w:hideMark/>
          </w:tcPr>
          <w:p w14:paraId="7C0DDCBA" w14:textId="77777777" w:rsidR="00366275" w:rsidRPr="00161116" w:rsidRDefault="00366275"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31.81%</w:t>
            </w:r>
          </w:p>
        </w:tc>
      </w:tr>
      <w:tr w:rsidR="00366275" w:rsidRPr="00161116" w14:paraId="0CEDF80E" w14:textId="77777777" w:rsidTr="00366275">
        <w:trPr>
          <w:cnfStyle w:val="000000100000" w:firstRow="0" w:lastRow="0" w:firstColumn="0" w:lastColumn="0" w:oddVBand="0" w:evenVBand="0" w:oddHBand="1" w:evenHBand="0" w:firstRowFirstColumn="0" w:firstRowLastColumn="0" w:lastRowFirstColumn="0" w:lastRowLastColumn="0"/>
          <w:divId w:val="722485535"/>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E46354D" w14:textId="77777777" w:rsidR="00366275" w:rsidRPr="00161116" w:rsidRDefault="00366275"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2022</w:t>
            </w:r>
          </w:p>
        </w:tc>
        <w:tc>
          <w:tcPr>
            <w:tcW w:w="0" w:type="auto"/>
            <w:noWrap/>
            <w:hideMark/>
          </w:tcPr>
          <w:p w14:paraId="7677B837" w14:textId="77777777" w:rsidR="00366275" w:rsidRPr="00161116" w:rsidRDefault="00366275"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9.09%</w:t>
            </w:r>
          </w:p>
        </w:tc>
        <w:tc>
          <w:tcPr>
            <w:tcW w:w="0" w:type="auto"/>
            <w:noWrap/>
            <w:hideMark/>
          </w:tcPr>
          <w:p w14:paraId="69E30FBD" w14:textId="77777777" w:rsidR="00366275" w:rsidRPr="00161116" w:rsidRDefault="00366275"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3.92%</w:t>
            </w:r>
          </w:p>
        </w:tc>
        <w:tc>
          <w:tcPr>
            <w:tcW w:w="0" w:type="auto"/>
            <w:noWrap/>
            <w:hideMark/>
          </w:tcPr>
          <w:p w14:paraId="46DFA5F1" w14:textId="77777777" w:rsidR="00366275" w:rsidRPr="00161116" w:rsidRDefault="00366275"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10.93%</w:t>
            </w:r>
          </w:p>
        </w:tc>
      </w:tr>
      <w:tr w:rsidR="00366275" w:rsidRPr="00161116" w14:paraId="7FBD08E5" w14:textId="77777777" w:rsidTr="00366275">
        <w:trPr>
          <w:divId w:val="722485535"/>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051DAF9" w14:textId="77777777" w:rsidR="00366275" w:rsidRPr="00161116" w:rsidRDefault="00366275"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2023</w:t>
            </w:r>
          </w:p>
        </w:tc>
        <w:tc>
          <w:tcPr>
            <w:tcW w:w="0" w:type="auto"/>
            <w:noWrap/>
            <w:hideMark/>
          </w:tcPr>
          <w:p w14:paraId="7F4A4A89" w14:textId="77777777" w:rsidR="00366275" w:rsidRPr="00161116" w:rsidRDefault="00366275"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-27.78%</w:t>
            </w:r>
          </w:p>
        </w:tc>
        <w:tc>
          <w:tcPr>
            <w:tcW w:w="0" w:type="auto"/>
            <w:noWrap/>
            <w:hideMark/>
          </w:tcPr>
          <w:p w14:paraId="601A5FEE" w14:textId="77777777" w:rsidR="00366275" w:rsidRPr="00161116" w:rsidRDefault="00366275"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-10.68</w:t>
            </w:r>
          </w:p>
        </w:tc>
        <w:tc>
          <w:tcPr>
            <w:tcW w:w="0" w:type="auto"/>
            <w:noWrap/>
            <w:hideMark/>
          </w:tcPr>
          <w:p w14:paraId="6EDF1888" w14:textId="77777777" w:rsidR="00366275" w:rsidRPr="00161116" w:rsidRDefault="00366275"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-38.23%</w:t>
            </w:r>
          </w:p>
        </w:tc>
      </w:tr>
    </w:tbl>
    <w:p w14:paraId="22E9B5D0" w14:textId="1EA1FECB" w:rsidR="00366275" w:rsidRPr="00161116" w:rsidRDefault="002543C7" w:rsidP="00161116">
      <w:pPr>
        <w:rPr>
          <w:rFonts w:cs="Arial"/>
          <w:noProof/>
          <w:lang w:val="en-GB"/>
        </w:rPr>
      </w:pPr>
      <w:r w:rsidRPr="00161116">
        <w:rPr>
          <w:rFonts w:cs="Arial"/>
          <w:noProof/>
          <w:lang w:val="en-GB"/>
        </w:rPr>
        <w:t>The profitability ratio of the hotel shows that Urban Heights Hotel had a strong financial position in 2021. But in the last two years, the hotel lost its position and had a poor financial performance</w:t>
      </w:r>
      <w:r w:rsidR="00816D30" w:rsidRPr="00161116">
        <w:rPr>
          <w:rFonts w:cs="Arial"/>
          <w:noProof/>
          <w:lang w:val="en-GB"/>
        </w:rPr>
        <w:t xml:space="preserve"> (Drury, 2018)</w:t>
      </w:r>
      <w:r w:rsidRPr="00161116">
        <w:rPr>
          <w:rFonts w:cs="Arial"/>
          <w:noProof/>
          <w:lang w:val="en-GB"/>
        </w:rPr>
        <w:t>. The net profit margin indicates the portion of the total revenue that has been retained after paying off all the expenses of the hotel. A higher net profit margin indicates higher profitability. In 2021, the net profit margin was 28% which is quite high and shows the strong financial performance of the hotel. In 2022, the net profit margin decreased to 9.09% which is still profitable but the declining trend is concerning for the hotel. In 2023, the net profit margin became -27.78%. Negative net profit margin indicates that the hotel is losing its assets because it has higher expenses than the total revenue generated.</w:t>
      </w:r>
      <w:r w:rsidR="00F615E9" w:rsidRPr="00161116">
        <w:rPr>
          <w:rFonts w:cs="Arial"/>
          <w:noProof/>
          <w:lang w:val="en-GB"/>
        </w:rPr>
        <w:t xml:space="preserve"> </w:t>
      </w:r>
    </w:p>
    <w:p w14:paraId="5812C198" w14:textId="186E4CC0" w:rsidR="00F615E9" w:rsidRPr="00161116" w:rsidRDefault="00F615E9" w:rsidP="00161116">
      <w:pPr>
        <w:rPr>
          <w:rFonts w:cs="Arial"/>
          <w:noProof/>
          <w:lang w:val="en-GB"/>
        </w:rPr>
      </w:pPr>
      <w:r w:rsidRPr="00161116">
        <w:rPr>
          <w:rFonts w:cs="Arial"/>
          <w:noProof/>
          <w:lang w:val="en-GB"/>
        </w:rPr>
        <w:t xml:space="preserve">The return on asset (ROA) ratio shows the relative position of the total net profit and the total assets of the hotel. The hotel had 12.84% ROA in 2021 which indicates a strong financial position to generate net profit utilising the total assets of the hotel. In 2022, the ROA fell to 3.92 which is still profitable but indicates a decrease in efficiency in the asset utilisation. In 2023, the ROA became -10.68%. A negative ROA shows that the hotel is not capable enough to generate enough net profit utilising its total assets and so it is losing its assets due to the losses. </w:t>
      </w:r>
    </w:p>
    <w:p w14:paraId="48AEC9A9" w14:textId="08D66476" w:rsidR="00366275" w:rsidRPr="00161116" w:rsidRDefault="00062D69" w:rsidP="00161116">
      <w:pPr>
        <w:rPr>
          <w:rFonts w:cs="Arial"/>
          <w:noProof/>
          <w:lang w:val="en-GB"/>
        </w:rPr>
      </w:pPr>
      <w:r w:rsidRPr="00161116">
        <w:rPr>
          <w:rFonts w:cs="Arial"/>
          <w:noProof/>
          <w:lang w:val="en-GB"/>
        </w:rPr>
        <w:lastRenderedPageBreak/>
        <w:t>Return on Equity (ROE) is another profitability financial ratio that shows the relative position of the hotel's total equity and the total net profit. In 2021, the hotel had an ROE of 31.81%. The higher ROE shows that the hotel had efficient management for its equities. It utilised the equities properly to generate enough net profit</w:t>
      </w:r>
      <w:r w:rsidR="00816D30" w:rsidRPr="00161116">
        <w:rPr>
          <w:rFonts w:cs="Arial"/>
          <w:noProof/>
          <w:lang w:val="en-GB"/>
        </w:rPr>
        <w:t xml:space="preserve"> (Drury, 2018)</w:t>
      </w:r>
      <w:r w:rsidRPr="00161116">
        <w:rPr>
          <w:rFonts w:cs="Arial"/>
          <w:noProof/>
          <w:lang w:val="en-GB"/>
        </w:rPr>
        <w:t>. In 2022, the ROE dropped to 10.93%. At this point, the hotel is still profitable but has lost its efficiency in the utilisation of its equities to make profits. In 2023, the hotel's ROE became -38.23%. Such a negative ROE is alarming for the company as it decreases the shareholders' equity.</w:t>
      </w:r>
    </w:p>
    <w:p w14:paraId="4FE76992" w14:textId="48A8056E" w:rsidR="003A6FAE" w:rsidRPr="00161116" w:rsidRDefault="00312776" w:rsidP="0001465D">
      <w:pPr>
        <w:pStyle w:val="Heading2"/>
      </w:pPr>
      <w:bookmarkStart w:id="6" w:name="_Toc168333363"/>
      <w:r w:rsidRPr="00161116">
        <w:t>Liquidity Ratio</w:t>
      </w:r>
      <w:bookmarkEnd w:id="6"/>
      <w:r w:rsidRPr="00161116">
        <w:t xml:space="preserve"> </w:t>
      </w:r>
    </w:p>
    <w:tbl>
      <w:tblPr>
        <w:tblStyle w:val="GridTable2-Accent1"/>
        <w:tblW w:w="3580" w:type="dxa"/>
        <w:tblLook w:val="04A0" w:firstRow="1" w:lastRow="0" w:firstColumn="1" w:lastColumn="0" w:noHBand="0" w:noVBand="1"/>
      </w:tblPr>
      <w:tblGrid>
        <w:gridCol w:w="1700"/>
        <w:gridCol w:w="1900"/>
      </w:tblGrid>
      <w:tr w:rsidR="00312776" w:rsidRPr="00161116" w14:paraId="6004C51F" w14:textId="77777777" w:rsidTr="00312776">
        <w:trPr>
          <w:cnfStyle w:val="100000000000" w:firstRow="1" w:lastRow="0" w:firstColumn="0" w:lastColumn="0" w:oddVBand="0" w:evenVBand="0" w:oddHBand="0" w:evenHBand="0" w:firstRowFirstColumn="0" w:firstRowLastColumn="0" w:lastRowFirstColumn="0" w:lastRowLastColumn="0"/>
          <w:divId w:val="906646071"/>
          <w:trHeight w:val="300"/>
        </w:trPr>
        <w:tc>
          <w:tcPr>
            <w:cnfStyle w:val="001000000000" w:firstRow="0" w:lastRow="0" w:firstColumn="1" w:lastColumn="0" w:oddVBand="0" w:evenVBand="0" w:oddHBand="0" w:evenHBand="0" w:firstRowFirstColumn="0" w:firstRowLastColumn="0" w:lastRowFirstColumn="0" w:lastRowLastColumn="0"/>
            <w:tcW w:w="1700" w:type="dxa"/>
            <w:noWrap/>
            <w:hideMark/>
          </w:tcPr>
          <w:p w14:paraId="07DF6AD8" w14:textId="77777777" w:rsidR="00312776" w:rsidRPr="0001465D" w:rsidRDefault="00312776" w:rsidP="00161116">
            <w:pPr>
              <w:rPr>
                <w:rFonts w:eastAsia="Times New Roman" w:cs="Arial"/>
                <w:b w:val="0"/>
                <w:bCs w:val="0"/>
                <w:noProof/>
                <w:color w:val="000000"/>
                <w:kern w:val="0"/>
                <w:lang w:val="en-GB"/>
                <w14:ligatures w14:val="none"/>
              </w:rPr>
            </w:pPr>
            <w:r w:rsidRPr="0001465D">
              <w:rPr>
                <w:rFonts w:eastAsia="Times New Roman" w:cs="Arial"/>
                <w:b w:val="0"/>
                <w:bCs w:val="0"/>
                <w:noProof/>
                <w:color w:val="000000"/>
                <w:kern w:val="0"/>
                <w:lang w:val="en-GB"/>
                <w14:ligatures w14:val="none"/>
              </w:rPr>
              <w:t>Liquidity Ratio</w:t>
            </w:r>
          </w:p>
        </w:tc>
        <w:tc>
          <w:tcPr>
            <w:tcW w:w="1900" w:type="dxa"/>
            <w:noWrap/>
            <w:hideMark/>
          </w:tcPr>
          <w:p w14:paraId="21128F00" w14:textId="77777777" w:rsidR="00312776" w:rsidRPr="00161116" w:rsidRDefault="00312776" w:rsidP="00161116">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p>
        </w:tc>
      </w:tr>
      <w:tr w:rsidR="00312776" w:rsidRPr="00161116" w14:paraId="0BCDEEEB" w14:textId="77777777" w:rsidTr="00312776">
        <w:trPr>
          <w:cnfStyle w:val="000000100000" w:firstRow="0" w:lastRow="0" w:firstColumn="0" w:lastColumn="0" w:oddVBand="0" w:evenVBand="0" w:oddHBand="1" w:evenHBand="0" w:firstRowFirstColumn="0" w:firstRowLastColumn="0" w:lastRowFirstColumn="0" w:lastRowLastColumn="0"/>
          <w:divId w:val="906646071"/>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20B1319" w14:textId="77777777" w:rsidR="00312776" w:rsidRPr="00161116" w:rsidRDefault="00312776"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Year</w:t>
            </w:r>
          </w:p>
        </w:tc>
        <w:tc>
          <w:tcPr>
            <w:tcW w:w="0" w:type="auto"/>
            <w:noWrap/>
            <w:hideMark/>
          </w:tcPr>
          <w:p w14:paraId="6DE881F1" w14:textId="77777777" w:rsidR="00312776" w:rsidRPr="00161116" w:rsidRDefault="00312776"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Current Ratio</w:t>
            </w:r>
          </w:p>
        </w:tc>
      </w:tr>
      <w:tr w:rsidR="00312776" w:rsidRPr="00161116" w14:paraId="1B59D33A" w14:textId="77777777" w:rsidTr="00312776">
        <w:trPr>
          <w:divId w:val="906646071"/>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653644A" w14:textId="77777777" w:rsidR="00312776" w:rsidRPr="00161116" w:rsidRDefault="00312776"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2021</w:t>
            </w:r>
          </w:p>
        </w:tc>
        <w:tc>
          <w:tcPr>
            <w:tcW w:w="0" w:type="auto"/>
            <w:noWrap/>
            <w:hideMark/>
          </w:tcPr>
          <w:p w14:paraId="783B708D" w14:textId="77777777" w:rsidR="00312776" w:rsidRPr="00161116" w:rsidRDefault="00312776"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1.8</w:t>
            </w:r>
          </w:p>
        </w:tc>
      </w:tr>
      <w:tr w:rsidR="00312776" w:rsidRPr="00161116" w14:paraId="00D0697E" w14:textId="77777777" w:rsidTr="00312776">
        <w:trPr>
          <w:cnfStyle w:val="000000100000" w:firstRow="0" w:lastRow="0" w:firstColumn="0" w:lastColumn="0" w:oddVBand="0" w:evenVBand="0" w:oddHBand="1" w:evenHBand="0" w:firstRowFirstColumn="0" w:firstRowLastColumn="0" w:lastRowFirstColumn="0" w:lastRowLastColumn="0"/>
          <w:divId w:val="906646071"/>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009113D" w14:textId="77777777" w:rsidR="00312776" w:rsidRPr="00161116" w:rsidRDefault="00312776"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2022</w:t>
            </w:r>
          </w:p>
        </w:tc>
        <w:tc>
          <w:tcPr>
            <w:tcW w:w="0" w:type="auto"/>
            <w:noWrap/>
            <w:hideMark/>
          </w:tcPr>
          <w:p w14:paraId="56E741B4" w14:textId="77777777" w:rsidR="00312776" w:rsidRPr="00161116" w:rsidRDefault="00312776"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1.11</w:t>
            </w:r>
          </w:p>
        </w:tc>
      </w:tr>
      <w:tr w:rsidR="00312776" w:rsidRPr="00161116" w14:paraId="4DBA5DF8" w14:textId="77777777" w:rsidTr="00312776">
        <w:trPr>
          <w:divId w:val="906646071"/>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66BA4BE" w14:textId="77777777" w:rsidR="00312776" w:rsidRPr="00161116" w:rsidRDefault="00312776"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2023</w:t>
            </w:r>
          </w:p>
        </w:tc>
        <w:tc>
          <w:tcPr>
            <w:tcW w:w="0" w:type="auto"/>
            <w:noWrap/>
            <w:hideMark/>
          </w:tcPr>
          <w:p w14:paraId="7A9C0009" w14:textId="77777777" w:rsidR="00312776" w:rsidRPr="00161116" w:rsidRDefault="00312776"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0.6</w:t>
            </w:r>
          </w:p>
        </w:tc>
      </w:tr>
    </w:tbl>
    <w:p w14:paraId="520FD708" w14:textId="49685BB4" w:rsidR="006E3531" w:rsidRPr="00161116" w:rsidRDefault="006E3531" w:rsidP="00161116">
      <w:pPr>
        <w:rPr>
          <w:rFonts w:cs="Arial"/>
          <w:noProof/>
          <w:lang w:val="en-GB"/>
        </w:rPr>
      </w:pPr>
      <w:r w:rsidRPr="00161116">
        <w:rPr>
          <w:rFonts w:cs="Arial"/>
          <w:noProof/>
          <w:lang w:val="en-GB"/>
        </w:rPr>
        <w:t>The current ratio is a liquidity ratio which shows the relative position of the hotel's total current assets and total liabilities. 1.8 current ratio in 2021 indicates a comfortable liquidity position for the hotel as the hotel can easily meet all its short-term debt obligations with its existing current assets. In 2022, the current ratio decreased to 1.11. In this position, still, the hotel can meet its short-term debt obligations but it has a narrow safety margin</w:t>
      </w:r>
      <w:r w:rsidR="00816D30" w:rsidRPr="00161116">
        <w:rPr>
          <w:rFonts w:cs="Arial"/>
          <w:noProof/>
          <w:lang w:val="en-GB"/>
        </w:rPr>
        <w:t xml:space="preserve"> (Drury, 2018)</w:t>
      </w:r>
      <w:r w:rsidRPr="00161116">
        <w:rPr>
          <w:rFonts w:cs="Arial"/>
          <w:noProof/>
          <w:lang w:val="en-GB"/>
        </w:rPr>
        <w:t>. The hotel has a red flag in 2023 in its liquidity position because its current ratio decreased to 0.6 which indicates the hotel does not have enough current assets to meet its short-term debt obligations.</w:t>
      </w:r>
    </w:p>
    <w:p w14:paraId="6E75E255" w14:textId="5D988BC2" w:rsidR="00FA1455" w:rsidRPr="00161116" w:rsidRDefault="00FA1455" w:rsidP="0001465D">
      <w:pPr>
        <w:pStyle w:val="Heading2"/>
        <w:rPr>
          <w:b/>
        </w:rPr>
      </w:pPr>
      <w:bookmarkStart w:id="7" w:name="_Toc168333364"/>
      <w:r w:rsidRPr="00161116">
        <w:t>Solvency Ratios</w:t>
      </w:r>
      <w:bookmarkEnd w:id="7"/>
      <w:r w:rsidRPr="00161116">
        <w:t xml:space="preserve"> </w:t>
      </w:r>
    </w:p>
    <w:tbl>
      <w:tblPr>
        <w:tblStyle w:val="GridTable2-Accent1"/>
        <w:tblW w:w="4051" w:type="dxa"/>
        <w:tblLook w:val="04A0" w:firstRow="1" w:lastRow="0" w:firstColumn="1" w:lastColumn="0" w:noHBand="0" w:noVBand="1"/>
      </w:tblPr>
      <w:tblGrid>
        <w:gridCol w:w="1985"/>
        <w:gridCol w:w="2066"/>
      </w:tblGrid>
      <w:tr w:rsidR="0084408C" w:rsidRPr="00161116" w14:paraId="23D85C60" w14:textId="77777777" w:rsidTr="0043678B">
        <w:trPr>
          <w:cnfStyle w:val="100000000000" w:firstRow="1" w:lastRow="0" w:firstColumn="0" w:lastColumn="0" w:oddVBand="0" w:evenVBand="0" w:oddHBand="0" w:evenHBand="0" w:firstRowFirstColumn="0" w:firstRowLastColumn="0" w:lastRowFirstColumn="0" w:lastRowLastColumn="0"/>
          <w:divId w:val="261567929"/>
          <w:trHeight w:val="300"/>
        </w:trPr>
        <w:tc>
          <w:tcPr>
            <w:cnfStyle w:val="001000000000" w:firstRow="0" w:lastRow="0" w:firstColumn="1" w:lastColumn="0" w:oddVBand="0" w:evenVBand="0" w:oddHBand="0" w:evenHBand="0" w:firstRowFirstColumn="0" w:firstRowLastColumn="0" w:lastRowFirstColumn="0" w:lastRowLastColumn="0"/>
            <w:tcW w:w="1985" w:type="dxa"/>
            <w:noWrap/>
            <w:hideMark/>
          </w:tcPr>
          <w:p w14:paraId="3166D68E" w14:textId="77777777" w:rsidR="0084408C" w:rsidRPr="0001465D" w:rsidRDefault="0084408C" w:rsidP="00161116">
            <w:pPr>
              <w:rPr>
                <w:rFonts w:eastAsia="Times New Roman" w:cs="Arial"/>
                <w:b w:val="0"/>
                <w:bCs w:val="0"/>
                <w:noProof/>
                <w:color w:val="000000"/>
                <w:kern w:val="0"/>
                <w:lang w:val="en-GB"/>
                <w14:ligatures w14:val="none"/>
              </w:rPr>
            </w:pPr>
            <w:r w:rsidRPr="0001465D">
              <w:rPr>
                <w:rFonts w:eastAsia="Times New Roman" w:cs="Arial"/>
                <w:b w:val="0"/>
                <w:bCs w:val="0"/>
                <w:noProof/>
                <w:color w:val="000000"/>
                <w:kern w:val="0"/>
                <w:lang w:val="en-GB"/>
                <w14:ligatures w14:val="none"/>
              </w:rPr>
              <w:t>Solvency Ratio</w:t>
            </w:r>
          </w:p>
        </w:tc>
        <w:tc>
          <w:tcPr>
            <w:tcW w:w="2066" w:type="dxa"/>
            <w:noWrap/>
            <w:hideMark/>
          </w:tcPr>
          <w:p w14:paraId="5141D742" w14:textId="77777777" w:rsidR="0084408C" w:rsidRPr="0001465D" w:rsidRDefault="0084408C" w:rsidP="00161116">
            <w:pPr>
              <w:cnfStyle w:val="100000000000" w:firstRow="1" w:lastRow="0" w:firstColumn="0" w:lastColumn="0" w:oddVBand="0" w:evenVBand="0" w:oddHBand="0" w:evenHBand="0" w:firstRowFirstColumn="0" w:firstRowLastColumn="0" w:lastRowFirstColumn="0" w:lastRowLastColumn="0"/>
              <w:rPr>
                <w:rFonts w:eastAsia="Times New Roman" w:cs="Arial"/>
                <w:b w:val="0"/>
                <w:bCs w:val="0"/>
                <w:noProof/>
                <w:color w:val="000000"/>
                <w:kern w:val="0"/>
                <w:lang w:val="en-GB"/>
                <w14:ligatures w14:val="none"/>
              </w:rPr>
            </w:pPr>
          </w:p>
        </w:tc>
      </w:tr>
      <w:tr w:rsidR="0084408C" w:rsidRPr="00161116" w14:paraId="2895990F" w14:textId="77777777" w:rsidTr="0043678B">
        <w:trPr>
          <w:cnfStyle w:val="000000100000" w:firstRow="0" w:lastRow="0" w:firstColumn="0" w:lastColumn="0" w:oddVBand="0" w:evenVBand="0" w:oddHBand="1" w:evenHBand="0" w:firstRowFirstColumn="0" w:firstRowLastColumn="0" w:lastRowFirstColumn="0" w:lastRowLastColumn="0"/>
          <w:divId w:val="261567929"/>
          <w:trHeight w:val="300"/>
        </w:trPr>
        <w:tc>
          <w:tcPr>
            <w:cnfStyle w:val="001000000000" w:firstRow="0" w:lastRow="0" w:firstColumn="1" w:lastColumn="0" w:oddVBand="0" w:evenVBand="0" w:oddHBand="0" w:evenHBand="0" w:firstRowFirstColumn="0" w:firstRowLastColumn="0" w:lastRowFirstColumn="0" w:lastRowLastColumn="0"/>
            <w:tcW w:w="1985" w:type="dxa"/>
            <w:noWrap/>
            <w:hideMark/>
          </w:tcPr>
          <w:p w14:paraId="3E5C9AA1" w14:textId="77777777" w:rsidR="0084408C" w:rsidRPr="00161116" w:rsidRDefault="0084408C"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Year</w:t>
            </w:r>
          </w:p>
        </w:tc>
        <w:tc>
          <w:tcPr>
            <w:tcW w:w="2066" w:type="dxa"/>
            <w:noWrap/>
            <w:hideMark/>
          </w:tcPr>
          <w:p w14:paraId="01A4DE78" w14:textId="77777777" w:rsidR="0084408C" w:rsidRPr="00161116" w:rsidRDefault="0084408C"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Debt to Equity Ratio</w:t>
            </w:r>
          </w:p>
        </w:tc>
      </w:tr>
      <w:tr w:rsidR="0084408C" w:rsidRPr="00161116" w14:paraId="54D996FF" w14:textId="77777777" w:rsidTr="0043678B">
        <w:trPr>
          <w:divId w:val="261567929"/>
          <w:trHeight w:val="300"/>
        </w:trPr>
        <w:tc>
          <w:tcPr>
            <w:cnfStyle w:val="001000000000" w:firstRow="0" w:lastRow="0" w:firstColumn="1" w:lastColumn="0" w:oddVBand="0" w:evenVBand="0" w:oddHBand="0" w:evenHBand="0" w:firstRowFirstColumn="0" w:firstRowLastColumn="0" w:lastRowFirstColumn="0" w:lastRowLastColumn="0"/>
            <w:tcW w:w="1985" w:type="dxa"/>
            <w:noWrap/>
            <w:hideMark/>
          </w:tcPr>
          <w:p w14:paraId="0E1D8F3C" w14:textId="77777777" w:rsidR="0084408C" w:rsidRPr="00161116" w:rsidRDefault="0084408C"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2021</w:t>
            </w:r>
          </w:p>
        </w:tc>
        <w:tc>
          <w:tcPr>
            <w:tcW w:w="2066" w:type="dxa"/>
            <w:noWrap/>
            <w:hideMark/>
          </w:tcPr>
          <w:p w14:paraId="1F0CA42A" w14:textId="77777777" w:rsidR="0084408C" w:rsidRPr="00161116" w:rsidRDefault="0084408C"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1.48</w:t>
            </w:r>
          </w:p>
        </w:tc>
      </w:tr>
      <w:tr w:rsidR="0084408C" w:rsidRPr="00161116" w14:paraId="22ECFAF4" w14:textId="77777777" w:rsidTr="0043678B">
        <w:trPr>
          <w:cnfStyle w:val="000000100000" w:firstRow="0" w:lastRow="0" w:firstColumn="0" w:lastColumn="0" w:oddVBand="0" w:evenVBand="0" w:oddHBand="1" w:evenHBand="0" w:firstRowFirstColumn="0" w:firstRowLastColumn="0" w:lastRowFirstColumn="0" w:lastRowLastColumn="0"/>
          <w:divId w:val="261567929"/>
          <w:trHeight w:val="300"/>
        </w:trPr>
        <w:tc>
          <w:tcPr>
            <w:cnfStyle w:val="001000000000" w:firstRow="0" w:lastRow="0" w:firstColumn="1" w:lastColumn="0" w:oddVBand="0" w:evenVBand="0" w:oddHBand="0" w:evenHBand="0" w:firstRowFirstColumn="0" w:firstRowLastColumn="0" w:lastRowFirstColumn="0" w:lastRowLastColumn="0"/>
            <w:tcW w:w="1985" w:type="dxa"/>
            <w:noWrap/>
            <w:hideMark/>
          </w:tcPr>
          <w:p w14:paraId="3A82A8B4" w14:textId="77777777" w:rsidR="0084408C" w:rsidRPr="00161116" w:rsidRDefault="0084408C"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2022</w:t>
            </w:r>
          </w:p>
        </w:tc>
        <w:tc>
          <w:tcPr>
            <w:tcW w:w="2066" w:type="dxa"/>
            <w:noWrap/>
            <w:hideMark/>
          </w:tcPr>
          <w:p w14:paraId="418EC2BA" w14:textId="77777777" w:rsidR="0084408C" w:rsidRPr="00161116" w:rsidRDefault="0084408C" w:rsidP="00161116">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1.79</w:t>
            </w:r>
          </w:p>
        </w:tc>
      </w:tr>
      <w:tr w:rsidR="0084408C" w:rsidRPr="00161116" w14:paraId="570BEE80" w14:textId="77777777" w:rsidTr="0043678B">
        <w:trPr>
          <w:divId w:val="261567929"/>
          <w:trHeight w:val="300"/>
        </w:trPr>
        <w:tc>
          <w:tcPr>
            <w:cnfStyle w:val="001000000000" w:firstRow="0" w:lastRow="0" w:firstColumn="1" w:lastColumn="0" w:oddVBand="0" w:evenVBand="0" w:oddHBand="0" w:evenHBand="0" w:firstRowFirstColumn="0" w:firstRowLastColumn="0" w:lastRowFirstColumn="0" w:lastRowLastColumn="0"/>
            <w:tcW w:w="1985" w:type="dxa"/>
            <w:noWrap/>
            <w:hideMark/>
          </w:tcPr>
          <w:p w14:paraId="78642972" w14:textId="77777777" w:rsidR="0084408C" w:rsidRPr="00161116" w:rsidRDefault="0084408C" w:rsidP="00161116">
            <w:pPr>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2023</w:t>
            </w:r>
          </w:p>
        </w:tc>
        <w:tc>
          <w:tcPr>
            <w:tcW w:w="2066" w:type="dxa"/>
            <w:noWrap/>
            <w:hideMark/>
          </w:tcPr>
          <w:p w14:paraId="3596ED35" w14:textId="77777777" w:rsidR="0084408C" w:rsidRPr="00161116" w:rsidRDefault="0084408C" w:rsidP="00161116">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lang w:val="en-GB"/>
                <w14:ligatures w14:val="none"/>
              </w:rPr>
            </w:pPr>
            <w:r w:rsidRPr="00161116">
              <w:rPr>
                <w:rFonts w:eastAsia="Times New Roman" w:cs="Arial"/>
                <w:noProof/>
                <w:color w:val="000000"/>
                <w:kern w:val="0"/>
                <w:lang w:val="en-GB"/>
                <w14:ligatures w14:val="none"/>
              </w:rPr>
              <w:t>2.39</w:t>
            </w:r>
          </w:p>
        </w:tc>
      </w:tr>
    </w:tbl>
    <w:p w14:paraId="0A02CAD4" w14:textId="2495C1BD" w:rsidR="00511117" w:rsidRPr="00161116" w:rsidRDefault="00A01A0D" w:rsidP="00161116">
      <w:pPr>
        <w:rPr>
          <w:rFonts w:cs="Arial"/>
          <w:noProof/>
          <w:lang w:val="en-GB"/>
        </w:rPr>
      </w:pPr>
      <w:r w:rsidRPr="00161116">
        <w:rPr>
          <w:rFonts w:cs="Arial"/>
          <w:noProof/>
          <w:lang w:val="en-GB"/>
        </w:rPr>
        <w:lastRenderedPageBreak/>
        <w:t>The debt to equity ratio is a solvency ratio which shows the level of financial leverage of the hotel. In 2021, the hotel had £1 equity available for £1.48 debt. It is a moderate level of leverage. In 2022, the ratio increased to 1.79 because the hotel became more reliant on debt usage. In 2023, the ratio increased to 2.39. At this level, the hotel has used an excessive level of debt that can lead to financial insolvency to the hotel.</w:t>
      </w:r>
    </w:p>
    <w:p w14:paraId="2FC7AE78" w14:textId="19ADB088" w:rsidR="00FB4866" w:rsidRPr="00161116" w:rsidRDefault="00DA7AC4" w:rsidP="0001465D">
      <w:pPr>
        <w:pStyle w:val="Heading1"/>
        <w:rPr>
          <w:b/>
        </w:rPr>
      </w:pPr>
      <w:bookmarkStart w:id="8" w:name="_Toc168333365"/>
      <w:r w:rsidRPr="00161116">
        <w:t>Identification of the Key Reasons for Declining Profitability</w:t>
      </w:r>
      <w:bookmarkEnd w:id="8"/>
      <w:r w:rsidRPr="00161116">
        <w:t xml:space="preserve"> </w:t>
      </w:r>
    </w:p>
    <w:p w14:paraId="75DB0729" w14:textId="77777777" w:rsidR="00423308" w:rsidRPr="00161116" w:rsidRDefault="00423308" w:rsidP="00161116">
      <w:pPr>
        <w:rPr>
          <w:rFonts w:cs="Arial"/>
          <w:noProof/>
          <w:lang w:val="en-GB"/>
        </w:rPr>
      </w:pPr>
      <w:r w:rsidRPr="00161116">
        <w:rPr>
          <w:rFonts w:cs="Arial"/>
          <w:noProof/>
          <w:lang w:val="en-GB"/>
        </w:rPr>
        <w:t>Many reasons can be related to the declining profitability of Urban Heights Hotel. These reasons are identified and explained below:</w:t>
      </w:r>
    </w:p>
    <w:p w14:paraId="6EAE9B6A" w14:textId="3E1DD082" w:rsidR="00423308" w:rsidRPr="00161116" w:rsidRDefault="00423308" w:rsidP="00161116">
      <w:pPr>
        <w:pStyle w:val="ListParagraph"/>
        <w:numPr>
          <w:ilvl w:val="0"/>
          <w:numId w:val="2"/>
        </w:numPr>
        <w:rPr>
          <w:rFonts w:cs="Arial"/>
          <w:noProof/>
          <w:lang w:val="en-GB"/>
        </w:rPr>
      </w:pPr>
      <w:r w:rsidRPr="0001465D">
        <w:rPr>
          <w:rFonts w:cs="Arial"/>
          <w:noProof/>
          <w:lang w:val="en-GB"/>
        </w:rPr>
        <w:t>Post-Pandemic Economic Recovery:</w:t>
      </w:r>
      <w:r w:rsidRPr="00161116">
        <w:rPr>
          <w:rFonts w:cs="Arial"/>
          <w:noProof/>
          <w:lang w:val="en-GB"/>
        </w:rPr>
        <w:t xml:space="preserve"> Although the hotel had a strong financial position after the COVID-19 pandemic and Brexit in 2021, the broader UK economy still had not recovered completely. The initial rebound after the COVID-19 pandemic showed significant growth in businesses due to the increasing demand in the hospitality industry. But the momentum was not sustainable. The UK economy significantly slowed down in 2022 and 2023 and had a recession</w:t>
      </w:r>
      <w:r w:rsidR="002D4E25" w:rsidRPr="00161116">
        <w:rPr>
          <w:rFonts w:cs="Arial"/>
          <w:noProof/>
          <w:lang w:val="en-GB"/>
        </w:rPr>
        <w:t xml:space="preserve"> (Statista , 2024)</w:t>
      </w:r>
      <w:r w:rsidRPr="00161116">
        <w:rPr>
          <w:rFonts w:cs="Arial"/>
          <w:noProof/>
          <w:lang w:val="en-GB"/>
        </w:rPr>
        <w:t>. As a result, the consumers might have reduced their spending on the hospitality industry and Urban Heights Hotel had net losses in 2023.</w:t>
      </w:r>
    </w:p>
    <w:p w14:paraId="177F357A" w14:textId="7423698E" w:rsidR="00DA7AC4" w:rsidRPr="00161116" w:rsidRDefault="00423308" w:rsidP="00161116">
      <w:pPr>
        <w:pStyle w:val="ListParagraph"/>
        <w:numPr>
          <w:ilvl w:val="0"/>
          <w:numId w:val="2"/>
        </w:numPr>
        <w:rPr>
          <w:rFonts w:cs="Arial"/>
          <w:noProof/>
          <w:lang w:val="en-GB"/>
        </w:rPr>
      </w:pPr>
      <w:r w:rsidRPr="0001465D">
        <w:rPr>
          <w:rFonts w:cs="Arial"/>
          <w:noProof/>
          <w:lang w:val="en-GB"/>
        </w:rPr>
        <w:t>Inflation and Cost of Living Crisis:</w:t>
      </w:r>
      <w:r w:rsidRPr="00161116">
        <w:rPr>
          <w:rFonts w:cs="Arial"/>
          <w:noProof/>
          <w:lang w:val="en-GB"/>
        </w:rPr>
        <w:t xml:space="preserve"> The UK economy encountered record-high inflation within 41 years in October 2022</w:t>
      </w:r>
      <w:r w:rsidR="00503750" w:rsidRPr="00161116">
        <w:rPr>
          <w:rFonts w:cs="Arial"/>
          <w:noProof/>
          <w:lang w:val="en-GB"/>
        </w:rPr>
        <w:t xml:space="preserve"> (CNN, 2022)</w:t>
      </w:r>
      <w:r w:rsidRPr="00161116">
        <w:rPr>
          <w:rFonts w:cs="Arial"/>
          <w:noProof/>
          <w:lang w:val="en-GB"/>
        </w:rPr>
        <w:t>. The rising energy prices due to the Russia-Ukraine war contributed to the rising inflation. Although the inflation rate eased in the subsequent months, the cost of living was rising</w:t>
      </w:r>
      <w:r w:rsidR="00B37F74" w:rsidRPr="00161116">
        <w:rPr>
          <w:rFonts w:cs="Arial"/>
          <w:noProof/>
          <w:lang w:val="en-GB"/>
        </w:rPr>
        <w:t xml:space="preserve"> (Lawson, 2023)</w:t>
      </w:r>
      <w:r w:rsidRPr="00161116">
        <w:rPr>
          <w:rFonts w:cs="Arial"/>
          <w:noProof/>
          <w:lang w:val="en-GB"/>
        </w:rPr>
        <w:t>. As of January 2024, the UK people reported that the rising cost of living has created different financial challenges in their lives</w:t>
      </w:r>
      <w:r w:rsidR="00AF437C" w:rsidRPr="00161116">
        <w:rPr>
          <w:rFonts w:cs="Arial"/>
          <w:noProof/>
          <w:lang w:val="en-GB"/>
        </w:rPr>
        <w:t xml:space="preserve"> (Office for National Statistics, 2024)</w:t>
      </w:r>
      <w:r w:rsidRPr="00161116">
        <w:rPr>
          <w:rFonts w:cs="Arial"/>
          <w:noProof/>
          <w:lang w:val="en-GB"/>
        </w:rPr>
        <w:t>.</w:t>
      </w:r>
      <w:r w:rsidR="00FB0690" w:rsidRPr="00161116">
        <w:rPr>
          <w:rFonts w:cs="Arial"/>
          <w:noProof/>
          <w:lang w:val="en-GB"/>
        </w:rPr>
        <w:t xml:space="preserve"> </w:t>
      </w:r>
      <w:r w:rsidR="0084408C" w:rsidRPr="00161116">
        <w:rPr>
          <w:rFonts w:cs="Arial"/>
          <w:noProof/>
          <w:lang w:val="en-GB"/>
        </w:rPr>
        <w:t xml:space="preserve">As a result, the demand for hospitality services might decrease and Urban Heights Hotel’s revenue per room and occupancy rate declined significantly. </w:t>
      </w:r>
    </w:p>
    <w:p w14:paraId="1E2E5445" w14:textId="135E964C" w:rsidR="0084408C" w:rsidRPr="00161116" w:rsidRDefault="000311E9" w:rsidP="00161116">
      <w:pPr>
        <w:pStyle w:val="ListParagraph"/>
        <w:numPr>
          <w:ilvl w:val="0"/>
          <w:numId w:val="2"/>
        </w:numPr>
        <w:rPr>
          <w:rFonts w:cs="Arial"/>
          <w:noProof/>
          <w:lang w:val="en-GB"/>
        </w:rPr>
      </w:pPr>
      <w:r w:rsidRPr="0001465D">
        <w:rPr>
          <w:rFonts w:cs="Arial"/>
          <w:noProof/>
          <w:lang w:val="en-GB"/>
        </w:rPr>
        <w:t>Inefficient Resource Management:</w:t>
      </w:r>
      <w:r w:rsidRPr="00161116">
        <w:rPr>
          <w:rFonts w:cs="Arial"/>
          <w:noProof/>
          <w:lang w:val="en-GB"/>
        </w:rPr>
        <w:t xml:space="preserve"> Urban Heights Hotel had a strong financial position in 2021 but in the next two years, the hotel encountered challenges in its financial health. The reason can be an inefficient resource management. As the demand for hospitality services declined, the hotel did not undertake any cost-cutting initiatives such as reducing the number of staff. Hence, the operating expenses increased significantly and revenues declined</w:t>
      </w:r>
      <w:r w:rsidR="00432732" w:rsidRPr="00161116">
        <w:rPr>
          <w:rFonts w:cs="Arial"/>
          <w:noProof/>
          <w:lang w:val="en-GB"/>
        </w:rPr>
        <w:t xml:space="preserve"> (Chin, Wu and Hsieh, </w:t>
      </w:r>
      <w:r w:rsidR="00432732" w:rsidRPr="00161116">
        <w:rPr>
          <w:rFonts w:cs="Arial"/>
          <w:noProof/>
          <w:lang w:val="en-GB"/>
        </w:rPr>
        <w:lastRenderedPageBreak/>
        <w:t>2012)</w:t>
      </w:r>
      <w:r w:rsidRPr="00161116">
        <w:rPr>
          <w:rFonts w:cs="Arial"/>
          <w:noProof/>
          <w:lang w:val="en-GB"/>
        </w:rPr>
        <w:t xml:space="preserve">. The management, could not control the operational costs such as maintenance and supplies which reduced the profitability in 2022 and 2023. </w:t>
      </w:r>
    </w:p>
    <w:p w14:paraId="3A5848CB" w14:textId="40CB2690" w:rsidR="008F3437" w:rsidRPr="00161116" w:rsidRDefault="00D97E61" w:rsidP="00161116">
      <w:pPr>
        <w:pStyle w:val="ListParagraph"/>
        <w:numPr>
          <w:ilvl w:val="0"/>
          <w:numId w:val="2"/>
        </w:numPr>
        <w:rPr>
          <w:rFonts w:cs="Arial"/>
          <w:noProof/>
          <w:lang w:val="en-GB"/>
        </w:rPr>
      </w:pPr>
      <w:r w:rsidRPr="0001465D">
        <w:rPr>
          <w:rFonts w:cs="Arial"/>
          <w:noProof/>
          <w:lang w:val="en-GB"/>
        </w:rPr>
        <w:t>Service Quality and Revenue Management:</w:t>
      </w:r>
      <w:r w:rsidRPr="00161116">
        <w:rPr>
          <w:rFonts w:cs="Arial"/>
          <w:noProof/>
          <w:lang w:val="en-GB"/>
        </w:rPr>
        <w:t xml:space="preserve"> The hotel might encounter challenges in maintaining high-quality hospitality services and so customers became dissatisfied with the hotel brand. It could reduce the occupancy rate and total revenue. Moreover, the ineffective revenue management can lead to the financial distress of the hotel</w:t>
      </w:r>
      <w:r w:rsidR="008400DB" w:rsidRPr="00161116">
        <w:rPr>
          <w:rFonts w:cs="Arial"/>
          <w:noProof/>
          <w:lang w:val="en-GB"/>
        </w:rPr>
        <w:t xml:space="preserve"> (Rauch et al., 2015)</w:t>
      </w:r>
      <w:r w:rsidRPr="00161116">
        <w:rPr>
          <w:rFonts w:cs="Arial"/>
          <w:noProof/>
          <w:lang w:val="en-GB"/>
        </w:rPr>
        <w:t>. Failing to adjust the pricing of the room and services with the changing market dynamics can affect the total revenue.</w:t>
      </w:r>
    </w:p>
    <w:p w14:paraId="79BE0C9A" w14:textId="243C5A13" w:rsidR="00DA7AC4" w:rsidRPr="00161116" w:rsidRDefault="00373D41" w:rsidP="0001465D">
      <w:pPr>
        <w:pStyle w:val="Heading1"/>
        <w:rPr>
          <w:b/>
        </w:rPr>
      </w:pPr>
      <w:bookmarkStart w:id="9" w:name="_Toc168333366"/>
      <w:r w:rsidRPr="00161116">
        <w:t>Development of a Comprehensive Turnaround Strategy</w:t>
      </w:r>
      <w:bookmarkEnd w:id="9"/>
      <w:r w:rsidRPr="00161116">
        <w:t xml:space="preserve"> </w:t>
      </w:r>
    </w:p>
    <w:p w14:paraId="1BCDB854" w14:textId="77777777" w:rsidR="008F3437" w:rsidRPr="00161116" w:rsidRDefault="008F3437" w:rsidP="00161116">
      <w:pPr>
        <w:rPr>
          <w:rFonts w:cs="Arial"/>
          <w:noProof/>
          <w:lang w:val="en-GB"/>
        </w:rPr>
      </w:pPr>
      <w:r w:rsidRPr="00161116">
        <w:rPr>
          <w:rFonts w:cs="Arial"/>
          <w:noProof/>
          <w:lang w:val="en-GB"/>
        </w:rPr>
        <w:t>The Urban Heights Hotel can be profitable and sustainable in the long run if the hotel implements the following turnaround strategies:</w:t>
      </w:r>
    </w:p>
    <w:p w14:paraId="52F1C185" w14:textId="268BEA53" w:rsidR="00373D41" w:rsidRPr="00161116" w:rsidRDefault="008F3437" w:rsidP="00161116">
      <w:pPr>
        <w:pStyle w:val="ListParagraph"/>
        <w:numPr>
          <w:ilvl w:val="0"/>
          <w:numId w:val="2"/>
        </w:numPr>
        <w:rPr>
          <w:rFonts w:cs="Arial"/>
          <w:noProof/>
          <w:lang w:val="en-GB"/>
        </w:rPr>
      </w:pPr>
      <w:r w:rsidRPr="0001465D">
        <w:rPr>
          <w:rFonts w:cs="Arial"/>
          <w:noProof/>
          <w:lang w:val="en-GB"/>
        </w:rPr>
        <w:t>Cost Optimisation:</w:t>
      </w:r>
      <w:r w:rsidRPr="00161116">
        <w:rPr>
          <w:rFonts w:cs="Arial"/>
          <w:b/>
          <w:bCs/>
          <w:noProof/>
          <w:lang w:val="en-GB"/>
        </w:rPr>
        <w:t xml:space="preserve"> </w:t>
      </w:r>
      <w:r w:rsidRPr="00161116">
        <w:rPr>
          <w:rFonts w:cs="Arial"/>
          <w:noProof/>
          <w:lang w:val="en-GB"/>
        </w:rPr>
        <w:t>Since the increasing operating costs have reduced the profitability and financial performance of the hotel, the management needs to focus on its operating costs. The hotel must undertake cost optimisation initiatives. At first, the management has to conduct a comprehensive audit of the hotel operation to identify the possible areas where costs can be minimised or eliminated without affecting service quality and customer satisfaction. Secondly, the non-core activities such as IT support and laundry of the hotel can be identified. Outsourcing these activities can reduce the overall costs of the hotel significantly</w:t>
      </w:r>
      <w:r w:rsidR="00A82BB7" w:rsidRPr="00161116">
        <w:rPr>
          <w:rFonts w:cs="Arial"/>
          <w:noProof/>
          <w:lang w:val="en-GB"/>
        </w:rPr>
        <w:t xml:space="preserve"> (Defranco and Lattin, 2007)</w:t>
      </w:r>
      <w:r w:rsidRPr="00161116">
        <w:rPr>
          <w:rFonts w:cs="Arial"/>
          <w:noProof/>
          <w:lang w:val="en-GB"/>
        </w:rPr>
        <w:t>. Thirdly, the hotel can implement technologies that are energy efficient such as LED lighting for reducing operating costs. Fourthly, the hotel needs to determine the optimal number of staff to ensure quality services to the guests</w:t>
      </w:r>
      <w:r w:rsidR="00915C16" w:rsidRPr="00161116">
        <w:rPr>
          <w:rFonts w:cs="Arial"/>
          <w:noProof/>
          <w:lang w:val="en-GB"/>
        </w:rPr>
        <w:t xml:space="preserve"> (Ngoc Su et al., 2021)</w:t>
      </w:r>
      <w:r w:rsidRPr="00161116">
        <w:rPr>
          <w:rFonts w:cs="Arial"/>
          <w:noProof/>
          <w:lang w:val="en-GB"/>
        </w:rPr>
        <w:t>. If there is an overstaffing issue within the hotel, the management might consider laying off the employees to minimise employee compensation. Finally, the hotel needs to continuously monitor the total costs and minimise the costs if they are irrelevant or redundant to the hotel operations.</w:t>
      </w:r>
    </w:p>
    <w:p w14:paraId="6EB6B8AA" w14:textId="75DBA91C" w:rsidR="00373D41" w:rsidRPr="00161116" w:rsidRDefault="00C14749" w:rsidP="00161116">
      <w:pPr>
        <w:pStyle w:val="ListParagraph"/>
        <w:numPr>
          <w:ilvl w:val="0"/>
          <w:numId w:val="2"/>
        </w:numPr>
        <w:rPr>
          <w:rFonts w:cs="Arial"/>
          <w:noProof/>
          <w:lang w:val="en-GB"/>
        </w:rPr>
      </w:pPr>
      <w:r w:rsidRPr="0001465D">
        <w:rPr>
          <w:rFonts w:cs="Arial"/>
          <w:noProof/>
          <w:lang w:val="en-GB"/>
        </w:rPr>
        <w:t>Revenue Management:</w:t>
      </w:r>
      <w:r w:rsidRPr="00161116">
        <w:rPr>
          <w:rFonts w:cs="Arial"/>
          <w:noProof/>
          <w:lang w:val="en-GB"/>
        </w:rPr>
        <w:t xml:space="preserve"> The hotel must improve its revenue management to change the current financial conditions. The declining revenue trend is alarming for the future viability of the hotel</w:t>
      </w:r>
      <w:r w:rsidR="00847F61" w:rsidRPr="00161116">
        <w:rPr>
          <w:rFonts w:cs="Arial"/>
          <w:noProof/>
          <w:lang w:val="en-GB"/>
        </w:rPr>
        <w:t xml:space="preserve"> (Tranter et al., 2014)</w:t>
      </w:r>
      <w:r w:rsidRPr="00161116">
        <w:rPr>
          <w:rFonts w:cs="Arial"/>
          <w:noProof/>
          <w:lang w:val="en-GB"/>
        </w:rPr>
        <w:t xml:space="preserve">. Reduced revenue can incur losses to the hotel. The management has to undertake the necessary steps </w:t>
      </w:r>
      <w:r w:rsidRPr="00161116">
        <w:rPr>
          <w:rFonts w:cs="Arial"/>
          <w:noProof/>
          <w:lang w:val="en-GB"/>
        </w:rPr>
        <w:lastRenderedPageBreak/>
        <w:t>to improve revenue management. It can adopt a dynamic pricing strategy. In that strategy, the prices of the hotel room will be continuously changed and the adjustments will be made based on market dynamics such as demand, economic conditions, and customer buying capabilities</w:t>
      </w:r>
      <w:r w:rsidR="002D2F4D" w:rsidRPr="00161116">
        <w:rPr>
          <w:rFonts w:cs="Arial"/>
          <w:noProof/>
          <w:lang w:val="en-GB"/>
        </w:rPr>
        <w:t xml:space="preserve"> (Denizci Guillet and Mohammed, 2015)</w:t>
      </w:r>
      <w:r w:rsidRPr="00161116">
        <w:rPr>
          <w:rFonts w:cs="Arial"/>
          <w:noProof/>
          <w:lang w:val="en-GB"/>
        </w:rPr>
        <w:t>. The management can offer packages and promotion to boost the total revenue. Bundle offers room services along with spa facilities and bar services can be offered. The hotel should identify other sources for revenue generation. Making the revenue sources diversified can improve the total revenue of the hotel</w:t>
      </w:r>
      <w:r w:rsidR="00A82BB7" w:rsidRPr="00161116">
        <w:rPr>
          <w:rFonts w:cs="Arial"/>
          <w:noProof/>
          <w:lang w:val="en-GB"/>
        </w:rPr>
        <w:t xml:space="preserve"> </w:t>
      </w:r>
      <w:r w:rsidR="00AA4F1C" w:rsidRPr="00161116">
        <w:rPr>
          <w:rFonts w:cs="Arial"/>
          <w:noProof/>
          <w:lang w:val="en-GB"/>
        </w:rPr>
        <w:t>(Defranco and Lattin, 2007)</w:t>
      </w:r>
      <w:r w:rsidRPr="00161116">
        <w:rPr>
          <w:rFonts w:cs="Arial"/>
          <w:noProof/>
          <w:lang w:val="en-GB"/>
        </w:rPr>
        <w:t>. It should also focus on its direct booking channels such as websites to attract more customers and increase hotel revenue.</w:t>
      </w:r>
    </w:p>
    <w:p w14:paraId="24F504A0" w14:textId="25F12523" w:rsidR="00373D41" w:rsidRPr="00161116" w:rsidRDefault="0068605A" w:rsidP="00161116">
      <w:pPr>
        <w:pStyle w:val="ListParagraph"/>
        <w:numPr>
          <w:ilvl w:val="0"/>
          <w:numId w:val="2"/>
        </w:numPr>
        <w:rPr>
          <w:rFonts w:cs="Arial"/>
          <w:noProof/>
          <w:lang w:val="en-GB"/>
        </w:rPr>
      </w:pPr>
      <w:r w:rsidRPr="0001465D">
        <w:rPr>
          <w:rFonts w:cs="Arial"/>
          <w:noProof/>
          <w:lang w:val="en-GB"/>
        </w:rPr>
        <w:t>Service Quality Improvement</w:t>
      </w:r>
      <w:r w:rsidRPr="00161116">
        <w:rPr>
          <w:rFonts w:cs="Arial"/>
          <w:b/>
          <w:bCs/>
          <w:noProof/>
          <w:lang w:val="en-GB"/>
        </w:rPr>
        <w:t>:</w:t>
      </w:r>
      <w:r w:rsidRPr="00161116">
        <w:rPr>
          <w:rFonts w:cs="Arial"/>
          <w:noProof/>
          <w:lang w:val="en-GB"/>
        </w:rPr>
        <w:t xml:space="preserve"> The hotel's declining revenue trend suggests that the hotel is losing its customers because customers are dissatisfied with the hotel's services</w:t>
      </w:r>
      <w:r w:rsidR="009B3880" w:rsidRPr="00161116">
        <w:rPr>
          <w:rFonts w:cs="Arial"/>
          <w:noProof/>
          <w:lang w:val="en-GB"/>
        </w:rPr>
        <w:t xml:space="preserve"> (Tranter et al., 2014)</w:t>
      </w:r>
      <w:r w:rsidRPr="00161116">
        <w:rPr>
          <w:rFonts w:cs="Arial"/>
          <w:noProof/>
          <w:lang w:val="en-GB"/>
        </w:rPr>
        <w:t>. Hence, the management must focus on the improvements of the hotel services. To improve the services, it must offer adequate training and development opportunities to the staff. The hotel staff should also be given enough compensation and facilities so that they are satisfied with the workplace. A satisfied workforce is well-motivated and can contribute to improved services to organisations in the hospitality industry</w:t>
      </w:r>
      <w:r w:rsidR="005A0F59" w:rsidRPr="00161116">
        <w:rPr>
          <w:rFonts w:cs="Arial"/>
          <w:noProof/>
          <w:lang w:val="en-GB"/>
        </w:rPr>
        <w:t xml:space="preserve"> (Papademetriou, Anastasiadou and Papalexandris, 2023)</w:t>
      </w:r>
      <w:r w:rsidRPr="00161116">
        <w:rPr>
          <w:rFonts w:cs="Arial"/>
          <w:noProof/>
          <w:lang w:val="en-GB"/>
        </w:rPr>
        <w:t>. The hotel needs to upgrade its amenities and facilities so that guests can have an exceptional experience here. It can also adopt sustainability initiatives such as eco-friendly material usage and energy-efficient technology adoption. Sustainability practices can make customers satisfied by fulfilling their preferences</w:t>
      </w:r>
      <w:r w:rsidR="00D85957" w:rsidRPr="00161116">
        <w:rPr>
          <w:rFonts w:cs="Arial"/>
          <w:noProof/>
          <w:lang w:val="en-GB"/>
        </w:rPr>
        <w:t xml:space="preserve"> (Oliveras-Villanueva, Llach and Perramon, 2020)</w:t>
      </w:r>
      <w:r w:rsidRPr="00161116">
        <w:rPr>
          <w:rFonts w:cs="Arial"/>
          <w:noProof/>
          <w:lang w:val="en-GB"/>
        </w:rPr>
        <w:t>. Moreover, the hotel should take customer feedback using its websites and social media sites. Based on their feedback, the services should be continuously improved. Improved service quality can attract more customers and the hotel will be able to increase its revenue</w:t>
      </w:r>
      <w:r w:rsidR="00C37F8A" w:rsidRPr="00161116">
        <w:rPr>
          <w:rFonts w:cs="Arial"/>
          <w:noProof/>
          <w:lang w:val="en-GB"/>
        </w:rPr>
        <w:t xml:space="preserve"> (Walker, 2020)</w:t>
      </w:r>
      <w:r w:rsidRPr="00161116">
        <w:rPr>
          <w:rFonts w:cs="Arial"/>
          <w:noProof/>
          <w:lang w:val="en-GB"/>
        </w:rPr>
        <w:t>.</w:t>
      </w:r>
    </w:p>
    <w:p w14:paraId="79BBD7AD" w14:textId="6CFA6446" w:rsidR="00224A2A" w:rsidRPr="00161116" w:rsidRDefault="00224A2A" w:rsidP="00161116">
      <w:pPr>
        <w:pStyle w:val="ListParagraph"/>
        <w:numPr>
          <w:ilvl w:val="0"/>
          <w:numId w:val="2"/>
        </w:numPr>
        <w:rPr>
          <w:rFonts w:cs="Arial"/>
          <w:noProof/>
          <w:lang w:val="en-GB"/>
        </w:rPr>
      </w:pPr>
      <w:r w:rsidRPr="0001465D">
        <w:rPr>
          <w:rFonts w:cs="Arial"/>
          <w:noProof/>
          <w:lang w:val="en-GB"/>
        </w:rPr>
        <w:t>Marketing and Branding:</w:t>
      </w:r>
      <w:r w:rsidRPr="00161116">
        <w:rPr>
          <w:rFonts w:cs="Arial"/>
          <w:b/>
          <w:bCs/>
          <w:noProof/>
          <w:lang w:val="en-GB"/>
        </w:rPr>
        <w:t xml:space="preserve"> </w:t>
      </w:r>
      <w:r w:rsidRPr="00161116">
        <w:rPr>
          <w:rFonts w:cs="Arial"/>
          <w:noProof/>
          <w:lang w:val="en-GB"/>
        </w:rPr>
        <w:t xml:space="preserve">The hotel needs to undertake a comprehensive marketing strategy which will include promotion activities using both digital platforms and traditional methods, and place strategy. The hotel can apply digital marketing activities such as search engine optimization (SEO). It will increase the online visibility of the hotel's website. The hotel can develop various engaging content that highlights its services and facilities. The content can be shared through social media channels such as Facebook, Instagram, and Twitter. The </w:t>
      </w:r>
      <w:r w:rsidRPr="00161116">
        <w:rPr>
          <w:rFonts w:cs="Arial"/>
          <w:noProof/>
          <w:lang w:val="en-GB"/>
        </w:rPr>
        <w:lastRenderedPageBreak/>
        <w:t>utilisation of social media sites can also attract more customers to the business. The hotel can focus on its place strategy. It can enhance its website for selling the rooms. It might also consider partnering with travel agencies or other businesses to sell hotel rooms and services</w:t>
      </w:r>
      <w:r w:rsidR="00416C6B" w:rsidRPr="00161116">
        <w:rPr>
          <w:rFonts w:cs="Arial"/>
          <w:noProof/>
          <w:lang w:val="en-GB"/>
        </w:rPr>
        <w:t xml:space="preserve"> (Bojanic and Reid, 2017)</w:t>
      </w:r>
      <w:r w:rsidRPr="00161116">
        <w:rPr>
          <w:rFonts w:cs="Arial"/>
          <w:noProof/>
          <w:lang w:val="en-GB"/>
        </w:rPr>
        <w:t>. These marketing strategies are crucial to improve the financial health of the hotel.</w:t>
      </w:r>
    </w:p>
    <w:p w14:paraId="48DAA2D7" w14:textId="55070BFD" w:rsidR="00373D41" w:rsidRPr="00161116" w:rsidRDefault="00A461CB" w:rsidP="0001465D">
      <w:pPr>
        <w:pStyle w:val="Heading1"/>
        <w:rPr>
          <w:b/>
        </w:rPr>
      </w:pPr>
      <w:bookmarkStart w:id="10" w:name="_Toc168333367"/>
      <w:r w:rsidRPr="00161116">
        <w:t>Conclusion</w:t>
      </w:r>
      <w:bookmarkEnd w:id="10"/>
      <w:r w:rsidRPr="00161116">
        <w:t xml:space="preserve"> </w:t>
      </w:r>
    </w:p>
    <w:p w14:paraId="2F139E5B" w14:textId="799C849E" w:rsidR="00A461CB" w:rsidRPr="00161116" w:rsidRDefault="003A0E59" w:rsidP="00161116">
      <w:pPr>
        <w:rPr>
          <w:rFonts w:cs="Arial"/>
          <w:noProof/>
          <w:lang w:val="en-GB"/>
        </w:rPr>
      </w:pPr>
      <w:r w:rsidRPr="00161116">
        <w:rPr>
          <w:rFonts w:cs="Arial"/>
          <w:noProof/>
          <w:lang w:val="en-GB"/>
        </w:rPr>
        <w:t xml:space="preserve">Urban Heights Hotel has a poor financial health due to the market dynamics and the efficiency in the hotel management. The management had poor revenue and operating cost management. The hotel must focus on improving its services, utilisation of the resources, and </w:t>
      </w:r>
      <w:r w:rsidR="00BD66A0" w:rsidRPr="00161116">
        <w:rPr>
          <w:rFonts w:cs="Arial"/>
          <w:noProof/>
          <w:lang w:val="en-GB"/>
        </w:rPr>
        <w:t xml:space="preserve">marketing activities to drive its sales and minimise the operating costs to improve the financial health and make the hotel profitable. </w:t>
      </w:r>
    </w:p>
    <w:p w14:paraId="1D30B3A6" w14:textId="77777777" w:rsidR="00373D41" w:rsidRPr="00161116" w:rsidRDefault="00373D41" w:rsidP="00161116">
      <w:pPr>
        <w:rPr>
          <w:rFonts w:cs="Arial"/>
          <w:noProof/>
          <w:lang w:val="en-GB"/>
        </w:rPr>
      </w:pPr>
      <w:r w:rsidRPr="00161116">
        <w:rPr>
          <w:rFonts w:cs="Arial"/>
          <w:noProof/>
          <w:lang w:val="en-GB"/>
        </w:rPr>
        <w:br w:type="page"/>
      </w:r>
    </w:p>
    <w:p w14:paraId="3B41AC34" w14:textId="77777777" w:rsidR="00264D0C" w:rsidRPr="00161116" w:rsidRDefault="00264D0C" w:rsidP="0001465D">
      <w:pPr>
        <w:pStyle w:val="Heading1"/>
        <w:divId w:val="258414835"/>
        <w:rPr>
          <w:rFonts w:eastAsia="Times New Roman"/>
        </w:rPr>
      </w:pPr>
      <w:bookmarkStart w:id="11" w:name="_Toc168333368"/>
      <w:r w:rsidRPr="00161116">
        <w:rPr>
          <w:rFonts w:eastAsia="Times New Roman"/>
        </w:rPr>
        <w:lastRenderedPageBreak/>
        <w:t>Reference list</w:t>
      </w:r>
      <w:bookmarkEnd w:id="11"/>
    </w:p>
    <w:p w14:paraId="3268B98A"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Bojanic, D.C. and Reid, R.D. (2017) </w:t>
      </w:r>
      <w:r w:rsidRPr="00161116">
        <w:rPr>
          <w:rFonts w:cs="Arial"/>
          <w:i/>
          <w:iCs/>
          <w:noProof/>
          <w:kern w:val="0"/>
          <w:lang w:val="en-GB"/>
          <w14:ligatures w14:val="none"/>
        </w:rPr>
        <w:t>Hospitality Marketing Management</w:t>
      </w:r>
      <w:r w:rsidRPr="00161116">
        <w:rPr>
          <w:rFonts w:cs="Arial"/>
          <w:noProof/>
          <w:kern w:val="0"/>
          <w:lang w:val="en-GB"/>
          <w14:ligatures w14:val="none"/>
        </w:rPr>
        <w:t>. Hoboken, Nj: Wiley.</w:t>
      </w:r>
    </w:p>
    <w:p w14:paraId="76A2B5C7"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Chin, J.-B., Wu, M.-C. and Hsieh, L.-F. (2012) Strategic Planning of Optimal Resource Allocation in Response to Global Financial Crisis – a Study of International Tourist Hotels. </w:t>
      </w:r>
      <w:r w:rsidRPr="00161116">
        <w:rPr>
          <w:rFonts w:cs="Arial"/>
          <w:i/>
          <w:iCs/>
          <w:noProof/>
          <w:kern w:val="0"/>
          <w:lang w:val="en-GB"/>
          <w14:ligatures w14:val="none"/>
        </w:rPr>
        <w:t>Applied Economics</w:t>
      </w:r>
      <w:r w:rsidRPr="00161116">
        <w:rPr>
          <w:rFonts w:cs="Arial"/>
          <w:noProof/>
          <w:kern w:val="0"/>
          <w:lang w:val="en-GB"/>
          <w14:ligatures w14:val="none"/>
        </w:rPr>
        <w:t>, 45(23), pp.3316–3328. doi:https://doi.org/10.1080/00036846.2012.705427.</w:t>
      </w:r>
    </w:p>
    <w:p w14:paraId="5B247A8B"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CNN (2022) </w:t>
      </w:r>
      <w:r w:rsidRPr="00161116">
        <w:rPr>
          <w:rFonts w:cs="Arial"/>
          <w:i/>
          <w:iCs/>
          <w:noProof/>
          <w:kern w:val="0"/>
          <w:lang w:val="en-GB"/>
          <w14:ligatures w14:val="none"/>
        </w:rPr>
        <w:t>UK Inflation Jumps to 41-year High of 11.1%</w:t>
      </w:r>
      <w:r w:rsidRPr="00161116">
        <w:rPr>
          <w:rFonts w:cs="Arial"/>
          <w:noProof/>
          <w:kern w:val="0"/>
          <w:lang w:val="en-GB"/>
          <w14:ligatures w14:val="none"/>
        </w:rPr>
        <w:t>. [online] CNN. Available at: https://www.google.com/amp/s/amp.cnn.com/cnn/2022/11/16/economy/uk-inflation-october [Accessed 3 Jun. 2024].</w:t>
      </w:r>
    </w:p>
    <w:p w14:paraId="217E0C07"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Defranco, A.L. and Lattin, T.W. (2007) </w:t>
      </w:r>
      <w:r w:rsidRPr="00161116">
        <w:rPr>
          <w:rFonts w:cs="Arial"/>
          <w:i/>
          <w:iCs/>
          <w:noProof/>
          <w:kern w:val="0"/>
          <w:lang w:val="en-GB"/>
          <w14:ligatures w14:val="none"/>
        </w:rPr>
        <w:t>Hospitality Financial Management</w:t>
      </w:r>
      <w:r w:rsidRPr="00161116">
        <w:rPr>
          <w:rFonts w:cs="Arial"/>
          <w:noProof/>
          <w:kern w:val="0"/>
          <w:lang w:val="en-GB"/>
          <w14:ligatures w14:val="none"/>
        </w:rPr>
        <w:t>. Hoboken, N.J.: John Wiley &amp; Sons.</w:t>
      </w:r>
    </w:p>
    <w:p w14:paraId="7BA020BC"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Denizci Guillet, B. and Mohammed, I. (2015) Revenue Management Research in Hospitality and Tourism. </w:t>
      </w:r>
      <w:r w:rsidRPr="00161116">
        <w:rPr>
          <w:rFonts w:cs="Arial"/>
          <w:i/>
          <w:iCs/>
          <w:noProof/>
          <w:kern w:val="0"/>
          <w:lang w:val="en-GB"/>
          <w14:ligatures w14:val="none"/>
        </w:rPr>
        <w:t>International Journal of Contemporary Hospitality Management</w:t>
      </w:r>
      <w:r w:rsidRPr="00161116">
        <w:rPr>
          <w:rFonts w:cs="Arial"/>
          <w:noProof/>
          <w:kern w:val="0"/>
          <w:lang w:val="en-GB"/>
          <w14:ligatures w14:val="none"/>
        </w:rPr>
        <w:t>, 27(4), pp.526–560. doi:https://doi.org/10.1108/ijchm-06-2014-0295.</w:t>
      </w:r>
    </w:p>
    <w:p w14:paraId="4914D557"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Drury, C. (2018) </w:t>
      </w:r>
      <w:r w:rsidRPr="00161116">
        <w:rPr>
          <w:rFonts w:cs="Arial"/>
          <w:i/>
          <w:iCs/>
          <w:noProof/>
          <w:kern w:val="0"/>
          <w:lang w:val="en-GB"/>
          <w14:ligatures w14:val="none"/>
        </w:rPr>
        <w:t>Management and Cost Accounting</w:t>
      </w:r>
      <w:r w:rsidRPr="00161116">
        <w:rPr>
          <w:rFonts w:cs="Arial"/>
          <w:noProof/>
          <w:kern w:val="0"/>
          <w:lang w:val="en-GB"/>
          <w14:ligatures w14:val="none"/>
        </w:rPr>
        <w:t>. 10th ed. Andover: Cengage Learning.</w:t>
      </w:r>
    </w:p>
    <w:p w14:paraId="3F494CFD"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Lawson, A. (2023) Energy Crisis Stemming from Ukraine War ‘cost £1k for Every UK Adult’. </w:t>
      </w:r>
      <w:r w:rsidRPr="00161116">
        <w:rPr>
          <w:rFonts w:cs="Arial"/>
          <w:i/>
          <w:iCs/>
          <w:noProof/>
          <w:kern w:val="0"/>
          <w:lang w:val="en-GB"/>
          <w14:ligatures w14:val="none"/>
        </w:rPr>
        <w:t>The Guardian</w:t>
      </w:r>
      <w:r w:rsidRPr="00161116">
        <w:rPr>
          <w:rFonts w:cs="Arial"/>
          <w:noProof/>
          <w:kern w:val="0"/>
          <w:lang w:val="en-GB"/>
          <w14:ligatures w14:val="none"/>
        </w:rPr>
        <w:t>. [online] 21 Feb. Available at: https://www.google.com/amp/s/amp.theguardian.com/business/2023/feb/21/energy-crisis-ukraine-war-uk-cost-gas [Accessed 3 Jun. 2024].</w:t>
      </w:r>
    </w:p>
    <w:p w14:paraId="7A1B4C57"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Ngoc Su, D., Luc Tra, D., Thi Huynh, H.M., Nguyen, H.H.T. and O’Mahony, B. (2021) Enhancing Resilience in the Covid-19 crisis: Lessons from Human Resource Management Practices in Vietnam. </w:t>
      </w:r>
      <w:r w:rsidRPr="00161116">
        <w:rPr>
          <w:rFonts w:cs="Arial"/>
          <w:i/>
          <w:iCs/>
          <w:noProof/>
          <w:kern w:val="0"/>
          <w:lang w:val="en-GB"/>
          <w14:ligatures w14:val="none"/>
        </w:rPr>
        <w:t>Current Issues in Tourism</w:t>
      </w:r>
      <w:r w:rsidRPr="00161116">
        <w:rPr>
          <w:rFonts w:cs="Arial"/>
          <w:noProof/>
          <w:kern w:val="0"/>
          <w:lang w:val="en-GB"/>
          <w14:ligatures w14:val="none"/>
        </w:rPr>
        <w:t>, 24(22), pp.1–17. doi:https://doi.org/10.1080/13683500.2020.1863930.</w:t>
      </w:r>
    </w:p>
    <w:p w14:paraId="044C9BEC"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Office for National Statistics (2024) </w:t>
      </w:r>
      <w:r w:rsidRPr="00161116">
        <w:rPr>
          <w:rFonts w:cs="Arial"/>
          <w:i/>
          <w:iCs/>
          <w:noProof/>
          <w:kern w:val="0"/>
          <w:lang w:val="en-GB"/>
          <w14:ligatures w14:val="none"/>
        </w:rPr>
        <w:t xml:space="preserve">Cost of Living Latest Insights </w:t>
      </w:r>
      <w:r w:rsidRPr="00161116">
        <w:rPr>
          <w:rFonts w:cs="Arial"/>
          <w:noProof/>
          <w:kern w:val="0"/>
          <w:lang w:val="en-GB"/>
          <w14:ligatures w14:val="none"/>
        </w:rPr>
        <w:t>. [online] www.ons.gov.uk. Available at: https://www.ons.gov.uk/economy/inflationandpriceindices/articles/costofliving/latestinsights [Accessed 3 Jun. 2024].</w:t>
      </w:r>
    </w:p>
    <w:p w14:paraId="0A065905"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lastRenderedPageBreak/>
        <w:t xml:space="preserve">Oliveras-Villanueva, M., Llach, J. and Perramon, J. (2020) Service Quality in Hospitality and the Sustainability Effect: Systematic Literature Review and Future Research Agenda. </w:t>
      </w:r>
      <w:r w:rsidRPr="00161116">
        <w:rPr>
          <w:rFonts w:cs="Arial"/>
          <w:i/>
          <w:iCs/>
          <w:noProof/>
          <w:kern w:val="0"/>
          <w:lang w:val="en-GB"/>
          <w14:ligatures w14:val="none"/>
        </w:rPr>
        <w:t>Sustainability</w:t>
      </w:r>
      <w:r w:rsidRPr="00161116">
        <w:rPr>
          <w:rFonts w:cs="Arial"/>
          <w:noProof/>
          <w:kern w:val="0"/>
          <w:lang w:val="en-GB"/>
          <w14:ligatures w14:val="none"/>
        </w:rPr>
        <w:t>, 12(19), p.8152. doi:https://doi.org/10.3390/su12198152.</w:t>
      </w:r>
    </w:p>
    <w:p w14:paraId="3091D5B5"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Papademetriou, C., Anastasiadou, S. and Papalexandris, S. (2023) The Effect of Sustainable Human Resource Management Practices on Customer Satisfaction, Service Quality, and Institutional Performance in Hotel Businesses. </w:t>
      </w:r>
      <w:r w:rsidRPr="00161116">
        <w:rPr>
          <w:rFonts w:cs="Arial"/>
          <w:i/>
          <w:iCs/>
          <w:noProof/>
          <w:kern w:val="0"/>
          <w:lang w:val="en-GB"/>
          <w14:ligatures w14:val="none"/>
        </w:rPr>
        <w:t>Sustainability</w:t>
      </w:r>
      <w:r w:rsidRPr="00161116">
        <w:rPr>
          <w:rFonts w:cs="Arial"/>
          <w:noProof/>
          <w:kern w:val="0"/>
          <w:lang w:val="en-GB"/>
          <w14:ligatures w14:val="none"/>
        </w:rPr>
        <w:t>, [online] 15(10), p.8251. doi:https://doi.org/10.3390/su15108251.</w:t>
      </w:r>
    </w:p>
    <w:p w14:paraId="65C03FC4"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Rauch, D.A., Collins, M.D., Nale, R.D. and Barr, P.B. (2015) Measuring Service Quality in mid-scale Hotels. </w:t>
      </w:r>
      <w:r w:rsidRPr="00161116">
        <w:rPr>
          <w:rFonts w:cs="Arial"/>
          <w:i/>
          <w:iCs/>
          <w:noProof/>
          <w:kern w:val="0"/>
          <w:lang w:val="en-GB"/>
          <w14:ligatures w14:val="none"/>
        </w:rPr>
        <w:t>International Journal of Contemporary Hospitality Management</w:t>
      </w:r>
      <w:r w:rsidRPr="00161116">
        <w:rPr>
          <w:rFonts w:cs="Arial"/>
          <w:noProof/>
          <w:kern w:val="0"/>
          <w:lang w:val="en-GB"/>
          <w14:ligatures w14:val="none"/>
        </w:rPr>
        <w:t>, 27(1), pp.87–106. doi:https://doi.org/10.1108/ijchm-06-2013-0254.</w:t>
      </w:r>
    </w:p>
    <w:p w14:paraId="1B5B3931"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Statista (2024) </w:t>
      </w:r>
      <w:r w:rsidRPr="00161116">
        <w:rPr>
          <w:rFonts w:cs="Arial"/>
          <w:i/>
          <w:iCs/>
          <w:noProof/>
          <w:kern w:val="0"/>
          <w:lang w:val="en-GB"/>
          <w14:ligatures w14:val="none"/>
        </w:rPr>
        <w:t>Topic: the UK Economy</w:t>
      </w:r>
      <w:r w:rsidRPr="00161116">
        <w:rPr>
          <w:rFonts w:cs="Arial"/>
          <w:noProof/>
          <w:kern w:val="0"/>
          <w:lang w:val="en-GB"/>
          <w14:ligatures w14:val="none"/>
        </w:rPr>
        <w:t>. [online] Statista. Available at: https://www.statista.com/topics/6500/the-british-economy/ [Accessed 3 Jun. 2024].</w:t>
      </w:r>
    </w:p>
    <w:p w14:paraId="15ADD15D" w14:textId="77777777" w:rsidR="009B3880" w:rsidRPr="00161116" w:rsidRDefault="009B3880" w:rsidP="00161116">
      <w:pPr>
        <w:rPr>
          <w:rFonts w:cs="Arial"/>
          <w:noProof/>
          <w:lang w:val="en-GB"/>
        </w:rPr>
      </w:pPr>
      <w:r w:rsidRPr="00161116">
        <w:rPr>
          <w:rFonts w:cs="Arial"/>
          <w:noProof/>
          <w:lang w:val="en-GB"/>
        </w:rPr>
        <w:t xml:space="preserve">Tranter, K., Stuart-Hill, T. and Parker, J. (2014) </w:t>
      </w:r>
      <w:r w:rsidRPr="00161116">
        <w:rPr>
          <w:rFonts w:cs="Arial"/>
          <w:i/>
          <w:iCs/>
          <w:noProof/>
          <w:lang w:val="en-GB"/>
        </w:rPr>
        <w:t>Introduction to Revenue Management for the Hospitality Industry</w:t>
      </w:r>
      <w:r w:rsidRPr="00161116">
        <w:rPr>
          <w:rFonts w:cs="Arial"/>
          <w:noProof/>
          <w:lang w:val="en-GB"/>
        </w:rPr>
        <w:t>. London: Pearson.</w:t>
      </w:r>
    </w:p>
    <w:p w14:paraId="484597FA" w14:textId="77777777" w:rsidR="009B3880" w:rsidRPr="00161116" w:rsidRDefault="009B3880" w:rsidP="00161116">
      <w:pPr>
        <w:spacing w:after="240"/>
        <w:divId w:val="1571843070"/>
        <w:rPr>
          <w:rFonts w:cs="Arial"/>
          <w:noProof/>
          <w:kern w:val="0"/>
          <w:lang w:val="en-GB"/>
          <w14:ligatures w14:val="none"/>
        </w:rPr>
      </w:pPr>
      <w:r w:rsidRPr="00161116">
        <w:rPr>
          <w:rFonts w:cs="Arial"/>
          <w:noProof/>
          <w:kern w:val="0"/>
          <w:lang w:val="en-GB"/>
          <w14:ligatures w14:val="none"/>
        </w:rPr>
        <w:t xml:space="preserve">Walker, J.R. (2020) </w:t>
      </w:r>
      <w:r w:rsidRPr="00161116">
        <w:rPr>
          <w:rFonts w:cs="Arial"/>
          <w:i/>
          <w:iCs/>
          <w:noProof/>
          <w:kern w:val="0"/>
          <w:lang w:val="en-GB"/>
          <w14:ligatures w14:val="none"/>
        </w:rPr>
        <w:t>Introduction to Hospitality Management</w:t>
      </w:r>
      <w:r w:rsidRPr="00161116">
        <w:rPr>
          <w:rFonts w:cs="Arial"/>
          <w:noProof/>
          <w:kern w:val="0"/>
          <w:lang w:val="en-GB"/>
          <w14:ligatures w14:val="none"/>
        </w:rPr>
        <w:t>. Boston: Pearson.</w:t>
      </w:r>
    </w:p>
    <w:p w14:paraId="796B27A3" w14:textId="77777777" w:rsidR="00A461CB" w:rsidRPr="00161116" w:rsidRDefault="00A461CB" w:rsidP="00161116">
      <w:pPr>
        <w:rPr>
          <w:rFonts w:cs="Arial"/>
          <w:noProof/>
          <w:lang w:val="en-GB"/>
        </w:rPr>
      </w:pPr>
    </w:p>
    <w:sectPr w:rsidR="00A461CB" w:rsidRPr="00161116" w:rsidSect="000F7462">
      <w:footerReference w:type="even" r:id="rId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37D0B" w14:textId="77777777" w:rsidR="009C6A09" w:rsidRDefault="009C6A09" w:rsidP="00FB4866">
      <w:pPr>
        <w:spacing w:after="0" w:line="240" w:lineRule="auto"/>
      </w:pPr>
      <w:r>
        <w:separator/>
      </w:r>
    </w:p>
  </w:endnote>
  <w:endnote w:type="continuationSeparator" w:id="0">
    <w:p w14:paraId="75BEB784" w14:textId="77777777" w:rsidR="009C6A09" w:rsidRDefault="009C6A09" w:rsidP="00FB4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09601996"/>
      <w:docPartObj>
        <w:docPartGallery w:val="Page Numbers (Bottom of Page)"/>
        <w:docPartUnique/>
      </w:docPartObj>
    </w:sdtPr>
    <w:sdtContent>
      <w:p w14:paraId="6329757C" w14:textId="77777777" w:rsidR="00FB4866" w:rsidRDefault="00FB486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8CF5E1" w14:textId="77777777" w:rsidR="00FB4866" w:rsidRDefault="00FB4866" w:rsidP="00FB4866">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61807124"/>
      <w:docPartObj>
        <w:docPartGallery w:val="Page Numbers (Bottom of Page)"/>
        <w:docPartUnique/>
      </w:docPartObj>
    </w:sdtPr>
    <w:sdtContent>
      <w:p w14:paraId="38F5945C" w14:textId="77777777" w:rsidR="00FB4866" w:rsidRDefault="00FB486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0495341" w14:textId="77777777" w:rsidR="00FB4866" w:rsidRDefault="00FB4866" w:rsidP="00FB486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5EAC2" w14:textId="77777777" w:rsidR="009C6A09" w:rsidRDefault="009C6A09" w:rsidP="00FB4866">
      <w:pPr>
        <w:spacing w:after="0" w:line="240" w:lineRule="auto"/>
      </w:pPr>
      <w:r>
        <w:separator/>
      </w:r>
    </w:p>
  </w:footnote>
  <w:footnote w:type="continuationSeparator" w:id="0">
    <w:p w14:paraId="25327581" w14:textId="77777777" w:rsidR="009C6A09" w:rsidRDefault="009C6A09" w:rsidP="00FB48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6933EB"/>
    <w:multiLevelType w:val="hybridMultilevel"/>
    <w:tmpl w:val="FF2E3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DF7CE1"/>
    <w:multiLevelType w:val="hybridMultilevel"/>
    <w:tmpl w:val="1C928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6B2AC3"/>
    <w:multiLevelType w:val="hybridMultilevel"/>
    <w:tmpl w:val="BE26733C"/>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F9A3AB0"/>
    <w:multiLevelType w:val="hybridMultilevel"/>
    <w:tmpl w:val="6052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3175948">
    <w:abstractNumId w:val="3"/>
  </w:num>
  <w:num w:numId="2" w16cid:durableId="316955707">
    <w:abstractNumId w:val="2"/>
  </w:num>
  <w:num w:numId="3" w16cid:durableId="274216363">
    <w:abstractNumId w:val="0"/>
  </w:num>
  <w:num w:numId="4" w16cid:durableId="369301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B4866"/>
    <w:rsid w:val="0001465D"/>
    <w:rsid w:val="000311E9"/>
    <w:rsid w:val="00062D69"/>
    <w:rsid w:val="00063978"/>
    <w:rsid w:val="000A1803"/>
    <w:rsid w:val="000B4E13"/>
    <w:rsid w:val="000F7462"/>
    <w:rsid w:val="00102C66"/>
    <w:rsid w:val="00161116"/>
    <w:rsid w:val="001851CF"/>
    <w:rsid w:val="00224A2A"/>
    <w:rsid w:val="00241809"/>
    <w:rsid w:val="002543C7"/>
    <w:rsid w:val="002648A6"/>
    <w:rsid w:val="00264D0C"/>
    <w:rsid w:val="002D2F4D"/>
    <w:rsid w:val="002D4E25"/>
    <w:rsid w:val="00312776"/>
    <w:rsid w:val="00340F54"/>
    <w:rsid w:val="00365B11"/>
    <w:rsid w:val="00366275"/>
    <w:rsid w:val="00373D41"/>
    <w:rsid w:val="003A0E59"/>
    <w:rsid w:val="003A6FAE"/>
    <w:rsid w:val="00416C6B"/>
    <w:rsid w:val="00423308"/>
    <w:rsid w:val="00432732"/>
    <w:rsid w:val="0043678B"/>
    <w:rsid w:val="004615AD"/>
    <w:rsid w:val="00482E85"/>
    <w:rsid w:val="00490783"/>
    <w:rsid w:val="004F053B"/>
    <w:rsid w:val="004F1227"/>
    <w:rsid w:val="004F225C"/>
    <w:rsid w:val="00503750"/>
    <w:rsid w:val="00511117"/>
    <w:rsid w:val="00522B2F"/>
    <w:rsid w:val="00594256"/>
    <w:rsid w:val="005A0F59"/>
    <w:rsid w:val="00612FB2"/>
    <w:rsid w:val="00655E17"/>
    <w:rsid w:val="0068605A"/>
    <w:rsid w:val="006E3531"/>
    <w:rsid w:val="00720B2C"/>
    <w:rsid w:val="00740E05"/>
    <w:rsid w:val="007723E1"/>
    <w:rsid w:val="00787056"/>
    <w:rsid w:val="007B524F"/>
    <w:rsid w:val="00816D30"/>
    <w:rsid w:val="008400DB"/>
    <w:rsid w:val="0084408C"/>
    <w:rsid w:val="00847F61"/>
    <w:rsid w:val="008A0500"/>
    <w:rsid w:val="008F3437"/>
    <w:rsid w:val="00915C16"/>
    <w:rsid w:val="009B3880"/>
    <w:rsid w:val="009C6A09"/>
    <w:rsid w:val="009E2EF4"/>
    <w:rsid w:val="00A01A0D"/>
    <w:rsid w:val="00A22A45"/>
    <w:rsid w:val="00A30294"/>
    <w:rsid w:val="00A461CB"/>
    <w:rsid w:val="00A81187"/>
    <w:rsid w:val="00A82BB7"/>
    <w:rsid w:val="00AA4F1C"/>
    <w:rsid w:val="00AF437C"/>
    <w:rsid w:val="00AF5A46"/>
    <w:rsid w:val="00B37F74"/>
    <w:rsid w:val="00BC63AF"/>
    <w:rsid w:val="00BD66A0"/>
    <w:rsid w:val="00BE49F8"/>
    <w:rsid w:val="00C14749"/>
    <w:rsid w:val="00C37F8A"/>
    <w:rsid w:val="00C52BD3"/>
    <w:rsid w:val="00D85957"/>
    <w:rsid w:val="00D97E61"/>
    <w:rsid w:val="00DA69A0"/>
    <w:rsid w:val="00DA7AC4"/>
    <w:rsid w:val="00EA6E55"/>
    <w:rsid w:val="00EB3E33"/>
    <w:rsid w:val="00EC5D19"/>
    <w:rsid w:val="00F27DF9"/>
    <w:rsid w:val="00F615E9"/>
    <w:rsid w:val="00F66CD5"/>
    <w:rsid w:val="00FA1455"/>
    <w:rsid w:val="00FB0690"/>
    <w:rsid w:val="00FB4866"/>
    <w:rsid w:val="00FD3903"/>
    <w:rsid w:val="00FF1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07F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78B"/>
    <w:pPr>
      <w:spacing w:line="360" w:lineRule="auto"/>
      <w:jc w:val="both"/>
    </w:pPr>
    <w:rPr>
      <w:rFonts w:ascii="Arial" w:hAnsi="Arial"/>
    </w:rPr>
  </w:style>
  <w:style w:type="paragraph" w:styleId="Heading1">
    <w:name w:val="heading 1"/>
    <w:basedOn w:val="Normal"/>
    <w:next w:val="Normal"/>
    <w:link w:val="Heading1Char"/>
    <w:autoRedefine/>
    <w:uiPriority w:val="9"/>
    <w:qFormat/>
    <w:rsid w:val="0001465D"/>
    <w:pPr>
      <w:keepNext/>
      <w:keepLines/>
      <w:spacing w:before="360" w:after="80"/>
      <w:outlineLvl w:val="0"/>
    </w:pPr>
    <w:rPr>
      <w:rFonts w:eastAsiaTheme="majorEastAsia" w:cs="Arial"/>
      <w:bCs/>
      <w:noProof/>
      <w:lang w:val="en-GB"/>
    </w:rPr>
  </w:style>
  <w:style w:type="paragraph" w:styleId="Heading2">
    <w:name w:val="heading 2"/>
    <w:basedOn w:val="Normal"/>
    <w:next w:val="Normal"/>
    <w:link w:val="Heading2Char"/>
    <w:autoRedefine/>
    <w:uiPriority w:val="9"/>
    <w:unhideWhenUsed/>
    <w:qFormat/>
    <w:rsid w:val="0001465D"/>
    <w:pPr>
      <w:keepNext/>
      <w:keepLines/>
      <w:spacing w:before="160" w:after="80"/>
      <w:outlineLvl w:val="1"/>
    </w:pPr>
    <w:rPr>
      <w:rFonts w:eastAsiaTheme="majorEastAsia" w:cs="Arial"/>
      <w:bCs/>
      <w:noProof/>
      <w:lang w:val="en-GB"/>
    </w:rPr>
  </w:style>
  <w:style w:type="paragraph" w:styleId="Heading3">
    <w:name w:val="heading 3"/>
    <w:basedOn w:val="Normal"/>
    <w:next w:val="Normal"/>
    <w:link w:val="Heading3Char"/>
    <w:uiPriority w:val="9"/>
    <w:semiHidden/>
    <w:unhideWhenUsed/>
    <w:qFormat/>
    <w:rsid w:val="00FB48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8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8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8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8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8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8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65D"/>
    <w:rPr>
      <w:rFonts w:ascii="Arial" w:eastAsiaTheme="majorEastAsia" w:hAnsi="Arial" w:cs="Arial"/>
      <w:bCs/>
      <w:noProof/>
      <w:lang w:val="en-GB"/>
    </w:rPr>
  </w:style>
  <w:style w:type="character" w:customStyle="1" w:styleId="Heading2Char">
    <w:name w:val="Heading 2 Char"/>
    <w:basedOn w:val="DefaultParagraphFont"/>
    <w:link w:val="Heading2"/>
    <w:uiPriority w:val="9"/>
    <w:rsid w:val="0001465D"/>
    <w:rPr>
      <w:rFonts w:ascii="Arial" w:eastAsiaTheme="majorEastAsia" w:hAnsi="Arial" w:cs="Arial"/>
      <w:bCs/>
      <w:noProof/>
      <w:lang w:val="en-GB"/>
    </w:rPr>
  </w:style>
  <w:style w:type="character" w:customStyle="1" w:styleId="Heading3Char">
    <w:name w:val="Heading 3 Char"/>
    <w:basedOn w:val="DefaultParagraphFont"/>
    <w:link w:val="Heading3"/>
    <w:uiPriority w:val="9"/>
    <w:semiHidden/>
    <w:rsid w:val="00FB48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8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8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8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8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8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866"/>
    <w:rPr>
      <w:rFonts w:eastAsiaTheme="majorEastAsia" w:cstheme="majorBidi"/>
      <w:color w:val="272727" w:themeColor="text1" w:themeTint="D8"/>
    </w:rPr>
  </w:style>
  <w:style w:type="paragraph" w:styleId="Title">
    <w:name w:val="Title"/>
    <w:basedOn w:val="Normal"/>
    <w:next w:val="Normal"/>
    <w:link w:val="TitleChar"/>
    <w:uiPriority w:val="10"/>
    <w:qFormat/>
    <w:rsid w:val="00FB48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8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8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8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866"/>
    <w:pPr>
      <w:spacing w:before="160"/>
      <w:jc w:val="center"/>
    </w:pPr>
    <w:rPr>
      <w:i/>
      <w:iCs/>
      <w:color w:val="404040" w:themeColor="text1" w:themeTint="BF"/>
    </w:rPr>
  </w:style>
  <w:style w:type="character" w:customStyle="1" w:styleId="QuoteChar">
    <w:name w:val="Quote Char"/>
    <w:basedOn w:val="DefaultParagraphFont"/>
    <w:link w:val="Quote"/>
    <w:uiPriority w:val="29"/>
    <w:rsid w:val="00FB4866"/>
    <w:rPr>
      <w:i/>
      <w:iCs/>
      <w:color w:val="404040" w:themeColor="text1" w:themeTint="BF"/>
    </w:rPr>
  </w:style>
  <w:style w:type="paragraph" w:styleId="ListParagraph">
    <w:name w:val="List Paragraph"/>
    <w:basedOn w:val="Normal"/>
    <w:uiPriority w:val="34"/>
    <w:qFormat/>
    <w:rsid w:val="00FB4866"/>
    <w:pPr>
      <w:ind w:left="720"/>
      <w:contextualSpacing/>
    </w:pPr>
  </w:style>
  <w:style w:type="character" w:styleId="IntenseEmphasis">
    <w:name w:val="Intense Emphasis"/>
    <w:basedOn w:val="DefaultParagraphFont"/>
    <w:uiPriority w:val="21"/>
    <w:qFormat/>
    <w:rsid w:val="00FB4866"/>
    <w:rPr>
      <w:i/>
      <w:iCs/>
      <w:color w:val="0F4761" w:themeColor="accent1" w:themeShade="BF"/>
    </w:rPr>
  </w:style>
  <w:style w:type="paragraph" w:styleId="IntenseQuote">
    <w:name w:val="Intense Quote"/>
    <w:basedOn w:val="Normal"/>
    <w:next w:val="Normal"/>
    <w:link w:val="IntenseQuoteChar"/>
    <w:uiPriority w:val="30"/>
    <w:qFormat/>
    <w:rsid w:val="00FB4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866"/>
    <w:rPr>
      <w:i/>
      <w:iCs/>
      <w:color w:val="0F4761" w:themeColor="accent1" w:themeShade="BF"/>
    </w:rPr>
  </w:style>
  <w:style w:type="character" w:styleId="IntenseReference">
    <w:name w:val="Intense Reference"/>
    <w:basedOn w:val="DefaultParagraphFont"/>
    <w:uiPriority w:val="32"/>
    <w:qFormat/>
    <w:rsid w:val="00FB4866"/>
    <w:rPr>
      <w:b/>
      <w:bCs/>
      <w:smallCaps/>
      <w:color w:val="0F4761" w:themeColor="accent1" w:themeShade="BF"/>
      <w:spacing w:val="5"/>
    </w:rPr>
  </w:style>
  <w:style w:type="paragraph" w:styleId="Header">
    <w:name w:val="header"/>
    <w:basedOn w:val="Normal"/>
    <w:link w:val="HeaderChar"/>
    <w:uiPriority w:val="99"/>
    <w:unhideWhenUsed/>
    <w:rsid w:val="00FB48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866"/>
  </w:style>
  <w:style w:type="paragraph" w:styleId="Footer">
    <w:name w:val="footer"/>
    <w:basedOn w:val="Normal"/>
    <w:link w:val="FooterChar"/>
    <w:uiPriority w:val="99"/>
    <w:unhideWhenUsed/>
    <w:rsid w:val="00FB48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866"/>
  </w:style>
  <w:style w:type="character" w:styleId="PageNumber">
    <w:name w:val="page number"/>
    <w:basedOn w:val="DefaultParagraphFont"/>
    <w:uiPriority w:val="99"/>
    <w:semiHidden/>
    <w:unhideWhenUsed/>
    <w:rsid w:val="00FB4866"/>
  </w:style>
  <w:style w:type="table" w:styleId="GridTable2-Accent1">
    <w:name w:val="Grid Table 2 Accent 1"/>
    <w:basedOn w:val="TableNormal"/>
    <w:uiPriority w:val="47"/>
    <w:rsid w:val="00F27DF9"/>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063978"/>
    <w:pPr>
      <w:spacing w:before="240" w:after="0" w:line="259" w:lineRule="auto"/>
      <w:outlineLvl w:val="9"/>
    </w:pPr>
    <w:rPr>
      <w:rFonts w:asciiTheme="majorHAnsi" w:hAnsiTheme="majorHAnsi"/>
      <w:b/>
      <w:kern w:val="0"/>
      <w:szCs w:val="32"/>
      <w14:ligatures w14:val="none"/>
    </w:rPr>
  </w:style>
  <w:style w:type="paragraph" w:styleId="TOC1">
    <w:name w:val="toc 1"/>
    <w:basedOn w:val="Normal"/>
    <w:next w:val="Normal"/>
    <w:autoRedefine/>
    <w:uiPriority w:val="39"/>
    <w:unhideWhenUsed/>
    <w:rsid w:val="00063978"/>
    <w:pPr>
      <w:spacing w:after="100"/>
    </w:pPr>
  </w:style>
  <w:style w:type="paragraph" w:styleId="TOC2">
    <w:name w:val="toc 2"/>
    <w:basedOn w:val="Normal"/>
    <w:next w:val="Normal"/>
    <w:autoRedefine/>
    <w:uiPriority w:val="39"/>
    <w:unhideWhenUsed/>
    <w:rsid w:val="00063978"/>
    <w:pPr>
      <w:spacing w:after="100"/>
      <w:ind w:left="240"/>
    </w:pPr>
  </w:style>
  <w:style w:type="character" w:styleId="Hyperlink">
    <w:name w:val="Hyperlink"/>
    <w:basedOn w:val="DefaultParagraphFont"/>
    <w:uiPriority w:val="99"/>
    <w:unhideWhenUsed/>
    <w:rsid w:val="0006397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414835">
      <w:bodyDiv w:val="1"/>
      <w:marLeft w:val="0"/>
      <w:marRight w:val="0"/>
      <w:marTop w:val="0"/>
      <w:marBottom w:val="0"/>
      <w:divBdr>
        <w:top w:val="none" w:sz="0" w:space="0" w:color="auto"/>
        <w:left w:val="none" w:sz="0" w:space="0" w:color="auto"/>
        <w:bottom w:val="none" w:sz="0" w:space="0" w:color="auto"/>
        <w:right w:val="none" w:sz="0" w:space="0" w:color="auto"/>
      </w:divBdr>
      <w:divsChild>
        <w:div w:id="1571843070">
          <w:marLeft w:val="0"/>
          <w:marRight w:val="0"/>
          <w:marTop w:val="0"/>
          <w:marBottom w:val="0"/>
          <w:divBdr>
            <w:top w:val="none" w:sz="0" w:space="0" w:color="auto"/>
            <w:left w:val="none" w:sz="0" w:space="0" w:color="auto"/>
            <w:bottom w:val="none" w:sz="0" w:space="0" w:color="auto"/>
            <w:right w:val="none" w:sz="0" w:space="0" w:color="auto"/>
          </w:divBdr>
        </w:div>
      </w:divsChild>
    </w:div>
    <w:div w:id="261567929">
      <w:bodyDiv w:val="1"/>
      <w:marLeft w:val="0"/>
      <w:marRight w:val="0"/>
      <w:marTop w:val="0"/>
      <w:marBottom w:val="0"/>
      <w:divBdr>
        <w:top w:val="none" w:sz="0" w:space="0" w:color="auto"/>
        <w:left w:val="none" w:sz="0" w:space="0" w:color="auto"/>
        <w:bottom w:val="none" w:sz="0" w:space="0" w:color="auto"/>
        <w:right w:val="none" w:sz="0" w:space="0" w:color="auto"/>
      </w:divBdr>
    </w:div>
    <w:div w:id="722485535">
      <w:bodyDiv w:val="1"/>
      <w:marLeft w:val="0"/>
      <w:marRight w:val="0"/>
      <w:marTop w:val="0"/>
      <w:marBottom w:val="0"/>
      <w:divBdr>
        <w:top w:val="none" w:sz="0" w:space="0" w:color="auto"/>
        <w:left w:val="none" w:sz="0" w:space="0" w:color="auto"/>
        <w:bottom w:val="none" w:sz="0" w:space="0" w:color="auto"/>
        <w:right w:val="none" w:sz="0" w:space="0" w:color="auto"/>
      </w:divBdr>
    </w:div>
    <w:div w:id="906646071">
      <w:bodyDiv w:val="1"/>
      <w:marLeft w:val="0"/>
      <w:marRight w:val="0"/>
      <w:marTop w:val="0"/>
      <w:marBottom w:val="0"/>
      <w:divBdr>
        <w:top w:val="none" w:sz="0" w:space="0" w:color="auto"/>
        <w:left w:val="none" w:sz="0" w:space="0" w:color="auto"/>
        <w:bottom w:val="none" w:sz="0" w:space="0" w:color="auto"/>
        <w:right w:val="none" w:sz="0" w:space="0" w:color="auto"/>
      </w:divBdr>
    </w:div>
    <w:div w:id="1213269934">
      <w:bodyDiv w:val="1"/>
      <w:marLeft w:val="0"/>
      <w:marRight w:val="0"/>
      <w:marTop w:val="0"/>
      <w:marBottom w:val="0"/>
      <w:divBdr>
        <w:top w:val="none" w:sz="0" w:space="0" w:color="auto"/>
        <w:left w:val="none" w:sz="0" w:space="0" w:color="auto"/>
        <w:bottom w:val="none" w:sz="0" w:space="0" w:color="auto"/>
        <w:right w:val="none" w:sz="0" w:space="0" w:color="auto"/>
      </w:divBdr>
    </w:div>
    <w:div w:id="1239756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CDBA1-4DF5-4564-8C11-A1C88C23C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2701</Words>
  <Characters>15423</Characters>
  <Application>Microsoft Office Word</Application>
  <DocSecurity>0</DocSecurity>
  <Lines>321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2024-06-06T17:25:00Z</dcterms:created>
  <dcterms:modified xsi:type="dcterms:W3CDTF">2024-06-06T17:25:00Z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2024-06-03T12:41:27Z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a5b19e93-1b14-404f-8623-7629cb7b5d39</vt:lpwstr>
  </property>
  <property fmtid="{D5CDD505-2E9C-101B-9397-08002B2CF9AE}" pid="8" name="MSIP_Label_defa4170-0d19-0005-0004-bc88714345d2_ContentBits">
    <vt:lpwstr>0</vt:lpwstr>
  </property>
  <property fmtid="{D5CDD505-2E9C-101B-9397-08002B2CF9AE}" pid="9" name="GrammarlyDocumentId">
    <vt:lpwstr>5d00798030f869f3a6e714d69f4e61c43a338f8b8c1a9b5d313a19c3432ed95b</vt:lpwstr>
  </property>
</Properties>
</file>