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WHAT CAN WE LEARN ABOUT THE COMPOSITION OF HOUSEHOLDS FROM STRUCTURAL REMAINS AND/OR ARTISTIC DECORATIONS? AND WHAT LIMITATIONS ARE THERE TO EXAMINING SUCH EVIDENCE IN ISOLATION?</w:t>
      </w:r>
    </w:p>
    <w:p w:rsidR="00000000" w:rsidDel="00000000" w:rsidP="00000000" w:rsidRDefault="00000000" w:rsidRPr="00000000" w14:paraId="00000002">
      <w:pPr>
        <w:rPr>
          <w:rFonts w:ascii="Times New Roman" w:cs="Times New Roman" w:eastAsia="Times New Roman" w:hAnsi="Times New Roman"/>
          <w:sz w:val="32"/>
          <w:szCs w:val="32"/>
        </w:rPr>
      </w:pPr>
      <w:r w:rsidDel="00000000" w:rsidR="00000000" w:rsidRPr="00000000">
        <w:rPr>
          <w:rtl w:val="0"/>
        </w:rPr>
      </w:r>
    </w:p>
    <w:p w:rsidR="00000000" w:rsidDel="00000000" w:rsidP="00000000" w:rsidRDefault="00000000" w:rsidRPr="00000000" w14:paraId="00000003">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The definition of a Roman household is significantly varied from the modern definition of a household and what comprises a household in Roman antiquity will be incredibly different to the versions of a household that we perceive the definition of a household can be also varied however for the purposes of this essay helps hold is simply a space and the people who live in it. households in the Roman imperial period probably included things like slaves and extended vertical family structures in a way that is not found in Modern society.</w:t>
      </w:r>
    </w:p>
    <w:p w:rsidR="00000000" w:rsidDel="00000000" w:rsidP="00000000" w:rsidRDefault="00000000" w:rsidRPr="00000000" w14:paraId="00000004">
      <w:pPr>
        <w:rPr>
          <w:rFonts w:ascii="Times New Roman" w:cs="Times New Roman" w:eastAsia="Times New Roman" w:hAnsi="Times New Roman"/>
          <w:sz w:val="32"/>
          <w:szCs w:val="32"/>
        </w:rPr>
      </w:pPr>
      <w:r w:rsidDel="00000000" w:rsidR="00000000" w:rsidRPr="00000000">
        <w:rPr>
          <w:rtl w:val="0"/>
        </w:rPr>
      </w:r>
    </w:p>
    <w:p w:rsidR="00000000" w:rsidDel="00000000" w:rsidP="00000000" w:rsidRDefault="00000000" w:rsidRPr="00000000" w14:paraId="00000005">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pompeii provides ample evidence to help understand the composition of households in the space, including structural remains which have been preserved, and iconographic evidence such as wall paintings. There is especially a large amount of evidence that can be garnered about the social differences between the composition of upper and lower class households in pompeii, with a range of grand villas and small apartments present in the town. It is also incredibly important to consider the role and position of slaves in the formulation of househoilds, and the structural layout of uoper class households provides us with a minimal amount of  unferstanfing about what this may be, nut artistic evidence supplements this. There is especially a trend within Pompeii where there are a  a relatively small amount of housing with a large amount of rooms indicating some form of apartments or a large family  structure within the household</w:t>
      </w:r>
      <w:r w:rsidDel="00000000" w:rsidR="00000000" w:rsidRPr="00000000">
        <w:rPr>
          <w:rFonts w:ascii="Times New Roman" w:cs="Times New Roman" w:eastAsia="Times New Roman" w:hAnsi="Times New Roman"/>
          <w:sz w:val="32"/>
          <w:szCs w:val="32"/>
          <w:vertAlign w:val="superscript"/>
        </w:rPr>
        <w:footnoteReference w:customMarkFollows="0" w:id="0"/>
      </w:r>
      <w:r w:rsidDel="00000000" w:rsidR="00000000" w:rsidRPr="00000000">
        <w:rPr>
          <w:rFonts w:ascii="Times New Roman" w:cs="Times New Roman" w:eastAsia="Times New Roman" w:hAnsi="Times New Roman"/>
          <w:sz w:val="32"/>
          <w:szCs w:val="32"/>
          <w:rtl w:val="0"/>
        </w:rPr>
        <w:t xml:space="preserve">.</w:t>
      </w:r>
    </w:p>
    <w:p w:rsidR="00000000" w:rsidDel="00000000" w:rsidP="00000000" w:rsidRDefault="00000000" w:rsidRPr="00000000" w14:paraId="00000006">
      <w:pPr>
        <w:rPr>
          <w:rFonts w:ascii="Times New Roman" w:cs="Times New Roman" w:eastAsia="Times New Roman" w:hAnsi="Times New Roman"/>
          <w:sz w:val="32"/>
          <w:szCs w:val="32"/>
        </w:rPr>
      </w:pPr>
      <w:r w:rsidDel="00000000" w:rsidR="00000000" w:rsidRPr="00000000">
        <w:rPr>
          <w:rtl w:val="0"/>
        </w:rPr>
      </w:r>
    </w:p>
    <w:p w:rsidR="00000000" w:rsidDel="00000000" w:rsidP="00000000" w:rsidRDefault="00000000" w:rsidRPr="00000000" w14:paraId="00000007">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The architectural remains of Pompeii have been studied to provide an ethnographic understanding of the class divisions in this area  through looking at the Dispersion of house sizes.  especially towards the end of pompeii's time, there is a larger amount of economic inequality  and poverty in Pompeii it seems as if in the  end years leading up to the eruption in 79, there was an increase in poverty in the area or just lower economic status. There seemed to be an extreme disparity between the house sizes and styles, with minimal evidence of middling classes</w:t>
      </w:r>
      <w:r w:rsidDel="00000000" w:rsidR="00000000" w:rsidRPr="00000000">
        <w:rPr>
          <w:rFonts w:ascii="Times New Roman" w:cs="Times New Roman" w:eastAsia="Times New Roman" w:hAnsi="Times New Roman"/>
          <w:sz w:val="32"/>
          <w:szCs w:val="32"/>
          <w:vertAlign w:val="superscript"/>
        </w:rPr>
        <w:footnoteReference w:customMarkFollows="0" w:id="1"/>
      </w:r>
      <w:r w:rsidDel="00000000" w:rsidR="00000000" w:rsidRPr="00000000">
        <w:rPr>
          <w:rFonts w:ascii="Times New Roman" w:cs="Times New Roman" w:eastAsia="Times New Roman" w:hAnsi="Times New Roman"/>
          <w:sz w:val="32"/>
          <w:szCs w:val="32"/>
          <w:rtl w:val="0"/>
        </w:rPr>
        <w:t xml:space="preserve">.</w:t>
      </w:r>
    </w:p>
    <w:p w:rsidR="00000000" w:rsidDel="00000000" w:rsidP="00000000" w:rsidRDefault="00000000" w:rsidRPr="00000000" w14:paraId="00000008">
      <w:pPr>
        <w:rPr>
          <w:rFonts w:ascii="Times New Roman" w:cs="Times New Roman" w:eastAsia="Times New Roman" w:hAnsi="Times New Roman"/>
          <w:sz w:val="32"/>
          <w:szCs w:val="32"/>
        </w:rPr>
      </w:pPr>
      <w:r w:rsidDel="00000000" w:rsidR="00000000" w:rsidRPr="00000000">
        <w:rPr>
          <w:rtl w:val="0"/>
        </w:rPr>
      </w:r>
    </w:p>
    <w:p w:rsidR="00000000" w:rsidDel="00000000" w:rsidP="00000000" w:rsidRDefault="00000000" w:rsidRPr="00000000" w14:paraId="00000009">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In pompeii, many of the upper class villas are of the atrium-peristyle complex style, with an atrium being the centre of the house, and rooms spanning all around the square. This will have been done to maximise natural light, but also creates a natural division in the household, which has been proposed as a dividing space between the social/economic and domestic spaces in the house</w:t>
      </w:r>
      <w:r w:rsidDel="00000000" w:rsidR="00000000" w:rsidRPr="00000000">
        <w:rPr>
          <w:rFonts w:ascii="Times New Roman" w:cs="Times New Roman" w:eastAsia="Times New Roman" w:hAnsi="Times New Roman"/>
          <w:sz w:val="32"/>
          <w:szCs w:val="32"/>
          <w:vertAlign w:val="superscript"/>
        </w:rPr>
        <w:footnoteReference w:customMarkFollows="0" w:id="2"/>
      </w:r>
      <w:r w:rsidDel="00000000" w:rsidR="00000000" w:rsidRPr="00000000">
        <w:rPr>
          <w:rFonts w:ascii="Times New Roman" w:cs="Times New Roman" w:eastAsia="Times New Roman" w:hAnsi="Times New Roman"/>
          <w:sz w:val="32"/>
          <w:szCs w:val="32"/>
          <w:rtl w:val="0"/>
        </w:rPr>
        <w:t xml:space="preserve">. The inclusion of this atrium and of a divide between a social and domestic space means that these houses can be used for entertaining and greeting which is incredibly important in the social aspect of upper-class lifestyle for Roman antiquity. The morning salutatio is a common practice for upper class households where lower class individuals come to the house to greet the families good morning and to receive gifts for doing so</w:t>
      </w:r>
      <w:r w:rsidDel="00000000" w:rsidR="00000000" w:rsidRPr="00000000">
        <w:rPr>
          <w:rFonts w:ascii="Times New Roman" w:cs="Times New Roman" w:eastAsia="Times New Roman" w:hAnsi="Times New Roman"/>
          <w:sz w:val="32"/>
          <w:szCs w:val="32"/>
          <w:vertAlign w:val="superscript"/>
        </w:rPr>
        <w:footnoteReference w:customMarkFollows="0" w:id="3"/>
      </w:r>
      <w:r w:rsidDel="00000000" w:rsidR="00000000" w:rsidRPr="00000000">
        <w:rPr>
          <w:rFonts w:ascii="Times New Roman" w:cs="Times New Roman" w:eastAsia="Times New Roman" w:hAnsi="Times New Roman"/>
          <w:sz w:val="32"/>
          <w:szCs w:val="32"/>
          <w:rtl w:val="0"/>
        </w:rPr>
        <w:t xml:space="preserve">. most of our evidence of this type of ritual comes not from architectural or iconographic evidence but instead from the textual evidence that we have from individuals such as Pliny.  this means that though are architectural evidence supports the ideas being presented in Contemporary sources, it is not enough to have the structure and iconographic evidence without an understanding of the rituals and routines which are depicted in textual evidence. </w:t>
      </w:r>
    </w:p>
    <w:p w:rsidR="00000000" w:rsidDel="00000000" w:rsidP="00000000" w:rsidRDefault="00000000" w:rsidRPr="00000000" w14:paraId="0000000A">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The greeting spaces in these houses also remind us of the role which households have in this area: an upper-class household is not just a residential space, it is an economic and social space also. This changes the needs and roles of those in the household, especially concerning slaves. However, the way in which we understand these spaces as ‘greeting areas’ is because of textual evidence talking of the benefaction occurring.  </w:t>
      </w:r>
    </w:p>
    <w:p w:rsidR="00000000" w:rsidDel="00000000" w:rsidP="00000000" w:rsidRDefault="00000000" w:rsidRPr="00000000" w14:paraId="0000000B">
      <w:pPr>
        <w:rPr>
          <w:rFonts w:ascii="Times New Roman" w:cs="Times New Roman" w:eastAsia="Times New Roman" w:hAnsi="Times New Roman"/>
          <w:sz w:val="32"/>
          <w:szCs w:val="32"/>
        </w:rPr>
      </w:pPr>
      <w:r w:rsidDel="00000000" w:rsidR="00000000" w:rsidRPr="00000000">
        <w:rPr>
          <w:rtl w:val="0"/>
        </w:rPr>
      </w:r>
    </w:p>
    <w:p w:rsidR="00000000" w:rsidDel="00000000" w:rsidP="00000000" w:rsidRDefault="00000000" w:rsidRPr="00000000" w14:paraId="0000000C">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Upper class households also occasionally have sections on the outside that are in no way connected to the internal structure via doors and are instead small apartments outside of the awnings</w:t>
      </w:r>
      <w:r w:rsidDel="00000000" w:rsidR="00000000" w:rsidRPr="00000000">
        <w:rPr>
          <w:rFonts w:ascii="Times New Roman" w:cs="Times New Roman" w:eastAsia="Times New Roman" w:hAnsi="Times New Roman"/>
          <w:sz w:val="32"/>
          <w:szCs w:val="32"/>
          <w:vertAlign w:val="superscript"/>
        </w:rPr>
        <w:footnoteReference w:customMarkFollows="0" w:id="4"/>
      </w:r>
      <w:r w:rsidDel="00000000" w:rsidR="00000000" w:rsidRPr="00000000">
        <w:rPr>
          <w:rFonts w:ascii="Times New Roman" w:cs="Times New Roman" w:eastAsia="Times New Roman" w:hAnsi="Times New Roman"/>
          <w:sz w:val="32"/>
          <w:szCs w:val="32"/>
          <w:rtl w:val="0"/>
        </w:rPr>
        <w:t xml:space="preserve">. there is plenty of evidence of these spaces being used as a market stalls due to their structures with small pots for holding both hot and cold food. this once again brings in an economic aspect to what the modern audience would perceive as a purely residential space. the composition of an upper class household in  Pompeii has to have a wider range of purposes than what we would expect. Upper class Pompeii and households are also specifically made for Social events and occasions. obviously a house is an incredibly important way to Garner status and Influence, but the spaces used and their decoration are also incredibly important in reinforcing the status quo of the hierarchy of households, and therefore aiding in informing us.</w:t>
      </w:r>
    </w:p>
    <w:p w:rsidR="00000000" w:rsidDel="00000000" w:rsidP="00000000" w:rsidRDefault="00000000" w:rsidRPr="00000000" w14:paraId="0000000D">
      <w:pPr>
        <w:rPr>
          <w:rFonts w:ascii="Times New Roman" w:cs="Times New Roman" w:eastAsia="Times New Roman" w:hAnsi="Times New Roman"/>
          <w:sz w:val="32"/>
          <w:szCs w:val="32"/>
        </w:rPr>
      </w:pPr>
      <w:r w:rsidDel="00000000" w:rsidR="00000000" w:rsidRPr="00000000">
        <w:rPr>
          <w:rtl w:val="0"/>
        </w:rPr>
      </w:r>
    </w:p>
    <w:p w:rsidR="00000000" w:rsidDel="00000000" w:rsidP="00000000" w:rsidRDefault="00000000" w:rsidRPr="00000000" w14:paraId="0000000E">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Iconography in Pompeii also help us to understand the composition of households in this area such as with the wall paintings in the house of Domus Julius which depict two men and their wives standing at a half with the women looking significantly smaller than the men</w:t>
      </w:r>
      <w:r w:rsidDel="00000000" w:rsidR="00000000" w:rsidRPr="00000000">
        <w:rPr>
          <w:rFonts w:ascii="Times New Roman" w:cs="Times New Roman" w:eastAsia="Times New Roman" w:hAnsi="Times New Roman"/>
          <w:sz w:val="32"/>
          <w:szCs w:val="32"/>
          <w:vertAlign w:val="superscript"/>
        </w:rPr>
        <w:footnoteReference w:customMarkFollows="0" w:id="5"/>
      </w:r>
      <w:r w:rsidDel="00000000" w:rsidR="00000000" w:rsidRPr="00000000">
        <w:rPr>
          <w:rFonts w:ascii="Times New Roman" w:cs="Times New Roman" w:eastAsia="Times New Roman" w:hAnsi="Times New Roman"/>
          <w:sz w:val="32"/>
          <w:szCs w:val="32"/>
          <w:rtl w:val="0"/>
        </w:rPr>
        <w:t xml:space="preserve">.  this isn't just a stylistic choice because the women are smaller but it is instead a symbol of the role of which the men were playing in the social hierarchy of pompeii. </w:t>
      </w:r>
    </w:p>
    <w:p w:rsidR="00000000" w:rsidDel="00000000" w:rsidP="00000000" w:rsidRDefault="00000000" w:rsidRPr="00000000" w14:paraId="0000000F">
      <w:pPr>
        <w:rPr>
          <w:rFonts w:ascii="Times New Roman" w:cs="Times New Roman" w:eastAsia="Times New Roman" w:hAnsi="Times New Roman"/>
          <w:sz w:val="32"/>
          <w:szCs w:val="32"/>
        </w:rPr>
      </w:pPr>
      <w:r w:rsidDel="00000000" w:rsidR="00000000" w:rsidRPr="00000000">
        <w:rPr>
          <w:rtl w:val="0"/>
        </w:rPr>
      </w:r>
    </w:p>
    <w:p w:rsidR="00000000" w:rsidDel="00000000" w:rsidP="00000000" w:rsidRDefault="00000000" w:rsidRPr="00000000" w14:paraId="00000010">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The iconography in Pompeii also is one of the main aids for understanding the role of Slaves within the household. there is no real way to understand the space which is used for slaves in a household fire purely structure and in most households there is no specific space for the slaves instead slaves seemed to sleep where they worked. however, they are occasionally represented in wall paintings such as at the Triclinium House</w:t>
      </w:r>
      <w:r w:rsidDel="00000000" w:rsidR="00000000" w:rsidRPr="00000000">
        <w:rPr>
          <w:rFonts w:ascii="Times New Roman" w:cs="Times New Roman" w:eastAsia="Times New Roman" w:hAnsi="Times New Roman"/>
          <w:sz w:val="32"/>
          <w:szCs w:val="32"/>
          <w:vertAlign w:val="superscript"/>
        </w:rPr>
        <w:footnoteReference w:customMarkFollows="0" w:id="6"/>
      </w:r>
      <w:r w:rsidDel="00000000" w:rsidR="00000000" w:rsidRPr="00000000">
        <w:rPr>
          <w:rFonts w:ascii="Times New Roman" w:cs="Times New Roman" w:eastAsia="Times New Roman" w:hAnsi="Times New Roman"/>
          <w:sz w:val="32"/>
          <w:szCs w:val="32"/>
          <w:rtl w:val="0"/>
        </w:rPr>
        <w:t xml:space="preserve">.  in these paintings they are always significantly smaller than any other individual in the paintings and our performing  domestic roles for the  family such as providing food and  carrying items.</w:t>
      </w:r>
    </w:p>
    <w:p w:rsidR="00000000" w:rsidDel="00000000" w:rsidP="00000000" w:rsidRDefault="00000000" w:rsidRPr="00000000" w14:paraId="00000011">
      <w:pPr>
        <w:rPr>
          <w:rFonts w:ascii="Times New Roman" w:cs="Times New Roman" w:eastAsia="Times New Roman" w:hAnsi="Times New Roman"/>
          <w:sz w:val="32"/>
          <w:szCs w:val="32"/>
        </w:rPr>
      </w:pPr>
      <w:r w:rsidDel="00000000" w:rsidR="00000000" w:rsidRPr="00000000">
        <w:rPr>
          <w:rtl w:val="0"/>
        </w:rPr>
      </w:r>
    </w:p>
    <w:p w:rsidR="00000000" w:rsidDel="00000000" w:rsidP="00000000" w:rsidRDefault="00000000" w:rsidRPr="00000000" w14:paraId="00000012">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For the citizens of pompeii that weren’t upper-class, the most common type of housing was some form of apartment. There is evidence Of apartments being built above businesses to save on time and money. this once again reinforces the combination of Economic and  domestic roles of households in this space</w:t>
      </w:r>
      <w:r w:rsidDel="00000000" w:rsidR="00000000" w:rsidRPr="00000000">
        <w:rPr>
          <w:rFonts w:ascii="Times New Roman" w:cs="Times New Roman" w:eastAsia="Times New Roman" w:hAnsi="Times New Roman"/>
          <w:sz w:val="32"/>
          <w:szCs w:val="32"/>
          <w:vertAlign w:val="superscript"/>
        </w:rPr>
        <w:footnoteReference w:customMarkFollows="0" w:id="7"/>
      </w:r>
      <w:r w:rsidDel="00000000" w:rsidR="00000000" w:rsidRPr="00000000">
        <w:rPr>
          <w:rFonts w:ascii="Times New Roman" w:cs="Times New Roman" w:eastAsia="Times New Roman" w:hAnsi="Times New Roman"/>
          <w:sz w:val="32"/>
          <w:szCs w:val="32"/>
          <w:rtl w:val="0"/>
        </w:rPr>
        <w:t xml:space="preserve">. </w:t>
      </w:r>
    </w:p>
    <w:p w:rsidR="00000000" w:rsidDel="00000000" w:rsidP="00000000" w:rsidRDefault="00000000" w:rsidRPr="00000000" w14:paraId="00000013">
      <w:pPr>
        <w:rPr>
          <w:rFonts w:ascii="Times New Roman" w:cs="Times New Roman" w:eastAsia="Times New Roman" w:hAnsi="Times New Roman"/>
          <w:sz w:val="32"/>
          <w:szCs w:val="32"/>
        </w:rPr>
      </w:pPr>
      <w:r w:rsidDel="00000000" w:rsidR="00000000" w:rsidRPr="00000000">
        <w:rPr>
          <w:rtl w:val="0"/>
        </w:rPr>
      </w:r>
    </w:p>
    <w:p w:rsidR="00000000" w:rsidDel="00000000" w:rsidP="00000000" w:rsidRDefault="00000000" w:rsidRPr="00000000" w14:paraId="00000014">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One interesting way in which structural remains can aid with understanding the composition of households in Pompeii is through spatial analysis of water pipes. 63% of all households had a ground floor latrine</w:t>
      </w:r>
      <w:r w:rsidDel="00000000" w:rsidR="00000000" w:rsidRPr="00000000">
        <w:rPr>
          <w:rFonts w:ascii="Times New Roman" w:cs="Times New Roman" w:eastAsia="Times New Roman" w:hAnsi="Times New Roman"/>
          <w:sz w:val="32"/>
          <w:szCs w:val="32"/>
          <w:vertAlign w:val="superscript"/>
        </w:rPr>
        <w:footnoteReference w:customMarkFollows="0" w:id="8"/>
      </w:r>
      <w:r w:rsidDel="00000000" w:rsidR="00000000" w:rsidRPr="00000000">
        <w:rPr>
          <w:rFonts w:ascii="Times New Roman" w:cs="Times New Roman" w:eastAsia="Times New Roman" w:hAnsi="Times New Roman"/>
          <w:sz w:val="32"/>
          <w:szCs w:val="32"/>
          <w:rtl w:val="0"/>
        </w:rPr>
        <w:t xml:space="preserve">. This helps to identify the uses of the structures, with there being distinct differences in the placements of these latrines based off whether the space is being used for a business also.</w:t>
      </w:r>
      <w:r w:rsidDel="00000000" w:rsidR="00000000" w:rsidRPr="00000000">
        <w:rPr>
          <w:rFonts w:ascii="Times New Roman" w:cs="Times New Roman" w:eastAsia="Times New Roman" w:hAnsi="Times New Roman"/>
          <w:sz w:val="32"/>
          <w:szCs w:val="32"/>
          <w:vertAlign w:val="superscript"/>
        </w:rPr>
        <w:footnoteReference w:customMarkFollows="0" w:id="9"/>
      </w:r>
      <w:r w:rsidDel="00000000" w:rsidR="00000000" w:rsidRPr="00000000">
        <w:rPr>
          <w:rtl w:val="0"/>
        </w:rPr>
      </w:r>
    </w:p>
    <w:p w:rsidR="00000000" w:rsidDel="00000000" w:rsidP="00000000" w:rsidRDefault="00000000" w:rsidRPr="00000000" w14:paraId="00000015">
      <w:pPr>
        <w:rPr>
          <w:rFonts w:ascii="Times New Roman" w:cs="Times New Roman" w:eastAsia="Times New Roman" w:hAnsi="Times New Roman"/>
          <w:sz w:val="32"/>
          <w:szCs w:val="32"/>
        </w:rPr>
      </w:pPr>
      <w:r w:rsidDel="00000000" w:rsidR="00000000" w:rsidRPr="00000000">
        <w:rPr>
          <w:rtl w:val="0"/>
        </w:rPr>
      </w:r>
    </w:p>
    <w:p w:rsidR="00000000" w:rsidDel="00000000" w:rsidP="00000000" w:rsidRDefault="00000000" w:rsidRPr="00000000" w14:paraId="00000016">
      <w:pPr>
        <w:rPr>
          <w:rFonts w:ascii="Times New Roman" w:cs="Times New Roman" w:eastAsia="Times New Roman" w:hAnsi="Times New Roman"/>
          <w:sz w:val="32"/>
          <w:szCs w:val="32"/>
        </w:rPr>
      </w:pPr>
      <w:r w:rsidDel="00000000" w:rsidR="00000000" w:rsidRPr="00000000">
        <w:rPr>
          <w:rtl w:val="0"/>
        </w:rPr>
      </w:r>
    </w:p>
    <w:p w:rsidR="00000000" w:rsidDel="00000000" w:rsidP="00000000" w:rsidRDefault="00000000" w:rsidRPr="00000000" w14:paraId="00000017">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Due to the nature of the Architecture in Pompeii, it should  come as no surprise that many of the Villas and grand houses owned by the Pompeii and elite, Also had spaces towards the front of them for renting out to individuals such as Freedmen or workers in the house. these would have not been used for slaves due to their separate nature to the rest of the house but are pretty much entirely functional as an independent unit to the rest of the house indicating that this is probably some form of Apartment Complex instead of a part of the household</w:t>
      </w:r>
      <w:r w:rsidDel="00000000" w:rsidR="00000000" w:rsidRPr="00000000">
        <w:rPr>
          <w:rFonts w:ascii="Times New Roman" w:cs="Times New Roman" w:eastAsia="Times New Roman" w:hAnsi="Times New Roman"/>
          <w:sz w:val="32"/>
          <w:szCs w:val="32"/>
          <w:vertAlign w:val="superscript"/>
        </w:rPr>
        <w:footnoteReference w:customMarkFollows="0" w:id="10"/>
      </w:r>
      <w:r w:rsidDel="00000000" w:rsidR="00000000" w:rsidRPr="00000000">
        <w:rPr>
          <w:rFonts w:ascii="Times New Roman" w:cs="Times New Roman" w:eastAsia="Times New Roman" w:hAnsi="Times New Roman"/>
          <w:sz w:val="32"/>
          <w:szCs w:val="32"/>
          <w:rtl w:val="0"/>
        </w:rPr>
        <w:t xml:space="preserve">. This shows that the composition of a household can actually comprise of multiple different households or within the same space.</w:t>
      </w:r>
    </w:p>
    <w:p w:rsidR="00000000" w:rsidDel="00000000" w:rsidP="00000000" w:rsidRDefault="00000000" w:rsidRPr="00000000" w14:paraId="00000018">
      <w:pPr>
        <w:rPr>
          <w:rFonts w:ascii="Times New Roman" w:cs="Times New Roman" w:eastAsia="Times New Roman" w:hAnsi="Times New Roman"/>
          <w:sz w:val="32"/>
          <w:szCs w:val="32"/>
        </w:rPr>
      </w:pPr>
      <w:r w:rsidDel="00000000" w:rsidR="00000000" w:rsidRPr="00000000">
        <w:rPr>
          <w:rtl w:val="0"/>
        </w:rPr>
      </w:r>
    </w:p>
    <w:p w:rsidR="00000000" w:rsidDel="00000000" w:rsidP="00000000" w:rsidRDefault="00000000" w:rsidRPr="00000000" w14:paraId="00000019">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Overall a lot can be learnt  about the composition of households from the structural and iconographic evidence found in Pompeii,  but it is not enough alone To make fully informed conclusions about what is happening especially as the textual evidence provides such detailed insights into the way that these spaces would have been used. </w:t>
      </w:r>
    </w:p>
    <w:p w:rsidR="00000000" w:rsidDel="00000000" w:rsidP="00000000" w:rsidRDefault="00000000" w:rsidRPr="00000000" w14:paraId="0000001A">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BIBLIOGRAPHY</w:t>
      </w:r>
    </w:p>
    <w:p w:rsidR="00000000" w:rsidDel="00000000" w:rsidP="00000000" w:rsidRDefault="00000000" w:rsidRPr="00000000" w14:paraId="0000001B">
      <w:pPr>
        <w:spacing w:after="240" w:line="240" w:lineRule="auto"/>
        <w:ind w:left="720"/>
        <w:rPr>
          <w:sz w:val="26"/>
          <w:szCs w:val="26"/>
        </w:rPr>
      </w:pPr>
      <w:hyperlink r:id="rId7">
        <w:r w:rsidDel="00000000" w:rsidR="00000000" w:rsidRPr="00000000">
          <w:rPr>
            <w:sz w:val="26"/>
            <w:szCs w:val="26"/>
            <w:rtl w:val="0"/>
          </w:rPr>
          <w:t xml:space="preserve">Ciaramella, Giuseppe, </w:t>
        </w:r>
      </w:hyperlink>
      <w:hyperlink r:id="rId8">
        <w:r w:rsidDel="00000000" w:rsidR="00000000" w:rsidRPr="00000000">
          <w:rPr>
            <w:i w:val="1"/>
            <w:iCs w:val="1"/>
            <w:sz w:val="26"/>
            <w:szCs w:val="26"/>
            <w:rtl w:val="0"/>
          </w:rPr>
          <w:t xml:space="preserve">V.2.4 Pompeii. Room 15, Painting of Banqueting Scene from West Wall of Triclinium.</w:t>
        </w:r>
      </w:hyperlink>
      <w:hyperlink r:id="rId9">
        <w:r w:rsidDel="00000000" w:rsidR="00000000" w:rsidRPr="00000000">
          <w:rPr>
            <w:sz w:val="26"/>
            <w:szCs w:val="26"/>
            <w:rtl w:val="0"/>
          </w:rPr>
          <w:t xml:space="preserve">, 2017, Naples archaeological museum inv. 120030 </w:t>
        </w:r>
      </w:hyperlink>
      <w:r w:rsidDel="00000000" w:rsidR="00000000" w:rsidRPr="00000000">
        <w:rPr>
          <w:rtl w:val="0"/>
        </w:rPr>
      </w:r>
    </w:p>
    <w:p w:rsidR="00000000" w:rsidDel="00000000" w:rsidP="00000000" w:rsidRDefault="00000000" w:rsidRPr="00000000" w14:paraId="0000001C">
      <w:pPr>
        <w:spacing w:after="240" w:line="240" w:lineRule="auto"/>
        <w:ind w:left="720"/>
        <w:rPr>
          <w:sz w:val="26"/>
          <w:szCs w:val="26"/>
        </w:rPr>
      </w:pPr>
      <w:hyperlink r:id="rId10">
        <w:r w:rsidDel="00000000" w:rsidR="00000000" w:rsidRPr="00000000">
          <w:rPr>
            <w:sz w:val="26"/>
            <w:szCs w:val="26"/>
            <w:rtl w:val="0"/>
          </w:rPr>
          <w:t xml:space="preserve">‘Domestic Architecture and Household Relations: Pompeii and Roman Ephesos’, n.d., doi:10.1177/0142064X0402700102 </w:t>
        </w:r>
      </w:hyperlink>
      <w:r w:rsidDel="00000000" w:rsidR="00000000" w:rsidRPr="00000000">
        <w:rPr>
          <w:rtl w:val="0"/>
        </w:rPr>
      </w:r>
    </w:p>
    <w:p w:rsidR="00000000" w:rsidDel="00000000" w:rsidP="00000000" w:rsidRDefault="00000000" w:rsidRPr="00000000" w14:paraId="0000001D">
      <w:pPr>
        <w:spacing w:after="240" w:line="240" w:lineRule="auto"/>
        <w:ind w:left="720"/>
        <w:rPr>
          <w:sz w:val="26"/>
          <w:szCs w:val="26"/>
        </w:rPr>
      </w:pPr>
      <w:hyperlink r:id="rId11">
        <w:r w:rsidDel="00000000" w:rsidR="00000000" w:rsidRPr="00000000">
          <w:rPr>
            <w:sz w:val="26"/>
            <w:szCs w:val="26"/>
            <w:rtl w:val="0"/>
          </w:rPr>
          <w:t xml:space="preserve">Dunbabin, Katherine M. D., ‘Houses and Households of Pompeii - ANDREW WALLACE-HADRILL, HOUSES AND SOCIETY IN POMPEII AND HERCULANEUM (Princeton University Press1994). Pp. Xviii + 244; 8 Colour Plates; Numerous Black-and-White Illustrations and Plans.’, </w:t>
        </w:r>
      </w:hyperlink>
      <w:hyperlink r:id="rId12">
        <w:r w:rsidDel="00000000" w:rsidR="00000000" w:rsidRPr="00000000">
          <w:rPr>
            <w:i w:val="1"/>
            <w:iCs w:val="1"/>
            <w:sz w:val="26"/>
            <w:szCs w:val="26"/>
            <w:rtl w:val="0"/>
          </w:rPr>
          <w:t xml:space="preserve">Journal of Roman Archaeology</w:t>
        </w:r>
      </w:hyperlink>
      <w:hyperlink r:id="rId13">
        <w:r w:rsidDel="00000000" w:rsidR="00000000" w:rsidRPr="00000000">
          <w:rPr>
            <w:sz w:val="26"/>
            <w:szCs w:val="26"/>
            <w:rtl w:val="0"/>
          </w:rPr>
          <w:t xml:space="preserve">, 8 (1995), pp. 387–90, doi:10.1017/S1047759400016226 </w:t>
        </w:r>
      </w:hyperlink>
      <w:r w:rsidDel="00000000" w:rsidR="00000000" w:rsidRPr="00000000">
        <w:rPr>
          <w:rtl w:val="0"/>
        </w:rPr>
      </w:r>
    </w:p>
    <w:p w:rsidR="00000000" w:rsidDel="00000000" w:rsidP="00000000" w:rsidRDefault="00000000" w:rsidRPr="00000000" w14:paraId="0000001E">
      <w:pPr>
        <w:spacing w:after="240" w:line="240" w:lineRule="auto"/>
        <w:ind w:left="720"/>
        <w:rPr>
          <w:sz w:val="26"/>
          <w:szCs w:val="26"/>
        </w:rPr>
      </w:pPr>
      <w:hyperlink r:id="rId14">
        <w:r w:rsidDel="00000000" w:rsidR="00000000" w:rsidRPr="00000000">
          <w:rPr>
            <w:sz w:val="26"/>
            <w:szCs w:val="26"/>
            <w:rtl w:val="0"/>
          </w:rPr>
          <w:t xml:space="preserve">Eber, Johannes, </w:t>
        </w:r>
      </w:hyperlink>
      <w:hyperlink r:id="rId15">
        <w:r w:rsidDel="00000000" w:rsidR="00000000" w:rsidRPr="00000000">
          <w:rPr>
            <w:i w:val="1"/>
            <w:iCs w:val="1"/>
            <w:sz w:val="26"/>
            <w:szCs w:val="26"/>
            <w:rtl w:val="0"/>
          </w:rPr>
          <w:t xml:space="preserve">Room 21, Looking towards West Wall with Lararium in South-West Corner.</w:t>
        </w:r>
      </w:hyperlink>
      <w:hyperlink r:id="rId16">
        <w:r w:rsidDel="00000000" w:rsidR="00000000" w:rsidRPr="00000000">
          <w:rPr>
            <w:sz w:val="26"/>
            <w:szCs w:val="26"/>
            <w:rtl w:val="0"/>
          </w:rPr>
          <w:t xml:space="preserve">, 2022 &lt;https://pompeiiinpictures.com/pompeiiinpictures/R9/9%2013%2003%20quickie.htm&gt; [accessed 9 January 2026] </w:t>
        </w:r>
      </w:hyperlink>
      <w:r w:rsidDel="00000000" w:rsidR="00000000" w:rsidRPr="00000000">
        <w:rPr>
          <w:rtl w:val="0"/>
        </w:rPr>
      </w:r>
    </w:p>
    <w:p w:rsidR="00000000" w:rsidDel="00000000" w:rsidP="00000000" w:rsidRDefault="00000000" w:rsidRPr="00000000" w14:paraId="0000001F">
      <w:pPr>
        <w:spacing w:after="240" w:line="240" w:lineRule="auto"/>
        <w:ind w:left="720"/>
        <w:rPr>
          <w:sz w:val="26"/>
          <w:szCs w:val="26"/>
        </w:rPr>
      </w:pPr>
      <w:hyperlink r:id="rId17">
        <w:r w:rsidDel="00000000" w:rsidR="00000000" w:rsidRPr="00000000">
          <w:rPr>
            <w:sz w:val="26"/>
            <w:szCs w:val="26"/>
            <w:rtl w:val="0"/>
          </w:rPr>
          <w:t xml:space="preserve">Simelius, Samuli, ‘Unequal Housing in Pompeii: Using House Size to Measure Inequality’, </w:t>
        </w:r>
      </w:hyperlink>
      <w:hyperlink r:id="rId18">
        <w:r w:rsidDel="00000000" w:rsidR="00000000" w:rsidRPr="00000000">
          <w:rPr>
            <w:i w:val="1"/>
            <w:iCs w:val="1"/>
            <w:sz w:val="26"/>
            <w:szCs w:val="26"/>
            <w:rtl w:val="0"/>
          </w:rPr>
          <w:t xml:space="preserve">World Archaeology</w:t>
        </w:r>
      </w:hyperlink>
      <w:hyperlink r:id="rId19">
        <w:r w:rsidDel="00000000" w:rsidR="00000000" w:rsidRPr="00000000">
          <w:rPr>
            <w:sz w:val="26"/>
            <w:szCs w:val="26"/>
            <w:rtl w:val="0"/>
          </w:rPr>
          <w:t xml:space="preserve">, 54.4 (2022), pp. 602–24, doi:10.1080/00438243.2023.2172069 </w:t>
        </w:r>
      </w:hyperlink>
      <w:r w:rsidDel="00000000" w:rsidR="00000000" w:rsidRPr="00000000">
        <w:rPr>
          <w:rtl w:val="0"/>
        </w:rPr>
      </w:r>
    </w:p>
    <w:p w:rsidR="00000000" w:rsidDel="00000000" w:rsidP="00000000" w:rsidRDefault="00000000" w:rsidRPr="00000000" w14:paraId="00000020">
      <w:pPr>
        <w:spacing w:after="240" w:line="240" w:lineRule="auto"/>
        <w:ind w:left="720"/>
        <w:rPr>
          <w:sz w:val="26"/>
          <w:szCs w:val="26"/>
        </w:rPr>
      </w:pPr>
      <w:hyperlink r:id="rId20">
        <w:r w:rsidDel="00000000" w:rsidR="00000000" w:rsidRPr="00000000">
          <w:rPr>
            <w:sz w:val="26"/>
            <w:szCs w:val="26"/>
            <w:rtl w:val="0"/>
          </w:rPr>
          <w:t xml:space="preserve">Trusler, A. Kate, ‘Where’s the Loo? An Analysis of the Spatial Distribution of Private Latrines in Pompeii’, </w:t>
        </w:r>
      </w:hyperlink>
      <w:hyperlink r:id="rId21">
        <w:r w:rsidDel="00000000" w:rsidR="00000000" w:rsidRPr="00000000">
          <w:rPr>
            <w:i w:val="1"/>
            <w:iCs w:val="1"/>
            <w:sz w:val="26"/>
            <w:szCs w:val="26"/>
            <w:rtl w:val="0"/>
          </w:rPr>
          <w:t xml:space="preserve">Water History</w:t>
        </w:r>
      </w:hyperlink>
      <w:hyperlink r:id="rId22">
        <w:r w:rsidDel="00000000" w:rsidR="00000000" w:rsidRPr="00000000">
          <w:rPr>
            <w:sz w:val="26"/>
            <w:szCs w:val="26"/>
            <w:rtl w:val="0"/>
          </w:rPr>
          <w:t xml:space="preserve">, 9.4 (2017), pp. 363–87, doi:10.1007/s12685-016-0183-9 </w:t>
        </w:r>
      </w:hyperlink>
      <w:r w:rsidDel="00000000" w:rsidR="00000000" w:rsidRPr="00000000">
        <w:rPr>
          <w:rtl w:val="0"/>
        </w:rPr>
      </w:r>
    </w:p>
    <w:sectPr>
      <w:headerReference r:id="rId23"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imes New Roman"/>
</w:fonts>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otnote w:id="0">
    <w:p w:rsidR="00000000" w:rsidDel="00000000" w:rsidP="00000000" w:rsidRDefault="00000000" w:rsidRPr="00000000" w14:paraId="00000022">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1">
        <w:r w:rsidDel="00000000" w:rsidR="00000000" w:rsidRPr="00000000">
          <w:rPr>
            <w:sz w:val="20"/>
            <w:szCs w:val="20"/>
            <w:rtl w:val="0"/>
          </w:rPr>
          <w:t xml:space="preserve">Samuli Simelius, ‘Unequal Housing in Pompeii: Using House Size to Measure Inequality’, </w:t>
        </w:r>
      </w:hyperlink>
      <w:hyperlink r:id="rId2">
        <w:r w:rsidDel="00000000" w:rsidR="00000000" w:rsidRPr="00000000">
          <w:rPr>
            <w:i w:val="1"/>
            <w:iCs w:val="1"/>
            <w:sz w:val="20"/>
            <w:szCs w:val="20"/>
            <w:rtl w:val="0"/>
          </w:rPr>
          <w:t xml:space="preserve">World Archaeology</w:t>
        </w:r>
      </w:hyperlink>
      <w:hyperlink r:id="rId3">
        <w:r w:rsidDel="00000000" w:rsidR="00000000" w:rsidRPr="00000000">
          <w:rPr>
            <w:sz w:val="20"/>
            <w:szCs w:val="20"/>
            <w:rtl w:val="0"/>
          </w:rPr>
          <w:t xml:space="preserve">, 54.4 (2022), pp. 602–24, doi:10.1080/00438243.2023.2172069.</w:t>
        </w:r>
      </w:hyperlink>
      <w:r w:rsidDel="00000000" w:rsidR="00000000" w:rsidRPr="00000000">
        <w:rPr>
          <w:rtl w:val="0"/>
        </w:rPr>
      </w:r>
    </w:p>
  </w:footnote>
  <w:footnote w:id="1">
    <w:p w:rsidR="00000000" w:rsidDel="00000000" w:rsidP="00000000" w:rsidRDefault="00000000" w:rsidRPr="00000000" w14:paraId="00000023">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4">
        <w:r w:rsidDel="00000000" w:rsidR="00000000" w:rsidRPr="00000000">
          <w:rPr>
            <w:sz w:val="20"/>
            <w:szCs w:val="20"/>
            <w:rtl w:val="0"/>
          </w:rPr>
          <w:t xml:space="preserve">Simelius, ‘Unequal Housing in Pompeii’.</w:t>
        </w:r>
      </w:hyperlink>
      <w:r w:rsidDel="00000000" w:rsidR="00000000" w:rsidRPr="00000000">
        <w:rPr>
          <w:rtl w:val="0"/>
        </w:rPr>
      </w:r>
    </w:p>
  </w:footnote>
  <w:footnote w:id="2">
    <w:p w:rsidR="00000000" w:rsidDel="00000000" w:rsidP="00000000" w:rsidRDefault="00000000" w:rsidRPr="00000000" w14:paraId="00000024">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5">
        <w:r w:rsidDel="00000000" w:rsidR="00000000" w:rsidRPr="00000000">
          <w:rPr>
            <w:sz w:val="20"/>
            <w:szCs w:val="20"/>
            <w:rtl w:val="0"/>
          </w:rPr>
          <w:t xml:space="preserve">‘Domestic Architecture and Household Relations: Pompeii and Roman Ephesos’, n.d., doi:10.1177/0142064X0402700102.</w:t>
        </w:r>
      </w:hyperlink>
      <w:r w:rsidDel="00000000" w:rsidR="00000000" w:rsidRPr="00000000">
        <w:rPr>
          <w:rtl w:val="0"/>
        </w:rPr>
      </w:r>
    </w:p>
  </w:footnote>
  <w:footnote w:id="3">
    <w:p w:rsidR="00000000" w:rsidDel="00000000" w:rsidP="00000000" w:rsidRDefault="00000000" w:rsidRPr="00000000" w14:paraId="00000025">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6">
        <w:r w:rsidDel="00000000" w:rsidR="00000000" w:rsidRPr="00000000">
          <w:rPr>
            <w:sz w:val="20"/>
            <w:szCs w:val="20"/>
            <w:rtl w:val="0"/>
          </w:rPr>
          <w:t xml:space="preserve">‘Domestic Architecture and Household Relations’.</w:t>
        </w:r>
      </w:hyperlink>
      <w:r w:rsidDel="00000000" w:rsidR="00000000" w:rsidRPr="00000000">
        <w:rPr>
          <w:rtl w:val="0"/>
        </w:rPr>
      </w:r>
    </w:p>
  </w:footnote>
  <w:footnote w:id="4">
    <w:p w:rsidR="00000000" w:rsidDel="00000000" w:rsidP="00000000" w:rsidRDefault="00000000" w:rsidRPr="00000000" w14:paraId="00000026">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7">
        <w:r w:rsidDel="00000000" w:rsidR="00000000" w:rsidRPr="00000000">
          <w:rPr>
            <w:sz w:val="20"/>
            <w:szCs w:val="20"/>
            <w:rtl w:val="0"/>
          </w:rPr>
          <w:t xml:space="preserve">Katherine M. D. Dunbabin, ‘Houses and Households of Pompeii - ANDREW WALLACE-HADRILL, HOUSES AND SOCIETY IN POMPEII AND HERCULANEUM (Princeton University Press1994). Pp. Xviii + 244; 8 Colour Plates; Numerous Black-and-White Illustrations and Plans.’, </w:t>
        </w:r>
      </w:hyperlink>
      <w:hyperlink r:id="rId8">
        <w:r w:rsidDel="00000000" w:rsidR="00000000" w:rsidRPr="00000000">
          <w:rPr>
            <w:i w:val="1"/>
            <w:iCs w:val="1"/>
            <w:sz w:val="20"/>
            <w:szCs w:val="20"/>
            <w:rtl w:val="0"/>
          </w:rPr>
          <w:t xml:space="preserve">Journal of Roman Archaeology</w:t>
        </w:r>
      </w:hyperlink>
      <w:hyperlink r:id="rId9">
        <w:r w:rsidDel="00000000" w:rsidR="00000000" w:rsidRPr="00000000">
          <w:rPr>
            <w:sz w:val="20"/>
            <w:szCs w:val="20"/>
            <w:rtl w:val="0"/>
          </w:rPr>
          <w:t xml:space="preserve">, 8 (1995), pp. 387–90, doi:10.1017/S1047759400016226.</w:t>
        </w:r>
      </w:hyperlink>
      <w:r w:rsidDel="00000000" w:rsidR="00000000" w:rsidRPr="00000000">
        <w:rPr>
          <w:rtl w:val="0"/>
        </w:rPr>
      </w:r>
    </w:p>
  </w:footnote>
  <w:footnote w:id="5">
    <w:p w:rsidR="00000000" w:rsidDel="00000000" w:rsidP="00000000" w:rsidRDefault="00000000" w:rsidRPr="00000000" w14:paraId="00000027">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10">
        <w:r w:rsidDel="00000000" w:rsidR="00000000" w:rsidRPr="00000000">
          <w:rPr>
            <w:sz w:val="20"/>
            <w:szCs w:val="20"/>
            <w:rtl w:val="0"/>
          </w:rPr>
          <w:t xml:space="preserve">Johannes Eber, </w:t>
        </w:r>
      </w:hyperlink>
      <w:hyperlink r:id="rId11">
        <w:r w:rsidDel="00000000" w:rsidR="00000000" w:rsidRPr="00000000">
          <w:rPr>
            <w:i w:val="1"/>
            <w:iCs w:val="1"/>
            <w:sz w:val="20"/>
            <w:szCs w:val="20"/>
            <w:rtl w:val="0"/>
          </w:rPr>
          <w:t xml:space="preserve">Room 21, Looking towards West Wall with Lararium in South-West Corner.</w:t>
        </w:r>
      </w:hyperlink>
      <w:hyperlink r:id="rId12">
        <w:r w:rsidDel="00000000" w:rsidR="00000000" w:rsidRPr="00000000">
          <w:rPr>
            <w:sz w:val="20"/>
            <w:szCs w:val="20"/>
            <w:rtl w:val="0"/>
          </w:rPr>
          <w:t xml:space="preserve">, 2022 &lt;https://pompeiiinpictures.com/pompeiiinpictures/R9/9%2013%2003%20quickie.htm&gt; [accessed 9 January 2026].</w:t>
        </w:r>
      </w:hyperlink>
      <w:r w:rsidDel="00000000" w:rsidR="00000000" w:rsidRPr="00000000">
        <w:rPr>
          <w:rtl w:val="0"/>
        </w:rPr>
      </w:r>
    </w:p>
  </w:footnote>
  <w:footnote w:id="8">
    <w:p w:rsidR="00000000" w:rsidDel="00000000" w:rsidP="00000000" w:rsidRDefault="00000000" w:rsidRPr="00000000" w14:paraId="00000028">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13">
        <w:r w:rsidDel="00000000" w:rsidR="00000000" w:rsidRPr="00000000">
          <w:rPr>
            <w:sz w:val="20"/>
            <w:szCs w:val="20"/>
            <w:rtl w:val="0"/>
          </w:rPr>
          <w:t xml:space="preserve">Trusler, ‘Where’s the Loo?’</w:t>
        </w:r>
      </w:hyperlink>
      <w:r w:rsidDel="00000000" w:rsidR="00000000" w:rsidRPr="00000000">
        <w:rPr>
          <w:rtl w:val="0"/>
        </w:rPr>
      </w:r>
    </w:p>
  </w:footnote>
  <w:footnote w:id="9">
    <w:p w:rsidR="00000000" w:rsidDel="00000000" w:rsidP="00000000" w:rsidRDefault="00000000" w:rsidRPr="00000000" w14:paraId="00000029">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14">
        <w:r w:rsidDel="00000000" w:rsidR="00000000" w:rsidRPr="00000000">
          <w:rPr>
            <w:sz w:val="20"/>
            <w:szCs w:val="20"/>
            <w:rtl w:val="0"/>
          </w:rPr>
          <w:t xml:space="preserve">Trusler, ‘Where’s the Loo?’</w:t>
        </w:r>
      </w:hyperlink>
      <w:r w:rsidDel="00000000" w:rsidR="00000000" w:rsidRPr="00000000">
        <w:rPr>
          <w:rtl w:val="0"/>
        </w:rPr>
      </w:r>
    </w:p>
  </w:footnote>
  <w:footnote w:id="10">
    <w:p w:rsidR="00000000" w:rsidDel="00000000" w:rsidP="00000000" w:rsidRDefault="00000000" w:rsidRPr="00000000" w14:paraId="0000002A">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15">
        <w:r w:rsidDel="00000000" w:rsidR="00000000" w:rsidRPr="00000000">
          <w:rPr>
            <w:sz w:val="20"/>
            <w:szCs w:val="20"/>
            <w:rtl w:val="0"/>
          </w:rPr>
          <w:t xml:space="preserve">‘Domestic Architecture and Household Relations’.</w:t>
        </w:r>
      </w:hyperlink>
      <w:r w:rsidDel="00000000" w:rsidR="00000000" w:rsidRPr="00000000">
        <w:rPr>
          <w:rtl w:val="0"/>
        </w:rPr>
      </w:r>
    </w:p>
  </w:footnote>
  <w:footnote w:id="7">
    <w:p w:rsidR="00000000" w:rsidDel="00000000" w:rsidP="00000000" w:rsidRDefault="00000000" w:rsidRPr="00000000" w14:paraId="0000002B">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16">
        <w:r w:rsidDel="00000000" w:rsidR="00000000" w:rsidRPr="00000000">
          <w:rPr>
            <w:sz w:val="20"/>
            <w:szCs w:val="20"/>
            <w:rtl w:val="0"/>
          </w:rPr>
          <w:t xml:space="preserve">A. Kate Trusler, ‘Where’s the Loo? An Analysis of the Spatial Distribution of Private Latrines in Pompeii’, </w:t>
        </w:r>
      </w:hyperlink>
      <w:hyperlink r:id="rId17">
        <w:r w:rsidDel="00000000" w:rsidR="00000000" w:rsidRPr="00000000">
          <w:rPr>
            <w:i w:val="1"/>
            <w:iCs w:val="1"/>
            <w:sz w:val="20"/>
            <w:szCs w:val="20"/>
            <w:rtl w:val="0"/>
          </w:rPr>
          <w:t xml:space="preserve">Water History</w:t>
        </w:r>
      </w:hyperlink>
      <w:hyperlink r:id="rId18">
        <w:r w:rsidDel="00000000" w:rsidR="00000000" w:rsidRPr="00000000">
          <w:rPr>
            <w:sz w:val="20"/>
            <w:szCs w:val="20"/>
            <w:rtl w:val="0"/>
          </w:rPr>
          <w:t xml:space="preserve">, 9.4 (2017), pp. 363–87, doi:10.1007/s12685-016-0183-9.</w:t>
        </w:r>
      </w:hyperlink>
      <w:r w:rsidDel="00000000" w:rsidR="00000000" w:rsidRPr="00000000">
        <w:rPr>
          <w:rtl w:val="0"/>
        </w:rPr>
      </w:r>
    </w:p>
  </w:footnote>
  <w:footnote w:id="6">
    <w:p w:rsidR="00000000" w:rsidDel="00000000" w:rsidP="00000000" w:rsidRDefault="00000000" w:rsidRPr="00000000" w14:paraId="0000002C">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19">
        <w:r w:rsidDel="00000000" w:rsidR="00000000" w:rsidRPr="00000000">
          <w:rPr>
            <w:sz w:val="20"/>
            <w:szCs w:val="20"/>
            <w:rtl w:val="0"/>
          </w:rPr>
          <w:t xml:space="preserve">Giuseppe Ciaramella, </w:t>
        </w:r>
      </w:hyperlink>
      <w:hyperlink r:id="rId20">
        <w:r w:rsidDel="00000000" w:rsidR="00000000" w:rsidRPr="00000000">
          <w:rPr>
            <w:i w:val="1"/>
            <w:iCs w:val="1"/>
            <w:sz w:val="20"/>
            <w:szCs w:val="20"/>
            <w:rtl w:val="0"/>
          </w:rPr>
          <w:t xml:space="preserve">V.2.4 Pompeii. Room 15, Painting of Banqueting Scene from West Wall of Triclinium.</w:t>
        </w:r>
      </w:hyperlink>
      <w:hyperlink r:id="rId21">
        <w:r w:rsidDel="00000000" w:rsidR="00000000" w:rsidRPr="00000000">
          <w:rPr>
            <w:sz w:val="20"/>
            <w:szCs w:val="20"/>
            <w:rtl w:val="0"/>
          </w:rPr>
          <w:t xml:space="preserve">, 2017, Naples archaeological museum inv. 120030.</w:t>
        </w:r>
      </w:hyperlink>
      <w:r w:rsidDel="00000000" w:rsidR="00000000" w:rsidRPr="00000000">
        <w:rPr>
          <w:rtl w:val="0"/>
        </w:rPr>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21">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20" Type="http://schemas.openxmlformats.org/officeDocument/2006/relationships/hyperlink" Target="https://www.zotero.org/google-docs/?t9Smou" TargetMode="External"/><Relationship Id="rId11" Type="http://schemas.openxmlformats.org/officeDocument/2006/relationships/hyperlink" Target="https://www.zotero.org/google-docs/?t9Smou" TargetMode="External"/><Relationship Id="rId22" Type="http://schemas.openxmlformats.org/officeDocument/2006/relationships/hyperlink" Target="https://www.zotero.org/google-docs/?t9Smou" TargetMode="External"/><Relationship Id="rId10" Type="http://schemas.openxmlformats.org/officeDocument/2006/relationships/hyperlink" Target="https://www.zotero.org/google-docs/?t9Smou" TargetMode="External"/><Relationship Id="rId21" Type="http://schemas.openxmlformats.org/officeDocument/2006/relationships/hyperlink" Target="https://www.zotero.org/google-docs/?t9Smou" TargetMode="External"/><Relationship Id="rId13" Type="http://schemas.openxmlformats.org/officeDocument/2006/relationships/hyperlink" Target="https://www.zotero.org/google-docs/?t9Smou" TargetMode="External"/><Relationship Id="rId12" Type="http://schemas.openxmlformats.org/officeDocument/2006/relationships/hyperlink" Target="https://www.zotero.org/google-docs/?t9Smou" TargetMode="External"/><Relationship Id="rId23" Type="http://schemas.openxmlformats.org/officeDocument/2006/relationships/header" Target="header1.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https://www.zotero.org/google-docs/?t9Smou" TargetMode="External"/><Relationship Id="rId15" Type="http://schemas.openxmlformats.org/officeDocument/2006/relationships/hyperlink" Target="https://www.zotero.org/google-docs/?t9Smou" TargetMode="External"/><Relationship Id="rId14" Type="http://schemas.openxmlformats.org/officeDocument/2006/relationships/hyperlink" Target="https://www.zotero.org/google-docs/?t9Smou" TargetMode="External"/><Relationship Id="rId17" Type="http://schemas.openxmlformats.org/officeDocument/2006/relationships/hyperlink" Target="https://www.zotero.org/google-docs/?t9Smou" TargetMode="External"/><Relationship Id="rId16" Type="http://schemas.openxmlformats.org/officeDocument/2006/relationships/hyperlink" Target="https://www.zotero.org/google-docs/?t9Smou" TargetMode="External"/><Relationship Id="rId5" Type="http://schemas.openxmlformats.org/officeDocument/2006/relationships/numbering" Target="numbering.xml"/><Relationship Id="rId19" Type="http://schemas.openxmlformats.org/officeDocument/2006/relationships/hyperlink" Target="https://www.zotero.org/google-docs/?t9Smou" TargetMode="External"/><Relationship Id="rId6" Type="http://schemas.openxmlformats.org/officeDocument/2006/relationships/styles" Target="styles.xml"/><Relationship Id="rId18" Type="http://schemas.openxmlformats.org/officeDocument/2006/relationships/hyperlink" Target="https://www.zotero.org/google-docs/?t9Smou" TargetMode="External"/><Relationship Id="rId7" Type="http://schemas.openxmlformats.org/officeDocument/2006/relationships/hyperlink" Target="https://www.zotero.org/google-docs/?t9Smou" TargetMode="External"/><Relationship Id="rId8" Type="http://schemas.openxmlformats.org/officeDocument/2006/relationships/hyperlink" Target="https://www.zotero.org/google-docs/?t9Smou" TargetMode="External"/></Relationships>
</file>

<file path=word/_rels/footnotes.xml.rels><?xml version="1.0" encoding="UTF-8" standalone="yes"?><Relationships xmlns="http://schemas.openxmlformats.org/package/2006/relationships"><Relationship Id="rId20" Type="http://schemas.openxmlformats.org/officeDocument/2006/relationships/hyperlink" Target="https://www.zotero.org/google-docs/?jJTLup" TargetMode="External"/><Relationship Id="rId11" Type="http://schemas.openxmlformats.org/officeDocument/2006/relationships/hyperlink" Target="https://www.zotero.org/google-docs/?SCzYmk" TargetMode="External"/><Relationship Id="rId10" Type="http://schemas.openxmlformats.org/officeDocument/2006/relationships/hyperlink" Target="https://www.zotero.org/google-docs/?SCzYmk" TargetMode="External"/><Relationship Id="rId21" Type="http://schemas.openxmlformats.org/officeDocument/2006/relationships/hyperlink" Target="https://www.zotero.org/google-docs/?jJTLup" TargetMode="External"/><Relationship Id="rId13" Type="http://schemas.openxmlformats.org/officeDocument/2006/relationships/hyperlink" Target="https://www.zotero.org/google-docs/?xNCozJ" TargetMode="External"/><Relationship Id="rId12" Type="http://schemas.openxmlformats.org/officeDocument/2006/relationships/hyperlink" Target="https://www.zotero.org/google-docs/?SCzYmk" TargetMode="External"/><Relationship Id="rId1" Type="http://schemas.openxmlformats.org/officeDocument/2006/relationships/hyperlink" Target="https://www.zotero.org/google-docs/?TpOdyi" TargetMode="External"/><Relationship Id="rId2" Type="http://schemas.openxmlformats.org/officeDocument/2006/relationships/hyperlink" Target="https://www.zotero.org/google-docs/?TpOdyi" TargetMode="External"/><Relationship Id="rId3" Type="http://schemas.openxmlformats.org/officeDocument/2006/relationships/hyperlink" Target="https://www.zotero.org/google-docs/?TpOdyi" TargetMode="External"/><Relationship Id="rId4" Type="http://schemas.openxmlformats.org/officeDocument/2006/relationships/hyperlink" Target="https://www.zotero.org/google-docs/?aA8ySi" TargetMode="External"/><Relationship Id="rId9" Type="http://schemas.openxmlformats.org/officeDocument/2006/relationships/hyperlink" Target="https://www.zotero.org/google-docs/?W8WbGk" TargetMode="External"/><Relationship Id="rId15" Type="http://schemas.openxmlformats.org/officeDocument/2006/relationships/hyperlink" Target="https://www.zotero.org/google-docs/?bctnRv" TargetMode="External"/><Relationship Id="rId14" Type="http://schemas.openxmlformats.org/officeDocument/2006/relationships/hyperlink" Target="https://www.zotero.org/google-docs/?HfD7ca" TargetMode="External"/><Relationship Id="rId17" Type="http://schemas.openxmlformats.org/officeDocument/2006/relationships/hyperlink" Target="https://www.zotero.org/google-docs/?y888O1" TargetMode="External"/><Relationship Id="rId16" Type="http://schemas.openxmlformats.org/officeDocument/2006/relationships/hyperlink" Target="https://www.zotero.org/google-docs/?y888O1" TargetMode="External"/><Relationship Id="rId5" Type="http://schemas.openxmlformats.org/officeDocument/2006/relationships/hyperlink" Target="https://www.zotero.org/google-docs/?6wAmR7" TargetMode="External"/><Relationship Id="rId19" Type="http://schemas.openxmlformats.org/officeDocument/2006/relationships/hyperlink" Target="https://www.zotero.org/google-docs/?jJTLup" TargetMode="External"/><Relationship Id="rId6" Type="http://schemas.openxmlformats.org/officeDocument/2006/relationships/hyperlink" Target="https://www.zotero.org/google-docs/?NeQpqu" TargetMode="External"/><Relationship Id="rId18" Type="http://schemas.openxmlformats.org/officeDocument/2006/relationships/hyperlink" Target="https://www.zotero.org/google-docs/?y888O1" TargetMode="External"/><Relationship Id="rId7" Type="http://schemas.openxmlformats.org/officeDocument/2006/relationships/hyperlink" Target="https://www.zotero.org/google-docs/?W8WbGk" TargetMode="External"/><Relationship Id="rId8" Type="http://schemas.openxmlformats.org/officeDocument/2006/relationships/hyperlink" Target="https://www.zotero.org/google-docs/?W8WbG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