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B6C55B" w14:textId="77777777" w:rsidR="00EF5A4C" w:rsidRPr="00B30611" w:rsidRDefault="00EF5A4C" w:rsidP="009251F9">
      <w:pPr>
        <w:spacing w:before="400" w:after="400"/>
        <w:jc w:val="center"/>
        <w:rPr>
          <w:rFonts w:ascii="Arial" w:hAnsi="Arial" w:cs="Arial"/>
          <w:b/>
          <w:bCs/>
        </w:rPr>
      </w:pPr>
      <w:r w:rsidRPr="00B30611">
        <w:rPr>
          <w:rFonts w:ascii="Arial" w:hAnsi="Arial" w:cs="Arial"/>
          <w:b/>
          <w:bCs/>
          <w:noProof/>
        </w:rPr>
        <w:drawing>
          <wp:inline distT="0" distB="0" distL="0" distR="0" wp14:anchorId="00D3D950" wp14:editId="5A449593">
            <wp:extent cx="2476500" cy="1104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2476500" cy="1104900"/>
                    </a:xfrm>
                    <a:prstGeom prst="rect">
                      <a:avLst/>
                    </a:prstGeom>
                  </pic:spPr>
                </pic:pic>
              </a:graphicData>
            </a:graphic>
          </wp:inline>
        </w:drawing>
      </w:r>
    </w:p>
    <w:p w14:paraId="6ABE141D" w14:textId="77777777" w:rsidR="00EF5A4C" w:rsidRPr="00B30611" w:rsidRDefault="00EF5A4C" w:rsidP="009251F9">
      <w:pPr>
        <w:spacing w:before="800" w:after="200"/>
        <w:jc w:val="center"/>
        <w:rPr>
          <w:rFonts w:ascii="Arial" w:hAnsi="Arial" w:cs="Arial"/>
          <w:b/>
          <w:bCs/>
        </w:rPr>
      </w:pPr>
      <w:r w:rsidRPr="00B30611">
        <w:rPr>
          <w:rFonts w:ascii="Arial" w:eastAsia="Arial" w:hAnsi="Arial" w:cs="Arial"/>
          <w:b/>
          <w:bCs/>
        </w:rPr>
        <w:t>BSc (Hons) Health and Social Care</w:t>
      </w:r>
    </w:p>
    <w:p w14:paraId="1916977F" w14:textId="77777777" w:rsidR="00EF5A4C" w:rsidRPr="00B30611" w:rsidRDefault="00EF5A4C" w:rsidP="009251F9">
      <w:pPr>
        <w:spacing w:after="200"/>
        <w:jc w:val="center"/>
        <w:rPr>
          <w:rFonts w:ascii="Arial" w:hAnsi="Arial" w:cs="Arial"/>
          <w:b/>
          <w:bCs/>
        </w:rPr>
      </w:pPr>
      <w:r w:rsidRPr="00B30611">
        <w:rPr>
          <w:rFonts w:ascii="Arial" w:eastAsia="Arial" w:hAnsi="Arial" w:cs="Arial"/>
          <w:b/>
          <w:bCs/>
        </w:rPr>
        <w:t>BMHP5014: Changemakers – Creativity and Value Creation</w:t>
      </w:r>
    </w:p>
    <w:p w14:paraId="1A9F8A5C" w14:textId="77777777" w:rsidR="009251F9" w:rsidRPr="00B30611" w:rsidRDefault="00EF5A4C" w:rsidP="009251F9">
      <w:pPr>
        <w:spacing w:after="600"/>
        <w:jc w:val="center"/>
        <w:rPr>
          <w:rFonts w:ascii="Arial" w:eastAsia="Arial" w:hAnsi="Arial" w:cs="Arial"/>
          <w:b/>
          <w:bCs/>
        </w:rPr>
      </w:pPr>
      <w:r w:rsidRPr="00B30611">
        <w:rPr>
          <w:rFonts w:ascii="Arial" w:eastAsia="Arial" w:hAnsi="Arial" w:cs="Arial"/>
          <w:b/>
          <w:bCs/>
        </w:rPr>
        <w:t>Component 1: Online Portfolio of Set Exercises</w:t>
      </w:r>
    </w:p>
    <w:p w14:paraId="07639315" w14:textId="77777777" w:rsidR="009251F9" w:rsidRPr="00B30611" w:rsidRDefault="00EF5A4C" w:rsidP="009251F9">
      <w:pPr>
        <w:spacing w:after="600"/>
        <w:jc w:val="center"/>
        <w:rPr>
          <w:rFonts w:ascii="Arial" w:eastAsia="Arial" w:hAnsi="Arial" w:cs="Arial"/>
          <w:b/>
          <w:bCs/>
        </w:rPr>
      </w:pPr>
      <w:r w:rsidRPr="00B30611">
        <w:rPr>
          <w:rFonts w:ascii="Arial" w:eastAsia="Arial" w:hAnsi="Arial" w:cs="Arial"/>
          <w:b/>
          <w:bCs/>
        </w:rPr>
        <w:t>Name: Pascaline Nono Amagna</w:t>
      </w:r>
    </w:p>
    <w:p w14:paraId="22FB051A" w14:textId="07955827" w:rsidR="00EF5A4C" w:rsidRPr="00B30611" w:rsidRDefault="00EF5A4C" w:rsidP="009251F9">
      <w:pPr>
        <w:spacing w:after="600"/>
        <w:jc w:val="center"/>
        <w:rPr>
          <w:rFonts w:ascii="Arial" w:eastAsia="Arial" w:hAnsi="Arial" w:cs="Arial"/>
          <w:b/>
          <w:bCs/>
        </w:rPr>
      </w:pPr>
      <w:r w:rsidRPr="00B30611">
        <w:rPr>
          <w:rFonts w:ascii="Arial" w:eastAsia="Arial" w:hAnsi="Arial" w:cs="Arial"/>
          <w:b/>
          <w:bCs/>
        </w:rPr>
        <w:t>Student Number: 2424794</w:t>
      </w:r>
    </w:p>
    <w:p w14:paraId="12FF6C2C" w14:textId="120E47FA" w:rsidR="00EF5A4C" w:rsidRPr="00B30611" w:rsidRDefault="00EF5A4C" w:rsidP="009251F9">
      <w:pPr>
        <w:jc w:val="center"/>
        <w:rPr>
          <w:rFonts w:ascii="Arial" w:eastAsia="Arial" w:hAnsi="Arial" w:cs="Arial"/>
          <w:b/>
          <w:bCs/>
        </w:rPr>
      </w:pPr>
      <w:r w:rsidRPr="00B30611">
        <w:rPr>
          <w:rFonts w:ascii="Arial" w:eastAsia="Arial" w:hAnsi="Arial" w:cs="Arial"/>
          <w:b/>
          <w:bCs/>
        </w:rPr>
        <w:t>Module: BMHP5014</w:t>
      </w:r>
    </w:p>
    <w:p w14:paraId="48EBEFE7" w14:textId="614FD5FF" w:rsidR="009251F9" w:rsidRPr="00B30611" w:rsidRDefault="009251F9" w:rsidP="009251F9">
      <w:pPr>
        <w:jc w:val="center"/>
        <w:rPr>
          <w:rFonts w:ascii="Arial" w:eastAsia="Arial" w:hAnsi="Arial" w:cs="Arial"/>
          <w:b/>
          <w:bCs/>
        </w:rPr>
      </w:pPr>
      <w:r w:rsidRPr="00B30611">
        <w:rPr>
          <w:rFonts w:ascii="Arial" w:eastAsia="Arial" w:hAnsi="Arial" w:cs="Arial"/>
          <w:b/>
          <w:bCs/>
        </w:rPr>
        <w:t>Submission date: July 6</w:t>
      </w:r>
      <w:r w:rsidRPr="00B30611">
        <w:rPr>
          <w:rFonts w:ascii="Arial" w:eastAsia="Arial" w:hAnsi="Arial" w:cs="Arial"/>
          <w:b/>
          <w:bCs/>
          <w:vertAlign w:val="superscript"/>
        </w:rPr>
        <w:t>th</w:t>
      </w:r>
      <w:r w:rsidRPr="00B30611">
        <w:rPr>
          <w:rFonts w:ascii="Arial" w:eastAsia="Arial" w:hAnsi="Arial" w:cs="Arial"/>
          <w:b/>
          <w:bCs/>
        </w:rPr>
        <w:t>, 2026</w:t>
      </w:r>
    </w:p>
    <w:p w14:paraId="7B6139A6" w14:textId="5BED9761" w:rsidR="009251F9" w:rsidRPr="009251F9" w:rsidRDefault="009251F9" w:rsidP="009251F9">
      <w:pPr>
        <w:jc w:val="both"/>
        <w:rPr>
          <w:rFonts w:ascii="Arial" w:eastAsia="Arial" w:hAnsi="Arial" w:cs="Arial"/>
        </w:rPr>
      </w:pPr>
      <w:r w:rsidRPr="009251F9">
        <w:rPr>
          <w:rFonts w:ascii="Arial" w:eastAsia="Arial" w:hAnsi="Arial" w:cs="Arial"/>
        </w:rPr>
        <w:br w:type="page"/>
      </w:r>
    </w:p>
    <w:p w14:paraId="44D54AAA" w14:textId="77777777" w:rsidR="009251F9" w:rsidRPr="009251F9" w:rsidRDefault="009251F9" w:rsidP="009251F9">
      <w:pPr>
        <w:jc w:val="both"/>
        <w:rPr>
          <w:rFonts w:ascii="Arial" w:eastAsia="Arial" w:hAnsi="Arial" w:cs="Arial"/>
        </w:rPr>
      </w:pPr>
    </w:p>
    <w:p w14:paraId="215F1DB0" w14:textId="5902AE96" w:rsidR="00194606" w:rsidRPr="009251F9" w:rsidRDefault="00194606" w:rsidP="009251F9">
      <w:pPr>
        <w:jc w:val="both"/>
        <w:rPr>
          <w:rFonts w:ascii="Arial" w:eastAsia="Arial" w:hAnsi="Arial" w:cs="Arial"/>
        </w:rPr>
      </w:pPr>
    </w:p>
    <w:sdt>
      <w:sdtPr>
        <w:rPr>
          <w:rFonts w:ascii="Arial" w:hAnsi="Arial" w:cs="Arial"/>
          <w:color w:val="auto"/>
          <w:sz w:val="22"/>
          <w:szCs w:val="22"/>
        </w:rPr>
        <w:id w:val="-1824426820"/>
        <w:docPartObj>
          <w:docPartGallery w:val="Table of Contents"/>
          <w:docPartUnique/>
        </w:docPartObj>
      </w:sdtPr>
      <w:sdtEndPr>
        <w:rPr>
          <w:rFonts w:eastAsiaTheme="minorHAnsi"/>
          <w:b/>
          <w:bCs/>
          <w:noProof/>
          <w:lang w:val="en-GB"/>
        </w:rPr>
      </w:sdtEndPr>
      <w:sdtContent>
        <w:p w14:paraId="6470A1FD" w14:textId="7B9C734B" w:rsidR="00194606" w:rsidRPr="009251F9" w:rsidRDefault="00194606" w:rsidP="009251F9">
          <w:pPr>
            <w:pStyle w:val="TOCHeading"/>
            <w:jc w:val="both"/>
            <w:rPr>
              <w:rFonts w:ascii="Arial" w:hAnsi="Arial" w:cs="Arial"/>
              <w:color w:val="auto"/>
              <w:sz w:val="22"/>
              <w:szCs w:val="22"/>
            </w:rPr>
          </w:pPr>
          <w:r w:rsidRPr="009251F9">
            <w:rPr>
              <w:rFonts w:ascii="Arial" w:hAnsi="Arial" w:cs="Arial"/>
              <w:color w:val="auto"/>
              <w:sz w:val="22"/>
              <w:szCs w:val="22"/>
            </w:rPr>
            <w:t>Table of Contents</w:t>
          </w:r>
        </w:p>
        <w:p w14:paraId="057478C9" w14:textId="3D057C7F" w:rsidR="009251F9" w:rsidRPr="009251F9" w:rsidRDefault="00194606">
          <w:pPr>
            <w:pStyle w:val="TOC1"/>
            <w:tabs>
              <w:tab w:val="right" w:leader="dot" w:pos="9016"/>
            </w:tabs>
            <w:rPr>
              <w:rFonts w:ascii="Arial" w:eastAsiaTheme="minorEastAsia" w:hAnsi="Arial" w:cs="Arial"/>
              <w:noProof/>
              <w:lang w:val="en-KE" w:eastAsia="en-KE"/>
            </w:rPr>
          </w:pPr>
          <w:r w:rsidRPr="009251F9">
            <w:rPr>
              <w:rFonts w:ascii="Arial" w:hAnsi="Arial" w:cs="Arial"/>
            </w:rPr>
            <w:fldChar w:fldCharType="begin"/>
          </w:r>
          <w:r w:rsidRPr="009251F9">
            <w:rPr>
              <w:rFonts w:ascii="Arial" w:hAnsi="Arial" w:cs="Arial"/>
            </w:rPr>
            <w:instrText xml:space="preserve"> TOC \o "1-3" \h \z \u </w:instrText>
          </w:r>
          <w:r w:rsidRPr="009251F9">
            <w:rPr>
              <w:rFonts w:ascii="Arial" w:hAnsi="Arial" w:cs="Arial"/>
            </w:rPr>
            <w:fldChar w:fldCharType="separate"/>
          </w:r>
          <w:hyperlink w:anchor="_Toc234222710" w:history="1">
            <w:r w:rsidR="009251F9" w:rsidRPr="009251F9">
              <w:rPr>
                <w:rStyle w:val="Hyperlink"/>
                <w:rFonts w:ascii="Arial" w:hAnsi="Arial" w:cs="Arial"/>
                <w:noProof/>
              </w:rPr>
              <w:t>Task 1 – Concept Map</w:t>
            </w:r>
            <w:r w:rsidR="009251F9" w:rsidRPr="009251F9">
              <w:rPr>
                <w:rFonts w:ascii="Arial" w:hAnsi="Arial" w:cs="Arial"/>
                <w:noProof/>
                <w:webHidden/>
              </w:rPr>
              <w:tab/>
            </w:r>
            <w:r w:rsidR="009251F9" w:rsidRPr="009251F9">
              <w:rPr>
                <w:rFonts w:ascii="Arial" w:hAnsi="Arial" w:cs="Arial"/>
                <w:noProof/>
                <w:webHidden/>
              </w:rPr>
              <w:fldChar w:fldCharType="begin"/>
            </w:r>
            <w:r w:rsidR="009251F9" w:rsidRPr="009251F9">
              <w:rPr>
                <w:rFonts w:ascii="Arial" w:hAnsi="Arial" w:cs="Arial"/>
                <w:noProof/>
                <w:webHidden/>
              </w:rPr>
              <w:instrText xml:space="preserve"> PAGEREF _Toc234222710 \h </w:instrText>
            </w:r>
            <w:r w:rsidR="009251F9" w:rsidRPr="009251F9">
              <w:rPr>
                <w:rFonts w:ascii="Arial" w:hAnsi="Arial" w:cs="Arial"/>
                <w:noProof/>
                <w:webHidden/>
              </w:rPr>
            </w:r>
            <w:r w:rsidR="009251F9" w:rsidRPr="009251F9">
              <w:rPr>
                <w:rFonts w:ascii="Arial" w:hAnsi="Arial" w:cs="Arial"/>
                <w:noProof/>
                <w:webHidden/>
              </w:rPr>
              <w:fldChar w:fldCharType="separate"/>
            </w:r>
            <w:r w:rsidR="009251F9" w:rsidRPr="009251F9">
              <w:rPr>
                <w:rFonts w:ascii="Arial" w:hAnsi="Arial" w:cs="Arial"/>
                <w:noProof/>
                <w:webHidden/>
              </w:rPr>
              <w:t>3</w:t>
            </w:r>
            <w:r w:rsidR="009251F9" w:rsidRPr="009251F9">
              <w:rPr>
                <w:rFonts w:ascii="Arial" w:hAnsi="Arial" w:cs="Arial"/>
                <w:noProof/>
                <w:webHidden/>
              </w:rPr>
              <w:fldChar w:fldCharType="end"/>
            </w:r>
          </w:hyperlink>
        </w:p>
        <w:p w14:paraId="604A67A5" w14:textId="47B1E8C0" w:rsidR="009251F9" w:rsidRPr="009251F9" w:rsidRDefault="009251F9">
          <w:pPr>
            <w:pStyle w:val="TOC1"/>
            <w:tabs>
              <w:tab w:val="right" w:leader="dot" w:pos="9016"/>
            </w:tabs>
            <w:rPr>
              <w:rFonts w:ascii="Arial" w:eastAsiaTheme="minorEastAsia" w:hAnsi="Arial" w:cs="Arial"/>
              <w:noProof/>
              <w:lang w:val="en-KE" w:eastAsia="en-KE"/>
            </w:rPr>
          </w:pPr>
          <w:hyperlink w:anchor="_Toc234222711" w:history="1">
            <w:r w:rsidRPr="009251F9">
              <w:rPr>
                <w:rStyle w:val="Hyperlink"/>
                <w:rFonts w:ascii="Arial" w:hAnsi="Arial" w:cs="Arial"/>
                <w:noProof/>
              </w:rPr>
              <w:t>Task 2 – Self-Reflection of Group Activity</w:t>
            </w:r>
            <w:r w:rsidRPr="009251F9">
              <w:rPr>
                <w:rFonts w:ascii="Arial" w:hAnsi="Arial" w:cs="Arial"/>
                <w:noProof/>
                <w:webHidden/>
              </w:rPr>
              <w:tab/>
            </w:r>
            <w:r w:rsidRPr="009251F9">
              <w:rPr>
                <w:rFonts w:ascii="Arial" w:hAnsi="Arial" w:cs="Arial"/>
                <w:noProof/>
                <w:webHidden/>
              </w:rPr>
              <w:fldChar w:fldCharType="begin"/>
            </w:r>
            <w:r w:rsidRPr="009251F9">
              <w:rPr>
                <w:rFonts w:ascii="Arial" w:hAnsi="Arial" w:cs="Arial"/>
                <w:noProof/>
                <w:webHidden/>
              </w:rPr>
              <w:instrText xml:space="preserve"> PAGEREF _Toc234222711 \h </w:instrText>
            </w:r>
            <w:r w:rsidRPr="009251F9">
              <w:rPr>
                <w:rFonts w:ascii="Arial" w:hAnsi="Arial" w:cs="Arial"/>
                <w:noProof/>
                <w:webHidden/>
              </w:rPr>
            </w:r>
            <w:r w:rsidRPr="009251F9">
              <w:rPr>
                <w:rFonts w:ascii="Arial" w:hAnsi="Arial" w:cs="Arial"/>
                <w:noProof/>
                <w:webHidden/>
              </w:rPr>
              <w:fldChar w:fldCharType="separate"/>
            </w:r>
            <w:r w:rsidRPr="009251F9">
              <w:rPr>
                <w:rFonts w:ascii="Arial" w:hAnsi="Arial" w:cs="Arial"/>
                <w:noProof/>
                <w:webHidden/>
              </w:rPr>
              <w:t>4</w:t>
            </w:r>
            <w:r w:rsidRPr="009251F9">
              <w:rPr>
                <w:rFonts w:ascii="Arial" w:hAnsi="Arial" w:cs="Arial"/>
                <w:noProof/>
                <w:webHidden/>
              </w:rPr>
              <w:fldChar w:fldCharType="end"/>
            </w:r>
          </w:hyperlink>
        </w:p>
        <w:p w14:paraId="217720BA" w14:textId="30EC5B8D" w:rsidR="009251F9" w:rsidRPr="009251F9" w:rsidRDefault="009251F9">
          <w:pPr>
            <w:pStyle w:val="TOC1"/>
            <w:tabs>
              <w:tab w:val="right" w:leader="dot" w:pos="9016"/>
            </w:tabs>
            <w:rPr>
              <w:rFonts w:ascii="Arial" w:eastAsiaTheme="minorEastAsia" w:hAnsi="Arial" w:cs="Arial"/>
              <w:noProof/>
              <w:lang w:val="en-KE" w:eastAsia="en-KE"/>
            </w:rPr>
          </w:pPr>
          <w:hyperlink w:anchor="_Toc234222712" w:history="1">
            <w:r w:rsidRPr="009251F9">
              <w:rPr>
                <w:rStyle w:val="Hyperlink"/>
                <w:rFonts w:ascii="Arial" w:hAnsi="Arial" w:cs="Arial"/>
                <w:noProof/>
              </w:rPr>
              <w:t>Task 3 – Case Study of a UK Innovation</w:t>
            </w:r>
            <w:r w:rsidRPr="009251F9">
              <w:rPr>
                <w:rFonts w:ascii="Arial" w:hAnsi="Arial" w:cs="Arial"/>
                <w:noProof/>
                <w:webHidden/>
              </w:rPr>
              <w:tab/>
            </w:r>
            <w:r w:rsidRPr="009251F9">
              <w:rPr>
                <w:rFonts w:ascii="Arial" w:hAnsi="Arial" w:cs="Arial"/>
                <w:noProof/>
                <w:webHidden/>
              </w:rPr>
              <w:fldChar w:fldCharType="begin"/>
            </w:r>
            <w:r w:rsidRPr="009251F9">
              <w:rPr>
                <w:rFonts w:ascii="Arial" w:hAnsi="Arial" w:cs="Arial"/>
                <w:noProof/>
                <w:webHidden/>
              </w:rPr>
              <w:instrText xml:space="preserve"> PAGEREF _Toc234222712 \h </w:instrText>
            </w:r>
            <w:r w:rsidRPr="009251F9">
              <w:rPr>
                <w:rFonts w:ascii="Arial" w:hAnsi="Arial" w:cs="Arial"/>
                <w:noProof/>
                <w:webHidden/>
              </w:rPr>
            </w:r>
            <w:r w:rsidRPr="009251F9">
              <w:rPr>
                <w:rFonts w:ascii="Arial" w:hAnsi="Arial" w:cs="Arial"/>
                <w:noProof/>
                <w:webHidden/>
              </w:rPr>
              <w:fldChar w:fldCharType="separate"/>
            </w:r>
            <w:r w:rsidRPr="009251F9">
              <w:rPr>
                <w:rFonts w:ascii="Arial" w:hAnsi="Arial" w:cs="Arial"/>
                <w:noProof/>
                <w:webHidden/>
              </w:rPr>
              <w:t>5</w:t>
            </w:r>
            <w:r w:rsidRPr="009251F9">
              <w:rPr>
                <w:rFonts w:ascii="Arial" w:hAnsi="Arial" w:cs="Arial"/>
                <w:noProof/>
                <w:webHidden/>
              </w:rPr>
              <w:fldChar w:fldCharType="end"/>
            </w:r>
          </w:hyperlink>
        </w:p>
        <w:p w14:paraId="722F35BE" w14:textId="5E60D89A" w:rsidR="009251F9" w:rsidRPr="009251F9" w:rsidRDefault="009251F9">
          <w:pPr>
            <w:pStyle w:val="TOC1"/>
            <w:tabs>
              <w:tab w:val="right" w:leader="dot" w:pos="9016"/>
            </w:tabs>
            <w:rPr>
              <w:rFonts w:ascii="Arial" w:eastAsiaTheme="minorEastAsia" w:hAnsi="Arial" w:cs="Arial"/>
              <w:noProof/>
              <w:lang w:val="en-KE" w:eastAsia="en-KE"/>
            </w:rPr>
          </w:pPr>
          <w:hyperlink w:anchor="_Toc234222713" w:history="1">
            <w:r w:rsidRPr="009251F9">
              <w:rPr>
                <w:rStyle w:val="Hyperlink"/>
                <w:rFonts w:ascii="Arial" w:hAnsi="Arial" w:cs="Arial"/>
                <w:noProof/>
              </w:rPr>
              <w:t>Task 4 – Research Task</w:t>
            </w:r>
            <w:r w:rsidRPr="009251F9">
              <w:rPr>
                <w:rFonts w:ascii="Arial" w:hAnsi="Arial" w:cs="Arial"/>
                <w:noProof/>
                <w:webHidden/>
              </w:rPr>
              <w:tab/>
            </w:r>
            <w:r w:rsidRPr="009251F9">
              <w:rPr>
                <w:rFonts w:ascii="Arial" w:hAnsi="Arial" w:cs="Arial"/>
                <w:noProof/>
                <w:webHidden/>
              </w:rPr>
              <w:fldChar w:fldCharType="begin"/>
            </w:r>
            <w:r w:rsidRPr="009251F9">
              <w:rPr>
                <w:rFonts w:ascii="Arial" w:hAnsi="Arial" w:cs="Arial"/>
                <w:noProof/>
                <w:webHidden/>
              </w:rPr>
              <w:instrText xml:space="preserve"> PAGEREF _Toc234222713 \h </w:instrText>
            </w:r>
            <w:r w:rsidRPr="009251F9">
              <w:rPr>
                <w:rFonts w:ascii="Arial" w:hAnsi="Arial" w:cs="Arial"/>
                <w:noProof/>
                <w:webHidden/>
              </w:rPr>
            </w:r>
            <w:r w:rsidRPr="009251F9">
              <w:rPr>
                <w:rFonts w:ascii="Arial" w:hAnsi="Arial" w:cs="Arial"/>
                <w:noProof/>
                <w:webHidden/>
              </w:rPr>
              <w:fldChar w:fldCharType="separate"/>
            </w:r>
            <w:r w:rsidRPr="009251F9">
              <w:rPr>
                <w:rFonts w:ascii="Arial" w:hAnsi="Arial" w:cs="Arial"/>
                <w:noProof/>
                <w:webHidden/>
              </w:rPr>
              <w:t>7</w:t>
            </w:r>
            <w:r w:rsidRPr="009251F9">
              <w:rPr>
                <w:rFonts w:ascii="Arial" w:hAnsi="Arial" w:cs="Arial"/>
                <w:noProof/>
                <w:webHidden/>
              </w:rPr>
              <w:fldChar w:fldCharType="end"/>
            </w:r>
          </w:hyperlink>
        </w:p>
        <w:p w14:paraId="182DA061" w14:textId="35865FF7" w:rsidR="009251F9" w:rsidRPr="009251F9" w:rsidRDefault="009251F9">
          <w:pPr>
            <w:pStyle w:val="TOC1"/>
            <w:tabs>
              <w:tab w:val="right" w:leader="dot" w:pos="9016"/>
            </w:tabs>
            <w:rPr>
              <w:rFonts w:ascii="Arial" w:eastAsiaTheme="minorEastAsia" w:hAnsi="Arial" w:cs="Arial"/>
              <w:noProof/>
              <w:lang w:val="en-KE" w:eastAsia="en-KE"/>
            </w:rPr>
          </w:pPr>
          <w:hyperlink w:anchor="_Toc234222714" w:history="1">
            <w:r w:rsidRPr="009251F9">
              <w:rPr>
                <w:rStyle w:val="Hyperlink"/>
                <w:rFonts w:ascii="Arial" w:hAnsi="Arial" w:cs="Arial"/>
                <w:noProof/>
              </w:rPr>
              <w:t>Task 5 – Podcast</w:t>
            </w:r>
            <w:r w:rsidRPr="009251F9">
              <w:rPr>
                <w:rFonts w:ascii="Arial" w:hAnsi="Arial" w:cs="Arial"/>
                <w:noProof/>
                <w:webHidden/>
              </w:rPr>
              <w:tab/>
            </w:r>
            <w:r w:rsidRPr="009251F9">
              <w:rPr>
                <w:rFonts w:ascii="Arial" w:hAnsi="Arial" w:cs="Arial"/>
                <w:noProof/>
                <w:webHidden/>
              </w:rPr>
              <w:fldChar w:fldCharType="begin"/>
            </w:r>
            <w:r w:rsidRPr="009251F9">
              <w:rPr>
                <w:rFonts w:ascii="Arial" w:hAnsi="Arial" w:cs="Arial"/>
                <w:noProof/>
                <w:webHidden/>
              </w:rPr>
              <w:instrText xml:space="preserve"> PAGEREF _Toc234222714 \h </w:instrText>
            </w:r>
            <w:r w:rsidRPr="009251F9">
              <w:rPr>
                <w:rFonts w:ascii="Arial" w:hAnsi="Arial" w:cs="Arial"/>
                <w:noProof/>
                <w:webHidden/>
              </w:rPr>
            </w:r>
            <w:r w:rsidRPr="009251F9">
              <w:rPr>
                <w:rFonts w:ascii="Arial" w:hAnsi="Arial" w:cs="Arial"/>
                <w:noProof/>
                <w:webHidden/>
              </w:rPr>
              <w:fldChar w:fldCharType="separate"/>
            </w:r>
            <w:r w:rsidRPr="009251F9">
              <w:rPr>
                <w:rFonts w:ascii="Arial" w:hAnsi="Arial" w:cs="Arial"/>
                <w:noProof/>
                <w:webHidden/>
              </w:rPr>
              <w:t>8</w:t>
            </w:r>
            <w:r w:rsidRPr="009251F9">
              <w:rPr>
                <w:rFonts w:ascii="Arial" w:hAnsi="Arial" w:cs="Arial"/>
                <w:noProof/>
                <w:webHidden/>
              </w:rPr>
              <w:fldChar w:fldCharType="end"/>
            </w:r>
          </w:hyperlink>
        </w:p>
        <w:p w14:paraId="296E6183" w14:textId="7A1F9F07" w:rsidR="009251F9" w:rsidRPr="009251F9" w:rsidRDefault="009251F9">
          <w:pPr>
            <w:pStyle w:val="TOC1"/>
            <w:tabs>
              <w:tab w:val="right" w:leader="dot" w:pos="9016"/>
            </w:tabs>
            <w:rPr>
              <w:rFonts w:ascii="Arial" w:eastAsiaTheme="minorEastAsia" w:hAnsi="Arial" w:cs="Arial"/>
              <w:noProof/>
              <w:lang w:val="en-KE" w:eastAsia="en-KE"/>
            </w:rPr>
          </w:pPr>
          <w:hyperlink w:anchor="_Toc234222715" w:history="1">
            <w:r w:rsidRPr="009251F9">
              <w:rPr>
                <w:rStyle w:val="Hyperlink"/>
                <w:rFonts w:ascii="Arial" w:hAnsi="Arial" w:cs="Arial"/>
                <w:noProof/>
              </w:rPr>
              <w:t>Task 6 – NHS Leadership Framework Analysis</w:t>
            </w:r>
            <w:r w:rsidRPr="009251F9">
              <w:rPr>
                <w:rFonts w:ascii="Arial" w:hAnsi="Arial" w:cs="Arial"/>
                <w:noProof/>
                <w:webHidden/>
              </w:rPr>
              <w:tab/>
            </w:r>
            <w:r w:rsidRPr="009251F9">
              <w:rPr>
                <w:rFonts w:ascii="Arial" w:hAnsi="Arial" w:cs="Arial"/>
                <w:noProof/>
                <w:webHidden/>
              </w:rPr>
              <w:fldChar w:fldCharType="begin"/>
            </w:r>
            <w:r w:rsidRPr="009251F9">
              <w:rPr>
                <w:rFonts w:ascii="Arial" w:hAnsi="Arial" w:cs="Arial"/>
                <w:noProof/>
                <w:webHidden/>
              </w:rPr>
              <w:instrText xml:space="preserve"> PAGEREF _Toc234222715 \h </w:instrText>
            </w:r>
            <w:r w:rsidRPr="009251F9">
              <w:rPr>
                <w:rFonts w:ascii="Arial" w:hAnsi="Arial" w:cs="Arial"/>
                <w:noProof/>
                <w:webHidden/>
              </w:rPr>
            </w:r>
            <w:r w:rsidRPr="009251F9">
              <w:rPr>
                <w:rFonts w:ascii="Arial" w:hAnsi="Arial" w:cs="Arial"/>
                <w:noProof/>
                <w:webHidden/>
              </w:rPr>
              <w:fldChar w:fldCharType="separate"/>
            </w:r>
            <w:r w:rsidRPr="009251F9">
              <w:rPr>
                <w:rFonts w:ascii="Arial" w:hAnsi="Arial" w:cs="Arial"/>
                <w:noProof/>
                <w:webHidden/>
              </w:rPr>
              <w:t>9</w:t>
            </w:r>
            <w:r w:rsidRPr="009251F9">
              <w:rPr>
                <w:rFonts w:ascii="Arial" w:hAnsi="Arial" w:cs="Arial"/>
                <w:noProof/>
                <w:webHidden/>
              </w:rPr>
              <w:fldChar w:fldCharType="end"/>
            </w:r>
          </w:hyperlink>
        </w:p>
        <w:p w14:paraId="0A9FA1E1" w14:textId="49C79833" w:rsidR="009251F9" w:rsidRPr="009251F9" w:rsidRDefault="009251F9">
          <w:pPr>
            <w:pStyle w:val="TOC1"/>
            <w:tabs>
              <w:tab w:val="right" w:leader="dot" w:pos="9016"/>
            </w:tabs>
            <w:rPr>
              <w:rFonts w:ascii="Arial" w:eastAsiaTheme="minorEastAsia" w:hAnsi="Arial" w:cs="Arial"/>
              <w:noProof/>
              <w:lang w:val="en-KE" w:eastAsia="en-KE"/>
            </w:rPr>
          </w:pPr>
          <w:hyperlink w:anchor="_Toc234222716" w:history="1">
            <w:r w:rsidRPr="009251F9">
              <w:rPr>
                <w:rStyle w:val="Hyperlink"/>
                <w:rFonts w:ascii="Arial" w:hAnsi="Arial" w:cs="Arial"/>
                <w:noProof/>
              </w:rPr>
              <w:t>Task 7 – Self-Reflection Journal Entry</w:t>
            </w:r>
            <w:r w:rsidRPr="009251F9">
              <w:rPr>
                <w:rFonts w:ascii="Arial" w:hAnsi="Arial" w:cs="Arial"/>
                <w:noProof/>
                <w:webHidden/>
              </w:rPr>
              <w:tab/>
            </w:r>
            <w:r w:rsidRPr="009251F9">
              <w:rPr>
                <w:rFonts w:ascii="Arial" w:hAnsi="Arial" w:cs="Arial"/>
                <w:noProof/>
                <w:webHidden/>
              </w:rPr>
              <w:fldChar w:fldCharType="begin"/>
            </w:r>
            <w:r w:rsidRPr="009251F9">
              <w:rPr>
                <w:rFonts w:ascii="Arial" w:hAnsi="Arial" w:cs="Arial"/>
                <w:noProof/>
                <w:webHidden/>
              </w:rPr>
              <w:instrText xml:space="preserve"> PAGEREF _Toc234222716 \h </w:instrText>
            </w:r>
            <w:r w:rsidRPr="009251F9">
              <w:rPr>
                <w:rFonts w:ascii="Arial" w:hAnsi="Arial" w:cs="Arial"/>
                <w:noProof/>
                <w:webHidden/>
              </w:rPr>
            </w:r>
            <w:r w:rsidRPr="009251F9">
              <w:rPr>
                <w:rFonts w:ascii="Arial" w:hAnsi="Arial" w:cs="Arial"/>
                <w:noProof/>
                <w:webHidden/>
              </w:rPr>
              <w:fldChar w:fldCharType="separate"/>
            </w:r>
            <w:r w:rsidRPr="009251F9">
              <w:rPr>
                <w:rFonts w:ascii="Arial" w:hAnsi="Arial" w:cs="Arial"/>
                <w:noProof/>
                <w:webHidden/>
              </w:rPr>
              <w:t>11</w:t>
            </w:r>
            <w:r w:rsidRPr="009251F9">
              <w:rPr>
                <w:rFonts w:ascii="Arial" w:hAnsi="Arial" w:cs="Arial"/>
                <w:noProof/>
                <w:webHidden/>
              </w:rPr>
              <w:fldChar w:fldCharType="end"/>
            </w:r>
          </w:hyperlink>
        </w:p>
        <w:p w14:paraId="500365FD" w14:textId="2911EC90" w:rsidR="00194606" w:rsidRPr="009251F9" w:rsidRDefault="00194606" w:rsidP="009251F9">
          <w:pPr>
            <w:jc w:val="both"/>
            <w:rPr>
              <w:rFonts w:ascii="Arial" w:hAnsi="Arial" w:cs="Arial"/>
            </w:rPr>
          </w:pPr>
          <w:r w:rsidRPr="009251F9">
            <w:rPr>
              <w:rFonts w:ascii="Arial" w:hAnsi="Arial" w:cs="Arial"/>
              <w:b/>
              <w:bCs/>
              <w:noProof/>
            </w:rPr>
            <w:fldChar w:fldCharType="end"/>
          </w:r>
        </w:p>
      </w:sdtContent>
    </w:sdt>
    <w:p w14:paraId="56F087D2" w14:textId="77777777" w:rsidR="00194606" w:rsidRPr="009251F9" w:rsidRDefault="00194606" w:rsidP="009251F9">
      <w:pPr>
        <w:jc w:val="both"/>
        <w:rPr>
          <w:rFonts w:ascii="Arial" w:hAnsi="Arial" w:cs="Arial"/>
        </w:rPr>
      </w:pPr>
    </w:p>
    <w:p w14:paraId="60E65BE4" w14:textId="4440905D" w:rsidR="00EF5A4C" w:rsidRPr="009251F9" w:rsidRDefault="00EF5A4C" w:rsidP="009251F9">
      <w:pPr>
        <w:jc w:val="both"/>
        <w:rPr>
          <w:rFonts w:ascii="Arial" w:hAnsi="Arial" w:cs="Arial"/>
        </w:rPr>
      </w:pPr>
      <w:r w:rsidRPr="009251F9">
        <w:rPr>
          <w:rFonts w:ascii="Arial" w:hAnsi="Arial" w:cs="Arial"/>
        </w:rPr>
        <w:br w:type="page"/>
      </w:r>
    </w:p>
    <w:p w14:paraId="7BEF12CD" w14:textId="77777777" w:rsidR="00194606" w:rsidRPr="009251F9" w:rsidRDefault="00194606" w:rsidP="009251F9">
      <w:pPr>
        <w:jc w:val="both"/>
        <w:rPr>
          <w:rFonts w:ascii="Arial" w:hAnsi="Arial" w:cs="Arial"/>
        </w:rPr>
      </w:pPr>
    </w:p>
    <w:p w14:paraId="0060135F" w14:textId="77777777" w:rsidR="00EF5A4C" w:rsidRPr="009251F9" w:rsidRDefault="00EF5A4C" w:rsidP="009251F9">
      <w:pPr>
        <w:pStyle w:val="Heading1"/>
        <w:jc w:val="both"/>
        <w:rPr>
          <w:color w:val="auto"/>
          <w:sz w:val="22"/>
          <w:szCs w:val="22"/>
        </w:rPr>
      </w:pPr>
      <w:bookmarkStart w:id="0" w:name="_Toc234222710"/>
      <w:r w:rsidRPr="009251F9">
        <w:rPr>
          <w:color w:val="auto"/>
          <w:sz w:val="22"/>
          <w:szCs w:val="22"/>
        </w:rPr>
        <w:t>Task 1 – Concept Map</w:t>
      </w:r>
      <w:bookmarkEnd w:id="0"/>
    </w:p>
    <w:p w14:paraId="0D5E9D19" w14:textId="340D50C6" w:rsidR="00EF5A4C" w:rsidRPr="009251F9" w:rsidRDefault="00EF5A4C" w:rsidP="009251F9">
      <w:pPr>
        <w:spacing w:line="360" w:lineRule="auto"/>
        <w:jc w:val="both"/>
        <w:rPr>
          <w:rFonts w:ascii="Arial" w:hAnsi="Arial" w:cs="Arial"/>
          <w:b/>
          <w:bCs/>
        </w:rPr>
      </w:pPr>
    </w:p>
    <w:p w14:paraId="5BC9FF2C" w14:textId="5F94CC01" w:rsidR="00EF5A4C" w:rsidRPr="009251F9" w:rsidRDefault="00EF5A4C" w:rsidP="009251F9">
      <w:pPr>
        <w:spacing w:line="360" w:lineRule="auto"/>
        <w:jc w:val="both"/>
        <w:rPr>
          <w:rFonts w:ascii="Arial" w:hAnsi="Arial" w:cs="Arial"/>
          <w:b/>
          <w:bCs/>
        </w:rPr>
      </w:pPr>
      <w:r w:rsidRPr="009251F9">
        <w:rPr>
          <w:rFonts w:ascii="Arial" w:hAnsi="Arial" w:cs="Arial"/>
          <w:noProof/>
        </w:rPr>
        <w:drawing>
          <wp:inline distT="0" distB="0" distL="0" distR="0" wp14:anchorId="6A632C62" wp14:editId="07BA1ED5">
            <wp:extent cx="5731510" cy="3845658"/>
            <wp:effectExtent l="0" t="0" r="254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5731510" cy="3845658"/>
                    </a:xfrm>
                    <a:prstGeom prst="rect">
                      <a:avLst/>
                    </a:prstGeom>
                  </pic:spPr>
                </pic:pic>
              </a:graphicData>
            </a:graphic>
          </wp:inline>
        </w:drawing>
      </w:r>
    </w:p>
    <w:p w14:paraId="4C1D5A71" w14:textId="77777777" w:rsidR="00EF5A4C" w:rsidRPr="009251F9" w:rsidRDefault="00EF5A4C" w:rsidP="009251F9">
      <w:pPr>
        <w:spacing w:line="360" w:lineRule="auto"/>
        <w:jc w:val="both"/>
        <w:rPr>
          <w:rFonts w:ascii="Arial" w:hAnsi="Arial" w:cs="Arial"/>
          <w:b/>
          <w:bCs/>
        </w:rPr>
      </w:pPr>
    </w:p>
    <w:p w14:paraId="3EAE8784" w14:textId="77777777" w:rsidR="00EF5A4C" w:rsidRPr="009251F9" w:rsidRDefault="00EF5A4C" w:rsidP="009251F9">
      <w:pPr>
        <w:jc w:val="both"/>
        <w:rPr>
          <w:rFonts w:ascii="Arial" w:hAnsi="Arial" w:cs="Arial"/>
          <w:b/>
          <w:bCs/>
        </w:rPr>
      </w:pPr>
      <w:r w:rsidRPr="009251F9">
        <w:rPr>
          <w:rFonts w:ascii="Arial" w:hAnsi="Arial" w:cs="Arial"/>
          <w:b/>
          <w:bCs/>
        </w:rPr>
        <w:br w:type="page"/>
      </w:r>
    </w:p>
    <w:p w14:paraId="7D62EE91" w14:textId="73A67906" w:rsidR="00EF5A4C" w:rsidRDefault="00EF5A4C" w:rsidP="009251F9">
      <w:pPr>
        <w:pStyle w:val="Heading1"/>
        <w:jc w:val="both"/>
        <w:rPr>
          <w:b/>
          <w:bCs/>
          <w:color w:val="auto"/>
          <w:sz w:val="22"/>
          <w:szCs w:val="22"/>
        </w:rPr>
      </w:pPr>
      <w:bookmarkStart w:id="1" w:name="_Toc234222711"/>
      <w:r w:rsidRPr="00B30611">
        <w:rPr>
          <w:b/>
          <w:bCs/>
          <w:color w:val="auto"/>
          <w:sz w:val="22"/>
          <w:szCs w:val="22"/>
        </w:rPr>
        <w:lastRenderedPageBreak/>
        <w:t>Task 2 – Self-Reflection of Group Activity</w:t>
      </w:r>
      <w:bookmarkEnd w:id="1"/>
    </w:p>
    <w:p w14:paraId="547DBED5" w14:textId="77777777" w:rsidR="00B30611" w:rsidRPr="00B30611" w:rsidRDefault="00B30611" w:rsidP="009251F9">
      <w:pPr>
        <w:pStyle w:val="Heading1"/>
        <w:jc w:val="both"/>
        <w:rPr>
          <w:b/>
          <w:bCs/>
          <w:color w:val="auto"/>
          <w:sz w:val="22"/>
          <w:szCs w:val="22"/>
        </w:rPr>
      </w:pPr>
    </w:p>
    <w:p w14:paraId="57672B2F" w14:textId="7EA21645" w:rsidR="00EF5A4C" w:rsidRPr="009251F9" w:rsidRDefault="00EF5A4C" w:rsidP="009251F9">
      <w:pPr>
        <w:spacing w:line="360" w:lineRule="auto"/>
        <w:jc w:val="both"/>
        <w:rPr>
          <w:rFonts w:ascii="Arial" w:hAnsi="Arial" w:cs="Arial"/>
        </w:rPr>
      </w:pPr>
      <w:r w:rsidRPr="009251F9">
        <w:rPr>
          <w:rFonts w:ascii="Arial" w:hAnsi="Arial" w:cs="Arial"/>
          <w:b/>
          <w:bCs/>
        </w:rPr>
        <w:t>Description:</w:t>
      </w:r>
      <w:r w:rsidRPr="009251F9">
        <w:rPr>
          <w:rFonts w:ascii="Arial" w:hAnsi="Arial" w:cs="Arial"/>
        </w:rPr>
        <w:t xml:space="preserve"> In small groups, we were asked to think of as many uses for a paperclip as possible. Most responses listed the </w:t>
      </w:r>
      <w:r w:rsidRPr="009251F9">
        <w:rPr>
          <w:rFonts w:ascii="Arial" w:hAnsi="Arial" w:cs="Arial"/>
        </w:rPr>
        <w:t>well-known</w:t>
      </w:r>
      <w:r w:rsidRPr="009251F9">
        <w:rPr>
          <w:rFonts w:ascii="Arial" w:hAnsi="Arial" w:cs="Arial"/>
        </w:rPr>
        <w:t xml:space="preserve"> convergent use of the paper clip</w:t>
      </w:r>
      <w:r w:rsidRPr="009251F9">
        <w:rPr>
          <w:rFonts w:ascii="Arial" w:hAnsi="Arial" w:cs="Arial"/>
        </w:rPr>
        <w:t xml:space="preserve"> to hold papers together</w:t>
      </w:r>
      <w:r w:rsidR="00434D42">
        <w:rPr>
          <w:rFonts w:ascii="Arial" w:hAnsi="Arial" w:cs="Arial"/>
        </w:rPr>
        <w:t>,</w:t>
      </w:r>
      <w:r w:rsidRPr="009251F9">
        <w:rPr>
          <w:rFonts w:ascii="Arial" w:hAnsi="Arial" w:cs="Arial"/>
        </w:rPr>
        <w:t xml:space="preserve"> but my most memorable contribution was suggesting that the paper clip be bent into a heart, which was more of a decorative token than a functional aid.</w:t>
      </w:r>
    </w:p>
    <w:p w14:paraId="2BF08351" w14:textId="26C6915C" w:rsidR="00EF5A4C" w:rsidRPr="009251F9" w:rsidRDefault="00EF5A4C" w:rsidP="009251F9">
      <w:pPr>
        <w:spacing w:line="360" w:lineRule="auto"/>
        <w:jc w:val="both"/>
        <w:rPr>
          <w:rFonts w:ascii="Arial" w:hAnsi="Arial" w:cs="Arial"/>
        </w:rPr>
      </w:pPr>
      <w:r w:rsidRPr="009251F9">
        <w:rPr>
          <w:rFonts w:ascii="Arial" w:hAnsi="Arial" w:cs="Arial"/>
          <w:b/>
          <w:bCs/>
        </w:rPr>
        <w:t>Feelings:</w:t>
      </w:r>
      <w:r w:rsidRPr="009251F9">
        <w:rPr>
          <w:rFonts w:ascii="Arial" w:hAnsi="Arial" w:cs="Arial"/>
        </w:rPr>
        <w:t xml:space="preserve"> At first, I felt a bit conscious and anxious that this idea was too cute or fanciful</w:t>
      </w:r>
      <w:r w:rsidRPr="009251F9">
        <w:rPr>
          <w:rFonts w:ascii="Arial" w:hAnsi="Arial" w:cs="Arial"/>
        </w:rPr>
        <w:t>,</w:t>
      </w:r>
      <w:r w:rsidRPr="009251F9">
        <w:rPr>
          <w:rFonts w:ascii="Arial" w:hAnsi="Arial" w:cs="Arial"/>
        </w:rPr>
        <w:t xml:space="preserve"> contrasted with a lot of ideas that were more sensible from the group. Once it was shared, though, it was received well, and I knew to continue thinking divergently.</w:t>
      </w:r>
    </w:p>
    <w:p w14:paraId="44EA7AB7" w14:textId="4E764103" w:rsidR="00EF5A4C" w:rsidRPr="009251F9" w:rsidRDefault="00EF5A4C" w:rsidP="009251F9">
      <w:pPr>
        <w:spacing w:line="360" w:lineRule="auto"/>
        <w:jc w:val="both"/>
        <w:rPr>
          <w:rFonts w:ascii="Arial" w:hAnsi="Arial" w:cs="Arial"/>
        </w:rPr>
      </w:pPr>
      <w:r w:rsidRPr="009251F9">
        <w:rPr>
          <w:rFonts w:ascii="Arial" w:hAnsi="Arial" w:cs="Arial"/>
          <w:b/>
          <w:bCs/>
        </w:rPr>
        <w:t>Evaluation:</w:t>
      </w:r>
      <w:r w:rsidRPr="009251F9">
        <w:rPr>
          <w:rFonts w:ascii="Arial" w:hAnsi="Arial" w:cs="Arial"/>
        </w:rPr>
        <w:t xml:space="preserve"> The heart-shaped paperclip showed the distinctions between convergent thinking (one correct use) and divergent thinking (many possible and unusual uses). It </w:t>
      </w:r>
      <w:r w:rsidRPr="009251F9">
        <w:rPr>
          <w:rFonts w:ascii="Arial" w:hAnsi="Arial" w:cs="Arial"/>
        </w:rPr>
        <w:t>emphasised</w:t>
      </w:r>
      <w:r w:rsidRPr="009251F9">
        <w:rPr>
          <w:rFonts w:ascii="Arial" w:hAnsi="Arial" w:cs="Arial"/>
        </w:rPr>
        <w:t xml:space="preserve"> that creativity is not the correct answer from the start</w:t>
      </w:r>
      <w:r w:rsidRPr="009251F9">
        <w:rPr>
          <w:rFonts w:ascii="Arial" w:hAnsi="Arial" w:cs="Arial"/>
        </w:rPr>
        <w:t>;</w:t>
      </w:r>
      <w:r w:rsidRPr="009251F9">
        <w:rPr>
          <w:rFonts w:ascii="Arial" w:hAnsi="Arial" w:cs="Arial"/>
        </w:rPr>
        <w:t xml:space="preserve"> it is the generation of quantity and diversity of ideas.</w:t>
      </w:r>
    </w:p>
    <w:p w14:paraId="72729279" w14:textId="674860AB" w:rsidR="00EF5A4C" w:rsidRPr="009251F9" w:rsidRDefault="00EF5A4C" w:rsidP="009251F9">
      <w:pPr>
        <w:spacing w:line="360" w:lineRule="auto"/>
        <w:jc w:val="both"/>
        <w:rPr>
          <w:rFonts w:ascii="Arial" w:hAnsi="Arial" w:cs="Arial"/>
        </w:rPr>
      </w:pPr>
      <w:r w:rsidRPr="009251F9">
        <w:rPr>
          <w:rFonts w:ascii="Arial" w:hAnsi="Arial" w:cs="Arial"/>
          <w:b/>
          <w:bCs/>
        </w:rPr>
        <w:t>Analysis:</w:t>
      </w:r>
      <w:r w:rsidRPr="009251F9">
        <w:rPr>
          <w:rFonts w:ascii="Arial" w:hAnsi="Arial" w:cs="Arial"/>
        </w:rPr>
        <w:t xml:space="preserve"> This relates closely </w:t>
      </w:r>
      <w:r w:rsidRPr="009251F9">
        <w:rPr>
          <w:rFonts w:ascii="Arial" w:hAnsi="Arial" w:cs="Arial"/>
        </w:rPr>
        <w:t>to</w:t>
      </w:r>
      <w:r w:rsidRPr="009251F9">
        <w:rPr>
          <w:rFonts w:ascii="Arial" w:hAnsi="Arial" w:cs="Arial"/>
        </w:rPr>
        <w:t xml:space="preserve"> creativity in H&amp;SC as the “trivial way to do something” is not always the best creative approach – there are more possibilities that need to be explored before the most valuable solution is found – divergent thinking.</w:t>
      </w:r>
    </w:p>
    <w:p w14:paraId="20964ABD" w14:textId="3A33C12D" w:rsidR="00EF5A4C" w:rsidRPr="009251F9" w:rsidRDefault="00EF5A4C" w:rsidP="009251F9">
      <w:pPr>
        <w:spacing w:line="360" w:lineRule="auto"/>
        <w:jc w:val="both"/>
        <w:rPr>
          <w:rFonts w:ascii="Arial" w:hAnsi="Arial" w:cs="Arial"/>
        </w:rPr>
      </w:pPr>
      <w:r w:rsidRPr="009251F9">
        <w:rPr>
          <w:rFonts w:ascii="Arial" w:hAnsi="Arial" w:cs="Arial"/>
          <w:b/>
          <w:bCs/>
        </w:rPr>
        <w:t>Conclusion and action plan:</w:t>
      </w:r>
      <w:r w:rsidRPr="009251F9">
        <w:rPr>
          <w:rFonts w:ascii="Arial" w:hAnsi="Arial" w:cs="Arial"/>
        </w:rPr>
        <w:t xml:space="preserve"> In future H&amp;SC </w:t>
      </w:r>
      <w:r w:rsidRPr="009251F9">
        <w:rPr>
          <w:rFonts w:ascii="Arial" w:hAnsi="Arial" w:cs="Arial"/>
        </w:rPr>
        <w:t>problem-solving</w:t>
      </w:r>
      <w:r w:rsidRPr="009251F9">
        <w:rPr>
          <w:rFonts w:ascii="Arial" w:hAnsi="Arial" w:cs="Arial"/>
        </w:rPr>
        <w:t xml:space="preserve"> tasks, I will intentionally develop multiple options before narrowing to a solution (Gibbs, 1988).</w:t>
      </w:r>
    </w:p>
    <w:p w14:paraId="52B87EC8" w14:textId="77777777" w:rsidR="00EF5A4C" w:rsidRPr="009251F9" w:rsidRDefault="00EF5A4C" w:rsidP="009251F9">
      <w:pPr>
        <w:jc w:val="both"/>
        <w:rPr>
          <w:rFonts w:ascii="Arial" w:hAnsi="Arial" w:cs="Arial"/>
          <w:b/>
          <w:bCs/>
        </w:rPr>
      </w:pPr>
      <w:r w:rsidRPr="009251F9">
        <w:rPr>
          <w:rFonts w:ascii="Arial" w:hAnsi="Arial" w:cs="Arial"/>
          <w:b/>
          <w:bCs/>
        </w:rPr>
        <w:br w:type="page"/>
      </w:r>
    </w:p>
    <w:p w14:paraId="7BBFD562" w14:textId="5C12FC2A" w:rsidR="00EF5A4C" w:rsidRDefault="00EF5A4C" w:rsidP="009251F9">
      <w:pPr>
        <w:pStyle w:val="Heading1"/>
        <w:jc w:val="both"/>
        <w:rPr>
          <w:b/>
          <w:bCs/>
          <w:color w:val="auto"/>
          <w:sz w:val="22"/>
          <w:szCs w:val="22"/>
        </w:rPr>
      </w:pPr>
      <w:bookmarkStart w:id="2" w:name="_Toc234222712"/>
      <w:r w:rsidRPr="00434D42">
        <w:rPr>
          <w:b/>
          <w:bCs/>
          <w:color w:val="auto"/>
          <w:sz w:val="22"/>
          <w:szCs w:val="22"/>
        </w:rPr>
        <w:lastRenderedPageBreak/>
        <w:t>Task 3 – Case Study of a UK Innovation</w:t>
      </w:r>
      <w:bookmarkEnd w:id="2"/>
    </w:p>
    <w:p w14:paraId="5F60C52D" w14:textId="77777777" w:rsidR="00434D42" w:rsidRPr="00434D42" w:rsidRDefault="00434D42" w:rsidP="009251F9">
      <w:pPr>
        <w:pStyle w:val="Heading1"/>
        <w:jc w:val="both"/>
        <w:rPr>
          <w:b/>
          <w:bCs/>
          <w:color w:val="auto"/>
          <w:sz w:val="22"/>
          <w:szCs w:val="22"/>
        </w:rPr>
      </w:pPr>
    </w:p>
    <w:p w14:paraId="096A0904" w14:textId="1072D0D2" w:rsidR="00EF5A4C" w:rsidRPr="009251F9" w:rsidRDefault="00EF5A4C" w:rsidP="009251F9">
      <w:pPr>
        <w:spacing w:line="360" w:lineRule="auto"/>
        <w:jc w:val="both"/>
        <w:rPr>
          <w:rFonts w:ascii="Arial" w:hAnsi="Arial" w:cs="Arial"/>
        </w:rPr>
      </w:pPr>
      <w:r w:rsidRPr="009251F9">
        <w:rPr>
          <w:rFonts w:ascii="Arial" w:hAnsi="Arial" w:cs="Arial"/>
        </w:rPr>
        <w:t>Social prescribing is an innovation in health and social care in the UK</w:t>
      </w:r>
      <w:r w:rsidRPr="009251F9">
        <w:rPr>
          <w:rFonts w:ascii="Arial" w:hAnsi="Arial" w:cs="Arial"/>
        </w:rPr>
        <w:t>,</w:t>
      </w:r>
      <w:r w:rsidRPr="009251F9">
        <w:rPr>
          <w:rFonts w:ascii="Arial" w:hAnsi="Arial" w:cs="Arial"/>
        </w:rPr>
        <w:t xml:space="preserve"> which enables primary care professionals to make referrals to non-clinical </w:t>
      </w:r>
      <w:r w:rsidRPr="009251F9">
        <w:rPr>
          <w:rFonts w:ascii="Arial" w:hAnsi="Arial" w:cs="Arial"/>
        </w:rPr>
        <w:t>community-based</w:t>
      </w:r>
      <w:r w:rsidRPr="009251F9">
        <w:rPr>
          <w:rFonts w:ascii="Arial" w:hAnsi="Arial" w:cs="Arial"/>
        </w:rPr>
        <w:t xml:space="preserve"> support</w:t>
      </w:r>
      <w:r w:rsidRPr="009251F9">
        <w:rPr>
          <w:rFonts w:ascii="Arial" w:hAnsi="Arial" w:cs="Arial"/>
        </w:rPr>
        <w:t>,</w:t>
      </w:r>
      <w:r w:rsidRPr="009251F9">
        <w:rPr>
          <w:rFonts w:ascii="Arial" w:hAnsi="Arial" w:cs="Arial"/>
        </w:rPr>
        <w:t xml:space="preserve"> including art groups, walking clubs or befriending services</w:t>
      </w:r>
      <w:r w:rsidRPr="009251F9">
        <w:rPr>
          <w:rFonts w:ascii="Arial" w:hAnsi="Arial" w:cs="Arial"/>
        </w:rPr>
        <w:t>,</w:t>
      </w:r>
      <w:r w:rsidRPr="009251F9">
        <w:rPr>
          <w:rFonts w:ascii="Arial" w:hAnsi="Arial" w:cs="Arial"/>
        </w:rPr>
        <w:t xml:space="preserve"> alongside or in addition to medicine. (NHS England, 2023). One example that has been well documented is the Rotherham Social Prescribing Pilot commissioned by NHS Rotherham Clinical Commissioning Group (CCG) and delivered by Voluntary Action Rotherham since its inception in 2012 (Dayson and Bashir, 2014).</w:t>
      </w:r>
    </w:p>
    <w:p w14:paraId="43E88E08" w14:textId="77777777" w:rsidR="00EF5A4C" w:rsidRPr="009251F9" w:rsidRDefault="00EF5A4C" w:rsidP="009251F9">
      <w:pPr>
        <w:spacing w:line="360" w:lineRule="auto"/>
        <w:jc w:val="both"/>
        <w:rPr>
          <w:rFonts w:ascii="Arial" w:hAnsi="Arial" w:cs="Arial"/>
        </w:rPr>
      </w:pPr>
      <w:r w:rsidRPr="009251F9">
        <w:rPr>
          <w:rFonts w:ascii="Arial" w:hAnsi="Arial" w:cs="Arial"/>
        </w:rPr>
        <w:t>The ingenuity of the pilot was in identifying the link workers in GP practices and defining a new role they could adopt in relation to the GP's service of recognizing that not all presenting issues had a medical cause and might be related to loneliness, low confidence or lack of activity, and then matching them with one of 31 funded community organisations providing activities that matched their interests and circumstances (Dayson and Bashir, 2014). This necessitated thinking outside the box regarding the nature of health care outside the biomedical framework.</w:t>
      </w:r>
    </w:p>
    <w:p w14:paraId="4B9DAFDB" w14:textId="0648B23C" w:rsidR="00EF5A4C" w:rsidRPr="009251F9" w:rsidRDefault="00EF5A4C" w:rsidP="009251F9">
      <w:pPr>
        <w:spacing w:line="360" w:lineRule="auto"/>
        <w:jc w:val="both"/>
        <w:rPr>
          <w:rFonts w:ascii="Arial" w:hAnsi="Arial" w:cs="Arial"/>
        </w:rPr>
      </w:pPr>
      <w:r w:rsidRPr="009251F9">
        <w:rPr>
          <w:rFonts w:ascii="Arial" w:hAnsi="Arial" w:cs="Arial"/>
        </w:rPr>
        <w:t>The impact of this action was marked and clearly evident. Of all those referred, Dayson &amp; Bashir (2014) discovered that up to 83% were experiencing an improvement in wellbeing within 3-4 months</w:t>
      </w:r>
      <w:r w:rsidRPr="009251F9">
        <w:rPr>
          <w:rFonts w:ascii="Arial" w:hAnsi="Arial" w:cs="Arial"/>
        </w:rPr>
        <w:t>,</w:t>
      </w:r>
      <w:r w:rsidRPr="009251F9">
        <w:rPr>
          <w:rFonts w:ascii="Arial" w:hAnsi="Arial" w:cs="Arial"/>
        </w:rPr>
        <w:t xml:space="preserve"> and inpatient admissions had decreased by as much as 21%, A&amp;E attendance by up to 20% and outpatient appointments by up to 21%. A net saving of secondary care demand was estimated in the pilot to be worth £552,000 in NHS cost savings over the two years of the pilot. NHS England (2023) also finds that referred patients' social isolation was reduced and they had fewer episodes of hospitalisation, with 69% stating that they were more independent.</w:t>
      </w:r>
    </w:p>
    <w:p w14:paraId="7B70546C" w14:textId="03C3FDA2" w:rsidR="00EF5A4C" w:rsidRPr="009251F9" w:rsidRDefault="00EF5A4C" w:rsidP="009251F9">
      <w:pPr>
        <w:spacing w:line="360" w:lineRule="auto"/>
        <w:jc w:val="both"/>
        <w:rPr>
          <w:rFonts w:ascii="Arial" w:hAnsi="Arial" w:cs="Arial"/>
        </w:rPr>
      </w:pPr>
      <w:r w:rsidRPr="009251F9">
        <w:rPr>
          <w:rFonts w:ascii="Arial" w:hAnsi="Arial" w:cs="Arial"/>
        </w:rPr>
        <w:t xml:space="preserve">These statistics must be taken with a pinch of salt, however. Most of the evaluation was based on self-reported wellbeing indicators, along with pre and </w:t>
      </w:r>
      <w:r w:rsidRPr="009251F9">
        <w:rPr>
          <w:rFonts w:ascii="Arial" w:hAnsi="Arial" w:cs="Arial"/>
        </w:rPr>
        <w:t>post-comparisons</w:t>
      </w:r>
      <w:r w:rsidRPr="009251F9">
        <w:rPr>
          <w:rFonts w:ascii="Arial" w:hAnsi="Arial" w:cs="Arial"/>
        </w:rPr>
        <w:t xml:space="preserve">, which </w:t>
      </w:r>
      <w:r w:rsidRPr="009251F9">
        <w:rPr>
          <w:rFonts w:ascii="Arial" w:hAnsi="Arial" w:cs="Arial"/>
        </w:rPr>
        <w:t>were</w:t>
      </w:r>
      <w:r w:rsidRPr="009251F9">
        <w:rPr>
          <w:rFonts w:ascii="Arial" w:hAnsi="Arial" w:cs="Arial"/>
        </w:rPr>
        <w:t xml:space="preserve"> not a </w:t>
      </w:r>
      <w:r w:rsidRPr="009251F9">
        <w:rPr>
          <w:rFonts w:ascii="Arial" w:hAnsi="Arial" w:cs="Arial"/>
        </w:rPr>
        <w:t>randomised</w:t>
      </w:r>
      <w:r w:rsidRPr="009251F9">
        <w:rPr>
          <w:rFonts w:ascii="Arial" w:hAnsi="Arial" w:cs="Arial"/>
        </w:rPr>
        <w:t xml:space="preserve"> controlled group and so may not have been due to the intervention alone and may be due to other concurrent or natural recovery factors. The findings also apply only to the population, funding arrangements and network of local organisations at Rotherham – outcomes may not be replicated in other settings with different characteristics.</w:t>
      </w:r>
    </w:p>
    <w:p w14:paraId="1F63BAB5" w14:textId="77777777" w:rsidR="00EF5A4C" w:rsidRPr="009251F9" w:rsidRDefault="00EF5A4C" w:rsidP="009251F9">
      <w:pPr>
        <w:spacing w:line="360" w:lineRule="auto"/>
        <w:jc w:val="both"/>
        <w:rPr>
          <w:rFonts w:ascii="Arial" w:hAnsi="Arial" w:cs="Arial"/>
        </w:rPr>
      </w:pPr>
      <w:r w:rsidRPr="009251F9">
        <w:rPr>
          <w:rFonts w:ascii="Arial" w:hAnsi="Arial" w:cs="Arial"/>
        </w:rPr>
        <w:t>The value added was not only clinical – that being the reduction of dependency on hospital services – but also personal, in the sense of having found a greater sense of meaningful engagement and connection with others through social activities. The pilot has shown that, although there is still a way to go to strengthen the evidence base, a creative, low-cost, community-based approach can help ease the strain on over-extended health services.</w:t>
      </w:r>
    </w:p>
    <w:p w14:paraId="4FFE74D0" w14:textId="194BC919" w:rsidR="00EF5A4C" w:rsidRPr="009251F9" w:rsidRDefault="00EF5A4C" w:rsidP="009251F9">
      <w:pPr>
        <w:spacing w:line="360" w:lineRule="auto"/>
        <w:jc w:val="both"/>
        <w:rPr>
          <w:rFonts w:ascii="Arial" w:hAnsi="Arial" w:cs="Arial"/>
        </w:rPr>
      </w:pPr>
      <w:r w:rsidRPr="009251F9">
        <w:rPr>
          <w:rFonts w:ascii="Arial" w:hAnsi="Arial" w:cs="Arial"/>
        </w:rPr>
        <w:lastRenderedPageBreak/>
        <w:t>The lessons and successes of the pilot have since shaped national policy</w:t>
      </w:r>
      <w:r w:rsidR="009251F9">
        <w:rPr>
          <w:rFonts w:ascii="Arial" w:hAnsi="Arial" w:cs="Arial"/>
        </w:rPr>
        <w:t>,</w:t>
      </w:r>
      <w:r w:rsidRPr="009251F9">
        <w:rPr>
          <w:rFonts w:ascii="Arial" w:hAnsi="Arial" w:cs="Arial"/>
        </w:rPr>
        <w:t xml:space="preserve"> and social prescribing is now formally included in the NHS Long Term Plan. With creativity, by thinking about how and who can meet the needs of a patient, significant value can be created for the service user and the wider health and social care system, as demonstrated in this case.</w:t>
      </w:r>
    </w:p>
    <w:p w14:paraId="6D8750F4" w14:textId="77777777" w:rsidR="00EF5A4C" w:rsidRPr="009251F9" w:rsidRDefault="00EF5A4C" w:rsidP="009251F9">
      <w:pPr>
        <w:jc w:val="both"/>
        <w:rPr>
          <w:rFonts w:ascii="Arial" w:hAnsi="Arial" w:cs="Arial"/>
          <w:b/>
          <w:bCs/>
        </w:rPr>
      </w:pPr>
      <w:r w:rsidRPr="009251F9">
        <w:rPr>
          <w:rFonts w:ascii="Arial" w:hAnsi="Arial" w:cs="Arial"/>
          <w:b/>
          <w:bCs/>
        </w:rPr>
        <w:br w:type="page"/>
      </w:r>
    </w:p>
    <w:p w14:paraId="6FD43F34" w14:textId="3BDDD7FE" w:rsidR="00EF5A4C" w:rsidRDefault="00EF5A4C" w:rsidP="009251F9">
      <w:pPr>
        <w:pStyle w:val="Heading1"/>
        <w:jc w:val="both"/>
        <w:rPr>
          <w:b/>
          <w:bCs/>
          <w:color w:val="auto"/>
          <w:sz w:val="22"/>
          <w:szCs w:val="22"/>
        </w:rPr>
      </w:pPr>
      <w:bookmarkStart w:id="3" w:name="_Toc234222713"/>
      <w:r w:rsidRPr="00434D42">
        <w:rPr>
          <w:b/>
          <w:bCs/>
          <w:color w:val="auto"/>
          <w:sz w:val="22"/>
          <w:szCs w:val="22"/>
        </w:rPr>
        <w:lastRenderedPageBreak/>
        <w:t>Task 4 – Research Task</w:t>
      </w:r>
      <w:bookmarkEnd w:id="3"/>
    </w:p>
    <w:p w14:paraId="48B4021D" w14:textId="77777777" w:rsidR="00434D42" w:rsidRPr="00434D42" w:rsidRDefault="00434D42" w:rsidP="009251F9">
      <w:pPr>
        <w:pStyle w:val="Heading1"/>
        <w:jc w:val="both"/>
        <w:rPr>
          <w:b/>
          <w:bCs/>
          <w:color w:val="auto"/>
          <w:sz w:val="22"/>
          <w:szCs w:val="22"/>
        </w:rPr>
      </w:pPr>
    </w:p>
    <w:p w14:paraId="3C89A075" w14:textId="7E189785" w:rsidR="00EF5A4C" w:rsidRPr="009251F9" w:rsidRDefault="00EF5A4C" w:rsidP="009251F9">
      <w:pPr>
        <w:spacing w:line="360" w:lineRule="auto"/>
        <w:jc w:val="both"/>
        <w:rPr>
          <w:rFonts w:ascii="Arial" w:hAnsi="Arial" w:cs="Arial"/>
        </w:rPr>
      </w:pPr>
      <w:r w:rsidRPr="009251F9">
        <w:rPr>
          <w:rFonts w:ascii="Arial" w:hAnsi="Arial" w:cs="Arial"/>
        </w:rPr>
        <w:t xml:space="preserve">One of the consistent challenges in health and social care is the lack of mental health support due to stigma. </w:t>
      </w:r>
      <w:r w:rsidRPr="009251F9">
        <w:rPr>
          <w:rFonts w:ascii="Arial" w:hAnsi="Arial" w:cs="Arial"/>
        </w:rPr>
        <w:t>Two academic studies explain the reason for this problem</w:t>
      </w:r>
      <w:r w:rsidRPr="009251F9">
        <w:rPr>
          <w:rFonts w:ascii="Arial" w:hAnsi="Arial" w:cs="Arial"/>
        </w:rPr>
        <w:t>.</w:t>
      </w:r>
    </w:p>
    <w:p w14:paraId="06DD7802" w14:textId="7172EBEA" w:rsidR="00EF5A4C" w:rsidRPr="009251F9" w:rsidRDefault="00EF5A4C" w:rsidP="009251F9">
      <w:pPr>
        <w:spacing w:line="360" w:lineRule="auto"/>
        <w:jc w:val="both"/>
        <w:rPr>
          <w:rFonts w:ascii="Arial" w:hAnsi="Arial" w:cs="Arial"/>
        </w:rPr>
      </w:pPr>
      <w:r w:rsidRPr="009251F9">
        <w:rPr>
          <w:rFonts w:ascii="Arial" w:hAnsi="Arial" w:cs="Arial"/>
        </w:rPr>
        <w:t>As opposed to stigma in society, Knap, Mantler and Szeto (2017) looked at internal stigma in health care systems. They discovered that people who have lived through experiences of mental illness often expressed being denied</w:t>
      </w:r>
      <w:r w:rsidRPr="009251F9">
        <w:rPr>
          <w:rFonts w:ascii="Arial" w:hAnsi="Arial" w:cs="Arial"/>
        </w:rPr>
        <w:t>,</w:t>
      </w:r>
      <w:r w:rsidRPr="009251F9">
        <w:rPr>
          <w:rFonts w:ascii="Arial" w:hAnsi="Arial" w:cs="Arial"/>
        </w:rPr>
        <w:t xml:space="preserve"> ignored</w:t>
      </w:r>
      <w:r w:rsidRPr="009251F9">
        <w:rPr>
          <w:rFonts w:ascii="Arial" w:hAnsi="Arial" w:cs="Arial"/>
        </w:rPr>
        <w:t>,</w:t>
      </w:r>
      <w:r w:rsidRPr="009251F9">
        <w:rPr>
          <w:rFonts w:ascii="Arial" w:hAnsi="Arial" w:cs="Arial"/>
        </w:rPr>
        <w:t xml:space="preserve"> or treated paternalistically by health workers when providing services. It was the authors' finding that the healthcare providers frequently have negative expectations for recovery, which frequently leads to reduced quality care and an expectation amongst healthcare providers that their care is not providing value to the patient. Importantly, they state this is not just a problem with a few unkind people but a systemic problem that occurs throughout the entire culture of healthcare organisations.</w:t>
      </w:r>
    </w:p>
    <w:p w14:paraId="79518D7C" w14:textId="4F321CFE" w:rsidR="00EF5A4C" w:rsidRPr="009251F9" w:rsidRDefault="00EF5A4C" w:rsidP="009251F9">
      <w:pPr>
        <w:spacing w:line="360" w:lineRule="auto"/>
        <w:jc w:val="both"/>
        <w:rPr>
          <w:rFonts w:ascii="Arial" w:hAnsi="Arial" w:cs="Arial"/>
        </w:rPr>
      </w:pPr>
      <w:r w:rsidRPr="009251F9">
        <w:rPr>
          <w:rFonts w:ascii="Arial" w:hAnsi="Arial" w:cs="Arial"/>
        </w:rPr>
        <w:t xml:space="preserve">Ahad, Sanchez-Gonzalez and Junquera (2023) adopted a </w:t>
      </w:r>
      <w:r w:rsidR="009251F9">
        <w:rPr>
          <w:rFonts w:ascii="Arial" w:hAnsi="Arial" w:cs="Arial"/>
        </w:rPr>
        <w:t>cross-cultural</w:t>
      </w:r>
      <w:r w:rsidRPr="009251F9">
        <w:rPr>
          <w:rFonts w:ascii="Arial" w:hAnsi="Arial" w:cs="Arial"/>
        </w:rPr>
        <w:t xml:space="preserve"> approach, </w:t>
      </w:r>
      <w:r w:rsidRPr="009251F9">
        <w:rPr>
          <w:rFonts w:ascii="Arial" w:hAnsi="Arial" w:cs="Arial"/>
        </w:rPr>
        <w:t>summarising</w:t>
      </w:r>
      <w:r w:rsidRPr="009251F9">
        <w:rPr>
          <w:rFonts w:ascii="Arial" w:hAnsi="Arial" w:cs="Arial"/>
        </w:rPr>
        <w:t xml:space="preserve"> the different international forms of stigma, all of which contribute to a lack of help-seeking. In their narrative review</w:t>
      </w:r>
      <w:r w:rsidRPr="009251F9">
        <w:rPr>
          <w:rFonts w:ascii="Arial" w:hAnsi="Arial" w:cs="Arial"/>
        </w:rPr>
        <w:t>,</w:t>
      </w:r>
      <w:r w:rsidRPr="009251F9">
        <w:rPr>
          <w:rFonts w:ascii="Arial" w:hAnsi="Arial" w:cs="Arial"/>
        </w:rPr>
        <w:t xml:space="preserve"> they have reported that negative stereotypes and discrimination cause individuals to not want to seek timely care or disclose symptoms, leading to higher morbidity and reduced quality of life and a higher risk of delayed diagnosis. At the same time, they said, stigma exists in several layers: public, institutional and self-stigma and solutions need to be multi-layered as well—and thus include </w:t>
      </w:r>
      <w:r w:rsidRPr="009251F9">
        <w:rPr>
          <w:rFonts w:ascii="Arial" w:hAnsi="Arial" w:cs="Arial"/>
        </w:rPr>
        <w:t>culturally informed</w:t>
      </w:r>
      <w:r w:rsidRPr="009251F9">
        <w:rPr>
          <w:rFonts w:ascii="Arial" w:hAnsi="Arial" w:cs="Arial"/>
        </w:rPr>
        <w:t xml:space="preserve"> education and training of health care professionals.</w:t>
      </w:r>
    </w:p>
    <w:p w14:paraId="48ADC70E" w14:textId="4D432A80" w:rsidR="00EF5A4C" w:rsidRPr="009251F9" w:rsidRDefault="00EF5A4C" w:rsidP="009251F9">
      <w:pPr>
        <w:spacing w:line="360" w:lineRule="auto"/>
        <w:jc w:val="both"/>
        <w:rPr>
          <w:rFonts w:ascii="Arial" w:hAnsi="Arial" w:cs="Arial"/>
        </w:rPr>
      </w:pPr>
      <w:r w:rsidRPr="009251F9">
        <w:rPr>
          <w:rFonts w:ascii="Arial" w:hAnsi="Arial" w:cs="Arial"/>
        </w:rPr>
        <w:t>The two studies are narrative, rather than systematic, reviews</w:t>
      </w:r>
      <w:r w:rsidRPr="009251F9">
        <w:rPr>
          <w:rFonts w:ascii="Arial" w:hAnsi="Arial" w:cs="Arial"/>
        </w:rPr>
        <w:t>;</w:t>
      </w:r>
      <w:r w:rsidRPr="009251F9">
        <w:rPr>
          <w:rFonts w:ascii="Arial" w:hAnsi="Arial" w:cs="Arial"/>
        </w:rPr>
        <w:t xml:space="preserve"> in other words</w:t>
      </w:r>
      <w:r w:rsidRPr="009251F9">
        <w:rPr>
          <w:rFonts w:ascii="Arial" w:hAnsi="Arial" w:cs="Arial"/>
        </w:rPr>
        <w:t>,</w:t>
      </w:r>
      <w:r w:rsidRPr="009251F9">
        <w:rPr>
          <w:rFonts w:ascii="Arial" w:hAnsi="Arial" w:cs="Arial"/>
        </w:rPr>
        <w:t xml:space="preserve"> they are reviews of existing literature that </w:t>
      </w:r>
      <w:r w:rsidRPr="009251F9">
        <w:rPr>
          <w:rFonts w:ascii="Arial" w:hAnsi="Arial" w:cs="Arial"/>
        </w:rPr>
        <w:t>summarise</w:t>
      </w:r>
      <w:r w:rsidRPr="009251F9">
        <w:rPr>
          <w:rFonts w:ascii="Arial" w:hAnsi="Arial" w:cs="Arial"/>
        </w:rPr>
        <w:t xml:space="preserve">, rather than new primary data, and neither </w:t>
      </w:r>
      <w:r w:rsidRPr="009251F9">
        <w:rPr>
          <w:rFonts w:ascii="Arial" w:hAnsi="Arial" w:cs="Arial"/>
        </w:rPr>
        <w:t>is</w:t>
      </w:r>
      <w:r w:rsidRPr="009251F9">
        <w:rPr>
          <w:rFonts w:ascii="Arial" w:hAnsi="Arial" w:cs="Arial"/>
        </w:rPr>
        <w:t xml:space="preserve"> specifically focused on the UK health and social care system, so some findings might have to be adapted for the UK context. These two studies, however, do provide a cumulative indication that stigma is not merely the product of public attitude but also </w:t>
      </w:r>
      <w:r w:rsidRPr="009251F9">
        <w:rPr>
          <w:rFonts w:ascii="Arial" w:hAnsi="Arial" w:cs="Arial"/>
        </w:rPr>
        <w:t>exists</w:t>
      </w:r>
      <w:r w:rsidRPr="009251F9">
        <w:rPr>
          <w:rFonts w:ascii="Arial" w:hAnsi="Arial" w:cs="Arial"/>
        </w:rPr>
        <w:t xml:space="preserve"> in the cultures of healthcare systems and professionals globally. Dealing with it in a UK H&amp;SC context will not be enough if it is dealt with just by raising public awareness of it, but also structural change within services coupled with continued training </w:t>
      </w:r>
      <w:r w:rsidRPr="009251F9">
        <w:rPr>
          <w:rFonts w:ascii="Arial" w:hAnsi="Arial" w:cs="Arial"/>
        </w:rPr>
        <w:t xml:space="preserve">of </w:t>
      </w:r>
      <w:r w:rsidRPr="009251F9">
        <w:rPr>
          <w:rFonts w:ascii="Arial" w:hAnsi="Arial" w:cs="Arial"/>
        </w:rPr>
        <w:t>staff on how to deal with stigma.</w:t>
      </w:r>
    </w:p>
    <w:p w14:paraId="6D0D2DF1" w14:textId="77777777" w:rsidR="00EF5A4C" w:rsidRPr="009251F9" w:rsidRDefault="00EF5A4C" w:rsidP="009251F9">
      <w:pPr>
        <w:jc w:val="both"/>
        <w:rPr>
          <w:rFonts w:ascii="Arial" w:hAnsi="Arial" w:cs="Arial"/>
          <w:b/>
          <w:bCs/>
        </w:rPr>
      </w:pPr>
      <w:r w:rsidRPr="009251F9">
        <w:rPr>
          <w:rFonts w:ascii="Arial" w:hAnsi="Arial" w:cs="Arial"/>
          <w:b/>
          <w:bCs/>
        </w:rPr>
        <w:br w:type="page"/>
      </w:r>
    </w:p>
    <w:p w14:paraId="4DBA4B69" w14:textId="3CC20061" w:rsidR="00EF5A4C" w:rsidRDefault="00EF5A4C" w:rsidP="009251F9">
      <w:pPr>
        <w:pStyle w:val="Heading1"/>
        <w:jc w:val="both"/>
        <w:rPr>
          <w:b/>
          <w:bCs/>
          <w:color w:val="auto"/>
          <w:sz w:val="22"/>
          <w:szCs w:val="22"/>
        </w:rPr>
      </w:pPr>
      <w:bookmarkStart w:id="4" w:name="_Toc234222714"/>
      <w:r w:rsidRPr="00434D42">
        <w:rPr>
          <w:b/>
          <w:bCs/>
          <w:color w:val="auto"/>
          <w:sz w:val="22"/>
          <w:szCs w:val="22"/>
        </w:rPr>
        <w:lastRenderedPageBreak/>
        <w:t>Task 5 – Podcast</w:t>
      </w:r>
      <w:bookmarkEnd w:id="4"/>
    </w:p>
    <w:p w14:paraId="79956E03" w14:textId="77777777" w:rsidR="00434D42" w:rsidRPr="00434D42" w:rsidRDefault="00434D42" w:rsidP="009251F9">
      <w:pPr>
        <w:pStyle w:val="Heading1"/>
        <w:jc w:val="both"/>
        <w:rPr>
          <w:b/>
          <w:bCs/>
          <w:color w:val="auto"/>
          <w:sz w:val="22"/>
          <w:szCs w:val="22"/>
        </w:rPr>
      </w:pPr>
    </w:p>
    <w:p w14:paraId="7EEBE77D" w14:textId="77777777" w:rsidR="00EF5A4C" w:rsidRPr="009251F9" w:rsidRDefault="00EF5A4C" w:rsidP="009251F9">
      <w:pPr>
        <w:spacing w:line="360" w:lineRule="auto"/>
        <w:jc w:val="both"/>
        <w:rPr>
          <w:rFonts w:ascii="Arial" w:hAnsi="Arial" w:cs="Arial"/>
          <w:b/>
          <w:bCs/>
        </w:rPr>
      </w:pPr>
      <w:r w:rsidRPr="009251F9">
        <w:rPr>
          <w:rFonts w:ascii="Arial" w:hAnsi="Arial" w:cs="Arial"/>
          <w:b/>
          <w:bCs/>
        </w:rPr>
        <w:t>Component 2 idea: The Discharge Companion</w:t>
      </w:r>
    </w:p>
    <w:p w14:paraId="3B1C9947" w14:textId="7FFF70EE" w:rsidR="00EF5A4C" w:rsidRPr="009251F9" w:rsidRDefault="00EF5A4C" w:rsidP="009251F9">
      <w:pPr>
        <w:spacing w:line="360" w:lineRule="auto"/>
        <w:jc w:val="both"/>
        <w:rPr>
          <w:rFonts w:ascii="Arial" w:hAnsi="Arial" w:cs="Arial"/>
        </w:rPr>
      </w:pPr>
      <w:r w:rsidRPr="009251F9">
        <w:rPr>
          <w:rFonts w:ascii="Arial" w:hAnsi="Arial" w:cs="Arial"/>
        </w:rPr>
        <w:t xml:space="preserve">A QR </w:t>
      </w:r>
      <w:r w:rsidR="009251F9">
        <w:rPr>
          <w:rFonts w:ascii="Arial" w:hAnsi="Arial" w:cs="Arial"/>
        </w:rPr>
        <w:t>code-linked</w:t>
      </w:r>
      <w:r w:rsidRPr="009251F9">
        <w:rPr>
          <w:rFonts w:ascii="Arial" w:hAnsi="Arial" w:cs="Arial"/>
        </w:rPr>
        <w:t xml:space="preserve"> discharge card for NHS wards to address the service delivery/efficiency challenge </w:t>
      </w:r>
      <w:r w:rsidR="00434D42">
        <w:rPr>
          <w:rFonts w:ascii="Arial" w:hAnsi="Arial" w:cs="Arial"/>
        </w:rPr>
        <w:t xml:space="preserve">and </w:t>
      </w:r>
      <w:r w:rsidRPr="009251F9">
        <w:rPr>
          <w:rFonts w:ascii="Arial" w:hAnsi="Arial" w:cs="Arial"/>
        </w:rPr>
        <w:t>poor discharge communication. Patients use the code to view a quick, easy-to-understand video or audio message in various languages, explaining their medication schedule, what to watch out for and who to call.</w:t>
      </w:r>
    </w:p>
    <w:p w14:paraId="2F01A87A" w14:textId="6490A019" w:rsidR="00EF5A4C" w:rsidRPr="009251F9" w:rsidRDefault="00434D42" w:rsidP="009251F9">
      <w:pPr>
        <w:jc w:val="both"/>
        <w:rPr>
          <w:rFonts w:ascii="Arial" w:hAnsi="Arial" w:cs="Arial"/>
          <w:b/>
          <w:bCs/>
        </w:rPr>
      </w:pPr>
      <w:r>
        <w:rPr>
          <w:rFonts w:ascii="Arial" w:hAnsi="Arial" w:cs="Arial"/>
          <w:b/>
          <w:bCs/>
        </w:rPr>
        <w:object w:dxaOrig="2124" w:dyaOrig="816" w14:anchorId="7D25353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06.2pt;height:40.8pt" o:ole="">
            <v:imagedata r:id="rId9" o:title=""/>
          </v:shape>
          <o:OLEObject Type="Embed" ProgID="Package" ShapeID="_x0000_i1027" DrawAspect="Content" ObjectID="_1844836554" r:id="rId10"/>
        </w:object>
      </w:r>
    </w:p>
    <w:p w14:paraId="07F10099" w14:textId="77777777" w:rsidR="00434D42" w:rsidRDefault="00434D42">
      <w:pPr>
        <w:rPr>
          <w:rFonts w:ascii="Arial" w:eastAsia="Arial" w:hAnsi="Arial" w:cs="Arial"/>
          <w:b/>
          <w:bCs/>
          <w:lang w:val="en-KE" w:eastAsia="en-KE"/>
        </w:rPr>
      </w:pPr>
      <w:bookmarkStart w:id="5" w:name="_Toc234222715"/>
      <w:r>
        <w:rPr>
          <w:b/>
          <w:bCs/>
        </w:rPr>
        <w:br w:type="page"/>
      </w:r>
    </w:p>
    <w:p w14:paraId="5330FDCD" w14:textId="177894CB" w:rsidR="00EF5A4C" w:rsidRDefault="00EF5A4C" w:rsidP="009251F9">
      <w:pPr>
        <w:pStyle w:val="Heading1"/>
        <w:jc w:val="both"/>
        <w:rPr>
          <w:b/>
          <w:bCs/>
          <w:color w:val="auto"/>
          <w:sz w:val="22"/>
          <w:szCs w:val="22"/>
        </w:rPr>
      </w:pPr>
      <w:r w:rsidRPr="00434D42">
        <w:rPr>
          <w:b/>
          <w:bCs/>
          <w:color w:val="auto"/>
          <w:sz w:val="22"/>
          <w:szCs w:val="22"/>
        </w:rPr>
        <w:lastRenderedPageBreak/>
        <w:t>Task 6 – NHS Leadership Framework Analysis</w:t>
      </w:r>
      <w:bookmarkEnd w:id="5"/>
    </w:p>
    <w:p w14:paraId="4A597F9D" w14:textId="77777777" w:rsidR="00434D42" w:rsidRPr="00434D42" w:rsidRDefault="00434D42" w:rsidP="009251F9">
      <w:pPr>
        <w:pStyle w:val="Heading1"/>
        <w:jc w:val="both"/>
        <w:rPr>
          <w:b/>
          <w:bCs/>
          <w:color w:val="auto"/>
          <w:sz w:val="22"/>
          <w:szCs w:val="22"/>
        </w:rPr>
      </w:pPr>
    </w:p>
    <w:p w14:paraId="1985867B" w14:textId="77777777" w:rsidR="00EF5A4C" w:rsidRPr="009251F9" w:rsidRDefault="00EF5A4C" w:rsidP="009251F9">
      <w:pPr>
        <w:spacing w:line="360" w:lineRule="auto"/>
        <w:jc w:val="both"/>
        <w:rPr>
          <w:rFonts w:ascii="Arial" w:hAnsi="Arial" w:cs="Arial"/>
          <w:b/>
          <w:bCs/>
        </w:rPr>
      </w:pPr>
      <w:r w:rsidRPr="009251F9">
        <w:rPr>
          <w:rFonts w:ascii="Arial" w:hAnsi="Arial" w:cs="Arial"/>
          <w:b/>
          <w:bCs/>
        </w:rPr>
        <w:t>The NHS Healthcare Leadership Model</w:t>
      </w:r>
    </w:p>
    <w:p w14:paraId="3284CA77" w14:textId="77777777" w:rsidR="00EF5A4C" w:rsidRPr="009251F9" w:rsidRDefault="00EF5A4C" w:rsidP="009251F9">
      <w:pPr>
        <w:spacing w:line="360" w:lineRule="auto"/>
        <w:jc w:val="both"/>
        <w:rPr>
          <w:rFonts w:ascii="Arial" w:hAnsi="Arial" w:cs="Arial"/>
        </w:rPr>
      </w:pPr>
      <w:r w:rsidRPr="009251F9">
        <w:rPr>
          <w:rFonts w:ascii="Arial" w:hAnsi="Arial" w:cs="Arial"/>
        </w:rPr>
        <w:t>The NHS Healthcare Leadership Model is an evidence-based model of observed behaviours for all people involved in health and social care, and is developed by the NHS Leadership Academy (2013). It is organised in terms of the following nine dimensions: inspiring shared purpose, leading with care, evaluating information, connecting our service, sharing the vision, engaging the team, holding to account, developing capability, and influencing for results. Each dimension has a four-point scale, from essential to proficient, strong and exemplary, and is measured as a 'reflective question' rather than a checklist (NHS Leadership Academy, 2013). Unlike the traditional competency frameworks that are rooted in abstract competencies, the model is applicable to leadership behaviours in the workplace at all levels of the organisation, from ward staff to executive board members, and can be used in self-assessment, 360-degree feedback and personal development planning.</w:t>
      </w:r>
    </w:p>
    <w:p w14:paraId="2B581066" w14:textId="77777777" w:rsidR="00EF5A4C" w:rsidRPr="009251F9" w:rsidRDefault="00EF5A4C" w:rsidP="009251F9">
      <w:pPr>
        <w:spacing w:line="360" w:lineRule="auto"/>
        <w:jc w:val="both"/>
        <w:rPr>
          <w:rFonts w:ascii="Arial" w:hAnsi="Arial" w:cs="Arial"/>
          <w:b/>
          <w:bCs/>
        </w:rPr>
      </w:pPr>
      <w:r w:rsidRPr="009251F9">
        <w:rPr>
          <w:rFonts w:ascii="Arial" w:hAnsi="Arial" w:cs="Arial"/>
          <w:b/>
          <w:bCs/>
        </w:rPr>
        <w:t>Applying ‘Engaging the Team’ to Encourage Creativity</w:t>
      </w:r>
    </w:p>
    <w:p w14:paraId="6C79D25F" w14:textId="29F849EB" w:rsidR="00EF5A4C" w:rsidRPr="009251F9" w:rsidRDefault="00EF5A4C" w:rsidP="009251F9">
      <w:pPr>
        <w:spacing w:line="360" w:lineRule="auto"/>
        <w:jc w:val="both"/>
        <w:rPr>
          <w:rFonts w:ascii="Arial" w:hAnsi="Arial" w:cs="Arial"/>
        </w:rPr>
      </w:pPr>
      <w:r w:rsidRPr="009251F9">
        <w:rPr>
          <w:rFonts w:ascii="Arial" w:hAnsi="Arial" w:cs="Arial"/>
        </w:rPr>
        <w:t xml:space="preserve">A leader can use this dimension to engage the team in the focus and encourage them to be creative in the way that they offer their ideas without worry of criticism. The King's Fund's West, Bailey and Williams (2017) conclude that caring for staff, knowing what they face, and helping them to overcome these challenges is a key aspect of developing psychological safety and autonomy – the two key enabling factors found in every successful </w:t>
      </w:r>
      <w:r w:rsidRPr="009251F9">
        <w:rPr>
          <w:rFonts w:ascii="Arial" w:hAnsi="Arial" w:cs="Arial"/>
        </w:rPr>
        <w:t>innovation</w:t>
      </w:r>
      <w:r w:rsidRPr="009251F9">
        <w:rPr>
          <w:rFonts w:ascii="Arial" w:hAnsi="Arial" w:cs="Arial"/>
        </w:rPr>
        <w:t xml:space="preserve"> study. Leaders who truly engage with frontline staff and seek their opinions and feedback will not only gain a broader array of ideas, but will also foster an ownership dynamic of frontline staff </w:t>
      </w:r>
      <w:r w:rsidRPr="009251F9">
        <w:rPr>
          <w:rFonts w:ascii="Arial" w:hAnsi="Arial" w:cs="Arial"/>
        </w:rPr>
        <w:t>realising</w:t>
      </w:r>
      <w:r w:rsidRPr="009251F9">
        <w:rPr>
          <w:rFonts w:ascii="Arial" w:hAnsi="Arial" w:cs="Arial"/>
        </w:rPr>
        <w:t xml:space="preserve"> that they are part of the decision-making process that will be implemented into their jobs. An example of this could be a motivation-free session run by the ward manager and open to all staff to propose small suggestions for ward practice or communication that could help to start improving care. One challenge with this method is that ideas may not be implemented if there is no protected time, budget, or authority to explore ideas and learn from their testing; or, if psychological safety is the only measure of a forum's success, then staff enthusiasm may be lost, as there is no opportunity to try new ideas and learn from the results. This directly drives creativity and the improvement of care, in bringing salient factors to the fore that senior management may never have </w:t>
      </w:r>
      <w:r w:rsidR="009251F9">
        <w:rPr>
          <w:rFonts w:ascii="Arial" w:hAnsi="Arial" w:cs="Arial"/>
        </w:rPr>
        <w:t>considered</w:t>
      </w:r>
      <w:r w:rsidRPr="009251F9">
        <w:rPr>
          <w:rFonts w:ascii="Arial" w:hAnsi="Arial" w:cs="Arial"/>
        </w:rPr>
        <w:t>.</w:t>
      </w:r>
    </w:p>
    <w:p w14:paraId="2E125337" w14:textId="77777777" w:rsidR="00EF5A4C" w:rsidRPr="009251F9" w:rsidRDefault="00EF5A4C" w:rsidP="009251F9">
      <w:pPr>
        <w:jc w:val="both"/>
        <w:rPr>
          <w:rFonts w:ascii="Arial" w:hAnsi="Arial" w:cs="Arial"/>
          <w:b/>
          <w:bCs/>
        </w:rPr>
      </w:pPr>
      <w:r w:rsidRPr="009251F9">
        <w:rPr>
          <w:rFonts w:ascii="Arial" w:hAnsi="Arial" w:cs="Arial"/>
          <w:b/>
          <w:bCs/>
        </w:rPr>
        <w:br w:type="page"/>
      </w:r>
    </w:p>
    <w:p w14:paraId="188884FE" w14:textId="5087284B" w:rsidR="00EF5A4C" w:rsidRDefault="00EF5A4C" w:rsidP="009251F9">
      <w:pPr>
        <w:pStyle w:val="Heading1"/>
        <w:jc w:val="both"/>
        <w:rPr>
          <w:b/>
          <w:bCs/>
          <w:color w:val="auto"/>
          <w:sz w:val="22"/>
          <w:szCs w:val="22"/>
        </w:rPr>
      </w:pPr>
      <w:bookmarkStart w:id="6" w:name="_Toc234222716"/>
      <w:r w:rsidRPr="009251F9">
        <w:rPr>
          <w:b/>
          <w:bCs/>
          <w:color w:val="auto"/>
          <w:sz w:val="22"/>
          <w:szCs w:val="22"/>
        </w:rPr>
        <w:lastRenderedPageBreak/>
        <w:t>Task 7 – Self-Reflection Journal Entry</w:t>
      </w:r>
      <w:bookmarkEnd w:id="6"/>
    </w:p>
    <w:p w14:paraId="6C219EEF" w14:textId="77777777" w:rsidR="009251F9" w:rsidRPr="009251F9" w:rsidRDefault="009251F9" w:rsidP="009251F9">
      <w:pPr>
        <w:pStyle w:val="Heading1"/>
        <w:jc w:val="both"/>
        <w:rPr>
          <w:b/>
          <w:bCs/>
          <w:color w:val="auto"/>
          <w:sz w:val="22"/>
          <w:szCs w:val="22"/>
        </w:rPr>
      </w:pPr>
    </w:p>
    <w:p w14:paraId="4862CF20" w14:textId="2D6BD60A" w:rsidR="00EF5A4C" w:rsidRPr="009251F9" w:rsidRDefault="00EF5A4C" w:rsidP="009251F9">
      <w:pPr>
        <w:spacing w:line="360" w:lineRule="auto"/>
        <w:jc w:val="both"/>
        <w:rPr>
          <w:rFonts w:ascii="Arial" w:hAnsi="Arial" w:cs="Arial"/>
        </w:rPr>
      </w:pPr>
      <w:r w:rsidRPr="009251F9">
        <w:rPr>
          <w:rFonts w:ascii="Arial" w:hAnsi="Arial" w:cs="Arial"/>
        </w:rPr>
        <w:t>I had a limited perception of creativity before beginning this module as an artistic ability rather than focusing on aspects that can be expressed in health and social care. After studying some of the activities I had done – like the paperclip task – my thinking around value creation has changed significantly</w:t>
      </w:r>
      <w:r w:rsidRPr="009251F9">
        <w:rPr>
          <w:rFonts w:ascii="Arial" w:hAnsi="Arial" w:cs="Arial"/>
        </w:rPr>
        <w:t>;</w:t>
      </w:r>
      <w:r w:rsidRPr="009251F9">
        <w:rPr>
          <w:rFonts w:ascii="Arial" w:hAnsi="Arial" w:cs="Arial"/>
        </w:rPr>
        <w:t xml:space="preserve"> I now view value creation as a practical skill that can be learnt and as a process of identifying multiple options before deciding on the best option.</w:t>
      </w:r>
    </w:p>
    <w:p w14:paraId="11B0EA13" w14:textId="77777777" w:rsidR="00EF5A4C" w:rsidRPr="009251F9" w:rsidRDefault="00EF5A4C" w:rsidP="009251F9">
      <w:pPr>
        <w:spacing w:line="360" w:lineRule="auto"/>
        <w:jc w:val="both"/>
        <w:rPr>
          <w:rFonts w:ascii="Arial" w:hAnsi="Arial" w:cs="Arial"/>
        </w:rPr>
      </w:pPr>
      <w:r w:rsidRPr="009251F9">
        <w:rPr>
          <w:rFonts w:ascii="Arial" w:hAnsi="Arial" w:cs="Arial"/>
        </w:rPr>
        <w:t>I've realised that the definition of innovation in the field of H&amp;SC doesn't have to be about the introduction of new technology or big funding. It can be about clever thinking around linking people together and their resources, using an existing base but in new ways. This is what the Rotherham social prescribing pilot has taught me, for example.</w:t>
      </w:r>
    </w:p>
    <w:p w14:paraId="0C1B27D9" w14:textId="5AC768A3" w:rsidR="00666549" w:rsidRPr="009251F9" w:rsidRDefault="00EF5A4C" w:rsidP="009251F9">
      <w:pPr>
        <w:spacing w:line="360" w:lineRule="auto"/>
        <w:jc w:val="both"/>
        <w:rPr>
          <w:rFonts w:ascii="Arial" w:hAnsi="Arial" w:cs="Arial"/>
        </w:rPr>
      </w:pPr>
      <w:r w:rsidRPr="009251F9">
        <w:rPr>
          <w:rFonts w:ascii="Arial" w:hAnsi="Arial" w:cs="Arial"/>
        </w:rPr>
        <w:t xml:space="preserve">Since I haven't taken the placement yet, I can't explain how this has impacted my practice yet. But it's changed my mindset: I want to be more service </w:t>
      </w:r>
      <w:r w:rsidRPr="009251F9">
        <w:rPr>
          <w:rFonts w:ascii="Arial" w:hAnsi="Arial" w:cs="Arial"/>
        </w:rPr>
        <w:t>user-minded,</w:t>
      </w:r>
      <w:r w:rsidRPr="009251F9">
        <w:rPr>
          <w:rFonts w:ascii="Arial" w:hAnsi="Arial" w:cs="Arial"/>
        </w:rPr>
        <w:t xml:space="preserve"> conscious of what others in my service user communities and colleagues have to say, instead of believing that the way things are always done is the best.</w:t>
      </w:r>
    </w:p>
    <w:p w14:paraId="2F062D8D" w14:textId="1B0E4920" w:rsidR="009251F9" w:rsidRPr="009251F9" w:rsidRDefault="009251F9" w:rsidP="009251F9">
      <w:pPr>
        <w:spacing w:line="360" w:lineRule="auto"/>
        <w:jc w:val="both"/>
        <w:rPr>
          <w:rFonts w:ascii="Arial" w:hAnsi="Arial" w:cs="Arial"/>
        </w:rPr>
      </w:pPr>
    </w:p>
    <w:p w14:paraId="7541F92E" w14:textId="77777777" w:rsidR="009251F9" w:rsidRPr="009251F9" w:rsidRDefault="009251F9">
      <w:pPr>
        <w:rPr>
          <w:rFonts w:ascii="Arial" w:eastAsia="Arial" w:hAnsi="Arial" w:cs="Arial"/>
          <w:b/>
          <w:bCs/>
          <w:color w:val="0B2545"/>
          <w:lang w:val="en-KE" w:eastAsia="en-KE"/>
        </w:rPr>
      </w:pPr>
      <w:r w:rsidRPr="009251F9">
        <w:rPr>
          <w:rFonts w:ascii="Arial" w:hAnsi="Arial" w:cs="Arial"/>
          <w:b/>
          <w:bCs/>
          <w:color w:val="0B2545"/>
        </w:rPr>
        <w:br w:type="page"/>
      </w:r>
    </w:p>
    <w:p w14:paraId="14640CF6" w14:textId="2D60CA69" w:rsidR="009251F9" w:rsidRPr="009251F9" w:rsidRDefault="009251F9" w:rsidP="009251F9">
      <w:pPr>
        <w:pStyle w:val="Heading1"/>
        <w:spacing w:before="320" w:after="160"/>
        <w:rPr>
          <w:sz w:val="22"/>
          <w:szCs w:val="22"/>
        </w:rPr>
      </w:pPr>
      <w:r w:rsidRPr="009251F9">
        <w:rPr>
          <w:b/>
          <w:bCs/>
          <w:color w:val="0B2545"/>
          <w:sz w:val="22"/>
          <w:szCs w:val="22"/>
        </w:rPr>
        <w:lastRenderedPageBreak/>
        <w:t>Reference List</w:t>
      </w:r>
    </w:p>
    <w:p w14:paraId="5D51FDDA" w14:textId="77777777" w:rsidR="009251F9" w:rsidRPr="009251F9" w:rsidRDefault="009251F9" w:rsidP="009251F9">
      <w:pPr>
        <w:spacing w:line="360" w:lineRule="auto"/>
        <w:ind w:left="720" w:hanging="720"/>
        <w:jc w:val="both"/>
        <w:rPr>
          <w:rFonts w:ascii="Arial" w:hAnsi="Arial" w:cs="Arial"/>
        </w:rPr>
      </w:pPr>
      <w:r w:rsidRPr="009251F9">
        <w:rPr>
          <w:rFonts w:ascii="Arial" w:eastAsia="Arial" w:hAnsi="Arial" w:cs="Arial"/>
        </w:rPr>
        <w:t xml:space="preserve">Ahad, A.A., Sanchez-Gonzalez, M. and Junquera, P. (2023) 'Understanding and addressing mental health stigma across cultures for improving psychiatric care: a narrative review', Cureus, 15(5), e39549. </w:t>
      </w:r>
      <w:hyperlink r:id="rId11" w:history="1">
        <w:r w:rsidRPr="009251F9">
          <w:rPr>
            <w:rStyle w:val="Hyperlink"/>
            <w:rFonts w:ascii="Arial" w:hAnsi="Arial" w:cs="Arial"/>
          </w:rPr>
          <w:t>https://doi.org/10.7759/cureus.39549</w:t>
        </w:r>
      </w:hyperlink>
    </w:p>
    <w:p w14:paraId="2D846EC9" w14:textId="77777777" w:rsidR="009251F9" w:rsidRPr="009251F9" w:rsidRDefault="009251F9" w:rsidP="009251F9">
      <w:pPr>
        <w:spacing w:line="360" w:lineRule="auto"/>
        <w:ind w:left="720" w:hanging="720"/>
        <w:jc w:val="both"/>
        <w:rPr>
          <w:rFonts w:ascii="Arial" w:hAnsi="Arial" w:cs="Arial"/>
        </w:rPr>
      </w:pPr>
      <w:r w:rsidRPr="009251F9">
        <w:rPr>
          <w:rFonts w:ascii="Arial" w:eastAsia="Arial" w:hAnsi="Arial" w:cs="Arial"/>
        </w:rPr>
        <w:t xml:space="preserve">Dayson, C. and Bashir, N. (2014) The Social and Economic Impact of the Rotherham Social Prescribing Pilot: Main Evaluation Report. Sheffield: Centre for Regional Economic and Social Research, Sheffield Hallam University. </w:t>
      </w:r>
      <w:hyperlink r:id="rId12" w:history="1">
        <w:r w:rsidRPr="009251F9">
          <w:rPr>
            <w:rStyle w:val="Hyperlink"/>
            <w:rFonts w:ascii="Arial" w:hAnsi="Arial" w:cs="Arial"/>
          </w:rPr>
          <w:t>https://shura.shu.ac.uk/26800/1/rotherham-social-prescribing-final.pdf</w:t>
        </w:r>
      </w:hyperlink>
    </w:p>
    <w:p w14:paraId="4C9ADFA6" w14:textId="77777777" w:rsidR="009251F9" w:rsidRPr="009251F9" w:rsidRDefault="009251F9" w:rsidP="009251F9">
      <w:pPr>
        <w:spacing w:line="360" w:lineRule="auto"/>
        <w:ind w:left="720" w:hanging="720"/>
        <w:jc w:val="both"/>
        <w:rPr>
          <w:rFonts w:ascii="Arial" w:hAnsi="Arial" w:cs="Arial"/>
        </w:rPr>
      </w:pPr>
      <w:r w:rsidRPr="009251F9">
        <w:rPr>
          <w:rFonts w:ascii="Arial" w:eastAsia="Arial" w:hAnsi="Arial" w:cs="Arial"/>
        </w:rPr>
        <w:t xml:space="preserve">Design Council (2019) Framework for Innovation: Design Council's Evolved Double Diamond. </w:t>
      </w:r>
      <w:hyperlink r:id="rId13" w:history="1">
        <w:r w:rsidRPr="009251F9">
          <w:rPr>
            <w:rStyle w:val="Hyperlink"/>
            <w:rFonts w:ascii="Arial" w:hAnsi="Arial" w:cs="Arial"/>
          </w:rPr>
          <w:t>https://www.designcouncil.org.uk/resources/framework-for-innovation/</w:t>
        </w:r>
      </w:hyperlink>
    </w:p>
    <w:p w14:paraId="6C82B9D8" w14:textId="77777777" w:rsidR="009251F9" w:rsidRPr="009251F9" w:rsidRDefault="009251F9" w:rsidP="009251F9">
      <w:pPr>
        <w:spacing w:line="360" w:lineRule="auto"/>
        <w:ind w:left="720" w:hanging="720"/>
        <w:jc w:val="both"/>
        <w:rPr>
          <w:rFonts w:ascii="Arial" w:hAnsi="Arial" w:cs="Arial"/>
        </w:rPr>
      </w:pPr>
      <w:r w:rsidRPr="009251F9">
        <w:rPr>
          <w:rFonts w:ascii="Arial" w:eastAsia="Arial" w:hAnsi="Arial" w:cs="Arial"/>
        </w:rPr>
        <w:t>Gibbs, G. (1988) Learning by Doing: A Guide to Teaching and Learning Methods. Oxford: Further Education Unit, Oxford Polytechnic.</w:t>
      </w:r>
    </w:p>
    <w:p w14:paraId="6E208BCD" w14:textId="77777777" w:rsidR="009251F9" w:rsidRPr="009251F9" w:rsidRDefault="009251F9" w:rsidP="009251F9">
      <w:pPr>
        <w:spacing w:line="360" w:lineRule="auto"/>
        <w:ind w:left="720" w:hanging="720"/>
        <w:jc w:val="both"/>
        <w:rPr>
          <w:rFonts w:ascii="Arial" w:hAnsi="Arial" w:cs="Arial"/>
        </w:rPr>
      </w:pPr>
      <w:r w:rsidRPr="009251F9">
        <w:rPr>
          <w:rFonts w:ascii="Arial" w:eastAsia="Arial" w:hAnsi="Arial" w:cs="Arial"/>
        </w:rPr>
        <w:t>Knaak, S., Mantler, E. and Szeto, A. (2017) 'Mental illness-related stigma in healthcare: barriers to access and care and evidence-based solutions', Healthcare Management Forum, 30(2), pp. 111–116.</w:t>
      </w:r>
      <w:r w:rsidRPr="009251F9">
        <w:rPr>
          <w:rFonts w:ascii="Arial" w:hAnsi="Arial" w:cs="Arial"/>
          <w:lang w:val="en-US"/>
        </w:rPr>
        <w:t xml:space="preserve"> </w:t>
      </w:r>
      <w:hyperlink r:id="rId14" w:history="1">
        <w:r w:rsidRPr="009251F9">
          <w:rPr>
            <w:rStyle w:val="Hyperlink"/>
            <w:rFonts w:ascii="Arial" w:hAnsi="Arial" w:cs="Arial"/>
          </w:rPr>
          <w:t>https://doi.org/10.1177/0840470416679413</w:t>
        </w:r>
      </w:hyperlink>
    </w:p>
    <w:p w14:paraId="71A02CE2" w14:textId="77777777" w:rsidR="009251F9" w:rsidRPr="009251F9" w:rsidRDefault="009251F9" w:rsidP="009251F9">
      <w:pPr>
        <w:spacing w:line="360" w:lineRule="auto"/>
        <w:ind w:left="720" w:hanging="720"/>
        <w:jc w:val="both"/>
        <w:rPr>
          <w:rFonts w:ascii="Arial" w:hAnsi="Arial" w:cs="Arial"/>
        </w:rPr>
      </w:pPr>
      <w:r w:rsidRPr="009251F9">
        <w:rPr>
          <w:rFonts w:ascii="Arial" w:eastAsia="Arial" w:hAnsi="Arial" w:cs="Arial"/>
        </w:rPr>
        <w:t xml:space="preserve">NHS England (2023) Improving Access with the Rotherham Social Prescribing Service. </w:t>
      </w:r>
      <w:hyperlink r:id="rId15" w:history="1">
        <w:r w:rsidRPr="009251F9">
          <w:rPr>
            <w:rStyle w:val="Hyperlink"/>
            <w:rFonts w:ascii="Arial" w:hAnsi="Arial" w:cs="Arial"/>
          </w:rPr>
          <w:t>https://www.england.nhs.uk/gp/case-studies/rotherham-social-prescribing/</w:t>
        </w:r>
      </w:hyperlink>
    </w:p>
    <w:p w14:paraId="28E6CC38" w14:textId="77777777" w:rsidR="009251F9" w:rsidRPr="009251F9" w:rsidRDefault="009251F9" w:rsidP="009251F9">
      <w:pPr>
        <w:spacing w:line="360" w:lineRule="auto"/>
        <w:ind w:left="720" w:hanging="720"/>
        <w:jc w:val="both"/>
        <w:rPr>
          <w:rFonts w:ascii="Arial" w:hAnsi="Arial" w:cs="Arial"/>
        </w:rPr>
      </w:pPr>
      <w:r w:rsidRPr="009251F9">
        <w:rPr>
          <w:rFonts w:ascii="Arial" w:eastAsia="Arial" w:hAnsi="Arial" w:cs="Arial"/>
        </w:rPr>
        <w:t xml:space="preserve">NHS Leadership Academy (2013) The Healthcare Leadership Model: The Nine Dimensions of Leadership Behaviour. Leeds: NHS Leadership Academy. </w:t>
      </w:r>
      <w:hyperlink r:id="rId16" w:history="1">
        <w:r w:rsidRPr="009251F9">
          <w:rPr>
            <w:rStyle w:val="Hyperlink"/>
            <w:rFonts w:ascii="Arial" w:hAnsi="Arial" w:cs="Arial"/>
          </w:rPr>
          <w:t>https://www.leadershipacademy.nhs.uk/wp-content/uploads/2014/10/NHSLeadership-LeadershipModel-colour.pdf</w:t>
        </w:r>
      </w:hyperlink>
    </w:p>
    <w:p w14:paraId="39354C66" w14:textId="77777777" w:rsidR="009251F9" w:rsidRPr="009251F9" w:rsidRDefault="009251F9" w:rsidP="009251F9">
      <w:pPr>
        <w:spacing w:line="360" w:lineRule="auto"/>
        <w:ind w:left="720" w:hanging="720"/>
        <w:jc w:val="both"/>
        <w:rPr>
          <w:rFonts w:ascii="Arial" w:hAnsi="Arial" w:cs="Arial"/>
        </w:rPr>
      </w:pPr>
      <w:r w:rsidRPr="009251F9">
        <w:rPr>
          <w:rFonts w:ascii="Arial" w:eastAsia="Arial" w:hAnsi="Arial" w:cs="Arial"/>
        </w:rPr>
        <w:t xml:space="preserve">Osborne, S.P. (2021) 'Beyond co-production: value creation and public services', Public Administration, 99(4), pp. 641–657. </w:t>
      </w:r>
      <w:hyperlink r:id="rId17" w:history="1">
        <w:r w:rsidRPr="009251F9">
          <w:rPr>
            <w:rStyle w:val="Hyperlink"/>
            <w:rFonts w:ascii="Arial" w:hAnsi="Arial" w:cs="Arial"/>
          </w:rPr>
          <w:t>https://doi.org/10.1111/padm.12718</w:t>
        </w:r>
      </w:hyperlink>
    </w:p>
    <w:p w14:paraId="4CC0A68B" w14:textId="77777777" w:rsidR="009251F9" w:rsidRPr="009251F9" w:rsidRDefault="009251F9" w:rsidP="009251F9">
      <w:pPr>
        <w:spacing w:line="360" w:lineRule="auto"/>
        <w:ind w:left="720" w:hanging="720"/>
        <w:jc w:val="both"/>
        <w:rPr>
          <w:rFonts w:ascii="Arial" w:hAnsi="Arial" w:cs="Arial"/>
        </w:rPr>
      </w:pPr>
      <w:r w:rsidRPr="009251F9">
        <w:rPr>
          <w:rFonts w:ascii="Arial" w:eastAsia="Arial" w:hAnsi="Arial" w:cs="Arial"/>
        </w:rPr>
        <w:t xml:space="preserve">West, M., Bailey, S. and Williams, E. (2017) Caring to Change: How Compassionate Leadership Can Stimulate Innovation in Health Care. London: The King's Fund.  </w:t>
      </w:r>
      <w:hyperlink r:id="rId18" w:history="1">
        <w:r w:rsidRPr="009251F9">
          <w:rPr>
            <w:rStyle w:val="Hyperlink"/>
            <w:rFonts w:ascii="Arial" w:hAnsi="Arial" w:cs="Arial"/>
          </w:rPr>
          <w:t>https://assets.kingsfund.org.uk/f/256914/x/0b76247d02/caring_to_change_2017.pdf</w:t>
        </w:r>
      </w:hyperlink>
    </w:p>
    <w:p w14:paraId="15C1F2E6" w14:textId="77777777" w:rsidR="009251F9" w:rsidRPr="009251F9" w:rsidRDefault="009251F9" w:rsidP="009251F9">
      <w:pPr>
        <w:spacing w:line="360" w:lineRule="auto"/>
        <w:ind w:left="720" w:hanging="720"/>
        <w:jc w:val="both"/>
        <w:rPr>
          <w:rFonts w:ascii="Arial" w:hAnsi="Arial" w:cs="Arial"/>
        </w:rPr>
      </w:pPr>
    </w:p>
    <w:p w14:paraId="0E180E5F" w14:textId="77777777" w:rsidR="009251F9" w:rsidRPr="009251F9" w:rsidRDefault="009251F9" w:rsidP="009251F9">
      <w:pPr>
        <w:spacing w:line="360" w:lineRule="auto"/>
        <w:jc w:val="both"/>
        <w:rPr>
          <w:rFonts w:ascii="Arial" w:hAnsi="Arial" w:cs="Arial"/>
        </w:rPr>
      </w:pPr>
    </w:p>
    <w:sectPr w:rsidR="009251F9" w:rsidRPr="009251F9">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2E4FF4" w14:textId="77777777" w:rsidR="001E6CFB" w:rsidRDefault="001E6CFB" w:rsidP="00194606">
      <w:pPr>
        <w:spacing w:after="0" w:line="240" w:lineRule="auto"/>
      </w:pPr>
      <w:r>
        <w:separator/>
      </w:r>
    </w:p>
  </w:endnote>
  <w:endnote w:type="continuationSeparator" w:id="0">
    <w:p w14:paraId="585A715B" w14:textId="77777777" w:rsidR="001E6CFB" w:rsidRDefault="001E6CFB" w:rsidP="001946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2461062"/>
      <w:docPartObj>
        <w:docPartGallery w:val="Page Numbers (Bottom of Page)"/>
        <w:docPartUnique/>
      </w:docPartObj>
    </w:sdtPr>
    <w:sdtContent>
      <w:sdt>
        <w:sdtPr>
          <w:id w:val="-1705238520"/>
          <w:docPartObj>
            <w:docPartGallery w:val="Page Numbers (Top of Page)"/>
            <w:docPartUnique/>
          </w:docPartObj>
        </w:sdtPr>
        <w:sdtContent>
          <w:p w14:paraId="736B6C81" w14:textId="4482EAB8" w:rsidR="009251F9" w:rsidRDefault="009251F9">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B5F5142" w14:textId="77777777" w:rsidR="009251F9" w:rsidRDefault="009251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2DAE8F" w14:textId="77777777" w:rsidR="001E6CFB" w:rsidRDefault="001E6CFB" w:rsidP="00194606">
      <w:pPr>
        <w:spacing w:after="0" w:line="240" w:lineRule="auto"/>
      </w:pPr>
      <w:r>
        <w:separator/>
      </w:r>
    </w:p>
  </w:footnote>
  <w:footnote w:type="continuationSeparator" w:id="0">
    <w:p w14:paraId="7DCA9F17" w14:textId="77777777" w:rsidR="001E6CFB" w:rsidRDefault="001E6CFB" w:rsidP="0019460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5A4C"/>
    <w:rsid w:val="00194606"/>
    <w:rsid w:val="001E6CFB"/>
    <w:rsid w:val="00434D42"/>
    <w:rsid w:val="00666549"/>
    <w:rsid w:val="009251F9"/>
    <w:rsid w:val="00B30611"/>
    <w:rsid w:val="00EF5A4C"/>
  </w:rsids>
  <m:mathPr>
    <m:mathFont m:val="Cambria Math"/>
    <m:brkBin m:val="before"/>
    <m:brkBinSub m:val="--"/>
    <m:smallFrac m:val="0"/>
    <m:dispDef/>
    <m:lMargin m:val="0"/>
    <m:rMargin m:val="0"/>
    <m:defJc m:val="centerGroup"/>
    <m:wrapIndent m:val="1440"/>
    <m:intLim m:val="subSup"/>
    <m:naryLim m:val="undOvr"/>
  </m:mathPr>
  <w:themeFontLang w:val="en-K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9EC097"/>
  <w15:chartTrackingRefBased/>
  <w15:docId w15:val="{A4D78544-8A65-4311-A52D-334F4305C0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K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link w:val="Heading1Char"/>
    <w:uiPriority w:val="9"/>
    <w:qFormat/>
    <w:rsid w:val="00EF5A4C"/>
    <w:pPr>
      <w:spacing w:after="0" w:line="240" w:lineRule="auto"/>
      <w:outlineLvl w:val="0"/>
    </w:pPr>
    <w:rPr>
      <w:rFonts w:ascii="Arial" w:eastAsia="Arial" w:hAnsi="Arial" w:cs="Arial"/>
      <w:color w:val="2E74B5"/>
      <w:sz w:val="32"/>
      <w:szCs w:val="32"/>
      <w:lang w:val="en-KE" w:eastAsia="en-K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5A4C"/>
    <w:rPr>
      <w:rFonts w:ascii="Arial" w:eastAsia="Arial" w:hAnsi="Arial" w:cs="Arial"/>
      <w:color w:val="2E74B5"/>
      <w:sz w:val="32"/>
      <w:szCs w:val="32"/>
      <w:lang w:val="en-KE" w:eastAsia="en-KE"/>
    </w:rPr>
  </w:style>
  <w:style w:type="paragraph" w:styleId="Header">
    <w:name w:val="header"/>
    <w:basedOn w:val="Normal"/>
    <w:link w:val="HeaderChar"/>
    <w:uiPriority w:val="99"/>
    <w:unhideWhenUsed/>
    <w:rsid w:val="001946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4606"/>
    <w:rPr>
      <w:lang w:val="en-GB"/>
    </w:rPr>
  </w:style>
  <w:style w:type="paragraph" w:styleId="Footer">
    <w:name w:val="footer"/>
    <w:basedOn w:val="Normal"/>
    <w:link w:val="FooterChar"/>
    <w:uiPriority w:val="99"/>
    <w:unhideWhenUsed/>
    <w:rsid w:val="001946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4606"/>
    <w:rPr>
      <w:lang w:val="en-GB"/>
    </w:rPr>
  </w:style>
  <w:style w:type="paragraph" w:styleId="TOCHeading">
    <w:name w:val="TOC Heading"/>
    <w:basedOn w:val="Heading1"/>
    <w:next w:val="Normal"/>
    <w:uiPriority w:val="39"/>
    <w:unhideWhenUsed/>
    <w:qFormat/>
    <w:rsid w:val="00194606"/>
    <w:pPr>
      <w:keepNext/>
      <w:keepLines/>
      <w:spacing w:before="240" w:line="259" w:lineRule="auto"/>
      <w:outlineLvl w:val="9"/>
    </w:pPr>
    <w:rPr>
      <w:rFonts w:asciiTheme="majorHAnsi" w:eastAsiaTheme="majorEastAsia" w:hAnsiTheme="majorHAnsi" w:cstheme="majorBidi"/>
      <w:color w:val="2F5496" w:themeColor="accent1" w:themeShade="BF"/>
      <w:lang w:val="en-US" w:eastAsia="en-US"/>
    </w:rPr>
  </w:style>
  <w:style w:type="paragraph" w:styleId="TOC1">
    <w:name w:val="toc 1"/>
    <w:basedOn w:val="Normal"/>
    <w:next w:val="Normal"/>
    <w:autoRedefine/>
    <w:uiPriority w:val="39"/>
    <w:unhideWhenUsed/>
    <w:rsid w:val="00194606"/>
    <w:pPr>
      <w:spacing w:after="100"/>
    </w:pPr>
  </w:style>
  <w:style w:type="character" w:styleId="Hyperlink">
    <w:name w:val="Hyperlink"/>
    <w:basedOn w:val="DefaultParagraphFont"/>
    <w:uiPriority w:val="99"/>
    <w:unhideWhenUsed/>
    <w:rsid w:val="0019460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designcouncil.org.uk/resources/framework-for-innovation/" TargetMode="External"/><Relationship Id="rId18" Type="http://schemas.openxmlformats.org/officeDocument/2006/relationships/hyperlink" Target="https://assets.kingsfund.org.uk/f/256914/x/0b76247d02/caring_to_change_2017.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shura.shu.ac.uk/26800/1/rotherham-social-prescribing-final.pdf" TargetMode="External"/><Relationship Id="rId17" Type="http://schemas.openxmlformats.org/officeDocument/2006/relationships/hyperlink" Target="https://doi.org/10.1111/padm.12718" TargetMode="External"/><Relationship Id="rId2" Type="http://schemas.openxmlformats.org/officeDocument/2006/relationships/styles" Target="styles.xml"/><Relationship Id="rId16" Type="http://schemas.openxmlformats.org/officeDocument/2006/relationships/hyperlink" Target="https://www.leadershipacademy.nhs.uk/wp-content/uploads/2014/10/NHSLeadership-LeadershipModel-colour.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7759/cureus.39549" TargetMode="External"/><Relationship Id="rId5" Type="http://schemas.openxmlformats.org/officeDocument/2006/relationships/footnotes" Target="footnotes.xml"/><Relationship Id="rId15" Type="http://schemas.openxmlformats.org/officeDocument/2006/relationships/hyperlink" Target="https://www.england.nhs.uk/gp/case-studies/rotherham-social-prescribing/" TargetMode="External"/><Relationship Id="rId10" Type="http://schemas.openxmlformats.org/officeDocument/2006/relationships/oleObject" Target="embeddings/oleObject1.bin"/><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hyperlink" Target="https://doi.org/10.1177/08404704166794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CFCF3B-EADE-4E55-9695-84E73F2610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11</Pages>
  <Words>2160</Words>
  <Characters>12317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3</cp:revision>
  <dcterms:created xsi:type="dcterms:W3CDTF">2026-07-06T06:19:00Z</dcterms:created>
  <dcterms:modified xsi:type="dcterms:W3CDTF">2026-07-06T06:49:00Z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e1dce667-4d7c-4c51-ba2b-4440cd4e24f1</vt:lpwstr>
  </property>
</Properties>
</file>