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footnotes.xml" ContentType="application/vnd.openxmlformats-officedocument.wordprocessingml.footnotes+xml"/>
  <Override PartName="/word/settings.xml" ContentType="application/vnd.openxmlformats-officedocument.wordprocessingml.settings+xml"/>
  <Override PartName="/word/styles.xml" ContentType="application/vnd.openxmlformats-officedocument.wordprocessingml.styles+xml"/>
  <Override PartName="/word/header1.xml" ContentType="application/vnd.openxmlformats-officedocument.wordprocessingml.header+xml"/>
  <Override PartName="/word/numbering.xml" ContentType="application/vnd.openxmlformats-officedocument.wordprocessingml.numbering+xml"/>
  <Override PartName="/word/fontTable.xml" ContentType="application/vnd.openxmlformats-officedocument.wordprocessingml.fontTable+xml"/>
  <Override PartName="/word/_rels/document.xml.rels" ContentType="application/vnd.openxmlformats-package.relationships+xml"/>
  <Override PartName="/_rels/.rels" ContentType="application/vnd.openxmlformats-package.relationships+xml"/>
</Types>
</file>

<file path=_rels/.rels><?xml version="1.0" encoding="UTF-8"?>
<Relationships xmlns="http://schemas.openxmlformats.org/package/2006/relationships"><Relationship Id="rId1" Type="http://schemas.openxmlformats.org/officedocument/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body>
    <w:p>
      <w:pPr>
        <w:pStyle w:val="Normal"/>
        <w:spacing w:before="0" w:after="0"/>
        <w:ind w:start="-180" w:end="-334" w:hanging="0"/>
        <w:rPr/>
      </w:pPr>
      <w:r>
        <w:rPr/>
      </w:r>
    </w:p>
    <w:p>
      <w:pPr>
        <w:pStyle w:val="NormalWeb"/>
        <w:spacing w:before="0" w:after="0"/>
        <w:ind w:start="-180" w:end="-334" w:hanging="0"/>
        <w:rPr/>
      </w:pPr>
      <w:r>
        <w:rPr/>
      </w:r>
    </w:p>
    <w:p>
      <w:pPr>
        <w:pStyle w:val="NormalWeb"/>
        <w:spacing w:before="0" w:after="0"/>
        <w:ind w:start="-180" w:end="-334" w:hanging="0"/>
        <w:rPr/>
      </w:pPr>
      <w:r>
        <w:rPr/>
      </w:r>
    </w:p>
    <w:p>
      <w:pPr>
        <w:pStyle w:val="NormalWeb"/>
        <w:spacing w:before="0" w:after="0"/>
        <w:ind w:start="-180" w:end="-334" w:hanging="0"/>
        <w:jc w:val="center"/>
        <w:rPr/>
      </w:pPr>
      <w:r>
        <w:rPr>
          <w:rFonts w:cs="Arial" w:ascii="Arial" w:hAnsi="Arial"/>
          <w:b/>
          <w:sz w:val="28"/>
          <w:szCs w:val="28"/>
          <w:lang w:val="cy-GB"/>
        </w:rPr>
        <w:t xml:space="preserve">Postgraduate/Distance Learning </w:t>
      </w:r>
    </w:p>
    <w:p>
      <w:pPr>
        <w:pStyle w:val="NormalWeb"/>
        <w:spacing w:before="0" w:after="0"/>
        <w:ind w:start="-180" w:end="-334" w:hanging="0"/>
        <w:jc w:val="center"/>
        <w:rPr/>
      </w:pPr>
      <w:r>
        <w:rPr>
          <w:rFonts w:cs="Arial" w:ascii="Arial" w:hAnsi="Arial"/>
          <w:b/>
          <w:sz w:val="28"/>
          <w:szCs w:val="28"/>
          <w:lang w:val="cy-GB"/>
        </w:rPr>
        <w:t>Assignment coversheet &amp; feedback form</w:t>
      </w:r>
    </w:p>
    <w:p>
      <w:pPr>
        <w:pStyle w:val="Normal"/>
        <w:rPr>
          <w:rFonts w:ascii="Arial" w:hAnsi="Arial" w:cs="Arial"/>
          <w:b/>
          <w:sz w:val="28"/>
          <w:szCs w:val="28"/>
          <w:lang w:val="cy-GB"/>
        </w:rPr>
      </w:pPr>
      <w:r>
        <w:rPr>
          <w:rFonts w:cs="Arial" w:ascii="Arial" w:hAnsi="Arial"/>
          <w:b/>
          <w:sz w:val="28"/>
          <w:szCs w:val="28"/>
          <w:lang w:val="cy-GB"/>
        </w:rPr>
      </w:r>
    </w:p>
    <w:p>
      <w:pPr>
        <w:pStyle w:val="Heading3"/>
        <w:numPr>
          <w:ilvl w:val="2"/>
          <w:numId w:val="1"/>
        </w:numPr>
        <w:ind w:start="720" w:hanging="0"/>
        <w:jc w:val="center"/>
        <w:rPr>
          <w:lang w:val="cy-GB"/>
        </w:rPr>
      </w:pPr>
      <w:r>
        <w:rPr>
          <w:lang w:val="cy-GB"/>
        </w:rPr>
        <w:t>THIS SHEET MUST BE THE FIRST PAGE OF THE ASSIGNMENT YOU ARE SUBMITTING  (DO NOT SEND AS A SEPARATE FILE)</w:t>
      </w:r>
    </w:p>
    <w:p>
      <w:pPr>
        <w:pStyle w:val="Heading3"/>
        <w:numPr>
          <w:ilvl w:val="2"/>
          <w:numId w:val="1"/>
        </w:numPr>
        <w:ind w:start="720" w:hanging="0"/>
        <w:jc w:val="center"/>
        <w:rPr>
          <w:rFonts w:ascii="Trebuchet MS" w:hAnsi="Trebuchet MS" w:cs="Trebuchet MS"/>
          <w:lang w:val="cy-GB"/>
        </w:rPr>
      </w:pPr>
      <w:r>
        <w:rPr>
          <w:rFonts w:cs="Trebuchet MS" w:ascii="Trebuchet MS" w:hAnsi="Trebuchet MS"/>
          <w:lang w:val="cy-GB"/>
        </w:rPr>
      </w:r>
    </w:p>
    <w:tbl>
      <w:tblPr>
        <w:tblW w:w="8856" w:type="dxa"/>
        <w:jc w:val="start"/>
        <w:tblInd w:w="-113" w:type="dxa"/>
        <w:tblLayout w:type="fixed"/>
        <w:tblCellMar>
          <w:top w:w="0" w:type="dxa"/>
          <w:start w:w="108" w:type="dxa"/>
          <w:bottom w:w="0" w:type="dxa"/>
          <w:end w:w="108" w:type="dxa"/>
        </w:tblCellMar>
      </w:tblPr>
      <w:tblGrid>
        <w:gridCol w:w="4788"/>
        <w:gridCol w:w="421"/>
        <w:gridCol w:w="1557"/>
        <w:gridCol w:w="286"/>
        <w:gridCol w:w="1804"/>
      </w:tblGrid>
      <w:tr>
        <w:trPr>
          <w:trHeight w:val="614" w:hRule="atLeast"/>
        </w:trPr>
        <w:tc>
          <w:tcPr>
            <w:tcW w:w="8856" w:type="dxa"/>
            <w:gridSpan w:val="5"/>
            <w:tcBorders>
              <w:top w:val="single" w:sz="4" w:space="0" w:color="000000"/>
              <w:start w:val="single" w:sz="4" w:space="0" w:color="000000"/>
              <w:bottom w:val="single" w:sz="4" w:space="0" w:color="000000"/>
              <w:end w:val="single" w:sz="4" w:space="0" w:color="000000"/>
            </w:tcBorders>
          </w:tcPr>
          <w:p>
            <w:pPr>
              <w:pStyle w:val="NormalWeb"/>
              <w:widowControl w:val="false"/>
              <w:spacing w:before="0" w:after="0"/>
              <w:ind w:end="34" w:hanging="0"/>
              <w:rPr/>
            </w:pPr>
            <w:r>
              <w:rPr>
                <w:rFonts w:cs="Arial" w:ascii="Arial" w:hAnsi="Arial"/>
                <w:b/>
                <w:sz w:val="22"/>
                <w:szCs w:val="22"/>
              </w:rPr>
              <w:t>For completion by the student</w:t>
            </w:r>
            <w:r>
              <w:rPr>
                <w:rFonts w:cs="Arial" w:ascii="Arial" w:hAnsi="Arial"/>
                <w:sz w:val="22"/>
                <w:szCs w:val="22"/>
              </w:rPr>
              <w:t>:</w:t>
            </w:r>
          </w:p>
        </w:tc>
      </w:tr>
      <w:tr>
        <w:trPr>
          <w:trHeight w:val="718" w:hRule="atLeast"/>
        </w:trPr>
        <w:tc>
          <w:tcPr>
            <w:tcW w:w="8856" w:type="dxa"/>
            <w:gridSpan w:val="5"/>
            <w:tcBorders>
              <w:top w:val="single" w:sz="4" w:space="0" w:color="000000"/>
              <w:start w:val="single" w:sz="4" w:space="0" w:color="000000"/>
              <w:bottom w:val="single" w:sz="4" w:space="0" w:color="000000"/>
              <w:end w:val="single" w:sz="4" w:space="0" w:color="000000"/>
            </w:tcBorders>
          </w:tcPr>
          <w:p>
            <w:pPr>
              <w:pStyle w:val="NormalWeb"/>
              <w:widowControl w:val="false"/>
              <w:spacing w:before="0" w:after="0"/>
              <w:ind w:end="34" w:hanging="0"/>
              <w:rPr/>
            </w:pPr>
            <w:r>
              <w:rPr>
                <w:rFonts w:cs="Arial" w:ascii="Arial" w:hAnsi="Arial"/>
                <w:sz w:val="22"/>
                <w:szCs w:val="22"/>
              </w:rPr>
              <w:t>Student Name: Ruth-heather Collins</w:t>
            </w:r>
          </w:p>
          <w:p>
            <w:pPr>
              <w:pStyle w:val="NormalWeb"/>
              <w:widowControl w:val="false"/>
              <w:spacing w:before="0" w:after="0"/>
              <w:ind w:end="34" w:hanging="0"/>
              <w:rPr>
                <w:rFonts w:ascii="Arial" w:hAnsi="Arial" w:cs="Arial"/>
                <w:sz w:val="22"/>
                <w:szCs w:val="22"/>
              </w:rPr>
            </w:pPr>
            <w:r>
              <w:rPr>
                <w:rFonts w:cs="Arial" w:ascii="Arial" w:hAnsi="Arial"/>
                <w:sz w:val="22"/>
                <w:szCs w:val="22"/>
              </w:rPr>
            </w:r>
          </w:p>
          <w:p>
            <w:pPr>
              <w:pStyle w:val="NormalWeb"/>
              <w:widowControl w:val="false"/>
              <w:spacing w:before="0" w:after="0"/>
              <w:ind w:end="34" w:hanging="0"/>
              <w:rPr/>
            </w:pPr>
            <w:r>
              <w:rPr>
                <w:rFonts w:cs="Arial" w:ascii="Arial" w:hAnsi="Arial"/>
                <w:sz w:val="22"/>
                <w:szCs w:val="22"/>
              </w:rPr>
              <w:t xml:space="preserve">Student </w:t>
            </w:r>
            <w:r>
              <w:rPr>
                <w:rFonts w:cs="Arial" w:ascii="Arial" w:hAnsi="Arial"/>
                <w:b/>
                <w:bCs/>
                <w:sz w:val="22"/>
                <w:szCs w:val="22"/>
                <w:u w:val="single"/>
              </w:rPr>
              <w:t>University</w:t>
            </w:r>
            <w:r>
              <w:rPr>
                <w:rFonts w:cs="Arial" w:ascii="Arial" w:hAnsi="Arial"/>
                <w:sz w:val="22"/>
                <w:szCs w:val="22"/>
                <w:u w:val="single"/>
              </w:rPr>
              <w:t xml:space="preserve"> </w:t>
            </w:r>
            <w:r>
              <w:rPr>
                <w:rFonts w:cs="Arial" w:ascii="Arial" w:hAnsi="Arial"/>
                <w:sz w:val="22"/>
                <w:szCs w:val="22"/>
              </w:rPr>
              <w:t>Email: 2237968@student.uwtsd.ac.uk</w:t>
            </w:r>
          </w:p>
        </w:tc>
      </w:tr>
      <w:tr>
        <w:trPr>
          <w:trHeight w:val="849" w:hRule="atLeast"/>
        </w:trPr>
        <w:tc>
          <w:tcPr>
            <w:tcW w:w="4788" w:type="dxa"/>
            <w:tcBorders>
              <w:top w:val="single" w:sz="4" w:space="0" w:color="000000"/>
              <w:start w:val="single" w:sz="4" w:space="0" w:color="000000"/>
              <w:bottom w:val="single" w:sz="4" w:space="0" w:color="000000"/>
              <w:end w:val="single" w:sz="4" w:space="0" w:color="000000"/>
            </w:tcBorders>
          </w:tcPr>
          <w:p>
            <w:pPr>
              <w:pStyle w:val="NormalWeb"/>
              <w:widowControl w:val="false"/>
              <w:spacing w:before="0" w:after="0"/>
              <w:ind w:end="34" w:hanging="0"/>
              <w:rPr>
                <w:rFonts w:ascii="Arial" w:hAnsi="Arial" w:cs="Arial"/>
                <w:sz w:val="22"/>
                <w:szCs w:val="22"/>
              </w:rPr>
            </w:pPr>
            <w:r>
              <w:rPr>
                <w:rFonts w:cs="Arial" w:ascii="Arial" w:hAnsi="Arial"/>
                <w:sz w:val="22"/>
                <w:szCs w:val="22"/>
              </w:rPr>
              <w:t>Module code: HPCA7015</w:t>
            </w:r>
          </w:p>
          <w:p>
            <w:pPr>
              <w:pStyle w:val="NormalWeb"/>
              <w:widowControl w:val="false"/>
              <w:spacing w:before="0" w:after="0"/>
              <w:ind w:end="34" w:hanging="0"/>
              <w:rPr>
                <w:rFonts w:ascii="Arial" w:hAnsi="Arial" w:cs="Arial"/>
                <w:sz w:val="22"/>
                <w:szCs w:val="22"/>
              </w:rPr>
            </w:pPr>
            <w:r>
              <w:rPr>
                <w:rFonts w:cs="Arial" w:ascii="Arial" w:hAnsi="Arial"/>
                <w:sz w:val="22"/>
                <w:szCs w:val="22"/>
              </w:rPr>
            </w:r>
          </w:p>
          <w:p>
            <w:pPr>
              <w:pStyle w:val="NormalWeb"/>
              <w:widowControl w:val="false"/>
              <w:spacing w:before="0" w:after="0"/>
              <w:ind w:end="34" w:hanging="0"/>
              <w:rPr>
                <w:rFonts w:ascii="Arial" w:hAnsi="Arial" w:cs="Arial"/>
                <w:sz w:val="22"/>
                <w:szCs w:val="22"/>
              </w:rPr>
            </w:pPr>
            <w:r>
              <w:rPr>
                <w:rFonts w:cs="Arial" w:ascii="Arial" w:hAnsi="Arial"/>
                <w:sz w:val="22"/>
                <w:szCs w:val="22"/>
              </w:rPr>
              <w:t>Module title: Foundations in Cultural Astronomy and Astrology</w:t>
            </w:r>
          </w:p>
          <w:p>
            <w:pPr>
              <w:pStyle w:val="NormalWeb"/>
              <w:widowControl w:val="false"/>
              <w:spacing w:before="0" w:after="0"/>
              <w:ind w:end="34" w:hanging="0"/>
              <w:rPr>
                <w:rFonts w:ascii="Arial" w:hAnsi="Arial" w:cs="Arial"/>
                <w:sz w:val="22"/>
                <w:szCs w:val="22"/>
              </w:rPr>
            </w:pPr>
            <w:r>
              <w:rPr>
                <w:rFonts w:cs="Arial" w:ascii="Arial" w:hAnsi="Arial"/>
                <w:sz w:val="22"/>
                <w:szCs w:val="22"/>
              </w:rPr>
            </w:r>
          </w:p>
          <w:p>
            <w:pPr>
              <w:pStyle w:val="NormalWeb"/>
              <w:widowControl w:val="false"/>
              <w:spacing w:before="0" w:after="0"/>
              <w:ind w:end="34" w:hanging="0"/>
              <w:rPr>
                <w:rFonts w:ascii="Arial" w:hAnsi="Arial" w:cs="Arial"/>
                <w:sz w:val="22"/>
                <w:szCs w:val="22"/>
              </w:rPr>
            </w:pPr>
            <w:r>
              <w:rPr>
                <w:rFonts w:cs="Arial" w:ascii="Arial" w:hAnsi="Arial"/>
                <w:sz w:val="22"/>
                <w:szCs w:val="22"/>
              </w:rPr>
            </w:r>
          </w:p>
        </w:tc>
        <w:tc>
          <w:tcPr>
            <w:tcW w:w="2264" w:type="dxa"/>
            <w:gridSpan w:val="3"/>
            <w:tcBorders>
              <w:top w:val="single" w:sz="4" w:space="0" w:color="000000"/>
              <w:start w:val="single" w:sz="4" w:space="0" w:color="000000"/>
              <w:bottom w:val="single" w:sz="4" w:space="0" w:color="000000"/>
              <w:end w:val="single" w:sz="4" w:space="0" w:color="000000"/>
            </w:tcBorders>
          </w:tcPr>
          <w:p>
            <w:pPr>
              <w:pStyle w:val="NormalWeb"/>
              <w:widowControl w:val="false"/>
              <w:spacing w:before="0" w:after="0"/>
              <w:ind w:end="34" w:hanging="0"/>
              <w:rPr>
                <w:rFonts w:ascii="Arial" w:hAnsi="Arial" w:cs="Arial"/>
                <w:sz w:val="22"/>
                <w:szCs w:val="22"/>
              </w:rPr>
            </w:pPr>
            <w:r>
              <w:rPr>
                <w:rFonts w:cs="Arial" w:ascii="Arial" w:hAnsi="Arial"/>
                <w:sz w:val="22"/>
                <w:szCs w:val="22"/>
              </w:rPr>
              <w:t>Student ID number:</w:t>
            </w:r>
          </w:p>
          <w:p>
            <w:pPr>
              <w:pStyle w:val="NormalWeb"/>
              <w:widowControl w:val="false"/>
              <w:spacing w:before="0" w:after="0"/>
              <w:ind w:end="34" w:hanging="0"/>
              <w:rPr>
                <w:rFonts w:ascii="Arial" w:hAnsi="Arial" w:cs="Arial"/>
                <w:sz w:val="22"/>
                <w:szCs w:val="22"/>
              </w:rPr>
            </w:pPr>
            <w:r>
              <w:rPr>
                <w:rFonts w:cs="Arial" w:ascii="Arial" w:hAnsi="Arial"/>
                <w:sz w:val="22"/>
                <w:szCs w:val="22"/>
              </w:rPr>
              <w:t>2237968</w:t>
            </w:r>
          </w:p>
        </w:tc>
        <w:tc>
          <w:tcPr>
            <w:tcW w:w="1804" w:type="dxa"/>
            <w:tcBorders>
              <w:top w:val="single" w:sz="4" w:space="0" w:color="000000"/>
              <w:start w:val="single" w:sz="4" w:space="0" w:color="000000"/>
              <w:bottom w:val="single" w:sz="4" w:space="0" w:color="000000"/>
              <w:end w:val="single" w:sz="4" w:space="0" w:color="000000"/>
            </w:tcBorders>
          </w:tcPr>
          <w:p>
            <w:pPr>
              <w:pStyle w:val="NormalWeb"/>
              <w:widowControl w:val="false"/>
              <w:spacing w:before="0" w:after="0"/>
              <w:ind w:end="34" w:hanging="0"/>
              <w:rPr>
                <w:rFonts w:ascii="Arial" w:hAnsi="Arial" w:cs="Arial"/>
                <w:sz w:val="22"/>
                <w:szCs w:val="22"/>
              </w:rPr>
            </w:pPr>
            <w:r>
              <w:rPr>
                <w:rFonts w:cs="Arial" w:ascii="Arial" w:hAnsi="Arial"/>
                <w:sz w:val="22"/>
                <w:szCs w:val="22"/>
              </w:rPr>
              <w:t>Educational support needs:</w:t>
            </w:r>
          </w:p>
          <w:p>
            <w:pPr>
              <w:pStyle w:val="NormalWeb"/>
              <w:widowControl w:val="false"/>
              <w:spacing w:before="0" w:after="0"/>
              <w:ind w:end="34" w:hanging="0"/>
              <w:rPr>
                <w:rFonts w:ascii="Arial" w:hAnsi="Arial" w:cs="Arial"/>
                <w:sz w:val="22"/>
                <w:szCs w:val="22"/>
              </w:rPr>
            </w:pPr>
            <w:r>
              <w:rPr>
                <w:rFonts w:cs="Arial" w:ascii="Arial" w:hAnsi="Arial"/>
                <w:sz w:val="22"/>
                <w:szCs w:val="22"/>
              </w:rPr>
              <w:t>No</w:t>
            </w:r>
          </w:p>
        </w:tc>
      </w:tr>
      <w:tr>
        <w:trPr>
          <w:trHeight w:val="1139" w:hRule="atLeast"/>
        </w:trPr>
        <w:tc>
          <w:tcPr>
            <w:tcW w:w="8856" w:type="dxa"/>
            <w:gridSpan w:val="5"/>
            <w:tcBorders>
              <w:top w:val="single" w:sz="4" w:space="0" w:color="000000"/>
              <w:start w:val="single" w:sz="4" w:space="0" w:color="000000"/>
              <w:bottom w:val="single" w:sz="4" w:space="0" w:color="000000"/>
              <w:end w:val="single" w:sz="4" w:space="0" w:color="000000"/>
            </w:tcBorders>
          </w:tcPr>
          <w:p>
            <w:pPr>
              <w:pStyle w:val="NormalWeb"/>
              <w:widowControl w:val="false"/>
              <w:spacing w:before="0" w:after="0"/>
              <w:ind w:end="34" w:hanging="0"/>
              <w:rPr>
                <w:rFonts w:ascii="Arial" w:hAnsi="Arial" w:cs="Arial"/>
                <w:sz w:val="22"/>
                <w:szCs w:val="22"/>
              </w:rPr>
            </w:pPr>
            <w:r>
              <w:rPr>
                <w:rFonts w:cs="Arial" w:ascii="Arial" w:hAnsi="Arial"/>
                <w:sz w:val="22"/>
                <w:szCs w:val="22"/>
              </w:rPr>
              <w:t>Assignment title: A Critical Comparison of Two Secondary Sources</w:t>
            </w:r>
          </w:p>
          <w:p>
            <w:pPr>
              <w:pStyle w:val="NormalWeb"/>
              <w:widowControl w:val="false"/>
              <w:spacing w:before="0" w:after="0"/>
              <w:ind w:end="34" w:hanging="0"/>
              <w:rPr>
                <w:rFonts w:ascii="Arial" w:hAnsi="Arial" w:cs="Arial"/>
                <w:sz w:val="22"/>
                <w:szCs w:val="22"/>
              </w:rPr>
            </w:pPr>
            <w:r>
              <w:rPr>
                <w:rFonts w:cs="Arial" w:ascii="Arial" w:hAnsi="Arial"/>
                <w:sz w:val="22"/>
                <w:szCs w:val="22"/>
              </w:rPr>
            </w:r>
          </w:p>
          <w:p>
            <w:pPr>
              <w:pStyle w:val="NormalWeb"/>
              <w:widowControl w:val="false"/>
              <w:spacing w:before="0" w:after="0"/>
              <w:ind w:end="34" w:hanging="0"/>
              <w:rPr>
                <w:rFonts w:ascii="Arial" w:hAnsi="Arial" w:cs="Arial"/>
                <w:sz w:val="22"/>
                <w:szCs w:val="22"/>
              </w:rPr>
            </w:pPr>
            <w:r>
              <w:rPr>
                <w:rFonts w:cs="Arial" w:ascii="Arial" w:hAnsi="Arial"/>
                <w:sz w:val="22"/>
                <w:szCs w:val="22"/>
              </w:rPr>
            </w:r>
          </w:p>
          <w:p>
            <w:pPr>
              <w:pStyle w:val="NormalWeb"/>
              <w:widowControl w:val="false"/>
              <w:spacing w:before="0" w:after="0"/>
              <w:ind w:end="34" w:hanging="0"/>
              <w:rPr>
                <w:rFonts w:ascii="Arial" w:hAnsi="Arial" w:cs="Arial"/>
                <w:sz w:val="22"/>
                <w:szCs w:val="22"/>
              </w:rPr>
            </w:pPr>
            <w:r>
              <w:rPr>
                <w:rFonts w:cs="Arial" w:ascii="Arial" w:hAnsi="Arial"/>
                <w:sz w:val="22"/>
                <w:szCs w:val="22"/>
              </w:rPr>
              <w:t>Assignment due date: 6</w:t>
            </w:r>
            <w:r>
              <w:rPr>
                <w:rFonts w:cs="Arial" w:ascii="Arial" w:hAnsi="Arial"/>
                <w:sz w:val="22"/>
                <w:szCs w:val="22"/>
                <w:vertAlign w:val="superscript"/>
              </w:rPr>
              <w:t>th</w:t>
            </w:r>
            <w:r>
              <w:rPr>
                <w:rFonts w:cs="Arial" w:ascii="Arial" w:hAnsi="Arial"/>
                <w:sz w:val="22"/>
                <w:szCs w:val="22"/>
              </w:rPr>
              <w:t xml:space="preserve"> November 2023</w:t>
            </w:r>
          </w:p>
        </w:tc>
      </w:tr>
      <w:tr>
        <w:trPr>
          <w:trHeight w:val="978" w:hRule="atLeast"/>
        </w:trPr>
        <w:tc>
          <w:tcPr>
            <w:tcW w:w="8856" w:type="dxa"/>
            <w:gridSpan w:val="5"/>
            <w:tcBorders>
              <w:top w:val="single" w:sz="4" w:space="0" w:color="000000"/>
              <w:start w:val="single" w:sz="4" w:space="0" w:color="000000"/>
              <w:bottom w:val="single" w:sz="4" w:space="0" w:color="000000"/>
              <w:end w:val="single" w:sz="4" w:space="0" w:color="000000"/>
            </w:tcBorders>
          </w:tcPr>
          <w:p>
            <w:pPr>
              <w:pStyle w:val="Normal"/>
              <w:widowControl w:val="false"/>
              <w:rPr/>
            </w:pPr>
            <w:r>
              <w:rPr>
                <w:rFonts w:cs="Arial" w:ascii="Arial" w:hAnsi="Arial"/>
                <w:sz w:val="22"/>
                <w:szCs w:val="22"/>
              </w:rPr>
              <w:t>This assignment is for the       1</w:t>
            </w:r>
            <w:r>
              <w:rPr>
                <w:rFonts w:cs="Arial" w:ascii="Arial" w:hAnsi="Arial"/>
                <w:sz w:val="22"/>
                <w:szCs w:val="22"/>
                <w:vertAlign w:val="superscript"/>
              </w:rPr>
              <w:t xml:space="preserve">st </w:t>
            </w:r>
            <w:r>
              <w:fldChar w:fldCharType="begin">
                <w:ffData>
                  <w:name w:val=""/>
                  <w:enabled/>
                  <w:calcOnExit w:val="0"/>
                  <w:checkBox>
                    <w:sizeAuto/>
                    <w:checked/>
                  </w:checkBox>
                </w:ffData>
              </w:fldChar>
            </w:r>
            <w:r>
              <w:rPr>
                <w:vertAlign w:val="superscript"/>
                <w:sz w:val="22"/>
                <w:szCs w:val="22"/>
                <w:rFonts w:cs="Arial" w:ascii="Arial" w:hAnsi="Arial"/>
              </w:rPr>
              <w:instrText xml:space="preserve"> FORMCHECKBOX </w:instrText>
            </w:r>
            <w:r>
              <w:rPr>
                <w:vertAlign w:val="superscript"/>
                <w:sz w:val="22"/>
                <w:szCs w:val="22"/>
                <w:rFonts w:cs="Arial" w:ascii="Arial" w:hAnsi="Arial"/>
              </w:rPr>
              <w:fldChar w:fldCharType="separate"/>
            </w:r>
            <w:bookmarkStart w:id="0" w:name="Bookmark"/>
            <w:bookmarkStart w:id="1" w:name="Bookmark"/>
            <w:bookmarkEnd w:id="1"/>
            <w:r>
              <w:rPr>
                <w:rFonts w:cs="Arial" w:ascii="Arial" w:hAnsi="Arial"/>
                <w:sz w:val="22"/>
                <w:szCs w:val="22"/>
                <w:vertAlign w:val="superscript"/>
              </w:rPr>
            </w:r>
            <w:r>
              <w:rPr>
                <w:vertAlign w:val="superscript"/>
                <w:sz w:val="22"/>
                <w:szCs w:val="22"/>
                <w:rFonts w:cs="Arial" w:ascii="Arial" w:hAnsi="Arial"/>
              </w:rPr>
              <w:fldChar w:fldCharType="end"/>
            </w:r>
            <w:bookmarkStart w:id="2" w:name="Check13"/>
            <w:bookmarkEnd w:id="2"/>
            <w:r>
              <w:rPr>
                <w:rFonts w:cs="Arial" w:ascii="Arial" w:hAnsi="Arial"/>
                <w:sz w:val="22"/>
                <w:szCs w:val="22"/>
              </w:rPr>
              <w:t xml:space="preserve">    2</w:t>
            </w:r>
            <w:r>
              <w:rPr>
                <w:rFonts w:cs="Arial" w:ascii="Arial" w:hAnsi="Arial"/>
                <w:sz w:val="22"/>
                <w:szCs w:val="22"/>
                <w:vertAlign w:val="superscript"/>
              </w:rPr>
              <w:t>nd</w:t>
            </w:r>
            <w:r>
              <w:rPr>
                <w:rFonts w:cs="Arial" w:ascii="Arial" w:hAnsi="Arial"/>
                <w:sz w:val="22"/>
                <w:szCs w:val="22"/>
              </w:rPr>
              <w:t xml:space="preserve">  </w:t>
            </w:r>
            <w:r>
              <w:fldChar w:fldCharType="begin">
                <w:ffData>
                  <w:name w:val=""/>
                  <w:enabled/>
                  <w:calcOnExit w:val="0"/>
                  <w:checkBox>
                    <w:sizeAuto/>
                  </w:checkBox>
                </w:ffData>
              </w:fldChar>
            </w:r>
            <w:r>
              <w:rPr>
                <w:sz w:val="22"/>
                <w:szCs w:val="22"/>
                <w:rFonts w:cs="Arial" w:ascii="Arial" w:hAnsi="Arial"/>
              </w:rPr>
              <w:instrText xml:space="preserve"> FORMCHECKBOX </w:instrText>
            </w:r>
            <w:r>
              <w:rPr>
                <w:sz w:val="22"/>
                <w:szCs w:val="22"/>
                <w:rFonts w:cs="Arial" w:ascii="Arial" w:hAnsi="Arial"/>
              </w:rPr>
              <w:fldChar w:fldCharType="separate"/>
            </w:r>
            <w:bookmarkStart w:id="3" w:name="Bookmark_Copy_1"/>
            <w:bookmarkStart w:id="4" w:name="Bookmark_Copy_1"/>
            <w:bookmarkEnd w:id="4"/>
            <w:r>
              <w:rPr>
                <w:rFonts w:cs="Arial" w:ascii="Arial" w:hAnsi="Arial"/>
                <w:sz w:val="22"/>
                <w:szCs w:val="22"/>
              </w:rPr>
            </w:r>
            <w:r>
              <w:rPr>
                <w:sz w:val="22"/>
                <w:szCs w:val="22"/>
                <w:rFonts w:cs="Arial" w:ascii="Arial" w:hAnsi="Arial"/>
              </w:rPr>
              <w:fldChar w:fldCharType="end"/>
            </w:r>
            <w:bookmarkStart w:id="5" w:name="Check14"/>
            <w:bookmarkEnd w:id="5"/>
            <w:r>
              <w:rPr>
                <w:rFonts w:cs="Arial" w:ascii="Arial" w:hAnsi="Arial"/>
                <w:sz w:val="22"/>
                <w:szCs w:val="22"/>
              </w:rPr>
              <w:t xml:space="preserve">     3</w:t>
            </w:r>
            <w:r>
              <w:rPr>
                <w:rFonts w:cs="Arial" w:ascii="Arial" w:hAnsi="Arial"/>
                <w:sz w:val="22"/>
                <w:szCs w:val="22"/>
                <w:vertAlign w:val="superscript"/>
              </w:rPr>
              <w:t>rd</w:t>
            </w:r>
            <w:r>
              <w:rPr>
                <w:rFonts w:cs="Arial" w:ascii="Arial" w:hAnsi="Arial"/>
                <w:sz w:val="22"/>
                <w:szCs w:val="22"/>
              </w:rPr>
              <w:t xml:space="preserve">  </w:t>
            </w:r>
            <w:r>
              <w:fldChar w:fldCharType="begin">
                <w:ffData>
                  <w:name w:val=""/>
                  <w:enabled/>
                  <w:calcOnExit w:val="0"/>
                  <w:checkBox>
                    <w:sizeAuto/>
                  </w:checkBox>
                </w:ffData>
              </w:fldChar>
            </w:r>
            <w:r>
              <w:rPr>
                <w:sz w:val="22"/>
                <w:szCs w:val="22"/>
                <w:rFonts w:cs="Arial" w:ascii="Arial" w:hAnsi="Arial"/>
              </w:rPr>
              <w:instrText xml:space="preserve"> FORMCHECKBOX </w:instrText>
            </w:r>
            <w:r>
              <w:rPr>
                <w:sz w:val="22"/>
                <w:szCs w:val="22"/>
                <w:rFonts w:cs="Arial" w:ascii="Arial" w:hAnsi="Arial"/>
              </w:rPr>
              <w:fldChar w:fldCharType="separate"/>
            </w:r>
            <w:bookmarkStart w:id="6" w:name="Bookmark_Copy_2"/>
            <w:bookmarkStart w:id="7" w:name="Bookmark_Copy_2"/>
            <w:bookmarkEnd w:id="7"/>
            <w:r>
              <w:rPr>
                <w:rFonts w:cs="Arial" w:ascii="Arial" w:hAnsi="Arial"/>
                <w:sz w:val="22"/>
                <w:szCs w:val="22"/>
              </w:rPr>
            </w:r>
            <w:r>
              <w:rPr>
                <w:sz w:val="22"/>
                <w:szCs w:val="22"/>
                <w:rFonts w:cs="Arial" w:ascii="Arial" w:hAnsi="Arial"/>
              </w:rPr>
              <w:fldChar w:fldCharType="end"/>
            </w:r>
            <w:bookmarkStart w:id="8" w:name="Check15"/>
            <w:bookmarkEnd w:id="8"/>
            <w:r>
              <w:rPr>
                <w:rFonts w:cs="Arial" w:ascii="Arial" w:hAnsi="Arial"/>
                <w:sz w:val="22"/>
                <w:szCs w:val="22"/>
              </w:rPr>
              <w:t xml:space="preserve">      4</w:t>
            </w:r>
            <w:r>
              <w:rPr>
                <w:rFonts w:cs="Arial" w:ascii="Arial" w:hAnsi="Arial"/>
                <w:sz w:val="22"/>
                <w:szCs w:val="22"/>
                <w:vertAlign w:val="superscript"/>
              </w:rPr>
              <w:t>th</w:t>
            </w:r>
            <w:r>
              <w:rPr>
                <w:rFonts w:cs="Arial" w:ascii="Arial" w:hAnsi="Arial"/>
                <w:sz w:val="22"/>
                <w:szCs w:val="22"/>
              </w:rPr>
              <w:t xml:space="preserve"> </w:t>
            </w:r>
            <w:r>
              <w:fldChar w:fldCharType="begin">
                <w:ffData>
                  <w:name w:val=""/>
                  <w:enabled/>
                  <w:calcOnExit w:val="0"/>
                  <w:checkBox>
                    <w:sizeAuto/>
                  </w:checkBox>
                </w:ffData>
              </w:fldChar>
            </w:r>
            <w:r>
              <w:rPr>
                <w:sz w:val="22"/>
                <w:szCs w:val="22"/>
                <w:rFonts w:cs="Arial" w:ascii="Arial" w:hAnsi="Arial"/>
              </w:rPr>
              <w:instrText xml:space="preserve"> FORMCHECKBOX </w:instrText>
            </w:r>
            <w:r>
              <w:rPr>
                <w:sz w:val="22"/>
                <w:szCs w:val="22"/>
                <w:rFonts w:cs="Arial" w:ascii="Arial" w:hAnsi="Arial"/>
              </w:rPr>
              <w:fldChar w:fldCharType="separate"/>
            </w:r>
            <w:bookmarkStart w:id="9" w:name="Bookmark_Copy_3"/>
            <w:bookmarkStart w:id="10" w:name="Bookmark_Copy_3"/>
            <w:bookmarkEnd w:id="10"/>
            <w:r>
              <w:rPr>
                <w:rFonts w:cs="Arial" w:ascii="Arial" w:hAnsi="Arial"/>
                <w:sz w:val="22"/>
                <w:szCs w:val="22"/>
              </w:rPr>
            </w:r>
            <w:r>
              <w:rPr>
                <w:sz w:val="22"/>
                <w:szCs w:val="22"/>
                <w:rFonts w:cs="Arial" w:ascii="Arial" w:hAnsi="Arial"/>
              </w:rPr>
              <w:fldChar w:fldCharType="end"/>
            </w:r>
            <w:bookmarkStart w:id="11" w:name="Check16"/>
            <w:bookmarkEnd w:id="11"/>
            <w:r>
              <w:rPr>
                <w:rFonts w:cs="Arial" w:ascii="Arial" w:hAnsi="Arial"/>
                <w:sz w:val="22"/>
                <w:szCs w:val="22"/>
              </w:rPr>
              <w:t xml:space="preserve">      5</w:t>
            </w:r>
            <w:r>
              <w:rPr>
                <w:rFonts w:cs="Arial" w:ascii="Arial" w:hAnsi="Arial"/>
                <w:sz w:val="22"/>
                <w:szCs w:val="22"/>
                <w:vertAlign w:val="superscript"/>
              </w:rPr>
              <w:t>th</w:t>
            </w:r>
            <w:r>
              <w:rPr>
                <w:rFonts w:cs="Arial" w:ascii="Arial" w:hAnsi="Arial"/>
                <w:sz w:val="22"/>
                <w:szCs w:val="22"/>
              </w:rPr>
              <w:t xml:space="preserve"> </w:t>
            </w:r>
            <w:r>
              <w:fldChar w:fldCharType="begin">
                <w:ffData>
                  <w:name w:val=""/>
                  <w:enabled/>
                  <w:calcOnExit w:val="0"/>
                  <w:checkBox>
                    <w:sizeAuto/>
                  </w:checkBox>
                </w:ffData>
              </w:fldChar>
            </w:r>
            <w:r>
              <w:rPr>
                <w:sz w:val="22"/>
                <w:szCs w:val="22"/>
                <w:rFonts w:cs="Arial" w:ascii="Arial" w:hAnsi="Arial"/>
              </w:rPr>
              <w:instrText xml:space="preserve"> FORMCHECKBOX </w:instrText>
            </w:r>
            <w:r>
              <w:rPr>
                <w:sz w:val="22"/>
                <w:szCs w:val="22"/>
                <w:rFonts w:cs="Arial" w:ascii="Arial" w:hAnsi="Arial"/>
              </w:rPr>
              <w:fldChar w:fldCharType="separate"/>
            </w:r>
            <w:bookmarkStart w:id="12" w:name="Bookmark_Copy_4"/>
            <w:bookmarkStart w:id="13" w:name="Bookmark_Copy_4"/>
            <w:bookmarkEnd w:id="13"/>
            <w:r>
              <w:rPr>
                <w:rFonts w:cs="Arial" w:ascii="Arial" w:hAnsi="Arial"/>
                <w:sz w:val="22"/>
                <w:szCs w:val="22"/>
              </w:rPr>
            </w:r>
            <w:r>
              <w:rPr>
                <w:sz w:val="22"/>
                <w:szCs w:val="22"/>
                <w:rFonts w:cs="Arial" w:ascii="Arial" w:hAnsi="Arial"/>
              </w:rPr>
              <w:fldChar w:fldCharType="end"/>
            </w:r>
            <w:bookmarkStart w:id="14" w:name="Check17"/>
            <w:bookmarkEnd w:id="14"/>
            <w:r>
              <w:rPr>
                <w:rFonts w:cs="Arial" w:ascii="Arial" w:hAnsi="Arial"/>
                <w:sz w:val="22"/>
                <w:szCs w:val="22"/>
              </w:rPr>
              <w:t xml:space="preserve">      6</w:t>
            </w:r>
            <w:r>
              <w:rPr>
                <w:rFonts w:cs="Arial" w:ascii="Arial" w:hAnsi="Arial"/>
                <w:sz w:val="22"/>
                <w:szCs w:val="22"/>
                <w:vertAlign w:val="superscript"/>
              </w:rPr>
              <w:t>th</w:t>
            </w:r>
            <w:r>
              <w:rPr>
                <w:rFonts w:cs="Arial" w:ascii="Arial" w:hAnsi="Arial"/>
                <w:sz w:val="22"/>
                <w:szCs w:val="22"/>
              </w:rPr>
              <w:t xml:space="preserve"> </w:t>
            </w:r>
            <w:r>
              <w:fldChar w:fldCharType="begin">
                <w:ffData>
                  <w:name w:val=""/>
                  <w:enabled/>
                  <w:calcOnExit w:val="0"/>
                  <w:checkBox>
                    <w:sizeAuto/>
                  </w:checkBox>
                </w:ffData>
              </w:fldChar>
            </w:r>
            <w:r>
              <w:rPr>
                <w:sz w:val="22"/>
                <w:szCs w:val="22"/>
                <w:rFonts w:cs="Arial" w:ascii="Arial" w:hAnsi="Arial"/>
              </w:rPr>
              <w:instrText xml:space="preserve"> FORMCHECKBOX </w:instrText>
            </w:r>
            <w:r>
              <w:rPr>
                <w:sz w:val="22"/>
                <w:szCs w:val="22"/>
                <w:rFonts w:cs="Arial" w:ascii="Arial" w:hAnsi="Arial"/>
              </w:rPr>
              <w:fldChar w:fldCharType="separate"/>
            </w:r>
            <w:bookmarkStart w:id="15" w:name="Bookmark_Copy_5"/>
            <w:bookmarkStart w:id="16" w:name="Bookmark_Copy_5"/>
            <w:bookmarkEnd w:id="16"/>
            <w:r>
              <w:rPr>
                <w:rFonts w:cs="Arial" w:ascii="Arial" w:hAnsi="Arial"/>
                <w:sz w:val="22"/>
                <w:szCs w:val="22"/>
              </w:rPr>
            </w:r>
            <w:r>
              <w:rPr>
                <w:sz w:val="22"/>
                <w:szCs w:val="22"/>
                <w:rFonts w:cs="Arial" w:ascii="Arial" w:hAnsi="Arial"/>
              </w:rPr>
              <w:fldChar w:fldCharType="end"/>
            </w:r>
            <w:bookmarkStart w:id="17" w:name="Check18"/>
            <w:bookmarkEnd w:id="17"/>
            <w:r>
              <w:rPr>
                <w:rFonts w:cs="Arial" w:ascii="Arial" w:hAnsi="Arial"/>
                <w:b/>
                <w:sz w:val="22"/>
                <w:szCs w:val="22"/>
              </w:rPr>
              <w:t xml:space="preserve">   </w:t>
            </w:r>
            <w:r>
              <w:rPr>
                <w:rFonts w:cs="Arial" w:ascii="Arial" w:hAnsi="Arial"/>
                <w:sz w:val="22"/>
                <w:szCs w:val="22"/>
              </w:rPr>
              <w:t>module of the degree</w:t>
            </w:r>
          </w:p>
        </w:tc>
      </w:tr>
      <w:tr>
        <w:trPr>
          <w:trHeight w:val="978" w:hRule="atLeast"/>
        </w:trPr>
        <w:tc>
          <w:tcPr>
            <w:tcW w:w="8856" w:type="dxa"/>
            <w:gridSpan w:val="5"/>
            <w:tcBorders>
              <w:top w:val="single" w:sz="4" w:space="0" w:color="000000"/>
              <w:start w:val="single" w:sz="4" w:space="0" w:color="000000"/>
              <w:bottom w:val="single" w:sz="4" w:space="0" w:color="000000"/>
              <w:end w:val="single" w:sz="4" w:space="0" w:color="000000"/>
            </w:tcBorders>
            <w:shd w:fill="D9D9D9" w:val="clear"/>
          </w:tcPr>
          <w:p>
            <w:pPr>
              <w:pStyle w:val="NormalWeb"/>
              <w:widowControl w:val="false"/>
              <w:spacing w:before="0" w:after="0"/>
              <w:ind w:end="34" w:hanging="0"/>
              <w:rPr>
                <w:rFonts w:ascii="Arial" w:hAnsi="Arial" w:cs="Arial"/>
                <w:sz w:val="22"/>
                <w:szCs w:val="22"/>
              </w:rPr>
            </w:pPr>
            <w:r>
              <w:rPr>
                <w:rFonts w:cs="Arial" w:ascii="Arial" w:hAnsi="Arial"/>
                <w:sz w:val="22"/>
                <w:szCs w:val="22"/>
              </w:rPr>
              <w:t>I confirm that this is my original work and that I have adhered to the University policy on plagiarism.</w:t>
            </w:r>
          </w:p>
          <w:p>
            <w:pPr>
              <w:pStyle w:val="NormalWeb"/>
              <w:widowControl w:val="false"/>
              <w:spacing w:before="0" w:after="0"/>
              <w:ind w:end="34" w:hanging="0"/>
              <w:rPr/>
            </w:pPr>
            <w:r>
              <w:rPr>
                <w:rFonts w:cs="Arial" w:ascii="Arial" w:hAnsi="Arial"/>
                <w:sz w:val="22"/>
                <w:szCs w:val="22"/>
              </w:rPr>
              <w:t>Signed ………………Ruth-heather Collins……………………………………………</w:t>
            </w:r>
          </w:p>
          <w:p>
            <w:pPr>
              <w:pStyle w:val="NormalWeb"/>
              <w:widowControl w:val="false"/>
              <w:spacing w:before="0" w:after="0"/>
              <w:ind w:end="34" w:hanging="0"/>
              <w:rPr/>
            </w:pPr>
            <w:r>
              <w:rPr>
                <w:rFonts w:cs="Tahoma" w:ascii="Calibri" w:hAnsi="Calibri"/>
                <w:b/>
                <w:sz w:val="24"/>
                <w:szCs w:val="24"/>
              </w:rPr>
              <w:t xml:space="preserve">Email submission: if you are submitting this form via email, please tick this box </w:t>
            </w:r>
            <w:r>
              <w:rPr>
                <w:rFonts w:cs="Calibri" w:ascii="Calibri" w:hAnsi="Calibri"/>
                <w:b/>
                <w:sz w:val="44"/>
                <w:szCs w:val="44"/>
              </w:rPr>
              <w:t>□</w:t>
            </w:r>
          </w:p>
          <w:p>
            <w:pPr>
              <w:pStyle w:val="NormalWeb"/>
              <w:widowControl w:val="false"/>
              <w:spacing w:before="0" w:after="0"/>
              <w:ind w:end="34" w:hanging="0"/>
              <w:rPr>
                <w:rFonts w:ascii="Calibri" w:hAnsi="Calibri" w:cs="Tahoma"/>
                <w:b/>
                <w:sz w:val="24"/>
                <w:szCs w:val="24"/>
              </w:rPr>
            </w:pPr>
            <w:r>
              <w:rPr>
                <w:rFonts w:cs="Tahoma" w:ascii="Calibri" w:hAnsi="Calibri"/>
                <w:b/>
                <w:sz w:val="24"/>
                <w:szCs w:val="24"/>
              </w:rPr>
              <w:t>(as a substitute for your signature) to confirm that you agree to the above declaration.</w:t>
            </w:r>
          </w:p>
        </w:tc>
      </w:tr>
      <w:tr>
        <w:trPr>
          <w:trHeight w:val="3972" w:hRule="atLeast"/>
        </w:trPr>
        <w:tc>
          <w:tcPr>
            <w:tcW w:w="8856" w:type="dxa"/>
            <w:gridSpan w:val="5"/>
            <w:tcBorders>
              <w:top w:val="single" w:sz="4" w:space="0" w:color="000000"/>
              <w:start w:val="single" w:sz="4" w:space="0" w:color="000000"/>
              <w:bottom w:val="single" w:sz="4" w:space="0" w:color="000000"/>
              <w:end w:val="single" w:sz="4" w:space="0" w:color="000000"/>
            </w:tcBorders>
          </w:tcPr>
          <w:p>
            <w:pPr>
              <w:pStyle w:val="Normal"/>
              <w:widowControl w:val="false"/>
              <w:snapToGrid w:val="false"/>
              <w:rPr>
                <w:rFonts w:ascii="Arial" w:hAnsi="Arial" w:cs="Arial"/>
                <w:b/>
                <w:sz w:val="22"/>
                <w:szCs w:val="22"/>
              </w:rPr>
            </w:pPr>
            <w:r>
              <w:rPr>
                <w:rFonts w:cs="Arial" w:ascii="Arial" w:hAnsi="Arial"/>
                <w:b/>
                <w:sz w:val="22"/>
                <w:szCs w:val="22"/>
              </w:rPr>
            </w:r>
          </w:p>
          <w:p>
            <w:pPr>
              <w:pStyle w:val="Normal"/>
              <w:widowControl w:val="false"/>
              <w:rPr>
                <w:rFonts w:ascii="Arial" w:hAnsi="Arial" w:cs="Arial"/>
                <w:b/>
              </w:rPr>
            </w:pPr>
            <w:r>
              <w:rPr>
                <w:rFonts w:cs="Arial" w:ascii="Arial" w:hAnsi="Arial"/>
                <w:b/>
              </w:rPr>
              <w:t>Assignment Mark</w:t>
            </w:r>
          </w:p>
          <w:tbl>
            <w:tblPr>
              <w:tblW w:w="8630" w:type="dxa"/>
              <w:jc w:val="start"/>
              <w:tblInd w:w="0" w:type="dxa"/>
              <w:tblLayout w:type="fixed"/>
              <w:tblCellMar>
                <w:top w:w="0" w:type="dxa"/>
                <w:start w:w="108" w:type="dxa"/>
                <w:bottom w:w="0" w:type="dxa"/>
                <w:end w:w="108" w:type="dxa"/>
              </w:tblCellMar>
            </w:tblPr>
            <w:tblGrid>
              <w:gridCol w:w="6969"/>
              <w:gridCol w:w="1660"/>
            </w:tblGrid>
            <w:tr>
              <w:trPr/>
              <w:tc>
                <w:tcPr>
                  <w:tcW w:w="6969" w:type="dxa"/>
                  <w:tcBorders>
                    <w:top w:val="single" w:sz="4" w:space="0" w:color="000000"/>
                    <w:start w:val="single" w:sz="4" w:space="0" w:color="000000"/>
                    <w:bottom w:val="single" w:sz="4" w:space="0" w:color="000000"/>
                    <w:end w:val="single" w:sz="4" w:space="0" w:color="000000"/>
                  </w:tcBorders>
                </w:tcPr>
                <w:p>
                  <w:pPr>
                    <w:pStyle w:val="Normal"/>
                    <w:widowControl w:val="false"/>
                    <w:snapToGrid w:val="false"/>
                    <w:rPr>
                      <w:rFonts w:ascii="Arial" w:hAnsi="Arial" w:cs="Arial"/>
                      <w:sz w:val="20"/>
                      <w:szCs w:val="20"/>
                    </w:rPr>
                  </w:pPr>
                  <w:r>
                    <w:rPr>
                      <w:rFonts w:cs="Arial" w:ascii="Arial" w:hAnsi="Arial"/>
                      <w:sz w:val="20"/>
                      <w:szCs w:val="20"/>
                    </w:rPr>
                  </w:r>
                </w:p>
                <w:p>
                  <w:pPr>
                    <w:pStyle w:val="Normal"/>
                    <w:widowControl w:val="false"/>
                    <w:rPr/>
                  </w:pPr>
                  <w:r>
                    <w:rPr>
                      <w:rFonts w:cs="Arial" w:ascii="Arial" w:hAnsi="Arial"/>
                      <w:sz w:val="20"/>
                      <w:szCs w:val="20"/>
                    </w:rPr>
                    <w:t>1</w:t>
                  </w:r>
                  <w:r>
                    <w:rPr>
                      <w:rFonts w:cs="Arial" w:ascii="Arial" w:hAnsi="Arial"/>
                      <w:sz w:val="20"/>
                      <w:szCs w:val="20"/>
                      <w:vertAlign w:val="superscript"/>
                    </w:rPr>
                    <w:t>st</w:t>
                  </w:r>
                  <w:r>
                    <w:rPr>
                      <w:rFonts w:cs="Arial" w:ascii="Arial" w:hAnsi="Arial"/>
                      <w:sz w:val="20"/>
                      <w:szCs w:val="20"/>
                    </w:rPr>
                    <w:t xml:space="preserve"> Marker’s Provisional mark</w:t>
                  </w:r>
                </w:p>
              </w:tc>
              <w:tc>
                <w:tcPr>
                  <w:tcW w:w="1660" w:type="dxa"/>
                  <w:tcBorders>
                    <w:top w:val="single" w:sz="4" w:space="0" w:color="000000"/>
                    <w:start w:val="single" w:sz="4" w:space="0" w:color="000000"/>
                    <w:bottom w:val="single" w:sz="4" w:space="0" w:color="000000"/>
                    <w:end w:val="single" w:sz="4" w:space="0" w:color="000000"/>
                  </w:tcBorders>
                </w:tcPr>
                <w:p>
                  <w:pPr>
                    <w:pStyle w:val="Normal"/>
                    <w:widowControl w:val="false"/>
                    <w:snapToGrid w:val="false"/>
                    <w:rPr>
                      <w:rFonts w:ascii="Arial" w:hAnsi="Arial" w:cs="Arial"/>
                      <w:sz w:val="20"/>
                      <w:szCs w:val="20"/>
                    </w:rPr>
                  </w:pPr>
                  <w:r>
                    <w:rPr>
                      <w:rFonts w:cs="Arial" w:ascii="Arial" w:hAnsi="Arial"/>
                      <w:sz w:val="20"/>
                      <w:szCs w:val="20"/>
                    </w:rPr>
                  </w:r>
                </w:p>
              </w:tc>
            </w:tr>
            <w:tr>
              <w:trPr/>
              <w:tc>
                <w:tcPr>
                  <w:tcW w:w="6969" w:type="dxa"/>
                  <w:tcBorders>
                    <w:top w:val="single" w:sz="4" w:space="0" w:color="000000"/>
                    <w:start w:val="single" w:sz="4" w:space="0" w:color="000000"/>
                    <w:bottom w:val="single" w:sz="4" w:space="0" w:color="000000"/>
                    <w:end w:val="single" w:sz="4" w:space="0" w:color="000000"/>
                  </w:tcBorders>
                </w:tcPr>
                <w:p>
                  <w:pPr>
                    <w:pStyle w:val="Normal"/>
                    <w:widowControl w:val="false"/>
                    <w:snapToGrid w:val="false"/>
                    <w:rPr>
                      <w:rFonts w:ascii="Arial" w:hAnsi="Arial" w:cs="Arial"/>
                      <w:sz w:val="20"/>
                      <w:szCs w:val="20"/>
                    </w:rPr>
                  </w:pPr>
                  <w:r>
                    <w:rPr>
                      <w:rFonts w:cs="Arial" w:ascii="Arial" w:hAnsi="Arial"/>
                      <w:sz w:val="20"/>
                      <w:szCs w:val="20"/>
                    </w:rPr>
                  </w:r>
                </w:p>
                <w:p>
                  <w:pPr>
                    <w:pStyle w:val="Normal"/>
                    <w:widowControl w:val="false"/>
                    <w:rPr/>
                  </w:pPr>
                  <w:r>
                    <w:rPr>
                      <w:rFonts w:cs="Arial" w:ascii="Arial" w:hAnsi="Arial"/>
                      <w:sz w:val="20"/>
                      <w:szCs w:val="20"/>
                    </w:rPr>
                    <w:t>2</w:t>
                  </w:r>
                  <w:r>
                    <w:rPr>
                      <w:rFonts w:cs="Arial" w:ascii="Arial" w:hAnsi="Arial"/>
                      <w:sz w:val="20"/>
                      <w:szCs w:val="20"/>
                      <w:vertAlign w:val="superscript"/>
                    </w:rPr>
                    <w:t>nd</w:t>
                  </w:r>
                  <w:r>
                    <w:rPr>
                      <w:rFonts w:cs="Arial" w:ascii="Arial" w:hAnsi="Arial"/>
                      <w:sz w:val="20"/>
                      <w:szCs w:val="20"/>
                    </w:rPr>
                    <w:t xml:space="preserve"> Marker’s/Moderator’s provisional mark</w:t>
                  </w:r>
                </w:p>
              </w:tc>
              <w:tc>
                <w:tcPr>
                  <w:tcW w:w="1660" w:type="dxa"/>
                  <w:tcBorders>
                    <w:top w:val="single" w:sz="4" w:space="0" w:color="000000"/>
                    <w:start w:val="single" w:sz="4" w:space="0" w:color="000000"/>
                    <w:bottom w:val="single" w:sz="4" w:space="0" w:color="000000"/>
                    <w:end w:val="single" w:sz="4" w:space="0" w:color="000000"/>
                  </w:tcBorders>
                </w:tcPr>
                <w:p>
                  <w:pPr>
                    <w:pStyle w:val="Normal"/>
                    <w:widowControl w:val="false"/>
                    <w:snapToGrid w:val="false"/>
                    <w:rPr>
                      <w:rFonts w:ascii="Arial" w:hAnsi="Arial" w:cs="Arial"/>
                      <w:sz w:val="20"/>
                      <w:szCs w:val="20"/>
                    </w:rPr>
                  </w:pPr>
                  <w:r>
                    <w:rPr>
                      <w:rFonts w:cs="Arial" w:ascii="Arial" w:hAnsi="Arial"/>
                      <w:sz w:val="20"/>
                      <w:szCs w:val="20"/>
                    </w:rPr>
                  </w:r>
                </w:p>
              </w:tc>
            </w:tr>
            <w:tr>
              <w:trPr/>
              <w:tc>
                <w:tcPr>
                  <w:tcW w:w="6969" w:type="dxa"/>
                  <w:tcBorders>
                    <w:top w:val="single" w:sz="4" w:space="0" w:color="000000"/>
                    <w:start w:val="single" w:sz="4" w:space="0" w:color="000000"/>
                    <w:bottom w:val="single" w:sz="4" w:space="0" w:color="000000"/>
                    <w:end w:val="single" w:sz="4" w:space="0" w:color="000000"/>
                  </w:tcBorders>
                </w:tcPr>
                <w:p>
                  <w:pPr>
                    <w:pStyle w:val="Normal"/>
                    <w:widowControl w:val="false"/>
                    <w:snapToGrid w:val="false"/>
                    <w:rPr>
                      <w:rFonts w:ascii="Arial" w:hAnsi="Arial" w:cs="Arial"/>
                      <w:sz w:val="20"/>
                      <w:szCs w:val="20"/>
                    </w:rPr>
                  </w:pPr>
                  <w:r>
                    <w:rPr>
                      <w:rFonts w:cs="Arial" w:ascii="Arial" w:hAnsi="Arial"/>
                      <w:sz w:val="20"/>
                      <w:szCs w:val="20"/>
                    </w:rPr>
                  </w:r>
                </w:p>
                <w:p>
                  <w:pPr>
                    <w:pStyle w:val="Normal"/>
                    <w:widowControl w:val="false"/>
                    <w:rPr/>
                  </w:pPr>
                  <w:r>
                    <w:rPr>
                      <w:rFonts w:cs="Arial" w:ascii="Arial" w:hAnsi="Arial"/>
                      <w:sz w:val="20"/>
                      <w:szCs w:val="20"/>
                    </w:rPr>
                    <w:t>External Examiner’s mark (if relevant)</w:t>
                  </w:r>
                </w:p>
              </w:tc>
              <w:tc>
                <w:tcPr>
                  <w:tcW w:w="1660" w:type="dxa"/>
                  <w:tcBorders>
                    <w:top w:val="single" w:sz="4" w:space="0" w:color="000000"/>
                    <w:start w:val="single" w:sz="4" w:space="0" w:color="000000"/>
                    <w:bottom w:val="single" w:sz="4" w:space="0" w:color="000000"/>
                    <w:end w:val="single" w:sz="4" w:space="0" w:color="000000"/>
                  </w:tcBorders>
                </w:tcPr>
                <w:p>
                  <w:pPr>
                    <w:pStyle w:val="Normal"/>
                    <w:widowControl w:val="false"/>
                    <w:snapToGrid w:val="false"/>
                    <w:rPr>
                      <w:rFonts w:ascii="Arial" w:hAnsi="Arial" w:cs="Arial"/>
                      <w:sz w:val="20"/>
                      <w:szCs w:val="20"/>
                    </w:rPr>
                  </w:pPr>
                  <w:r>
                    <w:rPr>
                      <w:rFonts w:cs="Arial" w:ascii="Arial" w:hAnsi="Arial"/>
                      <w:sz w:val="20"/>
                      <w:szCs w:val="20"/>
                    </w:rPr>
                  </w:r>
                </w:p>
              </w:tc>
            </w:tr>
            <w:tr>
              <w:trPr/>
              <w:tc>
                <w:tcPr>
                  <w:tcW w:w="6969" w:type="dxa"/>
                  <w:tcBorders>
                    <w:top w:val="single" w:sz="4" w:space="0" w:color="000000"/>
                    <w:start w:val="single" w:sz="4" w:space="0" w:color="000000"/>
                    <w:bottom w:val="single" w:sz="4" w:space="0" w:color="000000"/>
                    <w:end w:val="single" w:sz="4" w:space="0" w:color="000000"/>
                  </w:tcBorders>
                </w:tcPr>
                <w:p>
                  <w:pPr>
                    <w:pStyle w:val="Normal"/>
                    <w:widowControl w:val="false"/>
                    <w:snapToGrid w:val="false"/>
                    <w:rPr>
                      <w:rFonts w:ascii="Arial" w:hAnsi="Arial" w:cs="Arial"/>
                      <w:sz w:val="20"/>
                      <w:szCs w:val="20"/>
                    </w:rPr>
                  </w:pPr>
                  <w:r>
                    <w:rPr>
                      <w:rFonts w:cs="Arial" w:ascii="Arial" w:hAnsi="Arial"/>
                      <w:sz w:val="20"/>
                      <w:szCs w:val="20"/>
                    </w:rPr>
                  </w:r>
                </w:p>
                <w:p>
                  <w:pPr>
                    <w:pStyle w:val="Normal"/>
                    <w:widowControl w:val="false"/>
                    <w:rPr>
                      <w:rFonts w:ascii="Arial" w:hAnsi="Arial" w:cs="Arial"/>
                      <w:b/>
                      <w:sz w:val="20"/>
                      <w:szCs w:val="20"/>
                    </w:rPr>
                  </w:pPr>
                  <w:r>
                    <w:rPr>
                      <w:rFonts w:cs="Arial" w:ascii="Arial" w:hAnsi="Arial"/>
                      <w:b/>
                      <w:sz w:val="20"/>
                      <w:szCs w:val="20"/>
                    </w:rPr>
                    <w:t>Final Mark</w:t>
                  </w:r>
                </w:p>
                <w:p>
                  <w:pPr>
                    <w:pStyle w:val="Normal"/>
                    <w:widowControl w:val="false"/>
                    <w:rPr>
                      <w:rFonts w:ascii="Arial" w:hAnsi="Arial" w:cs="Arial"/>
                      <w:b/>
                      <w:sz w:val="20"/>
                      <w:szCs w:val="20"/>
                    </w:rPr>
                  </w:pPr>
                  <w:r>
                    <w:rPr>
                      <w:rFonts w:cs="Arial" w:ascii="Arial" w:hAnsi="Arial"/>
                      <w:b/>
                      <w:sz w:val="20"/>
                      <w:szCs w:val="20"/>
                    </w:rPr>
                  </w:r>
                </w:p>
              </w:tc>
              <w:tc>
                <w:tcPr>
                  <w:tcW w:w="1660" w:type="dxa"/>
                  <w:tcBorders>
                    <w:top w:val="single" w:sz="4" w:space="0" w:color="000000"/>
                    <w:start w:val="single" w:sz="4" w:space="0" w:color="000000"/>
                    <w:bottom w:val="single" w:sz="4" w:space="0" w:color="000000"/>
                    <w:end w:val="single" w:sz="4" w:space="0" w:color="000000"/>
                  </w:tcBorders>
                </w:tcPr>
                <w:p>
                  <w:pPr>
                    <w:pStyle w:val="Normal"/>
                    <w:widowControl w:val="false"/>
                    <w:snapToGrid w:val="false"/>
                    <w:rPr>
                      <w:rFonts w:ascii="Arial" w:hAnsi="Arial" w:cs="Arial"/>
                      <w:sz w:val="20"/>
                      <w:szCs w:val="20"/>
                    </w:rPr>
                  </w:pPr>
                  <w:r>
                    <w:rPr>
                      <w:rFonts w:cs="Arial" w:ascii="Arial" w:hAnsi="Arial"/>
                      <w:sz w:val="20"/>
                      <w:szCs w:val="20"/>
                    </w:rPr>
                  </w:r>
                </w:p>
              </w:tc>
            </w:tr>
          </w:tbl>
          <w:p>
            <w:pPr>
              <w:pStyle w:val="NormalWeb"/>
              <w:widowControl w:val="false"/>
              <w:spacing w:before="0" w:after="0"/>
              <w:ind w:start="142" w:end="34" w:hanging="0"/>
              <w:rPr>
                <w:rFonts w:ascii="Arial" w:hAnsi="Arial" w:cs="Arial"/>
                <w:b/>
                <w:sz w:val="22"/>
                <w:szCs w:val="22"/>
              </w:rPr>
            </w:pPr>
            <w:r>
              <w:rPr>
                <w:rFonts w:cs="Arial" w:ascii="Arial" w:hAnsi="Arial"/>
                <w:b/>
                <w:sz w:val="22"/>
                <w:szCs w:val="22"/>
              </w:rPr>
            </w:r>
          </w:p>
          <w:p>
            <w:pPr>
              <w:pStyle w:val="NormalWeb"/>
              <w:widowControl w:val="false"/>
              <w:spacing w:before="0" w:after="0"/>
              <w:ind w:start="142" w:end="34" w:hanging="0"/>
              <w:rPr/>
            </w:pPr>
            <w:r>
              <w:rPr>
                <w:rFonts w:cs="Arial" w:ascii="Arial" w:hAnsi="Arial"/>
                <w:b/>
                <w:sz w:val="22"/>
                <w:szCs w:val="22"/>
              </w:rPr>
              <w:t>NB.</w:t>
            </w:r>
            <w:r>
              <w:rPr>
                <w:rFonts w:cs="Arial" w:ascii="Arial" w:hAnsi="Arial"/>
                <w:sz w:val="22"/>
                <w:szCs w:val="22"/>
              </w:rPr>
              <w:t xml:space="preserve">  All marks are provisional until confirmed by the Final Examination Board.</w:t>
            </w:r>
          </w:p>
          <w:p>
            <w:pPr>
              <w:pStyle w:val="NormalWeb"/>
              <w:widowControl w:val="false"/>
              <w:spacing w:before="0" w:after="0"/>
              <w:rPr>
                <w:rFonts w:ascii="Arial" w:hAnsi="Arial" w:cs="Arial"/>
                <w:b/>
                <w:sz w:val="22"/>
                <w:szCs w:val="22"/>
              </w:rPr>
            </w:pPr>
            <w:r>
              <w:rPr>
                <w:rFonts w:cs="Arial" w:ascii="Arial" w:hAnsi="Arial"/>
                <w:b/>
                <w:sz w:val="22"/>
                <w:szCs w:val="22"/>
              </w:rPr>
            </w:r>
          </w:p>
          <w:p>
            <w:pPr>
              <w:pStyle w:val="NormalWeb"/>
              <w:widowControl w:val="false"/>
              <w:spacing w:before="0" w:after="0"/>
              <w:rPr>
                <w:rFonts w:ascii="Arial" w:hAnsi="Arial" w:cs="Arial"/>
                <w:b/>
                <w:sz w:val="22"/>
                <w:szCs w:val="22"/>
              </w:rPr>
            </w:pPr>
            <w:r>
              <w:rPr>
                <w:rFonts w:cs="Arial" w:ascii="Arial" w:hAnsi="Arial"/>
                <w:b/>
                <w:sz w:val="22"/>
                <w:szCs w:val="22"/>
              </w:rPr>
            </w:r>
          </w:p>
          <w:p>
            <w:pPr>
              <w:pStyle w:val="NormalWeb"/>
              <w:widowControl w:val="false"/>
              <w:spacing w:before="0" w:after="0"/>
              <w:rPr>
                <w:rFonts w:ascii="Arial" w:hAnsi="Arial" w:cs="Arial"/>
                <w:b/>
                <w:sz w:val="22"/>
                <w:szCs w:val="22"/>
              </w:rPr>
            </w:pPr>
            <w:r>
              <w:rPr>
                <w:rFonts w:cs="Arial" w:ascii="Arial" w:hAnsi="Arial"/>
                <w:b/>
                <w:sz w:val="22"/>
                <w:szCs w:val="22"/>
              </w:rPr>
            </w:r>
          </w:p>
          <w:p>
            <w:pPr>
              <w:pStyle w:val="NormalWeb"/>
              <w:widowControl w:val="false"/>
              <w:spacing w:before="0" w:after="0"/>
              <w:rPr>
                <w:rFonts w:ascii="Arial" w:hAnsi="Arial" w:cs="Arial"/>
                <w:b/>
                <w:sz w:val="22"/>
                <w:szCs w:val="22"/>
              </w:rPr>
            </w:pPr>
            <w:r>
              <w:rPr>
                <w:rFonts w:cs="Arial" w:ascii="Arial" w:hAnsi="Arial"/>
                <w:b/>
                <w:sz w:val="22"/>
                <w:szCs w:val="22"/>
              </w:rPr>
            </w:r>
          </w:p>
          <w:p>
            <w:pPr>
              <w:pStyle w:val="NormalWeb"/>
              <w:widowControl w:val="false"/>
              <w:spacing w:before="0" w:after="0"/>
              <w:rPr>
                <w:rFonts w:ascii="Arial" w:hAnsi="Arial" w:cs="Arial"/>
                <w:b/>
                <w:sz w:val="22"/>
                <w:szCs w:val="22"/>
              </w:rPr>
            </w:pPr>
            <w:r>
              <w:rPr>
                <w:rFonts w:cs="Arial" w:ascii="Arial" w:hAnsi="Arial"/>
                <w:b/>
                <w:sz w:val="22"/>
                <w:szCs w:val="22"/>
              </w:rPr>
            </w:r>
          </w:p>
          <w:p>
            <w:pPr>
              <w:pStyle w:val="NormalWeb"/>
              <w:widowControl w:val="false"/>
              <w:spacing w:before="0" w:after="0"/>
              <w:rPr>
                <w:rFonts w:ascii="Arial" w:hAnsi="Arial" w:cs="Arial"/>
                <w:b/>
                <w:sz w:val="22"/>
                <w:szCs w:val="22"/>
              </w:rPr>
            </w:pPr>
            <w:r>
              <w:rPr>
                <w:rFonts w:cs="Arial" w:ascii="Arial" w:hAnsi="Arial"/>
                <w:b/>
                <w:sz w:val="22"/>
                <w:szCs w:val="22"/>
              </w:rPr>
            </w:r>
          </w:p>
          <w:p>
            <w:pPr>
              <w:pStyle w:val="NormalWeb"/>
              <w:widowControl w:val="false"/>
              <w:spacing w:before="0" w:after="0"/>
              <w:rPr>
                <w:rFonts w:ascii="Arial" w:hAnsi="Arial" w:cs="Arial"/>
                <w:b/>
                <w:sz w:val="22"/>
                <w:szCs w:val="22"/>
              </w:rPr>
            </w:pPr>
            <w:r>
              <w:rPr>
                <w:rFonts w:cs="Arial" w:ascii="Arial" w:hAnsi="Arial"/>
                <w:b/>
                <w:sz w:val="22"/>
                <w:szCs w:val="22"/>
              </w:rPr>
            </w:r>
          </w:p>
          <w:p>
            <w:pPr>
              <w:pStyle w:val="NormalWeb"/>
              <w:widowControl w:val="false"/>
              <w:spacing w:before="0" w:after="0"/>
              <w:rPr>
                <w:rFonts w:ascii="Arial" w:hAnsi="Arial" w:cs="Arial"/>
                <w:b/>
                <w:sz w:val="22"/>
                <w:szCs w:val="22"/>
              </w:rPr>
            </w:pPr>
            <w:r>
              <w:rPr>
                <w:rFonts w:cs="Arial" w:ascii="Arial" w:hAnsi="Arial"/>
                <w:b/>
                <w:sz w:val="22"/>
                <w:szCs w:val="22"/>
              </w:rPr>
            </w:r>
          </w:p>
          <w:p>
            <w:pPr>
              <w:pStyle w:val="NormalWeb"/>
              <w:widowControl w:val="false"/>
              <w:spacing w:before="0" w:after="0"/>
              <w:rPr>
                <w:rFonts w:ascii="Arial" w:hAnsi="Arial" w:cs="Arial"/>
                <w:b/>
                <w:sz w:val="22"/>
                <w:szCs w:val="22"/>
              </w:rPr>
            </w:pPr>
            <w:r>
              <w:rPr>
                <w:rFonts w:cs="Arial" w:ascii="Arial" w:hAnsi="Arial"/>
                <w:b/>
                <w:sz w:val="22"/>
                <w:szCs w:val="22"/>
              </w:rPr>
            </w:r>
          </w:p>
          <w:p>
            <w:pPr>
              <w:pStyle w:val="NormalWeb"/>
              <w:widowControl w:val="false"/>
              <w:spacing w:before="0" w:after="0"/>
              <w:rPr/>
            </w:pPr>
            <w:r>
              <w:rPr>
                <w:rFonts w:cs="Arial" w:ascii="Arial" w:hAnsi="Arial"/>
                <w:b/>
                <w:sz w:val="22"/>
                <w:szCs w:val="22"/>
              </w:rPr>
              <w:t>For completion by Marker 1:</w:t>
            </w:r>
          </w:p>
          <w:p>
            <w:pPr>
              <w:pStyle w:val="NormalWeb"/>
              <w:widowControl w:val="false"/>
              <w:rPr/>
            </w:pPr>
            <w:r>
              <w:rPr>
                <w:rFonts w:cs="Arial" w:ascii="Arial" w:hAnsi="Arial"/>
                <w:sz w:val="22"/>
                <w:szCs w:val="22"/>
              </w:rPr>
              <w:t>Comments:</w:t>
            </w:r>
          </w:p>
          <w:p>
            <w:pPr>
              <w:pStyle w:val="NormalWeb"/>
              <w:widowControl w:val="false"/>
              <w:spacing w:before="280" w:after="0"/>
              <w:rPr>
                <w:rFonts w:ascii="Arial" w:hAnsi="Arial" w:cs="Arial"/>
                <w:sz w:val="22"/>
                <w:szCs w:val="22"/>
              </w:rPr>
            </w:pPr>
            <w:r>
              <w:rPr>
                <w:rFonts w:cs="Arial" w:ascii="Arial" w:hAnsi="Arial"/>
                <w:sz w:val="22"/>
                <w:szCs w:val="22"/>
              </w:rPr>
            </w:r>
          </w:p>
        </w:tc>
      </w:tr>
      <w:tr>
        <w:trPr>
          <w:trHeight w:val="492" w:hRule="atLeast"/>
        </w:trPr>
        <w:tc>
          <w:tcPr>
            <w:tcW w:w="6766" w:type="dxa"/>
            <w:gridSpan w:val="3"/>
            <w:tcBorders>
              <w:top w:val="single" w:sz="4" w:space="0" w:color="000000"/>
              <w:start w:val="single" w:sz="4" w:space="0" w:color="000000"/>
              <w:bottom w:val="single" w:sz="4" w:space="0" w:color="000000"/>
              <w:end w:val="single" w:sz="4" w:space="0" w:color="000000"/>
            </w:tcBorders>
          </w:tcPr>
          <w:p>
            <w:pPr>
              <w:pStyle w:val="NormalWeb"/>
              <w:widowControl w:val="false"/>
              <w:spacing w:before="280" w:after="0"/>
              <w:ind w:start="142" w:end="34" w:hanging="0"/>
              <w:rPr/>
            </w:pPr>
            <w:r>
              <w:rPr>
                <w:rFonts w:cs="Arial" w:ascii="Arial" w:hAnsi="Arial"/>
                <w:sz w:val="22"/>
                <w:szCs w:val="22"/>
              </w:rPr>
              <w:t>Marker’s signature:</w:t>
            </w:r>
          </w:p>
        </w:tc>
        <w:tc>
          <w:tcPr>
            <w:tcW w:w="2090" w:type="dxa"/>
            <w:gridSpan w:val="2"/>
            <w:tcBorders>
              <w:top w:val="single" w:sz="4" w:space="0" w:color="000000"/>
              <w:start w:val="single" w:sz="4" w:space="0" w:color="000000"/>
              <w:bottom w:val="single" w:sz="4" w:space="0" w:color="000000"/>
              <w:end w:val="single" w:sz="4" w:space="0" w:color="000000"/>
            </w:tcBorders>
          </w:tcPr>
          <w:p>
            <w:pPr>
              <w:pStyle w:val="NormalWeb"/>
              <w:widowControl w:val="false"/>
              <w:spacing w:before="280" w:after="0"/>
              <w:ind w:start="142" w:end="34" w:hanging="0"/>
              <w:rPr/>
            </w:pPr>
            <w:r>
              <w:rPr>
                <w:rFonts w:cs="Arial" w:ascii="Arial" w:hAnsi="Arial"/>
                <w:sz w:val="22"/>
                <w:szCs w:val="22"/>
              </w:rPr>
              <w:t>Date:</w:t>
            </w:r>
          </w:p>
        </w:tc>
      </w:tr>
      <w:tr>
        <w:trPr/>
        <w:tc>
          <w:tcPr>
            <w:tcW w:w="8856" w:type="dxa"/>
            <w:gridSpan w:val="5"/>
            <w:tcBorders>
              <w:top w:val="single" w:sz="4" w:space="0" w:color="000000"/>
              <w:start w:val="single" w:sz="4" w:space="0" w:color="000000"/>
              <w:bottom w:val="single" w:sz="4" w:space="0" w:color="000000"/>
              <w:end w:val="single" w:sz="4" w:space="0" w:color="000000"/>
            </w:tcBorders>
          </w:tcPr>
          <w:p>
            <w:pPr>
              <w:pStyle w:val="NormalWeb"/>
              <w:widowControl w:val="false"/>
              <w:snapToGrid w:val="false"/>
              <w:spacing w:before="0" w:after="0"/>
              <w:ind w:end="-334" w:hanging="0"/>
              <w:rPr>
                <w:rFonts w:ascii="Arial" w:hAnsi="Arial" w:cs="Arial"/>
                <w:bCs/>
                <w:i/>
                <w:i/>
                <w:sz w:val="22"/>
                <w:szCs w:val="22"/>
              </w:rPr>
            </w:pPr>
            <w:r>
              <w:rPr>
                <w:rFonts w:cs="Arial" w:ascii="Arial" w:hAnsi="Arial"/>
                <w:bCs/>
                <w:i/>
                <w:sz w:val="22"/>
                <w:szCs w:val="22"/>
              </w:rPr>
            </w:r>
          </w:p>
          <w:p>
            <w:pPr>
              <w:pStyle w:val="NormalWeb"/>
              <w:widowControl w:val="false"/>
              <w:spacing w:before="0" w:after="0"/>
              <w:ind w:end="-334" w:hanging="0"/>
              <w:rPr/>
            </w:pPr>
            <w:r>
              <w:rPr>
                <w:rFonts w:cs="Arial" w:ascii="Arial" w:hAnsi="Arial"/>
                <w:b/>
                <w:bCs/>
                <w:sz w:val="22"/>
                <w:szCs w:val="22"/>
              </w:rPr>
              <w:t>For completion by Marker 2/Moderator:</w:t>
            </w:r>
          </w:p>
          <w:p>
            <w:pPr>
              <w:pStyle w:val="NormalWeb"/>
              <w:widowControl w:val="false"/>
              <w:spacing w:before="0" w:after="0"/>
              <w:ind w:end="-334" w:hanging="0"/>
              <w:rPr>
                <w:rFonts w:ascii="Arial" w:hAnsi="Arial" w:cs="Arial"/>
                <w:b/>
                <w:bCs/>
                <w:sz w:val="22"/>
                <w:szCs w:val="22"/>
              </w:rPr>
            </w:pPr>
            <w:r>
              <w:rPr>
                <w:rFonts w:cs="Arial" w:ascii="Arial" w:hAnsi="Arial"/>
                <w:b/>
                <w:bCs/>
                <w:sz w:val="22"/>
                <w:szCs w:val="22"/>
              </w:rPr>
            </w:r>
          </w:p>
          <w:p>
            <w:pPr>
              <w:pStyle w:val="NormalWeb"/>
              <w:widowControl w:val="false"/>
              <w:spacing w:before="0" w:after="0"/>
              <w:ind w:end="-334" w:hanging="0"/>
              <w:rPr>
                <w:rFonts w:ascii="Arial" w:hAnsi="Arial" w:cs="Arial"/>
                <w:bCs/>
                <w:sz w:val="22"/>
                <w:szCs w:val="22"/>
              </w:rPr>
            </w:pPr>
            <w:r>
              <w:rPr>
                <w:rFonts w:cs="Arial" w:ascii="Arial" w:hAnsi="Arial"/>
                <w:bCs/>
                <w:sz w:val="22"/>
                <w:szCs w:val="22"/>
              </w:rPr>
              <w:t>Comments:</w:t>
            </w:r>
          </w:p>
          <w:p>
            <w:pPr>
              <w:pStyle w:val="NormalWeb"/>
              <w:widowControl w:val="false"/>
              <w:spacing w:before="0" w:after="0"/>
              <w:ind w:end="-334" w:hanging="0"/>
              <w:rPr>
                <w:rFonts w:ascii="Arial" w:hAnsi="Arial" w:cs="Arial"/>
                <w:bCs/>
                <w:sz w:val="22"/>
                <w:szCs w:val="22"/>
              </w:rPr>
            </w:pPr>
            <w:r>
              <w:rPr>
                <w:rFonts w:cs="Arial" w:ascii="Arial" w:hAnsi="Arial"/>
                <w:bCs/>
                <w:sz w:val="22"/>
                <w:szCs w:val="22"/>
              </w:rPr>
            </w:r>
          </w:p>
          <w:p>
            <w:pPr>
              <w:pStyle w:val="NormalWeb"/>
              <w:widowControl w:val="false"/>
              <w:spacing w:before="0" w:after="0"/>
              <w:ind w:end="-334" w:hanging="0"/>
              <w:rPr>
                <w:rFonts w:ascii="Arial" w:hAnsi="Arial" w:cs="Arial"/>
                <w:bCs/>
                <w:sz w:val="22"/>
                <w:szCs w:val="22"/>
              </w:rPr>
            </w:pPr>
            <w:r>
              <w:rPr>
                <w:rFonts w:cs="Arial" w:ascii="Arial" w:hAnsi="Arial"/>
                <w:bCs/>
                <w:sz w:val="22"/>
                <w:szCs w:val="22"/>
              </w:rPr>
            </w:r>
          </w:p>
          <w:p>
            <w:pPr>
              <w:pStyle w:val="NormalWeb"/>
              <w:widowControl w:val="false"/>
              <w:spacing w:before="0" w:after="0"/>
              <w:ind w:end="-334" w:hanging="0"/>
              <w:rPr>
                <w:rFonts w:ascii="Arial" w:hAnsi="Arial" w:cs="Arial"/>
                <w:bCs/>
                <w:sz w:val="22"/>
                <w:szCs w:val="22"/>
              </w:rPr>
            </w:pPr>
            <w:r>
              <w:rPr>
                <w:rFonts w:cs="Arial" w:ascii="Arial" w:hAnsi="Arial"/>
                <w:bCs/>
                <w:sz w:val="22"/>
                <w:szCs w:val="22"/>
              </w:rPr>
            </w:r>
          </w:p>
          <w:p>
            <w:pPr>
              <w:pStyle w:val="NormalWeb"/>
              <w:widowControl w:val="false"/>
              <w:spacing w:before="0" w:after="0"/>
              <w:ind w:end="-334" w:hanging="0"/>
              <w:rPr>
                <w:rFonts w:ascii="Arial" w:hAnsi="Arial" w:cs="Arial"/>
                <w:bCs/>
                <w:sz w:val="22"/>
                <w:szCs w:val="22"/>
              </w:rPr>
            </w:pPr>
            <w:r>
              <w:rPr>
                <w:rFonts w:cs="Arial" w:ascii="Arial" w:hAnsi="Arial"/>
                <w:bCs/>
                <w:sz w:val="22"/>
                <w:szCs w:val="22"/>
              </w:rPr>
            </w:r>
          </w:p>
          <w:p>
            <w:pPr>
              <w:pStyle w:val="NormalWeb"/>
              <w:widowControl w:val="false"/>
              <w:spacing w:before="0" w:after="0"/>
              <w:ind w:end="-334" w:hanging="0"/>
              <w:rPr>
                <w:rFonts w:ascii="Arial" w:hAnsi="Arial" w:cs="Arial"/>
                <w:bCs/>
                <w:sz w:val="22"/>
                <w:szCs w:val="22"/>
              </w:rPr>
            </w:pPr>
            <w:r>
              <w:rPr>
                <w:rFonts w:cs="Arial" w:ascii="Arial" w:hAnsi="Arial"/>
                <w:bCs/>
                <w:sz w:val="22"/>
                <w:szCs w:val="22"/>
              </w:rPr>
            </w:r>
          </w:p>
          <w:p>
            <w:pPr>
              <w:pStyle w:val="NormalWeb"/>
              <w:widowControl w:val="false"/>
              <w:spacing w:before="0" w:after="0"/>
              <w:ind w:end="-334" w:hanging="0"/>
              <w:rPr>
                <w:rFonts w:ascii="Arial" w:hAnsi="Arial" w:cs="Arial"/>
                <w:bCs/>
                <w:sz w:val="22"/>
                <w:szCs w:val="22"/>
              </w:rPr>
            </w:pPr>
            <w:r>
              <w:rPr>
                <w:rFonts w:cs="Arial" w:ascii="Arial" w:hAnsi="Arial"/>
                <w:bCs/>
                <w:sz w:val="22"/>
                <w:szCs w:val="22"/>
              </w:rPr>
            </w:r>
          </w:p>
          <w:p>
            <w:pPr>
              <w:pStyle w:val="NormalWeb"/>
              <w:widowControl w:val="false"/>
              <w:spacing w:before="0" w:after="0"/>
              <w:ind w:end="-334" w:hanging="0"/>
              <w:rPr>
                <w:rFonts w:ascii="Arial" w:hAnsi="Arial" w:cs="Arial"/>
                <w:bCs/>
                <w:sz w:val="22"/>
                <w:szCs w:val="22"/>
              </w:rPr>
            </w:pPr>
            <w:r>
              <w:rPr>
                <w:rFonts w:cs="Arial" w:ascii="Arial" w:hAnsi="Arial"/>
                <w:bCs/>
                <w:sz w:val="22"/>
                <w:szCs w:val="22"/>
              </w:rPr>
            </w:r>
          </w:p>
          <w:p>
            <w:pPr>
              <w:pStyle w:val="NormalWeb"/>
              <w:widowControl w:val="false"/>
              <w:spacing w:before="0" w:after="0"/>
              <w:ind w:end="-334" w:hanging="0"/>
              <w:rPr>
                <w:rFonts w:ascii="Arial" w:hAnsi="Arial" w:cs="Arial"/>
                <w:bCs/>
                <w:sz w:val="22"/>
                <w:szCs w:val="22"/>
              </w:rPr>
            </w:pPr>
            <w:r>
              <w:rPr>
                <w:rFonts w:cs="Arial" w:ascii="Arial" w:hAnsi="Arial"/>
                <w:bCs/>
                <w:sz w:val="22"/>
                <w:szCs w:val="22"/>
              </w:rPr>
            </w:r>
          </w:p>
          <w:p>
            <w:pPr>
              <w:pStyle w:val="NormalWeb"/>
              <w:widowControl w:val="false"/>
              <w:spacing w:before="0" w:after="0"/>
              <w:ind w:end="-334" w:hanging="0"/>
              <w:rPr>
                <w:rFonts w:ascii="Arial" w:hAnsi="Arial" w:cs="Arial"/>
                <w:bCs/>
                <w:sz w:val="22"/>
                <w:szCs w:val="22"/>
              </w:rPr>
            </w:pPr>
            <w:r>
              <w:rPr>
                <w:rFonts w:cs="Arial" w:ascii="Arial" w:hAnsi="Arial"/>
                <w:bCs/>
                <w:sz w:val="22"/>
                <w:szCs w:val="22"/>
              </w:rPr>
            </w:r>
          </w:p>
          <w:p>
            <w:pPr>
              <w:pStyle w:val="NormalWeb"/>
              <w:widowControl w:val="false"/>
              <w:spacing w:before="0" w:after="0"/>
              <w:ind w:end="-334" w:hanging="0"/>
              <w:rPr>
                <w:rFonts w:ascii="Arial" w:hAnsi="Arial" w:cs="Arial"/>
                <w:bCs/>
                <w:sz w:val="22"/>
                <w:szCs w:val="22"/>
              </w:rPr>
            </w:pPr>
            <w:r>
              <w:rPr>
                <w:rFonts w:cs="Arial" w:ascii="Arial" w:hAnsi="Arial"/>
                <w:bCs/>
                <w:sz w:val="22"/>
                <w:szCs w:val="22"/>
              </w:rPr>
            </w:r>
          </w:p>
          <w:p>
            <w:pPr>
              <w:pStyle w:val="NormalWeb"/>
              <w:widowControl w:val="false"/>
              <w:spacing w:before="0" w:after="0"/>
              <w:ind w:end="-334" w:hanging="0"/>
              <w:rPr>
                <w:rFonts w:ascii="Arial" w:hAnsi="Arial" w:cs="Arial"/>
                <w:bCs/>
                <w:sz w:val="22"/>
                <w:szCs w:val="22"/>
              </w:rPr>
            </w:pPr>
            <w:r>
              <w:rPr>
                <w:rFonts w:cs="Arial" w:ascii="Arial" w:hAnsi="Arial"/>
                <w:bCs/>
                <w:sz w:val="22"/>
                <w:szCs w:val="22"/>
              </w:rPr>
            </w:r>
          </w:p>
          <w:p>
            <w:pPr>
              <w:pStyle w:val="NormalWeb"/>
              <w:widowControl w:val="false"/>
              <w:spacing w:before="0" w:after="0"/>
              <w:ind w:end="-334" w:hanging="0"/>
              <w:rPr>
                <w:rFonts w:ascii="Arial" w:hAnsi="Arial" w:cs="Arial"/>
                <w:bCs/>
                <w:sz w:val="22"/>
                <w:szCs w:val="22"/>
              </w:rPr>
            </w:pPr>
            <w:r>
              <w:rPr>
                <w:rFonts w:cs="Arial" w:ascii="Arial" w:hAnsi="Arial"/>
                <w:bCs/>
                <w:sz w:val="22"/>
                <w:szCs w:val="22"/>
              </w:rPr>
            </w:r>
          </w:p>
        </w:tc>
      </w:tr>
      <w:tr>
        <w:trPr>
          <w:trHeight w:val="720" w:hRule="atLeast"/>
        </w:trPr>
        <w:tc>
          <w:tcPr>
            <w:tcW w:w="5209" w:type="dxa"/>
            <w:gridSpan w:val="2"/>
            <w:tcBorders>
              <w:top w:val="single" w:sz="4" w:space="0" w:color="000000"/>
              <w:start w:val="single" w:sz="4" w:space="0" w:color="000000"/>
              <w:bottom w:val="single" w:sz="4" w:space="0" w:color="000000"/>
              <w:end w:val="single" w:sz="4" w:space="0" w:color="000000"/>
            </w:tcBorders>
          </w:tcPr>
          <w:p>
            <w:pPr>
              <w:pStyle w:val="NormalWeb"/>
              <w:widowControl w:val="false"/>
              <w:spacing w:before="0" w:after="0"/>
              <w:ind w:end="-334" w:hanging="0"/>
              <w:rPr/>
            </w:pPr>
            <w:r>
              <w:rPr>
                <w:rFonts w:cs="Arial" w:ascii="Arial" w:hAnsi="Arial"/>
                <w:bCs/>
                <w:sz w:val="22"/>
                <w:szCs w:val="22"/>
              </w:rPr>
              <w:t>Marker’s Signature:</w:t>
            </w:r>
          </w:p>
        </w:tc>
        <w:tc>
          <w:tcPr>
            <w:tcW w:w="3647" w:type="dxa"/>
            <w:gridSpan w:val="3"/>
            <w:tcBorders>
              <w:top w:val="single" w:sz="4" w:space="0" w:color="000000"/>
              <w:start w:val="single" w:sz="4" w:space="0" w:color="000000"/>
              <w:bottom w:val="single" w:sz="4" w:space="0" w:color="000000"/>
              <w:end w:val="single" w:sz="4" w:space="0" w:color="000000"/>
            </w:tcBorders>
          </w:tcPr>
          <w:p>
            <w:pPr>
              <w:pStyle w:val="NormalWeb"/>
              <w:widowControl w:val="false"/>
              <w:spacing w:before="0" w:after="0"/>
              <w:ind w:end="-334" w:hanging="0"/>
              <w:rPr>
                <w:rFonts w:ascii="Arial" w:hAnsi="Arial" w:cs="Arial"/>
                <w:bCs/>
                <w:sz w:val="22"/>
                <w:szCs w:val="22"/>
              </w:rPr>
            </w:pPr>
            <w:r>
              <w:rPr>
                <w:rFonts w:cs="Arial" w:ascii="Arial" w:hAnsi="Arial"/>
                <w:bCs/>
                <w:sz w:val="22"/>
                <w:szCs w:val="22"/>
              </w:rPr>
              <w:t>Date:</w:t>
            </w:r>
          </w:p>
        </w:tc>
      </w:tr>
      <w:tr>
        <w:trPr>
          <w:trHeight w:val="720" w:hRule="atLeast"/>
        </w:trPr>
        <w:tc>
          <w:tcPr>
            <w:tcW w:w="8856" w:type="dxa"/>
            <w:gridSpan w:val="5"/>
            <w:tcBorders>
              <w:top w:val="single" w:sz="4" w:space="0" w:color="000000"/>
              <w:start w:val="single" w:sz="4" w:space="0" w:color="000000"/>
              <w:bottom w:val="single" w:sz="4" w:space="0" w:color="000000"/>
              <w:end w:val="single" w:sz="4" w:space="0" w:color="000000"/>
            </w:tcBorders>
          </w:tcPr>
          <w:p>
            <w:pPr>
              <w:pStyle w:val="Normal"/>
              <w:widowControl w:val="false"/>
              <w:rPr>
                <w:rFonts w:ascii="Arial" w:hAnsi="Arial" w:cs="Arial"/>
                <w:b/>
                <w:sz w:val="22"/>
                <w:szCs w:val="22"/>
              </w:rPr>
            </w:pPr>
            <w:r>
              <w:rPr>
                <w:rFonts w:cs="Arial" w:ascii="Arial" w:hAnsi="Arial"/>
                <w:b/>
                <w:sz w:val="22"/>
                <w:szCs w:val="22"/>
              </w:rPr>
              <w:t>External Examiner’s comments (if relevant)</w:t>
            </w:r>
          </w:p>
          <w:p>
            <w:pPr>
              <w:pStyle w:val="NormalWeb"/>
              <w:widowControl w:val="false"/>
              <w:spacing w:before="0" w:after="0"/>
              <w:ind w:end="-334" w:hanging="0"/>
              <w:rPr>
                <w:rFonts w:ascii="Arial" w:hAnsi="Arial" w:cs="Arial"/>
                <w:b/>
                <w:bCs/>
                <w:sz w:val="22"/>
                <w:szCs w:val="22"/>
              </w:rPr>
            </w:pPr>
            <w:r>
              <w:rPr>
                <w:rFonts w:cs="Arial" w:ascii="Arial" w:hAnsi="Arial"/>
                <w:b/>
                <w:bCs/>
                <w:sz w:val="22"/>
                <w:szCs w:val="22"/>
              </w:rPr>
            </w:r>
          </w:p>
          <w:p>
            <w:pPr>
              <w:pStyle w:val="NormalWeb"/>
              <w:widowControl w:val="false"/>
              <w:spacing w:before="0" w:after="0"/>
              <w:ind w:end="-334" w:hanging="0"/>
              <w:rPr>
                <w:rFonts w:ascii="Arial" w:hAnsi="Arial" w:cs="Arial"/>
                <w:bCs/>
                <w:sz w:val="22"/>
                <w:szCs w:val="22"/>
              </w:rPr>
            </w:pPr>
            <w:r>
              <w:rPr>
                <w:rFonts w:cs="Arial" w:ascii="Arial" w:hAnsi="Arial"/>
                <w:bCs/>
                <w:sz w:val="22"/>
                <w:szCs w:val="22"/>
              </w:rPr>
            </w:r>
          </w:p>
          <w:p>
            <w:pPr>
              <w:pStyle w:val="NormalWeb"/>
              <w:widowControl w:val="false"/>
              <w:spacing w:before="0" w:after="0"/>
              <w:ind w:end="-334" w:hanging="0"/>
              <w:rPr>
                <w:rFonts w:ascii="Arial" w:hAnsi="Arial" w:cs="Arial"/>
                <w:bCs/>
                <w:sz w:val="22"/>
                <w:szCs w:val="22"/>
              </w:rPr>
            </w:pPr>
            <w:r>
              <w:rPr>
                <w:rFonts w:cs="Arial" w:ascii="Arial" w:hAnsi="Arial"/>
                <w:bCs/>
                <w:sz w:val="22"/>
                <w:szCs w:val="22"/>
              </w:rPr>
            </w:r>
          </w:p>
          <w:p>
            <w:pPr>
              <w:pStyle w:val="NormalWeb"/>
              <w:widowControl w:val="false"/>
              <w:spacing w:before="0" w:after="0"/>
              <w:ind w:end="-334" w:hanging="0"/>
              <w:rPr>
                <w:rFonts w:ascii="Arial" w:hAnsi="Arial" w:cs="Arial"/>
                <w:bCs/>
                <w:sz w:val="22"/>
                <w:szCs w:val="22"/>
              </w:rPr>
            </w:pPr>
            <w:r>
              <w:rPr>
                <w:rFonts w:cs="Arial" w:ascii="Arial" w:hAnsi="Arial"/>
                <w:bCs/>
                <w:sz w:val="22"/>
                <w:szCs w:val="22"/>
              </w:rPr>
            </w:r>
          </w:p>
          <w:p>
            <w:pPr>
              <w:pStyle w:val="NormalWeb"/>
              <w:widowControl w:val="false"/>
              <w:spacing w:before="0" w:after="0"/>
              <w:ind w:end="-334" w:hanging="0"/>
              <w:rPr>
                <w:rFonts w:ascii="Arial" w:hAnsi="Arial" w:cs="Arial"/>
                <w:bCs/>
                <w:sz w:val="22"/>
                <w:szCs w:val="22"/>
              </w:rPr>
            </w:pPr>
            <w:r>
              <w:rPr>
                <w:rFonts w:cs="Arial" w:ascii="Arial" w:hAnsi="Arial"/>
                <w:bCs/>
                <w:sz w:val="22"/>
                <w:szCs w:val="22"/>
              </w:rPr>
            </w:r>
          </w:p>
          <w:p>
            <w:pPr>
              <w:pStyle w:val="NormalWeb"/>
              <w:widowControl w:val="false"/>
              <w:spacing w:before="0" w:after="0"/>
              <w:ind w:end="-334" w:hanging="0"/>
              <w:rPr>
                <w:rFonts w:ascii="Arial" w:hAnsi="Arial" w:cs="Arial"/>
                <w:bCs/>
                <w:sz w:val="22"/>
                <w:szCs w:val="22"/>
              </w:rPr>
            </w:pPr>
            <w:r>
              <w:rPr>
                <w:rFonts w:cs="Arial" w:ascii="Arial" w:hAnsi="Arial"/>
                <w:bCs/>
                <w:sz w:val="22"/>
                <w:szCs w:val="22"/>
              </w:rPr>
            </w:r>
          </w:p>
          <w:p>
            <w:pPr>
              <w:pStyle w:val="NormalWeb"/>
              <w:widowControl w:val="false"/>
              <w:spacing w:before="0" w:after="0"/>
              <w:ind w:end="-334" w:hanging="0"/>
              <w:rPr>
                <w:rFonts w:ascii="Arial" w:hAnsi="Arial" w:cs="Arial"/>
                <w:bCs/>
                <w:sz w:val="22"/>
                <w:szCs w:val="22"/>
              </w:rPr>
            </w:pPr>
            <w:r>
              <w:rPr>
                <w:rFonts w:cs="Arial" w:ascii="Arial" w:hAnsi="Arial"/>
                <w:bCs/>
                <w:sz w:val="22"/>
                <w:szCs w:val="22"/>
              </w:rPr>
            </w:r>
          </w:p>
          <w:p>
            <w:pPr>
              <w:pStyle w:val="NormalWeb"/>
              <w:widowControl w:val="false"/>
              <w:spacing w:before="0" w:after="0"/>
              <w:ind w:end="-334" w:hanging="0"/>
              <w:rPr>
                <w:rFonts w:ascii="Arial" w:hAnsi="Arial" w:cs="Arial"/>
                <w:bCs/>
                <w:sz w:val="22"/>
                <w:szCs w:val="22"/>
              </w:rPr>
            </w:pPr>
            <w:r>
              <w:rPr>
                <w:rFonts w:cs="Arial" w:ascii="Arial" w:hAnsi="Arial"/>
                <w:bCs/>
                <w:sz w:val="22"/>
                <w:szCs w:val="22"/>
              </w:rPr>
            </w:r>
          </w:p>
          <w:p>
            <w:pPr>
              <w:pStyle w:val="NormalWeb"/>
              <w:widowControl w:val="false"/>
              <w:spacing w:before="0" w:after="0"/>
              <w:ind w:end="-334" w:hanging="0"/>
              <w:rPr>
                <w:rFonts w:ascii="Arial" w:hAnsi="Arial" w:cs="Arial"/>
                <w:bCs/>
                <w:sz w:val="22"/>
                <w:szCs w:val="22"/>
              </w:rPr>
            </w:pPr>
            <w:r>
              <w:rPr>
                <w:rFonts w:cs="Arial" w:ascii="Arial" w:hAnsi="Arial"/>
                <w:bCs/>
                <w:sz w:val="22"/>
                <w:szCs w:val="22"/>
              </w:rPr>
            </w:r>
          </w:p>
          <w:p>
            <w:pPr>
              <w:pStyle w:val="NormalWeb"/>
              <w:widowControl w:val="false"/>
              <w:spacing w:before="0" w:after="0"/>
              <w:ind w:end="-334" w:hanging="0"/>
              <w:rPr>
                <w:rFonts w:ascii="Arial" w:hAnsi="Arial" w:cs="Arial"/>
                <w:bCs/>
                <w:sz w:val="22"/>
                <w:szCs w:val="22"/>
              </w:rPr>
            </w:pPr>
            <w:r>
              <w:rPr>
                <w:rFonts w:cs="Arial" w:ascii="Arial" w:hAnsi="Arial"/>
                <w:bCs/>
                <w:sz w:val="22"/>
                <w:szCs w:val="22"/>
              </w:rPr>
            </w:r>
          </w:p>
          <w:p>
            <w:pPr>
              <w:pStyle w:val="NormalWeb"/>
              <w:widowControl w:val="false"/>
              <w:spacing w:before="0" w:after="0"/>
              <w:ind w:end="-334" w:hanging="0"/>
              <w:rPr>
                <w:rFonts w:ascii="Arial" w:hAnsi="Arial" w:cs="Arial"/>
                <w:bCs/>
                <w:sz w:val="22"/>
                <w:szCs w:val="22"/>
              </w:rPr>
            </w:pPr>
            <w:r>
              <w:rPr>
                <w:rFonts w:cs="Arial" w:ascii="Arial" w:hAnsi="Arial"/>
                <w:bCs/>
                <w:sz w:val="22"/>
                <w:szCs w:val="22"/>
              </w:rPr>
            </w:r>
          </w:p>
        </w:tc>
      </w:tr>
      <w:tr>
        <w:trPr>
          <w:trHeight w:val="720" w:hRule="atLeast"/>
        </w:trPr>
        <w:tc>
          <w:tcPr>
            <w:tcW w:w="5209" w:type="dxa"/>
            <w:gridSpan w:val="2"/>
            <w:tcBorders>
              <w:top w:val="single" w:sz="4" w:space="0" w:color="000000"/>
              <w:start w:val="single" w:sz="4" w:space="0" w:color="000000"/>
              <w:bottom w:val="single" w:sz="4" w:space="0" w:color="000000"/>
              <w:end w:val="single" w:sz="4" w:space="0" w:color="000000"/>
            </w:tcBorders>
          </w:tcPr>
          <w:p>
            <w:pPr>
              <w:pStyle w:val="Normal"/>
              <w:widowControl w:val="false"/>
              <w:rPr>
                <w:rFonts w:ascii="Arial" w:hAnsi="Arial" w:cs="Arial"/>
                <w:sz w:val="22"/>
                <w:szCs w:val="22"/>
              </w:rPr>
            </w:pPr>
            <w:r>
              <w:rPr>
                <w:rFonts w:cs="Arial" w:ascii="Arial" w:hAnsi="Arial"/>
                <w:sz w:val="22"/>
                <w:szCs w:val="22"/>
              </w:rPr>
              <w:t>External Examiner’s Signature:</w:t>
            </w:r>
          </w:p>
        </w:tc>
        <w:tc>
          <w:tcPr>
            <w:tcW w:w="3647" w:type="dxa"/>
            <w:gridSpan w:val="3"/>
            <w:tcBorders>
              <w:top w:val="single" w:sz="4" w:space="0" w:color="000000"/>
              <w:start w:val="single" w:sz="4" w:space="0" w:color="000000"/>
              <w:bottom w:val="single" w:sz="4" w:space="0" w:color="000000"/>
              <w:end w:val="single" w:sz="4" w:space="0" w:color="000000"/>
            </w:tcBorders>
          </w:tcPr>
          <w:p>
            <w:pPr>
              <w:pStyle w:val="Normal"/>
              <w:widowControl w:val="false"/>
              <w:rPr>
                <w:rFonts w:ascii="Arial" w:hAnsi="Arial" w:cs="Arial"/>
                <w:sz w:val="22"/>
                <w:szCs w:val="22"/>
              </w:rPr>
            </w:pPr>
            <w:r>
              <w:rPr>
                <w:rFonts w:cs="Arial" w:ascii="Arial" w:hAnsi="Arial"/>
                <w:sz w:val="22"/>
                <w:szCs w:val="22"/>
              </w:rPr>
              <w:t>Date:</w:t>
            </w:r>
          </w:p>
        </w:tc>
      </w:tr>
    </w:tbl>
    <w:p>
      <w:pPr>
        <w:pStyle w:val="Normal"/>
        <w:bidi w:val="0"/>
        <w:spacing w:lineRule="auto" w:line="240"/>
        <w:jc w:val="center"/>
        <w:rPr>
          <w:rFonts w:ascii="Times New Roman" w:hAnsi="Times New Roman"/>
        </w:rPr>
      </w:pPr>
      <w:r>
        <w:rPr>
          <w:rFonts w:ascii="Times New Roman" w:hAnsi="Times New Roman"/>
        </w:rPr>
      </w:r>
    </w:p>
    <w:p>
      <w:pPr>
        <w:pStyle w:val="Normal"/>
        <w:bidi w:val="0"/>
        <w:spacing w:lineRule="auto" w:line="240"/>
        <w:jc w:val="center"/>
        <w:rPr>
          <w:rFonts w:ascii="Times New Roman" w:hAnsi="Times New Roman"/>
        </w:rPr>
      </w:pPr>
      <w:r>
        <w:rPr>
          <w:rFonts w:ascii="Times New Roman" w:hAnsi="Times New Roman"/>
        </w:rPr>
      </w:r>
    </w:p>
    <w:p>
      <w:pPr>
        <w:pStyle w:val="Normal"/>
        <w:bidi w:val="0"/>
        <w:spacing w:lineRule="auto" w:line="240"/>
        <w:jc w:val="center"/>
        <w:rPr>
          <w:rFonts w:ascii="Times New Roman" w:hAnsi="Times New Roman"/>
        </w:rPr>
      </w:pPr>
      <w:r>
        <w:rPr>
          <w:rFonts w:ascii="Times New Roman" w:hAnsi="Times New Roman"/>
        </w:rPr>
      </w:r>
    </w:p>
    <w:p>
      <w:pPr>
        <w:pStyle w:val="Normal"/>
        <w:bidi w:val="0"/>
        <w:spacing w:lineRule="auto" w:line="240"/>
        <w:jc w:val="center"/>
        <w:rPr>
          <w:rFonts w:ascii="Times New Roman" w:hAnsi="Times New Roman"/>
        </w:rPr>
      </w:pPr>
      <w:r>
        <w:rPr>
          <w:rFonts w:ascii="Times New Roman" w:hAnsi="Times New Roman"/>
        </w:rPr>
      </w:r>
    </w:p>
    <w:p>
      <w:pPr>
        <w:pStyle w:val="Normal"/>
        <w:bidi w:val="0"/>
        <w:spacing w:lineRule="auto" w:line="240"/>
        <w:jc w:val="center"/>
        <w:rPr>
          <w:rFonts w:ascii="Times New Roman" w:hAnsi="Times New Roman"/>
        </w:rPr>
      </w:pPr>
      <w:r>
        <w:rPr>
          <w:rFonts w:ascii="Times New Roman" w:hAnsi="Times New Roman"/>
        </w:rPr>
      </w:r>
    </w:p>
    <w:p>
      <w:pPr>
        <w:pStyle w:val="Normal"/>
        <w:bidi w:val="0"/>
        <w:spacing w:lineRule="auto" w:line="240"/>
        <w:jc w:val="center"/>
        <w:rPr>
          <w:rFonts w:ascii="Times New Roman" w:hAnsi="Times New Roman"/>
        </w:rPr>
      </w:pPr>
      <w:r>
        <w:rPr>
          <w:rFonts w:ascii="Times New Roman" w:hAnsi="Times New Roman"/>
        </w:rPr>
      </w:r>
    </w:p>
    <w:p>
      <w:pPr>
        <w:pStyle w:val="Normal"/>
        <w:bidi w:val="0"/>
        <w:spacing w:lineRule="auto" w:line="240"/>
        <w:jc w:val="center"/>
        <w:rPr>
          <w:rFonts w:ascii="Times New Roman" w:hAnsi="Times New Roman"/>
        </w:rPr>
      </w:pPr>
      <w:r>
        <w:rPr>
          <w:rFonts w:ascii="Times New Roman" w:hAnsi="Times New Roman"/>
        </w:rPr>
      </w:r>
    </w:p>
    <w:p>
      <w:pPr>
        <w:pStyle w:val="Normal"/>
        <w:bidi w:val="0"/>
        <w:spacing w:lineRule="auto" w:line="240"/>
        <w:jc w:val="center"/>
        <w:rPr>
          <w:rFonts w:ascii="Times New Roman" w:hAnsi="Times New Roman"/>
        </w:rPr>
      </w:pPr>
      <w:r>
        <w:rPr>
          <w:rFonts w:ascii="Times New Roman" w:hAnsi="Times New Roman"/>
        </w:rPr>
      </w:r>
    </w:p>
    <w:p>
      <w:pPr>
        <w:pStyle w:val="Normal"/>
        <w:bidi w:val="0"/>
        <w:spacing w:lineRule="auto" w:line="240"/>
        <w:jc w:val="center"/>
        <w:rPr>
          <w:rFonts w:ascii="Times New Roman" w:hAnsi="Times New Roman"/>
        </w:rPr>
      </w:pPr>
      <w:r>
        <w:rPr>
          <w:rFonts w:ascii="Times New Roman" w:hAnsi="Times New Roman"/>
        </w:rPr>
      </w:r>
    </w:p>
    <w:p>
      <w:pPr>
        <w:pStyle w:val="Normal"/>
        <w:bidi w:val="0"/>
        <w:spacing w:lineRule="auto" w:line="240"/>
        <w:jc w:val="center"/>
        <w:rPr>
          <w:rFonts w:ascii="Times New Roman" w:hAnsi="Times New Roman"/>
        </w:rPr>
      </w:pPr>
      <w:r>
        <w:rPr>
          <w:rFonts w:ascii="Times New Roman" w:hAnsi="Times New Roman"/>
          <w:b/>
          <w:bCs/>
        </w:rPr>
        <w:t>A Critical Co</w:t>
      </w:r>
      <w:r>
        <w:rPr>
          <w:rFonts w:ascii="Times New Roman" w:hAnsi="Times New Roman"/>
          <w:b/>
          <w:bCs/>
          <w:shd w:fill="auto" w:val="clear"/>
        </w:rPr>
        <w:t>mparison of Two JSTOR Papers</w:t>
      </w:r>
    </w:p>
    <w:p>
      <w:pPr>
        <w:pStyle w:val="Normal"/>
        <w:bidi w:val="0"/>
        <w:spacing w:lineRule="auto" w:line="240"/>
        <w:jc w:val="center"/>
        <w:rPr>
          <w:rFonts w:ascii="Times New Roman" w:hAnsi="Times New Roman"/>
          <w:highlight w:val="none"/>
          <w:shd w:fill="auto" w:val="clear"/>
        </w:rPr>
      </w:pPr>
      <w:r>
        <w:rPr>
          <w:rFonts w:ascii="Times New Roman" w:hAnsi="Times New Roman"/>
          <w:b w:val="false"/>
          <w:bCs w:val="false"/>
          <w:shd w:fill="auto" w:val="clear"/>
        </w:rPr>
        <w:t>Word Count 1,</w:t>
      </w:r>
      <w:r>
        <w:rPr>
          <w:rFonts w:ascii="Times New Roman" w:hAnsi="Times New Roman"/>
          <w:b w:val="false"/>
          <w:bCs w:val="false"/>
          <w:shd w:fill="auto" w:val="clear"/>
        </w:rPr>
        <w:t>725</w:t>
      </w:r>
    </w:p>
    <w:p>
      <w:pPr>
        <w:pStyle w:val="Normal"/>
        <w:bidi w:val="0"/>
        <w:spacing w:lineRule="auto" w:line="240"/>
        <w:jc w:val="center"/>
        <w:rPr>
          <w:rFonts w:ascii="Times New Roman" w:hAnsi="Times New Roman"/>
          <w:highlight w:val="none"/>
          <w:shd w:fill="auto" w:val="clear"/>
        </w:rPr>
      </w:pPr>
      <w:r>
        <w:rPr>
          <w:rFonts w:ascii="Times New Roman" w:hAnsi="Times New Roman"/>
          <w:shd w:fill="auto" w:val="clear"/>
        </w:rPr>
      </w:r>
    </w:p>
    <w:p>
      <w:pPr>
        <w:pStyle w:val="Normal"/>
        <w:bidi w:val="0"/>
        <w:spacing w:lineRule="auto" w:line="240"/>
        <w:jc w:val="start"/>
        <w:rPr>
          <w:rFonts w:ascii="Times New Roman" w:hAnsi="Times New Roman"/>
          <w:highlight w:val="none"/>
          <w:shd w:fill="auto" w:val="clear"/>
        </w:rPr>
      </w:pPr>
      <w:r>
        <w:rPr>
          <w:rFonts w:ascii="Times New Roman" w:hAnsi="Times New Roman"/>
          <w:b w:val="false"/>
          <w:bCs w:val="false"/>
          <w:shd w:fill="auto" w:val="clear"/>
        </w:rPr>
        <w:tab/>
        <w:t xml:space="preserve">This essay shall attempt to critically compare two JSTOR papers that both have central themes on the history of medicine and the culture of the era they are discussing. The first is Nancy Siraisi’s ‘Anatomizing the Past: Physicians and History in Renaissance Culture, taken from the journal </w:t>
      </w:r>
      <w:r>
        <w:rPr>
          <w:rFonts w:ascii="Times New Roman" w:hAnsi="Times New Roman"/>
          <w:b w:val="false"/>
          <w:bCs w:val="false"/>
          <w:i/>
          <w:iCs/>
          <w:shd w:fill="auto" w:val="clear"/>
        </w:rPr>
        <w:t>Renaissance Quarterly</w:t>
      </w:r>
      <w:r>
        <w:rPr>
          <w:rStyle w:val="FootnoteAnchor"/>
          <w:rFonts w:ascii="Times New Roman" w:hAnsi="Times New Roman"/>
          <w:b w:val="false"/>
          <w:bCs w:val="false"/>
          <w:i/>
          <w:iCs/>
          <w:shd w:fill="auto" w:val="clear"/>
        </w:rPr>
        <w:footnoteReference w:id="2"/>
      </w:r>
      <w:r>
        <w:rPr>
          <w:rFonts w:ascii="Times New Roman" w:hAnsi="Times New Roman"/>
          <w:b w:val="false"/>
          <w:bCs w:val="false"/>
          <w:shd w:fill="auto" w:val="clear"/>
        </w:rPr>
        <w:t>; and the second paper is Alisha Rankin’s chapter on ‘Telling Time Through Medicine’ from the multi-authored book</w:t>
      </w:r>
      <w:r>
        <w:rPr>
          <w:rFonts w:ascii="Times New Roman" w:hAnsi="Times New Roman"/>
          <w:b w:val="false"/>
          <w:bCs w:val="false"/>
          <w:i/>
          <w:iCs/>
          <w:shd w:fill="auto" w:val="clear"/>
        </w:rPr>
        <w:t xml:space="preserve"> </w:t>
      </w:r>
      <w:r>
        <w:rPr>
          <w:rFonts w:ascii="Times New Roman" w:hAnsi="Times New Roman"/>
          <w:b w:val="false"/>
          <w:bCs w:val="false"/>
          <w:i/>
          <w:iCs/>
          <w:shd w:fill="auto" w:val="clear"/>
        </w:rPr>
        <w:t>Gendered Temporalities in the Early Modern World</w:t>
      </w:r>
      <w:r>
        <w:rPr>
          <w:rStyle w:val="FootnoteAnchor"/>
          <w:rFonts w:ascii="Times New Roman" w:hAnsi="Times New Roman"/>
          <w:b w:val="false"/>
          <w:bCs w:val="false"/>
          <w:i/>
          <w:iCs/>
          <w:shd w:fill="auto" w:val="clear"/>
        </w:rPr>
        <w:footnoteReference w:id="3"/>
      </w:r>
      <w:r>
        <w:rPr>
          <w:rFonts w:ascii="Times New Roman" w:hAnsi="Times New Roman"/>
          <w:b w:val="false"/>
          <w:bCs w:val="false"/>
          <w:i w:val="false"/>
          <w:iCs w:val="false"/>
          <w:shd w:fill="auto" w:val="clear"/>
        </w:rPr>
        <w:t>. Both papers will be analysed for their differing and correspondent concepts and whether they hold to a common definition of what culture represents in relation to their papers.</w:t>
      </w:r>
      <w:r>
        <w:rPr>
          <w:rFonts w:ascii="Times New Roman" w:hAnsi="Times New Roman"/>
          <w:b w:val="false"/>
          <w:bCs w:val="false"/>
          <w:i w:val="false"/>
          <w:iCs w:val="false"/>
          <w:shd w:fill="auto" w:val="clear"/>
        </w:rPr>
        <w:t xml:space="preserve"> The essay will evaluate t</w:t>
      </w:r>
      <w:r>
        <w:rPr>
          <w:rFonts w:ascii="Times New Roman" w:hAnsi="Times New Roman"/>
          <w:b w:val="false"/>
          <w:bCs w:val="false"/>
          <w:i w:val="false"/>
          <w:iCs w:val="false"/>
          <w:shd w:fill="auto" w:val="clear"/>
        </w:rPr>
        <w:t xml:space="preserve">he authors of the papers </w:t>
      </w:r>
      <w:r>
        <w:rPr>
          <w:rFonts w:ascii="Times New Roman" w:hAnsi="Times New Roman"/>
          <w:b w:val="false"/>
          <w:bCs w:val="false"/>
          <w:i w:val="false"/>
          <w:iCs w:val="false"/>
          <w:shd w:fill="auto" w:val="clear"/>
        </w:rPr>
        <w:t>as w</w:t>
      </w:r>
      <w:r>
        <w:rPr>
          <w:rFonts w:ascii="Times New Roman" w:hAnsi="Times New Roman"/>
          <w:b w:val="false"/>
          <w:bCs w:val="false"/>
          <w:i w:val="false"/>
          <w:iCs w:val="false"/>
          <w:shd w:fill="auto" w:val="clear"/>
        </w:rPr>
        <w:t xml:space="preserve">ell as their arguments presented within and other research on the subject of medical history and whether it has been presented or omitted in the papers. </w:t>
      </w:r>
      <w:r>
        <w:rPr>
          <w:rFonts w:ascii="Times New Roman" w:hAnsi="Times New Roman"/>
          <w:b w:val="false"/>
          <w:bCs w:val="false"/>
          <w:i w:val="false"/>
          <w:iCs w:val="false"/>
          <w:shd w:fill="auto" w:val="clear"/>
        </w:rPr>
        <w:t>I plan to address whether</w:t>
      </w:r>
      <w:r>
        <w:rPr>
          <w:rFonts w:ascii="Times New Roman" w:hAnsi="Times New Roman"/>
          <w:b w:val="false"/>
          <w:bCs w:val="false"/>
          <w:i w:val="false"/>
          <w:iCs w:val="false"/>
          <w:shd w:fill="auto" w:val="clear"/>
        </w:rPr>
        <w:t xml:space="preserve"> the papers are up to date or if there has been more recent research on the subjects and if the authors have amended their viewpoints since the publication of their papers. </w:t>
      </w:r>
      <w:r>
        <w:rPr>
          <w:rFonts w:ascii="Times New Roman" w:hAnsi="Times New Roman"/>
          <w:b w:val="false"/>
          <w:bCs w:val="false"/>
          <w:i w:val="false"/>
          <w:iCs w:val="false"/>
          <w:shd w:fill="auto" w:val="clear"/>
        </w:rPr>
        <w:t xml:space="preserve">Finally, this assignment shall assess the </w:t>
      </w:r>
      <w:r>
        <w:rPr>
          <w:rFonts w:ascii="Times New Roman" w:hAnsi="Times New Roman"/>
          <w:b w:val="false"/>
          <w:bCs w:val="false"/>
          <w:i w:val="false"/>
          <w:iCs w:val="false"/>
          <w:shd w:fill="auto" w:val="clear"/>
        </w:rPr>
        <w:t>merit of the arguments and evidence presented within the papers by evaluating their summary conclusions</w:t>
      </w:r>
      <w:r>
        <w:rPr>
          <w:rFonts w:ascii="Times New Roman" w:hAnsi="Times New Roman"/>
          <w:b w:val="false"/>
          <w:bCs w:val="false"/>
          <w:i w:val="false"/>
          <w:iCs w:val="false"/>
          <w:shd w:fill="auto" w:val="clear"/>
        </w:rPr>
        <w:t xml:space="preserve"> to decide if both authors attained what they had set out to in the course of the paper.</w:t>
      </w:r>
    </w:p>
    <w:p>
      <w:pPr>
        <w:pStyle w:val="Normal"/>
        <w:bidi w:val="0"/>
        <w:spacing w:lineRule="auto" w:line="240"/>
        <w:jc w:val="start"/>
        <w:rPr>
          <w:rFonts w:ascii="Times New Roman" w:hAnsi="Times New Roman"/>
        </w:rPr>
      </w:pPr>
      <w:r>
        <w:rPr>
          <w:rFonts w:ascii="Times New Roman" w:hAnsi="Times New Roman"/>
        </w:rPr>
      </w:r>
    </w:p>
    <w:p>
      <w:pPr>
        <w:pStyle w:val="Normal"/>
        <w:bidi w:val="0"/>
        <w:spacing w:lineRule="auto" w:line="240"/>
        <w:jc w:val="start"/>
        <w:rPr>
          <w:rFonts w:ascii="Times New Roman" w:hAnsi="Times New Roman"/>
        </w:rPr>
      </w:pPr>
      <w:r>
        <w:rPr>
          <w:rFonts w:ascii="Times New Roman" w:hAnsi="Times New Roman"/>
        </w:rPr>
        <w:tab/>
        <w:t>While Rankin suggested that ‘[sociologists] have also examined the issue of time and health in the modern world, with a particular focus on hospital or institutional time as a cultural construction that upends patients’ usual sense of normality’,</w:t>
      </w:r>
      <w:r>
        <w:rPr>
          <w:rStyle w:val="FootnoteAnchor"/>
          <w:rFonts w:ascii="Times New Roman" w:hAnsi="Times New Roman"/>
        </w:rPr>
        <w:footnoteReference w:id="4"/>
      </w:r>
      <w:r>
        <w:rPr>
          <w:rFonts w:ascii="Times New Roman" w:hAnsi="Times New Roman"/>
        </w:rPr>
        <w:t xml:space="preserve"> they do not actively identify the perimeters of what culture is represented and defined only that it is representative of the “modern world” and presumably the sociologists are discussing a Eurocentric or western modern world-view. Rankin describes time keeping culture in Early Modern Europe as being “nascent”, or just beginning to develop in the minds of the people who were still somewhat reliant upon seasonal and religious ‘workday and yearly rhythms of [labour from] the Middle Ages.’</w:t>
      </w:r>
      <w:r>
        <w:rPr>
          <w:rStyle w:val="FootnoteAnchor"/>
          <w:rFonts w:ascii="Times New Roman" w:hAnsi="Times New Roman"/>
        </w:rPr>
        <w:footnoteReference w:id="5"/>
      </w:r>
      <w:r>
        <w:rPr>
          <w:rFonts w:ascii="Times New Roman" w:hAnsi="Times New Roman"/>
        </w:rPr>
        <w:t xml:space="preserve"> Furthermore, Rankin identifies her letter writers, Dorothea of Mansfield (1493-1578) and her friend Electress Anna of Saxony (1532-1585) as German aristocratic women healers who, [as] purveyors of health care [who] were influenced by learned culture but stood outside of it</w:t>
      </w:r>
      <w:r>
        <w:rPr>
          <w:rStyle w:val="FootnoteAnchor"/>
          <w:rFonts w:ascii="Times New Roman" w:hAnsi="Times New Roman"/>
        </w:rPr>
        <w:footnoteReference w:id="6"/>
      </w:r>
      <w:r>
        <w:rPr>
          <w:rFonts w:ascii="Times New Roman" w:hAnsi="Times New Roman"/>
        </w:rPr>
        <w:t>. While neither paper specifically defines culture, Rankin does come close by indicating the rank, status and class of her correspondence writers as examples of women in elite circumstances. To elaborate, the women differ from other healers in the early modern period not because of their aristocratic status but specifically because of their gender.</w:t>
      </w:r>
    </w:p>
    <w:p>
      <w:pPr>
        <w:pStyle w:val="Normal"/>
        <w:bidi w:val="0"/>
        <w:spacing w:lineRule="auto" w:line="240"/>
        <w:jc w:val="start"/>
        <w:rPr>
          <w:rFonts w:ascii="Times New Roman" w:hAnsi="Times New Roman"/>
        </w:rPr>
      </w:pPr>
      <w:r>
        <w:rPr>
          <w:rFonts w:ascii="Times New Roman" w:hAnsi="Times New Roman"/>
        </w:rPr>
      </w:r>
    </w:p>
    <w:p>
      <w:pPr>
        <w:pStyle w:val="Normal"/>
        <w:bidi w:val="0"/>
        <w:spacing w:lineRule="auto" w:line="240"/>
        <w:jc w:val="start"/>
        <w:rPr>
          <w:rFonts w:ascii="Times New Roman" w:hAnsi="Times New Roman"/>
        </w:rPr>
      </w:pPr>
      <w:r>
        <w:rPr>
          <w:rFonts w:ascii="Times New Roman" w:hAnsi="Times New Roman"/>
        </w:rPr>
        <w:tab/>
        <w:t>Conversely, as Rankin presumed that the healers Dorothea of Mansfield and Anna of Saxony existed and worked outside of learned, medical culture, Siraisi asserted that medical culture was an extension of historical learning by practitioners. While she does not outright give a definition of “medical culture,” Siraisi touches on how ‘Renaissance theorists of history also perceived affinities between medicine and history, drawing direct parallels between the two disciplines.</w:t>
      </w:r>
      <w:r>
        <w:rPr>
          <w:rStyle w:val="FootnoteAnchor"/>
          <w:rFonts w:ascii="Times New Roman" w:hAnsi="Times New Roman"/>
        </w:rPr>
        <w:footnoteReference w:id="7"/>
      </w:r>
      <w:r>
        <w:rPr>
          <w:rFonts w:ascii="Times New Roman" w:hAnsi="Times New Roman"/>
        </w:rPr>
        <w:t xml:space="preserve">’, the inference being that some level of learning was required, as well access to written historical and/or medical knowledge that would not be available to peasant classes. Therefore when identifying the medical culture in the Renaissance and Early Modern Europe, both Siraisi and Rankin support that it is a culture made up of elite personages without outrightly defining it as that. </w:t>
      </w:r>
    </w:p>
    <w:p>
      <w:pPr>
        <w:pStyle w:val="Normal"/>
        <w:bidi w:val="0"/>
        <w:spacing w:lineRule="auto" w:line="240"/>
        <w:jc w:val="start"/>
        <w:rPr>
          <w:rFonts w:ascii="Times New Roman" w:hAnsi="Times New Roman"/>
        </w:rPr>
      </w:pPr>
      <w:r>
        <w:rPr>
          <w:rFonts w:ascii="Times New Roman" w:hAnsi="Times New Roman"/>
        </w:rPr>
      </w:r>
    </w:p>
    <w:p>
      <w:pPr>
        <w:pStyle w:val="Normal"/>
        <w:bidi w:val="0"/>
        <w:spacing w:lineRule="auto" w:line="240"/>
        <w:jc w:val="start"/>
        <w:rPr>
          <w:rFonts w:ascii="Times New Roman" w:hAnsi="Times New Roman"/>
        </w:rPr>
      </w:pPr>
      <w:r>
        <w:rPr>
          <w:rFonts w:ascii="Times New Roman" w:hAnsi="Times New Roman"/>
        </w:rPr>
        <w:tab/>
        <w:t>In her introduction Siraisi asserts that she shall evaluate and ‘explore some of the ways in which medical doctors used or [practised] this discipline [human history] central to Renaissance culture.’</w:t>
      </w:r>
      <w:r>
        <w:rPr>
          <w:rStyle w:val="FootnoteAnchor"/>
          <w:rFonts w:ascii="Times New Roman" w:hAnsi="Times New Roman"/>
        </w:rPr>
        <w:footnoteReference w:id="8"/>
      </w:r>
      <w:r>
        <w:rPr>
          <w:rFonts w:ascii="Times New Roman" w:hAnsi="Times New Roman"/>
        </w:rPr>
        <w:t xml:space="preserve"> This suggests that Siraisi viewed medical culture from a similarly educated perspective within the Renaissance and Late Middle Ages time period. Even to today, the concept of combining medical history with medical practitioner training remains a compelling argument that there are positives to patient care and critical thinking that outweigh a di</w:t>
      </w:r>
      <w:r>
        <w:rPr>
          <w:rFonts w:ascii="Times New Roman" w:hAnsi="Times New Roman"/>
          <w:shd w:fill="auto" w:val="clear"/>
        </w:rPr>
        <w:t>minished resource and supported offerings by medical education institutions. Jones et al observed that [The] American Association of Medical Colleges (AAMC) has formally recognized the importance of the medical social sciences by inserting a new section on Critical Analysis and Reasoning Skills into the 2015 Medical College Admission Test.</w:t>
      </w:r>
      <w:r>
        <w:rPr>
          <w:rStyle w:val="FootnoteAnchor"/>
          <w:rFonts w:ascii="Times New Roman" w:hAnsi="Times New Roman"/>
          <w:shd w:fill="auto" w:val="clear"/>
        </w:rPr>
        <w:footnoteReference w:id="9"/>
      </w:r>
      <w:r>
        <w:rPr>
          <w:rFonts w:ascii="Times New Roman" w:hAnsi="Times New Roman"/>
          <w:shd w:fill="auto" w:val="clear"/>
        </w:rPr>
        <w:t xml:space="preserve"> By focussing on the time period during the late Renaissance to Early Modern Eras, access to historical information whether detailed or apocryphal and the fragmented historiography can prove challenging to the researcher, Alexandra Bamji opted to analyse the civic death registers of Early Modern Venice to establish and ascertain the ‘level of engagement [for] commercial medical provision.’</w:t>
      </w:r>
      <w:r>
        <w:rPr>
          <w:rStyle w:val="FootnoteAnchor"/>
          <w:rFonts w:ascii="Times New Roman" w:hAnsi="Times New Roman"/>
          <w:shd w:fill="auto" w:val="clear"/>
        </w:rPr>
        <w:footnoteReference w:id="10"/>
      </w:r>
      <w:r>
        <w:rPr>
          <w:rFonts w:ascii="Times New Roman" w:hAnsi="Times New Roman"/>
          <w:shd w:fill="auto" w:val="clear"/>
        </w:rPr>
        <w:t xml:space="preserve"> This example suggests that although medical history remains the purview of the educated and enlightened, medical practitioners of differing levels of competency and skills were available to all, although the standard of care from a street hawker and a trained medical professional would undoubtedly differ, and so medical culture, in this instance, is viewed from a different perspective. </w:t>
      </w:r>
      <w:r>
        <w:rPr>
          <w:rFonts w:ascii="Times New Roman" w:hAnsi="Times New Roman"/>
          <w:shd w:fill="auto" w:val="clear"/>
        </w:rPr>
        <w:t>Conventionally, g</w:t>
      </w:r>
      <w:r>
        <w:rPr>
          <w:rFonts w:ascii="Times New Roman" w:hAnsi="Times New Roman"/>
          <w:shd w:fill="auto" w:val="clear"/>
        </w:rPr>
        <w:t>ender bias has permeated throughout medical history and medical culture; and according to Toby Appel, physician and author Kate Campbell Hurd-Mead (1867-1941) addressed this imbalance by ‘[proceeding] to show [a] wealth of names [of medical women] from Antiquity through the Middle Ages’</w:t>
      </w:r>
      <w:r>
        <w:rPr>
          <w:rStyle w:val="FootnoteAnchor"/>
          <w:rFonts w:ascii="Times New Roman" w:hAnsi="Times New Roman"/>
          <w:shd w:fill="auto" w:val="clear"/>
        </w:rPr>
        <w:footnoteReference w:id="11"/>
      </w:r>
      <w:r>
        <w:rPr>
          <w:rFonts w:ascii="Times New Roman" w:hAnsi="Times New Roman"/>
          <w:shd w:fill="auto" w:val="clear"/>
        </w:rPr>
        <w:t xml:space="preserve">, the implication being that scholarly or historical medical culture remained </w:t>
      </w:r>
      <w:r>
        <w:rPr>
          <w:rFonts w:ascii="Times New Roman" w:hAnsi="Times New Roman"/>
          <w:shd w:fill="auto" w:val="clear"/>
        </w:rPr>
        <w:t>male</w:t>
      </w:r>
      <w:r>
        <w:rPr>
          <w:rFonts w:ascii="Times New Roman" w:hAnsi="Times New Roman"/>
          <w:shd w:fill="auto" w:val="clear"/>
        </w:rPr>
        <w:t xml:space="preserve"> </w:t>
      </w:r>
      <w:r>
        <w:rPr>
          <w:rFonts w:ascii="Times New Roman" w:hAnsi="Times New Roman"/>
          <w:shd w:fill="auto" w:val="clear"/>
        </w:rPr>
        <w:t>orientated</w:t>
      </w:r>
      <w:r>
        <w:rPr>
          <w:rFonts w:ascii="Times New Roman" w:hAnsi="Times New Roman"/>
          <w:shd w:fill="auto" w:val="clear"/>
        </w:rPr>
        <w:t xml:space="preserve"> a</w:t>
      </w:r>
      <w:r>
        <w:rPr>
          <w:rFonts w:ascii="Times New Roman" w:hAnsi="Times New Roman"/>
          <w:shd w:fill="auto" w:val="clear"/>
        </w:rPr>
        <w:t>s well as being</w:t>
      </w:r>
      <w:r>
        <w:rPr>
          <w:rFonts w:ascii="Times New Roman" w:hAnsi="Times New Roman"/>
          <w:shd w:fill="auto" w:val="clear"/>
        </w:rPr>
        <w:t xml:space="preserve"> in the wheelhouse of a boys club.</w:t>
      </w:r>
    </w:p>
    <w:p>
      <w:pPr>
        <w:pStyle w:val="Normal"/>
        <w:bidi w:val="0"/>
        <w:spacing w:lineRule="auto" w:line="240"/>
        <w:jc w:val="start"/>
        <w:rPr>
          <w:rFonts w:ascii="Times New Roman" w:hAnsi="Times New Roman"/>
          <w:highlight w:val="none"/>
          <w:shd w:fill="auto" w:val="clear"/>
        </w:rPr>
      </w:pPr>
      <w:r>
        <w:rPr>
          <w:rFonts w:ascii="Times New Roman" w:hAnsi="Times New Roman"/>
          <w:shd w:fill="auto" w:val="clear"/>
        </w:rPr>
      </w:r>
    </w:p>
    <w:p>
      <w:pPr>
        <w:pStyle w:val="Normal"/>
        <w:bidi w:val="0"/>
        <w:spacing w:lineRule="auto" w:line="240"/>
        <w:jc w:val="start"/>
        <w:rPr>
          <w:rFonts w:ascii="Times New Roman" w:hAnsi="Times New Roman"/>
        </w:rPr>
      </w:pPr>
      <w:r>
        <w:rPr>
          <w:rFonts w:ascii="Times New Roman" w:hAnsi="Times New Roman"/>
          <w:b w:val="false"/>
          <w:bCs w:val="false"/>
          <w:i w:val="false"/>
          <w:iCs w:val="false"/>
        </w:rPr>
        <w:tab/>
        <w:t xml:space="preserve">It is interesting to note that while both papers, </w:t>
      </w:r>
      <w:r>
        <w:rPr>
          <w:rFonts w:ascii="Times New Roman" w:hAnsi="Times New Roman"/>
          <w:b w:val="false"/>
          <w:bCs w:val="false"/>
          <w:i/>
          <w:iCs/>
        </w:rPr>
        <w:t xml:space="preserve">Anatomizing the Past </w:t>
      </w:r>
      <w:r>
        <w:rPr>
          <w:rFonts w:ascii="Times New Roman" w:hAnsi="Times New Roman"/>
          <w:b w:val="false"/>
          <w:bCs w:val="false"/>
          <w:i w:val="false"/>
          <w:iCs w:val="false"/>
        </w:rPr>
        <w:t xml:space="preserve">and </w:t>
      </w:r>
      <w:r>
        <w:rPr>
          <w:rFonts w:ascii="Times New Roman" w:hAnsi="Times New Roman"/>
          <w:b w:val="false"/>
          <w:bCs w:val="false"/>
          <w:i/>
          <w:iCs/>
        </w:rPr>
        <w:t>Telling Time Through Medicine</w:t>
      </w:r>
      <w:r>
        <w:rPr>
          <w:rFonts w:ascii="Times New Roman" w:hAnsi="Times New Roman"/>
          <w:b w:val="false"/>
          <w:bCs w:val="false"/>
          <w:i w:val="false"/>
          <w:iCs w:val="false"/>
        </w:rPr>
        <w:t xml:space="preserve">, reference other essayists </w:t>
      </w:r>
      <w:r>
        <w:rPr>
          <w:rFonts w:ascii="Times New Roman" w:hAnsi="Times New Roman"/>
          <w:b w:val="false"/>
          <w:bCs w:val="false"/>
          <w:i w:val="false"/>
          <w:iCs w:val="false"/>
        </w:rPr>
        <w:t>who expound on medical culture against a historical backdrop</w:t>
      </w:r>
      <w:r>
        <w:rPr>
          <w:rFonts w:ascii="Times New Roman" w:hAnsi="Times New Roman"/>
          <w:b w:val="false"/>
          <w:bCs w:val="false"/>
          <w:i w:val="false"/>
          <w:iCs w:val="false"/>
        </w:rPr>
        <w:t xml:space="preserve">, </w:t>
      </w:r>
      <w:r>
        <w:rPr>
          <w:rFonts w:ascii="Times New Roman" w:hAnsi="Times New Roman"/>
          <w:b w:val="false"/>
          <w:bCs w:val="false"/>
          <w:i w:val="false"/>
          <w:iCs w:val="false"/>
        </w:rPr>
        <w:t>Siraisi cites Chiara Crisciani</w:t>
      </w:r>
      <w:r>
        <w:rPr>
          <w:rStyle w:val="FootnoteAnchor"/>
          <w:rFonts w:ascii="Times New Roman" w:hAnsi="Times New Roman"/>
          <w:b w:val="false"/>
          <w:bCs w:val="false"/>
          <w:i w:val="false"/>
          <w:iCs w:val="false"/>
        </w:rPr>
        <w:footnoteReference w:id="12"/>
      </w:r>
      <w:r>
        <w:rPr>
          <w:rFonts w:ascii="Times New Roman" w:hAnsi="Times New Roman"/>
          <w:b w:val="false"/>
          <w:bCs w:val="false"/>
          <w:i w:val="false"/>
          <w:iCs w:val="false"/>
        </w:rPr>
        <w:t>, stating that ‘medical authors seem mostly to have remained content to invoke a formulaic past for their own discipline, reiterating such themes medicine as a divine gift, names of traditional foun</w:t>
      </w:r>
      <w:r>
        <w:rPr>
          <w:rFonts w:ascii="Times New Roman" w:hAnsi="Times New Roman"/>
          <w:b w:val="false"/>
          <w:bCs w:val="false"/>
          <w:i w:val="false"/>
          <w:iCs w:val="false"/>
          <w:shd w:fill="auto" w:val="clear"/>
        </w:rPr>
        <w:t xml:space="preserve">ders, and a chronologically unspecific story of medicine’s crude beginnings.’ </w:t>
      </w:r>
      <w:r>
        <w:rPr>
          <w:rFonts w:ascii="Times New Roman" w:hAnsi="Times New Roman"/>
          <w:b w:val="false"/>
          <w:bCs w:val="false"/>
          <w:i w:val="false"/>
          <w:iCs w:val="false"/>
          <w:shd w:fill="auto" w:val="clear"/>
        </w:rPr>
        <w:t xml:space="preserve"> </w:t>
      </w:r>
      <w:r>
        <w:rPr>
          <w:rFonts w:ascii="Times New Roman" w:hAnsi="Times New Roman"/>
          <w:b w:val="false"/>
          <w:bCs w:val="false"/>
          <w:i w:val="false"/>
          <w:iCs w:val="false"/>
          <w:shd w:fill="auto" w:val="clear"/>
        </w:rPr>
        <w:t>However, Cathy Yandell</w:t>
      </w:r>
      <w:r>
        <w:rPr>
          <w:rStyle w:val="FootnoteAnchor"/>
          <w:rFonts w:ascii="Times New Roman" w:hAnsi="Times New Roman"/>
          <w:b w:val="false"/>
          <w:bCs w:val="false"/>
          <w:i w:val="false"/>
          <w:iCs w:val="false"/>
          <w:shd w:fill="auto" w:val="clear"/>
        </w:rPr>
        <w:footnoteReference w:id="13"/>
      </w:r>
      <w:r>
        <w:rPr>
          <w:rFonts w:ascii="Times New Roman" w:hAnsi="Times New Roman"/>
          <w:b w:val="false"/>
          <w:bCs w:val="false"/>
          <w:i w:val="false"/>
          <w:iCs w:val="false"/>
          <w:shd w:fill="auto" w:val="clear"/>
        </w:rPr>
        <w:t>, cited in Rankin, argued ‘that sixteenth-century culture had an ‘obsession not only with temporal theories but also with time as a practical consideration’ and that these notions were highly gendered.</w:t>
      </w:r>
      <w:r>
        <w:rPr>
          <w:rFonts w:ascii="Times New Roman" w:hAnsi="Times New Roman"/>
          <w:b w:val="false"/>
          <w:bCs w:val="false"/>
          <w:i w:val="false"/>
          <w:iCs w:val="false"/>
          <w:shd w:fill="auto" w:val="clear"/>
        </w:rPr>
        <w:t xml:space="preserve"> Rankin actively quotes</w:t>
      </w:r>
      <w:r>
        <w:rPr>
          <w:rStyle w:val="FootnoteAnchor"/>
          <w:rFonts w:ascii="Times New Roman" w:hAnsi="Times New Roman"/>
          <w:b w:val="false"/>
          <w:bCs w:val="false"/>
          <w:i w:val="false"/>
          <w:iCs w:val="false"/>
          <w:shd w:fill="auto" w:val="clear"/>
        </w:rPr>
        <w:footnoteReference w:id="14"/>
      </w:r>
      <w:r>
        <w:rPr>
          <w:rFonts w:ascii="Times New Roman" w:hAnsi="Times New Roman"/>
          <w:b w:val="false"/>
          <w:bCs w:val="false"/>
          <w:i w:val="false"/>
          <w:iCs w:val="false"/>
          <w:shd w:fill="auto" w:val="clear"/>
        </w:rPr>
        <w:t xml:space="preserve"> from other of Siraisi’s papers and defers to her as a knowledgeable source on gendered identity in the early modern period in relation to historical, medical writing.</w:t>
      </w:r>
    </w:p>
    <w:p>
      <w:pPr>
        <w:pStyle w:val="Normal"/>
        <w:bidi w:val="0"/>
        <w:spacing w:lineRule="auto" w:line="240"/>
        <w:jc w:val="start"/>
        <w:rPr>
          <w:rFonts w:ascii="Times New Roman" w:hAnsi="Times New Roman"/>
        </w:rPr>
      </w:pPr>
      <w:r>
        <w:rPr>
          <w:rFonts w:ascii="Times New Roman" w:hAnsi="Times New Roman"/>
        </w:rPr>
      </w:r>
    </w:p>
    <w:p>
      <w:pPr>
        <w:pStyle w:val="Normal"/>
        <w:bidi w:val="0"/>
        <w:spacing w:lineRule="auto" w:line="240"/>
        <w:jc w:val="start"/>
        <w:rPr>
          <w:rFonts w:ascii="Times New Roman" w:hAnsi="Times New Roman"/>
        </w:rPr>
      </w:pPr>
      <w:r>
        <w:rPr>
          <w:rFonts w:ascii="Times New Roman" w:hAnsi="Times New Roman"/>
          <w:b w:val="false"/>
          <w:bCs w:val="false"/>
          <w:i w:val="false"/>
          <w:iCs w:val="false"/>
        </w:rPr>
        <w:tab/>
        <w:t xml:space="preserve">Rankin assumes specific medical intuitiveness on behalf of her two letter writers, for example in Dorothea’s letter </w:t>
      </w:r>
      <w:r>
        <w:rPr>
          <w:rFonts w:ascii="Times New Roman" w:hAnsi="Times New Roman"/>
          <w:b w:val="false"/>
          <w:bCs w:val="false"/>
          <w:i w:val="false"/>
          <w:iCs w:val="false"/>
        </w:rPr>
        <w:t>postscript</w:t>
      </w:r>
      <w:r>
        <w:rPr>
          <w:rFonts w:ascii="Times New Roman" w:hAnsi="Times New Roman"/>
          <w:b w:val="false"/>
          <w:bCs w:val="false"/>
          <w:i w:val="false"/>
          <w:iCs w:val="false"/>
        </w:rPr>
        <w:t xml:space="preserve"> to Anna </w:t>
      </w:r>
      <w:r>
        <w:rPr>
          <w:rFonts w:ascii="Times New Roman" w:hAnsi="Times New Roman"/>
          <w:b w:val="false"/>
          <w:bCs w:val="false"/>
          <w:i w:val="false"/>
          <w:iCs w:val="false"/>
        </w:rPr>
        <w:t>on the 3rd of May 1557</w:t>
      </w:r>
      <w:r>
        <w:rPr>
          <w:rStyle w:val="FootnoteAnchor"/>
          <w:rFonts w:ascii="Times New Roman" w:hAnsi="Times New Roman"/>
          <w:b w:val="false"/>
          <w:bCs w:val="false"/>
          <w:i w:val="false"/>
          <w:iCs w:val="false"/>
        </w:rPr>
        <w:footnoteReference w:id="15"/>
      </w:r>
      <w:r>
        <w:rPr>
          <w:rFonts w:ascii="Times New Roman" w:hAnsi="Times New Roman"/>
          <w:b w:val="false"/>
          <w:bCs w:val="false"/>
          <w:i w:val="false"/>
          <w:iCs w:val="false"/>
        </w:rPr>
        <w:t>:</w:t>
      </w:r>
    </w:p>
    <w:p>
      <w:pPr>
        <w:pStyle w:val="Normal"/>
        <w:bidi w:val="0"/>
        <w:spacing w:lineRule="auto" w:line="240"/>
        <w:jc w:val="start"/>
        <w:rPr>
          <w:b w:val="false"/>
          <w:bCs w:val="false"/>
          <w:i w:val="false"/>
          <w:i w:val="false"/>
          <w:iCs w:val="false"/>
        </w:rPr>
      </w:pPr>
      <w:r>
        <w:rPr>
          <w:rFonts w:ascii="Times New Roman" w:hAnsi="Times New Roman"/>
        </w:rPr>
      </w:r>
    </w:p>
    <w:p>
      <w:pPr>
        <w:pStyle w:val="Normal"/>
        <w:bidi w:val="0"/>
        <w:spacing w:lineRule="auto" w:line="240"/>
        <w:jc w:val="start"/>
        <w:rPr>
          <w:rFonts w:ascii="Times New Roman" w:hAnsi="Times New Roman"/>
        </w:rPr>
      </w:pPr>
      <w:r>
        <w:rPr>
          <w:rFonts w:ascii="Times New Roman" w:hAnsi="Times New Roman"/>
          <w:b w:val="false"/>
          <w:bCs w:val="false"/>
          <w:i w:val="false"/>
          <w:iCs w:val="false"/>
        </w:rPr>
        <w:tab/>
        <w:t xml:space="preserve">She began her calculation on the 25th of August in the fifty-sixth year 1556]. Her first </w:t>
        <w:tab/>
        <w:t xml:space="preserve">calculation was made after the conventions of our women, and according to that, I give her </w:t>
        <w:tab/>
        <w:t xml:space="preserve">eight days. But one cannot know, as Your Grace is well aware. According to the movement </w:t>
        <w:tab/>
        <w:t xml:space="preserve">[dem regen nach], she will have lain in eight days, as I have calculated. But if the calculation </w:t>
        <w:tab/>
        <w:t xml:space="preserve">does not follow the movement, she will not come before six or eight days after Pentecost </w:t>
        <w:tab/>
        <w:t>[June 6].</w:t>
      </w:r>
    </w:p>
    <w:p>
      <w:pPr>
        <w:pStyle w:val="Normal"/>
        <w:bidi w:val="0"/>
        <w:spacing w:lineRule="auto" w:line="240"/>
        <w:jc w:val="start"/>
        <w:rPr>
          <w:b w:val="false"/>
          <w:bCs w:val="false"/>
          <w:i w:val="false"/>
          <w:i w:val="false"/>
          <w:iCs w:val="false"/>
        </w:rPr>
      </w:pPr>
      <w:r>
        <w:rPr>
          <w:rFonts w:ascii="Times New Roman" w:hAnsi="Times New Roman"/>
        </w:rPr>
      </w:r>
    </w:p>
    <w:p>
      <w:pPr>
        <w:pStyle w:val="Normal"/>
        <w:bidi w:val="0"/>
        <w:spacing w:lineRule="auto" w:line="240"/>
        <w:jc w:val="start"/>
        <w:rPr>
          <w:rFonts w:ascii="Times New Roman" w:hAnsi="Times New Roman"/>
        </w:rPr>
      </w:pPr>
      <w:r>
        <w:rPr>
          <w:rFonts w:ascii="Times New Roman" w:hAnsi="Times New Roman"/>
          <w:b w:val="false"/>
          <w:bCs w:val="false"/>
          <w:i w:val="false"/>
          <w:iCs w:val="false"/>
        </w:rPr>
        <w:tab/>
        <w:t>By this c</w:t>
      </w:r>
      <w:r>
        <w:rPr>
          <w:rFonts w:ascii="Times New Roman" w:hAnsi="Times New Roman"/>
          <w:b w:val="false"/>
          <w:bCs w:val="false"/>
          <w:i w:val="false"/>
          <w:iCs w:val="false"/>
          <w:shd w:fill="auto" w:val="clear"/>
        </w:rPr>
        <w:t>orrespondence Rankin</w:t>
      </w:r>
      <w:r>
        <w:rPr>
          <w:rFonts w:ascii="Times New Roman" w:hAnsi="Times New Roman"/>
          <w:b w:val="false"/>
          <w:bCs w:val="false"/>
          <w:i w:val="false"/>
          <w:iCs w:val="false"/>
          <w:shd w:fill="auto" w:val="clear"/>
        </w:rPr>
        <w:t xml:space="preserve"> </w:t>
      </w:r>
      <w:r>
        <w:rPr>
          <w:rFonts w:ascii="Times New Roman" w:hAnsi="Times New Roman"/>
          <w:b w:val="false"/>
          <w:bCs w:val="false"/>
          <w:i w:val="false"/>
          <w:iCs w:val="false"/>
          <w:shd w:fill="auto" w:val="clear"/>
        </w:rPr>
        <w:t>conclude</w:t>
      </w:r>
      <w:r>
        <w:rPr>
          <w:rFonts w:ascii="Times New Roman" w:hAnsi="Times New Roman"/>
          <w:b w:val="false"/>
          <w:bCs w:val="false"/>
          <w:i w:val="false"/>
          <w:iCs w:val="false"/>
          <w:shd w:fill="auto" w:val="clear"/>
        </w:rPr>
        <w:t>s that “Anna of Saxony would have already known what she was referring to as “</w:t>
      </w:r>
      <w:r>
        <w:rPr>
          <w:rFonts w:ascii="Times New Roman" w:hAnsi="Times New Roman"/>
          <w:b w:val="false"/>
          <w:bCs w:val="false"/>
          <w:i w:val="false"/>
          <w:iCs w:val="false"/>
          <w:shd w:fill="auto" w:val="clear"/>
        </w:rPr>
        <w:t>women’s time</w:t>
      </w:r>
      <w:r>
        <w:rPr>
          <w:rFonts w:ascii="Times New Roman" w:hAnsi="Times New Roman"/>
          <w:b w:val="false"/>
          <w:bCs w:val="false"/>
          <w:i w:val="false"/>
          <w:iCs w:val="false"/>
          <w:shd w:fill="auto" w:val="clear"/>
        </w:rPr>
        <w:t xml:space="preserve">” </w:t>
      </w:r>
      <w:r>
        <w:rPr>
          <w:rFonts w:ascii="Times New Roman" w:hAnsi="Times New Roman"/>
          <w:b w:val="false"/>
          <w:bCs w:val="false"/>
          <w:i w:val="false"/>
          <w:iCs w:val="false"/>
          <w:shd w:fill="auto" w:val="clear"/>
        </w:rPr>
        <w:t xml:space="preserve">and other women would be able to [‘provide] evidence of the expectation that women could calculate their own time of delivery and that there were differing conventions to do so’. </w:t>
      </w:r>
      <w:r>
        <w:rPr>
          <w:rFonts w:ascii="Times New Roman" w:hAnsi="Times New Roman"/>
          <w:b w:val="false"/>
          <w:bCs w:val="false"/>
          <w:i w:val="false"/>
          <w:iCs w:val="false"/>
        </w:rPr>
        <w:t xml:space="preserve">In contrast however, Siraisi assumes prior medical history research knowledge on behalf of the reader, as in her introduction she quotes Bodin </w:t>
      </w:r>
      <w:r>
        <w:rPr>
          <w:rFonts w:ascii="Times New Roman" w:hAnsi="Times New Roman"/>
          <w:b w:val="false"/>
          <w:bCs w:val="false"/>
          <w:i w:val="false"/>
          <w:iCs w:val="false"/>
        </w:rPr>
        <w:t>(</w:t>
      </w:r>
      <w:r>
        <w:rPr>
          <w:rFonts w:ascii="Times New Roman" w:hAnsi="Times New Roman"/>
          <w:b w:val="false"/>
          <w:bCs w:val="false"/>
          <w:i/>
          <w:iCs/>
        </w:rPr>
        <w:t>c</w:t>
      </w:r>
      <w:r>
        <w:rPr>
          <w:rFonts w:ascii="Times New Roman" w:hAnsi="Times New Roman"/>
          <w:b w:val="false"/>
          <w:bCs w:val="false"/>
          <w:i w:val="false"/>
          <w:iCs w:val="false"/>
        </w:rPr>
        <w:t xml:space="preserve">. 1530-1596) </w:t>
      </w:r>
      <w:r>
        <w:rPr>
          <w:rFonts w:ascii="Times New Roman" w:hAnsi="Times New Roman"/>
          <w:b w:val="false"/>
          <w:bCs w:val="false"/>
          <w:i w:val="false"/>
          <w:iCs w:val="false"/>
        </w:rPr>
        <w:t>without explaining to the reader who he is, she just takes it for granted that the reader will kn</w:t>
      </w:r>
      <w:r>
        <w:rPr>
          <w:rFonts w:ascii="Times New Roman" w:hAnsi="Times New Roman"/>
          <w:b w:val="false"/>
          <w:bCs w:val="false"/>
          <w:i w:val="false"/>
          <w:iCs w:val="false"/>
          <w:shd w:fill="auto" w:val="clear"/>
        </w:rPr>
        <w:t xml:space="preserve">ow and understand who Bodin </w:t>
      </w:r>
      <w:r>
        <w:rPr>
          <w:rFonts w:ascii="Times New Roman" w:hAnsi="Times New Roman"/>
          <w:b w:val="false"/>
          <w:bCs w:val="false"/>
          <w:i w:val="false"/>
          <w:iCs w:val="false"/>
          <w:shd w:fill="auto" w:val="clear"/>
        </w:rPr>
        <w:t>was</w:t>
      </w:r>
      <w:r>
        <w:rPr>
          <w:rFonts w:ascii="Times New Roman" w:hAnsi="Times New Roman"/>
          <w:b w:val="false"/>
          <w:bCs w:val="false"/>
          <w:i w:val="false"/>
          <w:iCs w:val="false"/>
          <w:shd w:fill="auto" w:val="clear"/>
        </w:rPr>
        <w:t xml:space="preserve">; even though in the footnotes it cites the Bodin quote as being from a 1945 translation. Similarly Siraisi, mentions Galen </w:t>
      </w:r>
      <w:r>
        <w:rPr>
          <w:rFonts w:ascii="Times New Roman" w:hAnsi="Times New Roman"/>
          <w:b w:val="false"/>
          <w:bCs w:val="false"/>
          <w:i w:val="false"/>
          <w:iCs w:val="false"/>
          <w:shd w:fill="auto" w:val="clear"/>
        </w:rPr>
        <w:t>(129-216)</w:t>
      </w:r>
      <w:r>
        <w:rPr>
          <w:rFonts w:ascii="Times New Roman" w:hAnsi="Times New Roman"/>
          <w:b w:val="false"/>
          <w:bCs w:val="false"/>
          <w:i w:val="false"/>
          <w:iCs w:val="false"/>
          <w:shd w:fill="auto" w:val="clear"/>
        </w:rPr>
        <w:t xml:space="preserve"> and Hippocrates </w:t>
      </w:r>
      <w:r>
        <w:rPr>
          <w:rFonts w:ascii="Times New Roman" w:hAnsi="Times New Roman"/>
          <w:b w:val="false"/>
          <w:bCs w:val="false"/>
          <w:i w:val="false"/>
          <w:iCs w:val="false"/>
          <w:shd w:fill="auto" w:val="clear"/>
        </w:rPr>
        <w:t>(</w:t>
      </w:r>
      <w:r>
        <w:rPr>
          <w:rFonts w:ascii="Times New Roman" w:hAnsi="Times New Roman"/>
          <w:b w:val="false"/>
          <w:bCs w:val="false"/>
          <w:i/>
          <w:iCs/>
          <w:shd w:fill="auto" w:val="clear"/>
        </w:rPr>
        <w:t>c</w:t>
      </w:r>
      <w:r>
        <w:rPr>
          <w:rFonts w:ascii="Times New Roman" w:hAnsi="Times New Roman"/>
          <w:b w:val="false"/>
          <w:bCs w:val="false"/>
          <w:i w:val="false"/>
          <w:iCs w:val="false"/>
          <w:shd w:fill="auto" w:val="clear"/>
        </w:rPr>
        <w:t>. 460BC-370BC)</w:t>
      </w:r>
      <w:r>
        <w:rPr>
          <w:rFonts w:ascii="Times New Roman" w:hAnsi="Times New Roman"/>
          <w:b w:val="false"/>
          <w:bCs w:val="false"/>
          <w:i w:val="false"/>
          <w:iCs w:val="false"/>
          <w:shd w:fill="auto" w:val="clear"/>
        </w:rPr>
        <w:t>, although the latter in the form of the Hippocratic medical practices relating to health care via treatment of “</w:t>
      </w:r>
      <w:r>
        <w:rPr>
          <w:rFonts w:ascii="Times New Roman" w:hAnsi="Times New Roman"/>
          <w:b w:val="false"/>
          <w:bCs w:val="false"/>
          <w:i w:val="false"/>
          <w:iCs w:val="false"/>
          <w:shd w:fill="auto" w:val="clear"/>
        </w:rPr>
        <w:t>humours”</w:t>
      </w:r>
      <w:r>
        <w:rPr>
          <w:rFonts w:ascii="Times New Roman" w:hAnsi="Times New Roman"/>
          <w:b w:val="false"/>
          <w:bCs w:val="false"/>
          <w:i w:val="false"/>
          <w:iCs w:val="false"/>
          <w:shd w:fill="auto" w:val="clear"/>
        </w:rPr>
        <w:t xml:space="preserve">, and once again assumes prior </w:t>
      </w:r>
      <w:r>
        <w:rPr>
          <w:rFonts w:ascii="Times New Roman" w:hAnsi="Times New Roman"/>
          <w:b w:val="false"/>
          <w:bCs w:val="false"/>
          <w:i w:val="false"/>
          <w:iCs w:val="false"/>
          <w:shd w:fill="auto" w:val="clear"/>
        </w:rPr>
        <w:t>actual</w:t>
      </w:r>
      <w:r>
        <w:rPr>
          <w:rFonts w:ascii="Times New Roman" w:hAnsi="Times New Roman"/>
          <w:b w:val="false"/>
          <w:bCs w:val="false"/>
          <w:i w:val="false"/>
          <w:iCs w:val="false"/>
          <w:shd w:fill="auto" w:val="clear"/>
        </w:rPr>
        <w:t xml:space="preserve"> knowledge in lieu of a detailed explanation.</w:t>
      </w:r>
    </w:p>
    <w:p>
      <w:pPr>
        <w:pStyle w:val="Normal"/>
        <w:bidi w:val="0"/>
        <w:spacing w:lineRule="auto" w:line="240"/>
        <w:jc w:val="start"/>
        <w:rPr>
          <w:rFonts w:ascii="Times New Roman" w:hAnsi="Times New Roman"/>
          <w:b w:val="false"/>
          <w:bCs w:val="false"/>
        </w:rPr>
      </w:pPr>
      <w:r>
        <w:rPr>
          <w:rFonts w:ascii="Times New Roman" w:hAnsi="Times New Roman"/>
          <w:b w:val="false"/>
          <w:bCs w:val="false"/>
        </w:rPr>
      </w:r>
    </w:p>
    <w:p>
      <w:pPr>
        <w:pStyle w:val="Normal"/>
        <w:bidi w:val="0"/>
        <w:spacing w:lineRule="auto" w:line="240"/>
        <w:jc w:val="start"/>
        <w:rPr>
          <w:rFonts w:ascii="Times New Roman" w:hAnsi="Times New Roman"/>
        </w:rPr>
      </w:pPr>
      <w:r>
        <w:rPr>
          <w:rFonts w:ascii="Times New Roman" w:hAnsi="Times New Roman"/>
          <w:b w:val="false"/>
          <w:bCs w:val="false"/>
        </w:rPr>
        <w:tab/>
        <w:t xml:space="preserve">Siraisi’s language style, in her paper, is very heavy in verbiage without offering an explanation of some terms that appear within. Specifically, Siraisi writes using terms </w:t>
      </w:r>
      <w:r>
        <w:rPr>
          <w:rFonts w:ascii="Times New Roman" w:hAnsi="Times New Roman"/>
          <w:b w:val="false"/>
          <w:bCs w:val="false"/>
        </w:rPr>
        <w:t>that suggest a strong link towards knowledge of medicine in the Classical world or referencing to terms such as Hippocratic pseudepigrapha and Latin or Greek wording in relation to historical readings. As such Siraisi</w:t>
      </w:r>
      <w:r>
        <w:rPr>
          <w:rFonts w:ascii="Times New Roman" w:hAnsi="Times New Roman"/>
          <w:b w:val="false"/>
          <w:bCs w:val="false"/>
        </w:rPr>
        <w:t xml:space="preserve"> </w:t>
      </w:r>
      <w:r>
        <w:rPr>
          <w:rFonts w:ascii="Times New Roman" w:hAnsi="Times New Roman"/>
          <w:b w:val="false"/>
          <w:bCs w:val="false"/>
        </w:rPr>
        <w:t xml:space="preserve">effectively </w:t>
      </w:r>
      <w:r>
        <w:rPr>
          <w:rFonts w:ascii="Times New Roman" w:hAnsi="Times New Roman"/>
          <w:b w:val="false"/>
          <w:bCs w:val="false"/>
        </w:rPr>
        <w:t xml:space="preserve">presumes the paper reader to be familiar with archaic or highbrow terminology; or alternatively they are writing to a niche audience of learned readers who are more familiar with such terms. In contrast, Alisha Rankin writes her paper in a way that is complimentary to unqualified readership and explains both terminology, </w:t>
      </w:r>
      <w:r>
        <w:rPr>
          <w:rFonts w:ascii="Times New Roman" w:hAnsi="Times New Roman"/>
          <w:b w:val="false"/>
          <w:bCs w:val="false"/>
        </w:rPr>
        <w:t>and the relevance of of the medical histories.</w:t>
      </w:r>
    </w:p>
    <w:p>
      <w:pPr>
        <w:pStyle w:val="Normal"/>
        <w:bidi w:val="0"/>
        <w:spacing w:lineRule="auto" w:line="240"/>
        <w:jc w:val="start"/>
        <w:rPr>
          <w:rFonts w:ascii="Times New Roman" w:hAnsi="Times New Roman"/>
          <w:b w:val="false"/>
          <w:bCs w:val="false"/>
        </w:rPr>
      </w:pPr>
      <w:r>
        <w:rPr>
          <w:rFonts w:ascii="Times New Roman" w:hAnsi="Times New Roman"/>
          <w:b w:val="false"/>
          <w:bCs w:val="false"/>
        </w:rPr>
      </w:r>
    </w:p>
    <w:p>
      <w:pPr>
        <w:pStyle w:val="Normal"/>
        <w:bidi w:val="0"/>
        <w:spacing w:lineRule="auto" w:line="240"/>
        <w:jc w:val="start"/>
        <w:rPr>
          <w:rFonts w:ascii="Times New Roman" w:hAnsi="Times New Roman"/>
        </w:rPr>
      </w:pPr>
      <w:r>
        <w:rPr>
          <w:rFonts w:ascii="Times New Roman" w:hAnsi="Times New Roman"/>
          <w:b w:val="false"/>
          <w:bCs w:val="false"/>
        </w:rPr>
        <w:tab/>
        <w:t>Both papers refer to the adven</w:t>
      </w:r>
      <w:r>
        <w:rPr>
          <w:rFonts w:ascii="Times New Roman" w:hAnsi="Times New Roman"/>
          <w:b w:val="false"/>
          <w:bCs w:val="false"/>
          <w:shd w:fill="auto" w:val="clear"/>
        </w:rPr>
        <w:t xml:space="preserve">t of astrology as a useful tool in medical historiography, with Siraisi referring to astrology as a </w:t>
      </w:r>
      <w:r>
        <w:rPr>
          <w:rFonts w:ascii="Times New Roman" w:hAnsi="Times New Roman"/>
          <w:b w:val="false"/>
          <w:bCs w:val="false"/>
          <w:shd w:fill="auto" w:val="clear"/>
        </w:rPr>
        <w:t>“sister discipline</w:t>
      </w:r>
      <w:r>
        <w:rPr>
          <w:rStyle w:val="FootnoteAnchor"/>
          <w:rFonts w:ascii="Times New Roman" w:hAnsi="Times New Roman"/>
          <w:b w:val="false"/>
          <w:bCs w:val="false"/>
          <w:shd w:fill="auto" w:val="clear"/>
        </w:rPr>
        <w:footnoteReference w:id="16"/>
      </w:r>
      <w:r>
        <w:rPr>
          <w:rFonts w:ascii="Times New Roman" w:hAnsi="Times New Roman"/>
          <w:b w:val="false"/>
          <w:bCs w:val="false"/>
          <w:shd w:fill="auto" w:val="clear"/>
        </w:rPr>
        <w:t>”</w:t>
      </w:r>
      <w:r>
        <w:rPr>
          <w:rFonts w:ascii="Times New Roman" w:hAnsi="Times New Roman"/>
          <w:b w:val="false"/>
          <w:bCs w:val="false"/>
          <w:shd w:fill="auto" w:val="clear"/>
        </w:rPr>
        <w:t xml:space="preserve">, </w:t>
      </w:r>
      <w:r>
        <w:rPr>
          <w:rFonts w:ascii="Times New Roman" w:hAnsi="Times New Roman"/>
          <w:b w:val="false"/>
          <w:bCs w:val="false"/>
          <w:shd w:fill="auto" w:val="clear"/>
        </w:rPr>
        <w:t xml:space="preserve">in the </w:t>
      </w:r>
      <w:r>
        <w:rPr>
          <w:rFonts w:ascii="Times New Roman" w:hAnsi="Times New Roman"/>
          <w:b w:val="false"/>
          <w:bCs w:val="false"/>
          <w:i/>
          <w:iCs/>
          <w:shd w:fill="auto" w:val="clear"/>
        </w:rPr>
        <w:t>Renaissance Quarterly</w:t>
      </w:r>
      <w:r>
        <w:rPr>
          <w:rFonts w:ascii="Times New Roman" w:hAnsi="Times New Roman"/>
          <w:b w:val="false"/>
          <w:bCs w:val="false"/>
          <w:shd w:fill="auto" w:val="clear"/>
        </w:rPr>
        <w:t xml:space="preserve"> and paper essays also refer to diagrammed pictures of human anatomy or published papers, with Rankin showing a photograph of a manuscript page that held Astrological or Zodiac Man. It remains to be seen whether </w:t>
      </w:r>
      <w:r>
        <w:rPr>
          <w:rFonts w:ascii="Times New Roman" w:hAnsi="Times New Roman"/>
          <w:b w:val="false"/>
          <w:bCs w:val="false"/>
          <w:shd w:fill="auto" w:val="clear"/>
        </w:rPr>
        <w:t xml:space="preserve">Rankin’s usage of Renaissance German noblewomen </w:t>
      </w:r>
      <w:r>
        <w:rPr>
          <w:rFonts w:ascii="Times New Roman" w:hAnsi="Times New Roman"/>
          <w:b w:val="false"/>
          <w:bCs w:val="false"/>
          <w:shd w:fill="auto" w:val="clear"/>
        </w:rPr>
        <w:t xml:space="preserve">letter writing to each other </w:t>
      </w:r>
      <w:r>
        <w:rPr>
          <w:rFonts w:ascii="Times New Roman" w:hAnsi="Times New Roman"/>
          <w:b w:val="false"/>
          <w:bCs w:val="false"/>
          <w:shd w:fill="auto" w:val="clear"/>
        </w:rPr>
        <w:t>too obscure in comparison to other contemporary examples.</w:t>
      </w:r>
    </w:p>
    <w:p>
      <w:pPr>
        <w:pStyle w:val="Normal"/>
        <w:bidi w:val="0"/>
        <w:spacing w:lineRule="auto" w:line="240"/>
        <w:jc w:val="start"/>
        <w:rPr>
          <w:rFonts w:ascii="Times New Roman" w:hAnsi="Times New Roman"/>
          <w:b w:val="false"/>
          <w:bCs w:val="false"/>
          <w:highlight w:val="none"/>
          <w:shd w:fill="auto" w:val="clear"/>
        </w:rPr>
      </w:pPr>
      <w:r>
        <w:rPr>
          <w:rFonts w:ascii="Times New Roman" w:hAnsi="Times New Roman"/>
          <w:b w:val="false"/>
          <w:bCs w:val="false"/>
          <w:shd w:fill="auto" w:val="clear"/>
        </w:rPr>
      </w:r>
    </w:p>
    <w:p>
      <w:pPr>
        <w:pStyle w:val="Normal"/>
        <w:bidi w:val="0"/>
        <w:spacing w:lineRule="auto" w:line="240"/>
        <w:jc w:val="start"/>
        <w:rPr>
          <w:rFonts w:ascii="Times New Roman" w:hAnsi="Times New Roman"/>
          <w:highlight w:val="none"/>
          <w:shd w:fill="auto" w:val="clear"/>
        </w:rPr>
      </w:pPr>
      <w:r>
        <w:rPr>
          <w:rFonts w:ascii="Times New Roman" w:hAnsi="Times New Roman"/>
          <w:b w:val="false"/>
          <w:bCs w:val="false"/>
          <w:shd w:fill="auto" w:val="clear"/>
        </w:rPr>
        <w:tab/>
        <w:t xml:space="preserve">The sheer volume of Nancy Siraisi’s essays, books and papers and the referencing to them in other sources, including Alisha Rankin’s book chapter, suggests that Siraisi is widely regarded in her field of medical history. While this is the case for Siraisi, Rankin’s paper is easier to read as a layman who has no prior knowledge of the field. Rankin, from the onset, introduces the reader to the letter writers of Anna and Dorothea explaining who they are and the time period they are writing in as well as the rough ages and circumstances against the background of their correspondence. In her abstract, Rankin sets out to explain in “elevator pitch” wording her subject matter and the method she used to research her paper. </w:t>
      </w:r>
    </w:p>
    <w:p>
      <w:pPr>
        <w:pStyle w:val="Normal"/>
        <w:bidi w:val="0"/>
        <w:spacing w:lineRule="auto" w:line="240"/>
        <w:jc w:val="start"/>
        <w:rPr>
          <w:b w:val="false"/>
          <w:bCs w:val="false"/>
        </w:rPr>
      </w:pPr>
      <w:r>
        <w:rPr>
          <w:rFonts w:ascii="Times New Roman" w:hAnsi="Times New Roman"/>
          <w:shd w:fill="auto" w:val="clear"/>
        </w:rPr>
      </w:r>
    </w:p>
    <w:p>
      <w:pPr>
        <w:pStyle w:val="Normal"/>
        <w:bidi w:val="0"/>
        <w:spacing w:lineRule="auto" w:line="240"/>
        <w:jc w:val="start"/>
        <w:rPr>
          <w:rFonts w:ascii="Times New Roman" w:hAnsi="Times New Roman"/>
          <w:highlight w:val="none"/>
          <w:shd w:fill="auto" w:val="clear"/>
        </w:rPr>
      </w:pPr>
      <w:r>
        <w:rPr>
          <w:rFonts w:ascii="Times New Roman" w:hAnsi="Times New Roman"/>
          <w:b w:val="false"/>
          <w:bCs w:val="false"/>
          <w:shd w:fill="auto" w:val="clear"/>
        </w:rPr>
        <w:tab/>
      </w:r>
      <w:r>
        <w:rPr>
          <w:rFonts w:ascii="Times New Roman" w:hAnsi="Times New Roman"/>
          <w:b w:val="false"/>
          <w:bCs w:val="false"/>
          <w:shd w:fill="auto" w:val="clear"/>
        </w:rPr>
        <w:t>Within the writing of this essay, it has been my contention that both JSTOR papers have addressed medical culture in the Renaissance and Early Modern Period as a similar concept that has implications on the result of gendered identity and how female practitioners presented themselves as healers in these two overlapping time periods. Siraisi suggested that looking back at medical histories was how medical practitioners learned and grew by incorporating into the past. However Rankin’s posits that women in a similar time period looked to each other and access to medical history was only available to the elite. Regardless, even though neither author openly defined culture, they serendipitously defined it through suggesting it was an elite or wealthier, aristocratic culture that allowed access to the medical past.</w:t>
      </w:r>
    </w:p>
    <w:p>
      <w:pPr>
        <w:pStyle w:val="Normal"/>
        <w:bidi w:val="0"/>
        <w:spacing w:lineRule="auto" w:line="240"/>
        <w:jc w:val="start"/>
        <w:rPr>
          <w:b w:val="false"/>
          <w:bCs w:val="false"/>
          <w:i w:val="false"/>
          <w:i w:val="false"/>
          <w:iCs w:val="false"/>
        </w:rPr>
      </w:pPr>
      <w:r>
        <w:rPr>
          <w:rFonts w:ascii="Times New Roman" w:hAnsi="Times New Roman"/>
          <w:shd w:fill="FFFF00" w:val="clear"/>
        </w:rPr>
      </w:r>
    </w:p>
    <w:p>
      <w:pPr>
        <w:pStyle w:val="Normal"/>
        <w:bidi w:val="0"/>
        <w:spacing w:lineRule="auto" w:line="240"/>
        <w:jc w:val="start"/>
        <w:rPr>
          <w:rFonts w:ascii="Times New Roman" w:hAnsi="Times New Roman"/>
          <w:b w:val="false"/>
          <w:bCs w:val="false"/>
          <w:highlight w:val="none"/>
          <w:shd w:fill="auto" w:val="clear"/>
        </w:rPr>
      </w:pPr>
      <w:r>
        <w:rPr>
          <w:rFonts w:ascii="Times New Roman" w:hAnsi="Times New Roman"/>
          <w:b w:val="false"/>
          <w:bCs w:val="false"/>
          <w:shd w:fill="auto" w:val="clear"/>
        </w:rPr>
      </w:r>
    </w:p>
    <w:p>
      <w:pPr>
        <w:pStyle w:val="Normal"/>
        <w:bidi w:val="0"/>
        <w:spacing w:lineRule="auto" w:line="240"/>
        <w:jc w:val="start"/>
        <w:rPr>
          <w:rFonts w:ascii="Times New Roman" w:hAnsi="Times New Roman"/>
          <w:b w:val="false"/>
          <w:bCs w:val="false"/>
          <w:highlight w:val="none"/>
          <w:shd w:fill="auto" w:val="clear"/>
        </w:rPr>
      </w:pPr>
      <w:r>
        <w:rPr>
          <w:rFonts w:ascii="Times New Roman" w:hAnsi="Times New Roman"/>
          <w:b w:val="false"/>
          <w:bCs w:val="false"/>
          <w:shd w:fill="auto" w:val="clear"/>
        </w:rPr>
      </w:r>
    </w:p>
    <w:p>
      <w:pPr>
        <w:pStyle w:val="Normal"/>
        <w:bidi w:val="0"/>
        <w:spacing w:lineRule="auto" w:line="240"/>
        <w:jc w:val="start"/>
        <w:rPr>
          <w:rFonts w:ascii="Times New Roman" w:hAnsi="Times New Roman"/>
          <w:b w:val="false"/>
          <w:bCs w:val="false"/>
          <w:highlight w:val="none"/>
          <w:shd w:fill="auto" w:val="clear"/>
        </w:rPr>
      </w:pPr>
      <w:r>
        <w:rPr>
          <w:rFonts w:ascii="Times New Roman" w:hAnsi="Times New Roman"/>
          <w:b w:val="false"/>
          <w:bCs w:val="false"/>
          <w:shd w:fill="auto" w:val="clear"/>
        </w:rPr>
      </w:r>
    </w:p>
    <w:p>
      <w:pPr>
        <w:pStyle w:val="Normal"/>
        <w:bidi w:val="0"/>
        <w:spacing w:lineRule="auto" w:line="240"/>
        <w:jc w:val="start"/>
        <w:rPr>
          <w:rFonts w:ascii="Times New Roman" w:hAnsi="Times New Roman"/>
          <w:b w:val="false"/>
          <w:bCs w:val="false"/>
          <w:highlight w:val="none"/>
          <w:shd w:fill="auto" w:val="clear"/>
        </w:rPr>
      </w:pPr>
      <w:r>
        <w:rPr>
          <w:rFonts w:ascii="Times New Roman" w:hAnsi="Times New Roman"/>
          <w:b w:val="false"/>
          <w:bCs w:val="false"/>
          <w:shd w:fill="auto" w:val="clear"/>
        </w:rPr>
      </w:r>
    </w:p>
    <w:p>
      <w:pPr>
        <w:pStyle w:val="Normal"/>
        <w:bidi w:val="0"/>
        <w:spacing w:lineRule="auto" w:line="240"/>
        <w:jc w:val="start"/>
        <w:rPr>
          <w:rFonts w:ascii="Times New Roman" w:hAnsi="Times New Roman"/>
          <w:b w:val="false"/>
          <w:bCs w:val="false"/>
          <w:highlight w:val="none"/>
          <w:shd w:fill="auto" w:val="clear"/>
        </w:rPr>
      </w:pPr>
      <w:r>
        <w:rPr>
          <w:rFonts w:ascii="Times New Roman" w:hAnsi="Times New Roman"/>
          <w:b w:val="false"/>
          <w:bCs w:val="false"/>
          <w:shd w:fill="auto" w:val="clear"/>
        </w:rPr>
      </w:r>
    </w:p>
    <w:p>
      <w:pPr>
        <w:pStyle w:val="Normal"/>
        <w:bidi w:val="0"/>
        <w:spacing w:lineRule="auto" w:line="240"/>
        <w:jc w:val="start"/>
        <w:rPr>
          <w:rFonts w:ascii="Times New Roman" w:hAnsi="Times New Roman"/>
          <w:b w:val="false"/>
          <w:bCs w:val="false"/>
          <w:highlight w:val="none"/>
          <w:shd w:fill="auto" w:val="clear"/>
        </w:rPr>
      </w:pPr>
      <w:r>
        <w:rPr>
          <w:rFonts w:ascii="Times New Roman" w:hAnsi="Times New Roman"/>
          <w:b w:val="false"/>
          <w:bCs w:val="false"/>
          <w:shd w:fill="auto" w:val="clear"/>
        </w:rPr>
      </w:r>
    </w:p>
    <w:p>
      <w:pPr>
        <w:pStyle w:val="Normal"/>
        <w:bidi w:val="0"/>
        <w:spacing w:lineRule="auto" w:line="240"/>
        <w:jc w:val="start"/>
        <w:rPr>
          <w:rFonts w:ascii="Times New Roman" w:hAnsi="Times New Roman"/>
          <w:b w:val="false"/>
          <w:bCs w:val="false"/>
          <w:highlight w:val="none"/>
          <w:shd w:fill="auto" w:val="clear"/>
        </w:rPr>
      </w:pPr>
      <w:r>
        <w:rPr>
          <w:rFonts w:ascii="Times New Roman" w:hAnsi="Times New Roman"/>
          <w:b w:val="false"/>
          <w:bCs w:val="false"/>
          <w:shd w:fill="auto" w:val="clear"/>
        </w:rPr>
      </w:r>
    </w:p>
    <w:p>
      <w:pPr>
        <w:pStyle w:val="Normal"/>
        <w:bidi w:val="0"/>
        <w:spacing w:lineRule="auto" w:line="240"/>
        <w:jc w:val="start"/>
        <w:rPr>
          <w:rFonts w:ascii="Times New Roman" w:hAnsi="Times New Roman"/>
          <w:b w:val="false"/>
          <w:bCs w:val="false"/>
          <w:highlight w:val="none"/>
          <w:shd w:fill="auto" w:val="clear"/>
        </w:rPr>
      </w:pPr>
      <w:r>
        <w:rPr>
          <w:rFonts w:ascii="Times New Roman" w:hAnsi="Times New Roman"/>
          <w:b w:val="false"/>
          <w:bCs w:val="false"/>
          <w:shd w:fill="auto" w:val="clear"/>
        </w:rPr>
      </w:r>
    </w:p>
    <w:p>
      <w:pPr>
        <w:pStyle w:val="Normal"/>
        <w:bidi w:val="0"/>
        <w:spacing w:lineRule="auto" w:line="240"/>
        <w:jc w:val="start"/>
        <w:rPr>
          <w:rFonts w:ascii="Times New Roman" w:hAnsi="Times New Roman"/>
          <w:b w:val="false"/>
          <w:bCs w:val="false"/>
          <w:highlight w:val="none"/>
          <w:shd w:fill="auto" w:val="clear"/>
        </w:rPr>
      </w:pPr>
      <w:r>
        <w:rPr>
          <w:rFonts w:ascii="Times New Roman" w:hAnsi="Times New Roman"/>
          <w:b w:val="false"/>
          <w:bCs w:val="false"/>
          <w:shd w:fill="auto" w:val="clear"/>
        </w:rPr>
      </w:r>
    </w:p>
    <w:p>
      <w:pPr>
        <w:pStyle w:val="Normal"/>
        <w:bidi w:val="0"/>
        <w:spacing w:lineRule="auto" w:line="240"/>
        <w:jc w:val="start"/>
        <w:rPr>
          <w:rFonts w:ascii="Times New Roman" w:hAnsi="Times New Roman"/>
          <w:b w:val="false"/>
          <w:bCs w:val="false"/>
          <w:highlight w:val="none"/>
          <w:shd w:fill="auto" w:val="clear"/>
        </w:rPr>
      </w:pPr>
      <w:r>
        <w:rPr>
          <w:rFonts w:ascii="Times New Roman" w:hAnsi="Times New Roman"/>
          <w:b w:val="false"/>
          <w:bCs w:val="false"/>
          <w:shd w:fill="auto" w:val="clear"/>
        </w:rPr>
      </w:r>
    </w:p>
    <w:p>
      <w:pPr>
        <w:pStyle w:val="Normal"/>
        <w:bidi w:val="0"/>
        <w:spacing w:lineRule="auto" w:line="240"/>
        <w:jc w:val="start"/>
        <w:rPr>
          <w:rFonts w:ascii="Times New Roman" w:hAnsi="Times New Roman"/>
          <w:b w:val="false"/>
          <w:bCs w:val="false"/>
          <w:highlight w:val="none"/>
          <w:shd w:fill="auto" w:val="clear"/>
        </w:rPr>
      </w:pPr>
      <w:r>
        <w:rPr>
          <w:rFonts w:ascii="Times New Roman" w:hAnsi="Times New Roman"/>
          <w:b w:val="false"/>
          <w:bCs w:val="false"/>
          <w:shd w:fill="auto" w:val="clear"/>
        </w:rPr>
      </w:r>
    </w:p>
    <w:p>
      <w:pPr>
        <w:pStyle w:val="Normal"/>
        <w:bidi w:val="0"/>
        <w:spacing w:lineRule="auto" w:line="240"/>
        <w:jc w:val="start"/>
        <w:rPr>
          <w:rFonts w:ascii="Times New Roman" w:hAnsi="Times New Roman"/>
          <w:b w:val="false"/>
          <w:bCs w:val="false"/>
          <w:highlight w:val="none"/>
          <w:shd w:fill="auto" w:val="clear"/>
        </w:rPr>
      </w:pPr>
      <w:r>
        <w:rPr>
          <w:rFonts w:ascii="Times New Roman" w:hAnsi="Times New Roman"/>
          <w:b w:val="false"/>
          <w:bCs w:val="false"/>
          <w:shd w:fill="auto" w:val="clear"/>
        </w:rPr>
      </w:r>
    </w:p>
    <w:p>
      <w:pPr>
        <w:pStyle w:val="Normal"/>
        <w:bidi w:val="0"/>
        <w:spacing w:lineRule="auto" w:line="240"/>
        <w:jc w:val="start"/>
        <w:rPr>
          <w:rFonts w:ascii="Times New Roman" w:hAnsi="Times New Roman"/>
          <w:b w:val="false"/>
          <w:bCs w:val="false"/>
          <w:highlight w:val="none"/>
          <w:shd w:fill="auto" w:val="clear"/>
        </w:rPr>
      </w:pPr>
      <w:r>
        <w:rPr>
          <w:rFonts w:ascii="Times New Roman" w:hAnsi="Times New Roman"/>
          <w:b w:val="false"/>
          <w:bCs w:val="false"/>
          <w:shd w:fill="auto" w:val="clear"/>
        </w:rPr>
      </w:r>
    </w:p>
    <w:p>
      <w:pPr>
        <w:pStyle w:val="Normal"/>
        <w:bidi w:val="0"/>
        <w:spacing w:lineRule="auto" w:line="240"/>
        <w:jc w:val="start"/>
        <w:rPr>
          <w:rFonts w:ascii="Times New Roman" w:hAnsi="Times New Roman"/>
          <w:b w:val="false"/>
          <w:bCs w:val="false"/>
          <w:highlight w:val="none"/>
          <w:shd w:fill="auto" w:val="clear"/>
        </w:rPr>
      </w:pPr>
      <w:r>
        <w:rPr>
          <w:rFonts w:ascii="Times New Roman" w:hAnsi="Times New Roman"/>
          <w:b w:val="false"/>
          <w:bCs w:val="false"/>
          <w:shd w:fill="auto" w:val="clear"/>
        </w:rPr>
      </w:r>
    </w:p>
    <w:p>
      <w:pPr>
        <w:pStyle w:val="Normal"/>
        <w:bidi w:val="0"/>
        <w:spacing w:lineRule="auto" w:line="240"/>
        <w:jc w:val="start"/>
        <w:rPr>
          <w:rFonts w:ascii="Times New Roman" w:hAnsi="Times New Roman"/>
          <w:b w:val="false"/>
          <w:bCs w:val="false"/>
          <w:highlight w:val="none"/>
          <w:shd w:fill="auto" w:val="clear"/>
        </w:rPr>
      </w:pPr>
      <w:r>
        <w:rPr>
          <w:rFonts w:ascii="Times New Roman" w:hAnsi="Times New Roman"/>
          <w:b w:val="false"/>
          <w:bCs w:val="false"/>
          <w:shd w:fill="auto" w:val="clear"/>
        </w:rPr>
      </w:r>
    </w:p>
    <w:p>
      <w:pPr>
        <w:pStyle w:val="Normal"/>
        <w:bidi w:val="0"/>
        <w:spacing w:lineRule="auto" w:line="240"/>
        <w:jc w:val="start"/>
        <w:rPr>
          <w:rFonts w:ascii="Times New Roman" w:hAnsi="Times New Roman"/>
          <w:b w:val="false"/>
          <w:bCs w:val="false"/>
          <w:highlight w:val="none"/>
          <w:shd w:fill="auto" w:val="clear"/>
        </w:rPr>
      </w:pPr>
      <w:r>
        <w:rPr>
          <w:rFonts w:ascii="Times New Roman" w:hAnsi="Times New Roman"/>
          <w:b w:val="false"/>
          <w:bCs w:val="false"/>
          <w:shd w:fill="auto" w:val="clear"/>
        </w:rPr>
      </w:r>
    </w:p>
    <w:p>
      <w:pPr>
        <w:pStyle w:val="Normal"/>
        <w:bidi w:val="0"/>
        <w:spacing w:lineRule="auto" w:line="240"/>
        <w:jc w:val="start"/>
        <w:rPr>
          <w:rFonts w:ascii="Times New Roman" w:hAnsi="Times New Roman"/>
          <w:b w:val="false"/>
          <w:bCs w:val="false"/>
          <w:highlight w:val="none"/>
          <w:shd w:fill="auto" w:val="clear"/>
        </w:rPr>
      </w:pPr>
      <w:r>
        <w:rPr>
          <w:rFonts w:ascii="Times New Roman" w:hAnsi="Times New Roman"/>
          <w:b w:val="false"/>
          <w:bCs w:val="false"/>
          <w:shd w:fill="auto" w:val="clear"/>
        </w:rPr>
      </w:r>
    </w:p>
    <w:p>
      <w:pPr>
        <w:pStyle w:val="Normal"/>
        <w:bidi w:val="0"/>
        <w:spacing w:lineRule="auto" w:line="240"/>
        <w:jc w:val="start"/>
        <w:rPr>
          <w:rFonts w:ascii="Times New Roman" w:hAnsi="Times New Roman"/>
          <w:b w:val="false"/>
          <w:bCs w:val="false"/>
          <w:highlight w:val="none"/>
          <w:shd w:fill="auto" w:val="clear"/>
        </w:rPr>
      </w:pPr>
      <w:r>
        <w:rPr>
          <w:rFonts w:ascii="Times New Roman" w:hAnsi="Times New Roman"/>
          <w:b w:val="false"/>
          <w:bCs w:val="false"/>
          <w:shd w:fill="auto" w:val="clear"/>
        </w:rPr>
      </w:r>
    </w:p>
    <w:p>
      <w:pPr>
        <w:pStyle w:val="Normal"/>
        <w:bidi w:val="0"/>
        <w:spacing w:lineRule="auto" w:line="240"/>
        <w:jc w:val="start"/>
        <w:rPr>
          <w:rFonts w:ascii="Times New Roman" w:hAnsi="Times New Roman"/>
          <w:b w:val="false"/>
          <w:bCs w:val="false"/>
          <w:highlight w:val="none"/>
          <w:shd w:fill="auto" w:val="clear"/>
        </w:rPr>
      </w:pPr>
      <w:r>
        <w:rPr>
          <w:rFonts w:ascii="Times New Roman" w:hAnsi="Times New Roman"/>
          <w:b w:val="false"/>
          <w:bCs w:val="false"/>
          <w:shd w:fill="auto" w:val="clear"/>
        </w:rPr>
      </w:r>
    </w:p>
    <w:p>
      <w:pPr>
        <w:pStyle w:val="Normal"/>
        <w:bidi w:val="0"/>
        <w:spacing w:lineRule="auto" w:line="240"/>
        <w:jc w:val="start"/>
        <w:rPr>
          <w:rFonts w:ascii="Times New Roman" w:hAnsi="Times New Roman"/>
          <w:b w:val="false"/>
          <w:bCs w:val="false"/>
          <w:highlight w:val="none"/>
          <w:shd w:fill="auto" w:val="clear"/>
        </w:rPr>
      </w:pPr>
      <w:r>
        <w:rPr>
          <w:rFonts w:ascii="Times New Roman" w:hAnsi="Times New Roman"/>
          <w:b w:val="false"/>
          <w:bCs w:val="false"/>
          <w:shd w:fill="auto" w:val="clear"/>
        </w:rPr>
      </w:r>
    </w:p>
    <w:p>
      <w:pPr>
        <w:pStyle w:val="Normal"/>
        <w:bidi w:val="0"/>
        <w:spacing w:lineRule="auto" w:line="240"/>
        <w:jc w:val="start"/>
        <w:rPr>
          <w:rFonts w:ascii="Times New Roman" w:hAnsi="Times New Roman"/>
          <w:b w:val="false"/>
          <w:bCs w:val="false"/>
          <w:highlight w:val="none"/>
          <w:shd w:fill="auto" w:val="clear"/>
        </w:rPr>
      </w:pPr>
      <w:r>
        <w:rPr>
          <w:rFonts w:ascii="Times New Roman" w:hAnsi="Times New Roman"/>
          <w:b w:val="false"/>
          <w:bCs w:val="false"/>
          <w:shd w:fill="auto" w:val="clear"/>
        </w:rPr>
      </w:r>
    </w:p>
    <w:p>
      <w:pPr>
        <w:pStyle w:val="Normal"/>
        <w:bidi w:val="0"/>
        <w:spacing w:lineRule="auto" w:line="240"/>
        <w:jc w:val="start"/>
        <w:rPr>
          <w:rFonts w:ascii="Times New Roman" w:hAnsi="Times New Roman"/>
          <w:b w:val="false"/>
          <w:bCs w:val="false"/>
          <w:highlight w:val="none"/>
          <w:shd w:fill="auto" w:val="clear"/>
        </w:rPr>
      </w:pPr>
      <w:r>
        <w:rPr>
          <w:rFonts w:ascii="Times New Roman" w:hAnsi="Times New Roman"/>
          <w:b w:val="false"/>
          <w:bCs w:val="false"/>
          <w:shd w:fill="auto" w:val="clear"/>
        </w:rPr>
      </w:r>
    </w:p>
    <w:p>
      <w:pPr>
        <w:pStyle w:val="Normal"/>
        <w:bidi w:val="0"/>
        <w:spacing w:lineRule="auto" w:line="240"/>
        <w:jc w:val="start"/>
        <w:rPr>
          <w:rFonts w:ascii="Times New Roman" w:hAnsi="Times New Roman"/>
          <w:b w:val="false"/>
          <w:bCs w:val="false"/>
          <w:highlight w:val="none"/>
          <w:shd w:fill="auto" w:val="clear"/>
        </w:rPr>
      </w:pPr>
      <w:r>
        <w:rPr>
          <w:rFonts w:ascii="Times New Roman" w:hAnsi="Times New Roman"/>
          <w:b w:val="false"/>
          <w:bCs w:val="false"/>
          <w:shd w:fill="auto" w:val="clear"/>
        </w:rPr>
      </w:r>
    </w:p>
    <w:p>
      <w:pPr>
        <w:pStyle w:val="Normal"/>
        <w:bidi w:val="0"/>
        <w:spacing w:lineRule="auto" w:line="240"/>
        <w:jc w:val="start"/>
        <w:rPr>
          <w:rFonts w:ascii="Times New Roman" w:hAnsi="Times New Roman"/>
          <w:b w:val="false"/>
          <w:bCs w:val="false"/>
          <w:highlight w:val="none"/>
          <w:shd w:fill="auto" w:val="clear"/>
        </w:rPr>
      </w:pPr>
      <w:r>
        <w:rPr>
          <w:rFonts w:ascii="Times New Roman" w:hAnsi="Times New Roman"/>
          <w:b w:val="false"/>
          <w:bCs w:val="false"/>
          <w:shd w:fill="auto" w:val="clear"/>
        </w:rPr>
      </w:r>
    </w:p>
    <w:p>
      <w:pPr>
        <w:pStyle w:val="Normal"/>
        <w:bidi w:val="0"/>
        <w:spacing w:lineRule="auto" w:line="240"/>
        <w:jc w:val="start"/>
        <w:rPr>
          <w:rFonts w:ascii="Times New Roman" w:hAnsi="Times New Roman"/>
          <w:b w:val="false"/>
          <w:bCs w:val="false"/>
          <w:highlight w:val="none"/>
          <w:shd w:fill="auto" w:val="clear"/>
        </w:rPr>
      </w:pPr>
      <w:r>
        <w:rPr>
          <w:rFonts w:ascii="Times New Roman" w:hAnsi="Times New Roman"/>
          <w:b w:val="false"/>
          <w:bCs w:val="false"/>
          <w:shd w:fill="auto" w:val="clear"/>
        </w:rPr>
      </w:r>
    </w:p>
    <w:p>
      <w:pPr>
        <w:pStyle w:val="Normal"/>
        <w:bidi w:val="0"/>
        <w:spacing w:lineRule="auto" w:line="240"/>
        <w:jc w:val="start"/>
        <w:rPr>
          <w:rFonts w:ascii="Times New Roman" w:hAnsi="Times New Roman"/>
          <w:b w:val="false"/>
          <w:bCs w:val="false"/>
          <w:highlight w:val="none"/>
          <w:shd w:fill="auto" w:val="clear"/>
        </w:rPr>
      </w:pPr>
      <w:r>
        <w:rPr>
          <w:rFonts w:ascii="Times New Roman" w:hAnsi="Times New Roman"/>
          <w:b w:val="false"/>
          <w:bCs w:val="false"/>
          <w:shd w:fill="auto" w:val="clear"/>
        </w:rPr>
      </w:r>
    </w:p>
    <w:p>
      <w:pPr>
        <w:pStyle w:val="Normal"/>
        <w:bidi w:val="0"/>
        <w:spacing w:lineRule="auto" w:line="240"/>
        <w:jc w:val="start"/>
        <w:rPr>
          <w:rFonts w:ascii="Times New Roman" w:hAnsi="Times New Roman"/>
          <w:b w:val="false"/>
          <w:bCs w:val="false"/>
          <w:highlight w:val="none"/>
          <w:shd w:fill="auto" w:val="clear"/>
        </w:rPr>
      </w:pPr>
      <w:r>
        <w:rPr>
          <w:rFonts w:ascii="Times New Roman" w:hAnsi="Times New Roman"/>
          <w:b w:val="false"/>
          <w:bCs w:val="false"/>
          <w:shd w:fill="auto" w:val="clear"/>
        </w:rPr>
      </w:r>
    </w:p>
    <w:p>
      <w:pPr>
        <w:pStyle w:val="Normal"/>
        <w:bidi w:val="0"/>
        <w:spacing w:lineRule="auto" w:line="240"/>
        <w:jc w:val="start"/>
        <w:rPr>
          <w:rFonts w:ascii="Times New Roman" w:hAnsi="Times New Roman"/>
          <w:b w:val="false"/>
          <w:bCs w:val="false"/>
          <w:highlight w:val="none"/>
          <w:shd w:fill="auto" w:val="clear"/>
        </w:rPr>
      </w:pPr>
      <w:r>
        <w:rPr>
          <w:rFonts w:ascii="Times New Roman" w:hAnsi="Times New Roman"/>
          <w:b w:val="false"/>
          <w:bCs w:val="false"/>
          <w:shd w:fill="auto" w:val="clear"/>
        </w:rPr>
      </w:r>
    </w:p>
    <w:p>
      <w:pPr>
        <w:pStyle w:val="Normal"/>
        <w:bidi w:val="0"/>
        <w:spacing w:lineRule="auto" w:line="240"/>
        <w:jc w:val="start"/>
        <w:rPr>
          <w:rFonts w:ascii="Times New Roman" w:hAnsi="Times New Roman"/>
          <w:b w:val="false"/>
          <w:bCs w:val="false"/>
          <w:highlight w:val="none"/>
          <w:shd w:fill="auto" w:val="clear"/>
        </w:rPr>
      </w:pPr>
      <w:r>
        <w:rPr>
          <w:rFonts w:ascii="Times New Roman" w:hAnsi="Times New Roman"/>
          <w:b w:val="false"/>
          <w:bCs w:val="false"/>
          <w:shd w:fill="auto" w:val="clear"/>
        </w:rPr>
      </w:r>
    </w:p>
    <w:p>
      <w:pPr>
        <w:pStyle w:val="Normal"/>
        <w:bidi w:val="0"/>
        <w:spacing w:lineRule="auto" w:line="240"/>
        <w:jc w:val="start"/>
        <w:rPr>
          <w:rFonts w:ascii="Times New Roman" w:hAnsi="Times New Roman"/>
          <w:b w:val="false"/>
          <w:bCs w:val="false"/>
          <w:highlight w:val="none"/>
          <w:shd w:fill="auto" w:val="clear"/>
        </w:rPr>
      </w:pPr>
      <w:r>
        <w:rPr>
          <w:rFonts w:ascii="Times New Roman" w:hAnsi="Times New Roman"/>
          <w:b w:val="false"/>
          <w:bCs w:val="false"/>
          <w:shd w:fill="auto" w:val="clear"/>
        </w:rPr>
      </w:r>
    </w:p>
    <w:p>
      <w:pPr>
        <w:pStyle w:val="Normal"/>
        <w:bidi w:val="0"/>
        <w:spacing w:lineRule="auto" w:line="240"/>
        <w:jc w:val="start"/>
        <w:rPr>
          <w:rFonts w:ascii="Times New Roman" w:hAnsi="Times New Roman"/>
          <w:b w:val="false"/>
          <w:bCs w:val="false"/>
          <w:highlight w:val="none"/>
          <w:shd w:fill="auto" w:val="clear"/>
        </w:rPr>
      </w:pPr>
      <w:r>
        <w:rPr>
          <w:rFonts w:ascii="Times New Roman" w:hAnsi="Times New Roman"/>
          <w:b w:val="false"/>
          <w:bCs w:val="false"/>
          <w:shd w:fill="auto" w:val="clear"/>
        </w:rPr>
      </w:r>
    </w:p>
    <w:p>
      <w:pPr>
        <w:pStyle w:val="Normal"/>
        <w:bidi w:val="0"/>
        <w:spacing w:lineRule="auto" w:line="240"/>
        <w:jc w:val="start"/>
        <w:rPr>
          <w:rFonts w:ascii="Times New Roman" w:hAnsi="Times New Roman"/>
          <w:b w:val="false"/>
          <w:bCs w:val="false"/>
          <w:highlight w:val="none"/>
          <w:shd w:fill="auto" w:val="clear"/>
        </w:rPr>
      </w:pPr>
      <w:r>
        <w:rPr>
          <w:rFonts w:ascii="Times New Roman" w:hAnsi="Times New Roman"/>
          <w:b w:val="false"/>
          <w:bCs w:val="false"/>
          <w:shd w:fill="auto" w:val="clear"/>
        </w:rPr>
      </w:r>
    </w:p>
    <w:p>
      <w:pPr>
        <w:pStyle w:val="Normal"/>
        <w:bidi w:val="0"/>
        <w:spacing w:lineRule="auto" w:line="240"/>
        <w:jc w:val="start"/>
        <w:rPr>
          <w:rFonts w:ascii="Times New Roman" w:hAnsi="Times New Roman"/>
          <w:b w:val="false"/>
          <w:bCs w:val="false"/>
          <w:highlight w:val="none"/>
          <w:shd w:fill="auto" w:val="clear"/>
        </w:rPr>
      </w:pPr>
      <w:r>
        <w:rPr>
          <w:rFonts w:ascii="Times New Roman" w:hAnsi="Times New Roman"/>
          <w:b w:val="false"/>
          <w:bCs w:val="false"/>
          <w:shd w:fill="auto" w:val="clear"/>
        </w:rPr>
      </w:r>
    </w:p>
    <w:p>
      <w:pPr>
        <w:pStyle w:val="Normal"/>
        <w:bidi w:val="0"/>
        <w:spacing w:lineRule="auto" w:line="240"/>
        <w:jc w:val="start"/>
        <w:rPr>
          <w:rFonts w:ascii="Times New Roman" w:hAnsi="Times New Roman"/>
          <w:b w:val="false"/>
          <w:bCs w:val="false"/>
          <w:highlight w:val="none"/>
          <w:shd w:fill="auto" w:val="clear"/>
        </w:rPr>
      </w:pPr>
      <w:r>
        <w:rPr>
          <w:rFonts w:ascii="Times New Roman" w:hAnsi="Times New Roman"/>
          <w:b w:val="false"/>
          <w:bCs w:val="false"/>
          <w:shd w:fill="auto" w:val="clear"/>
        </w:rPr>
      </w:r>
    </w:p>
    <w:p>
      <w:pPr>
        <w:pStyle w:val="Normal"/>
        <w:bidi w:val="0"/>
        <w:spacing w:lineRule="auto" w:line="240"/>
        <w:jc w:val="start"/>
        <w:rPr>
          <w:rFonts w:ascii="Times New Roman" w:hAnsi="Times New Roman"/>
          <w:b w:val="false"/>
          <w:bCs w:val="false"/>
          <w:highlight w:val="none"/>
          <w:shd w:fill="auto" w:val="clear"/>
        </w:rPr>
      </w:pPr>
      <w:r>
        <w:rPr>
          <w:rFonts w:ascii="Times New Roman" w:hAnsi="Times New Roman"/>
          <w:b w:val="false"/>
          <w:bCs w:val="false"/>
          <w:shd w:fill="auto" w:val="clear"/>
        </w:rPr>
      </w:r>
    </w:p>
    <w:p>
      <w:pPr>
        <w:pStyle w:val="Normal"/>
        <w:bidi w:val="0"/>
        <w:spacing w:lineRule="auto" w:line="240"/>
        <w:jc w:val="start"/>
        <w:rPr>
          <w:rFonts w:ascii="Times New Roman" w:hAnsi="Times New Roman"/>
          <w:b w:val="false"/>
          <w:bCs w:val="false"/>
          <w:highlight w:val="none"/>
          <w:shd w:fill="auto" w:val="clear"/>
        </w:rPr>
      </w:pPr>
      <w:r>
        <w:rPr>
          <w:rFonts w:ascii="Times New Roman" w:hAnsi="Times New Roman"/>
          <w:b w:val="false"/>
          <w:bCs w:val="false"/>
          <w:shd w:fill="auto" w:val="clear"/>
        </w:rPr>
      </w:r>
    </w:p>
    <w:p>
      <w:pPr>
        <w:pStyle w:val="Normal"/>
        <w:bidi w:val="0"/>
        <w:spacing w:lineRule="auto" w:line="240"/>
        <w:jc w:val="start"/>
        <w:rPr>
          <w:rFonts w:ascii="Times New Roman" w:hAnsi="Times New Roman"/>
          <w:b w:val="false"/>
          <w:bCs w:val="false"/>
          <w:highlight w:val="none"/>
          <w:shd w:fill="auto" w:val="clear"/>
        </w:rPr>
      </w:pPr>
      <w:r>
        <w:rPr>
          <w:rFonts w:ascii="Times New Roman" w:hAnsi="Times New Roman"/>
          <w:b w:val="false"/>
          <w:bCs w:val="false"/>
          <w:shd w:fill="auto" w:val="clear"/>
        </w:rPr>
      </w:r>
    </w:p>
    <w:p>
      <w:pPr>
        <w:pStyle w:val="Normal"/>
        <w:bidi w:val="0"/>
        <w:spacing w:lineRule="auto" w:line="240"/>
        <w:jc w:val="start"/>
        <w:rPr>
          <w:rFonts w:ascii="Times New Roman" w:hAnsi="Times New Roman"/>
          <w:sz w:val="26"/>
          <w:szCs w:val="26"/>
        </w:rPr>
      </w:pPr>
      <w:r>
        <w:rPr>
          <w:rFonts w:ascii="Times New Roman" w:hAnsi="Times New Roman"/>
          <w:sz w:val="26"/>
          <w:szCs w:val="26"/>
        </w:rPr>
      </w:r>
    </w:p>
    <w:p>
      <w:pPr>
        <w:pStyle w:val="Normal"/>
        <w:bidi w:val="0"/>
        <w:spacing w:lineRule="auto" w:line="240"/>
        <w:jc w:val="start"/>
        <w:rPr>
          <w:rFonts w:ascii="Times New Roman" w:hAnsi="Times New Roman"/>
          <w:b w:val="false"/>
          <w:bCs w:val="false"/>
          <w:sz w:val="26"/>
          <w:szCs w:val="26"/>
        </w:rPr>
      </w:pPr>
      <w:r>
        <w:rPr>
          <w:rFonts w:ascii="Times New Roman" w:hAnsi="Times New Roman"/>
          <w:b w:val="false"/>
          <w:bCs w:val="false"/>
          <w:sz w:val="26"/>
          <w:szCs w:val="26"/>
        </w:rPr>
      </w:r>
    </w:p>
    <w:p>
      <w:pPr>
        <w:pStyle w:val="Normal"/>
        <w:bidi w:val="0"/>
        <w:spacing w:lineRule="auto" w:line="240"/>
        <w:jc w:val="start"/>
        <w:rPr>
          <w:rFonts w:ascii="Times New Roman" w:hAnsi="Times New Roman"/>
        </w:rPr>
      </w:pPr>
      <w:r>
        <w:rPr>
          <w:rFonts w:ascii="Times New Roman" w:hAnsi="Times New Roman"/>
          <w:b/>
          <w:bCs/>
          <w:sz w:val="26"/>
          <w:szCs w:val="26"/>
        </w:rPr>
        <w:t>References:</w:t>
      </w:r>
    </w:p>
    <w:p>
      <w:pPr>
        <w:pStyle w:val="Normal"/>
        <w:bidi w:val="0"/>
        <w:spacing w:lineRule="auto" w:line="240"/>
        <w:jc w:val="start"/>
        <w:rPr>
          <w:rFonts w:ascii="Times New Roman" w:hAnsi="Times New Roman"/>
          <w:b/>
          <w:bCs/>
          <w:sz w:val="26"/>
          <w:szCs w:val="26"/>
        </w:rPr>
      </w:pPr>
      <w:r>
        <w:rPr>
          <w:rFonts w:ascii="Times New Roman" w:hAnsi="Times New Roman"/>
          <w:b/>
          <w:bCs/>
          <w:sz w:val="26"/>
          <w:szCs w:val="26"/>
        </w:rPr>
      </w:r>
    </w:p>
    <w:p>
      <w:pPr>
        <w:pStyle w:val="Normal"/>
        <w:bidi w:val="0"/>
        <w:spacing w:lineRule="auto" w:line="240"/>
        <w:jc w:val="start"/>
        <w:rPr>
          <w:rFonts w:ascii="Times New Roman" w:hAnsi="Times New Roman"/>
        </w:rPr>
      </w:pPr>
      <w:r>
        <w:rPr>
          <w:rFonts w:ascii="Times New Roman" w:hAnsi="Times New Roman"/>
          <w:b w:val="false"/>
          <w:bCs w:val="false"/>
          <w:sz w:val="26"/>
          <w:szCs w:val="26"/>
        </w:rPr>
        <w:t xml:space="preserve">Siraisi, N. (2000) 'Anatomizing the Past: Physicians and History in Renaissance Culture.' </w:t>
      </w:r>
      <w:r>
        <w:rPr>
          <w:rFonts w:ascii="Times New Roman" w:hAnsi="Times New Roman"/>
          <w:b w:val="false"/>
          <w:bCs w:val="false"/>
          <w:i/>
          <w:iCs/>
          <w:sz w:val="26"/>
          <w:szCs w:val="26"/>
        </w:rPr>
        <w:t>Renaissance Quarterly</w:t>
      </w:r>
      <w:r>
        <w:rPr>
          <w:rFonts w:ascii="Times New Roman" w:hAnsi="Times New Roman"/>
          <w:b w:val="false"/>
          <w:bCs w:val="false"/>
          <w:sz w:val="26"/>
          <w:szCs w:val="26"/>
        </w:rPr>
        <w:t xml:space="preserve"> 53, no. 1, pp. 1-30.</w:t>
      </w:r>
    </w:p>
    <w:p>
      <w:pPr>
        <w:pStyle w:val="Normal"/>
        <w:bidi w:val="0"/>
        <w:spacing w:lineRule="auto" w:line="240"/>
        <w:jc w:val="start"/>
        <w:rPr>
          <w:b w:val="false"/>
          <w:bCs w:val="false"/>
          <w:sz w:val="26"/>
          <w:szCs w:val="26"/>
        </w:rPr>
      </w:pPr>
      <w:r>
        <w:rPr>
          <w:b w:val="false"/>
          <w:bCs w:val="false"/>
          <w:sz w:val="26"/>
          <w:szCs w:val="26"/>
        </w:rPr>
      </w:r>
    </w:p>
    <w:p>
      <w:pPr>
        <w:pStyle w:val="Normal"/>
        <w:bidi w:val="0"/>
        <w:spacing w:lineRule="auto" w:line="240"/>
        <w:jc w:val="start"/>
        <w:rPr>
          <w:rFonts w:ascii="Times New Roman" w:hAnsi="Times New Roman"/>
        </w:rPr>
      </w:pPr>
      <w:r>
        <w:rPr>
          <w:rFonts w:ascii="Times New Roman" w:hAnsi="Times New Roman"/>
          <w:b w:val="false"/>
          <w:bCs w:val="false"/>
          <w:sz w:val="26"/>
          <w:szCs w:val="26"/>
        </w:rPr>
        <w:t>Rankin, A. (2018) 'Telling Time through Medicine: A Gendered Perspective.' In Gendered Temporalities in the Early Modern World, edited by Merry E. Wiesner-Hanks, 95-114: Amsterdam University Press.</w:t>
      </w:r>
    </w:p>
    <w:p>
      <w:pPr>
        <w:pStyle w:val="Normal"/>
        <w:bidi w:val="0"/>
        <w:spacing w:lineRule="auto" w:line="240"/>
        <w:jc w:val="start"/>
        <w:rPr>
          <w:b w:val="false"/>
          <w:bCs w:val="false"/>
          <w:sz w:val="26"/>
          <w:szCs w:val="26"/>
        </w:rPr>
      </w:pPr>
      <w:r>
        <w:rPr>
          <w:b w:val="false"/>
          <w:bCs w:val="false"/>
          <w:sz w:val="26"/>
          <w:szCs w:val="26"/>
        </w:rPr>
      </w:r>
    </w:p>
    <w:p>
      <w:pPr>
        <w:pStyle w:val="Normal"/>
        <w:bidi w:val="0"/>
        <w:spacing w:lineRule="auto" w:line="240"/>
        <w:jc w:val="start"/>
        <w:rPr>
          <w:rFonts w:ascii="Times New Roman" w:hAnsi="Times New Roman"/>
          <w:b w:val="false"/>
          <w:bCs w:val="false"/>
          <w:sz w:val="26"/>
          <w:szCs w:val="26"/>
        </w:rPr>
      </w:pPr>
      <w:r>
        <w:rPr>
          <w:rFonts w:ascii="Times New Roman" w:hAnsi="Times New Roman"/>
          <w:b w:val="false"/>
          <w:bCs w:val="false"/>
          <w:sz w:val="26"/>
          <w:szCs w:val="26"/>
        </w:rPr>
        <w:t xml:space="preserve">Jones, D. S., et al. (2015) “Making the Case for History in Medical Education.” </w:t>
      </w:r>
      <w:r>
        <w:rPr>
          <w:rFonts w:ascii="Times New Roman" w:hAnsi="Times New Roman"/>
          <w:b w:val="false"/>
          <w:bCs w:val="false"/>
          <w:i/>
          <w:sz w:val="26"/>
          <w:szCs w:val="26"/>
        </w:rPr>
        <w:t>Journal of the History of Medicine and Allied Sciences</w:t>
      </w:r>
      <w:r>
        <w:rPr>
          <w:rFonts w:ascii="Times New Roman" w:hAnsi="Times New Roman"/>
          <w:b w:val="false"/>
          <w:bCs w:val="false"/>
          <w:sz w:val="26"/>
          <w:szCs w:val="26"/>
        </w:rPr>
        <w:t xml:space="preserve">, vol. 70, no. 4, p. 624 </w:t>
      </w:r>
      <w:r>
        <w:rPr>
          <w:rFonts w:ascii="Times New Roman" w:hAnsi="Times New Roman"/>
          <w:b w:val="false"/>
          <w:bCs w:val="false"/>
          <w:i/>
          <w:sz w:val="26"/>
          <w:szCs w:val="26"/>
        </w:rPr>
        <w:t>JSTOR</w:t>
      </w:r>
      <w:r>
        <w:rPr>
          <w:rFonts w:ascii="Times New Roman" w:hAnsi="Times New Roman"/>
          <w:b w:val="false"/>
          <w:bCs w:val="false"/>
          <w:sz w:val="26"/>
          <w:szCs w:val="26"/>
        </w:rPr>
        <w:t>, http://www.jstor.org/stable/24631662. Accessed 6 Nov. 2023.</w:t>
      </w:r>
    </w:p>
    <w:p>
      <w:pPr>
        <w:pStyle w:val="Normal"/>
        <w:bidi w:val="0"/>
        <w:spacing w:lineRule="auto" w:line="240"/>
        <w:jc w:val="start"/>
        <w:rPr>
          <w:rFonts w:ascii="Times New Roman" w:hAnsi="Times New Roman"/>
          <w:b w:val="false"/>
          <w:bCs w:val="false"/>
          <w:sz w:val="26"/>
          <w:szCs w:val="26"/>
        </w:rPr>
      </w:pPr>
      <w:r>
        <w:rPr>
          <w:rFonts w:ascii="Times New Roman" w:hAnsi="Times New Roman"/>
          <w:b w:val="false"/>
          <w:bCs w:val="false"/>
          <w:sz w:val="26"/>
          <w:szCs w:val="26"/>
        </w:rPr>
      </w:r>
    </w:p>
    <w:p>
      <w:pPr>
        <w:pStyle w:val="Normal"/>
        <w:bidi w:val="0"/>
        <w:spacing w:lineRule="auto" w:line="240"/>
        <w:jc w:val="start"/>
        <w:rPr>
          <w:rFonts w:ascii="Times New Roman" w:hAnsi="Times New Roman"/>
        </w:rPr>
      </w:pPr>
      <w:r>
        <w:rPr>
          <w:rFonts w:ascii="Times New Roman" w:hAnsi="Times New Roman"/>
          <w:b w:val="false"/>
          <w:bCs w:val="false"/>
          <w:sz w:val="26"/>
          <w:szCs w:val="26"/>
        </w:rPr>
        <w:t xml:space="preserve">Bamji, A., (2016) “Medical Care in Early Modern Venice.” </w:t>
      </w:r>
      <w:r>
        <w:rPr>
          <w:rFonts w:ascii="Times New Roman" w:hAnsi="Times New Roman"/>
          <w:b w:val="false"/>
          <w:bCs w:val="false"/>
          <w:i/>
          <w:sz w:val="26"/>
          <w:szCs w:val="26"/>
        </w:rPr>
        <w:t>Journal of Social History</w:t>
      </w:r>
      <w:r>
        <w:rPr>
          <w:rFonts w:ascii="Times New Roman" w:hAnsi="Times New Roman"/>
          <w:b w:val="false"/>
          <w:bCs w:val="false"/>
          <w:sz w:val="26"/>
          <w:szCs w:val="26"/>
        </w:rPr>
        <w:t xml:space="preserve"> 49, no. 3: 483–509. </w:t>
      </w:r>
      <w:hyperlink r:id="rId2">
        <w:r>
          <w:rPr>
            <w:rStyle w:val="InternetLink"/>
            <w:rFonts w:ascii="Times New Roman" w:hAnsi="Times New Roman"/>
            <w:b w:val="false"/>
            <w:bCs w:val="false"/>
            <w:sz w:val="26"/>
            <w:szCs w:val="26"/>
          </w:rPr>
          <w:t>http://www.jstor.org/stable/43920711</w:t>
        </w:r>
      </w:hyperlink>
      <w:r>
        <w:rPr>
          <w:rFonts w:ascii="Times New Roman" w:hAnsi="Times New Roman"/>
          <w:b w:val="false"/>
          <w:bCs w:val="false"/>
          <w:sz w:val="26"/>
          <w:szCs w:val="26"/>
        </w:rPr>
        <w:t>.  Accessed 6 Nov. 2023</w:t>
      </w:r>
    </w:p>
    <w:p>
      <w:pPr>
        <w:pStyle w:val="Normal"/>
        <w:bidi w:val="0"/>
        <w:spacing w:lineRule="auto" w:line="240"/>
        <w:jc w:val="start"/>
        <w:rPr>
          <w:rFonts w:ascii="Times New Roman" w:hAnsi="Times New Roman"/>
        </w:rPr>
      </w:pPr>
      <w:r>
        <w:rPr>
          <w:rFonts w:ascii="Times New Roman" w:hAnsi="Times New Roman"/>
          <w:b w:val="false"/>
          <w:bCs w:val="false"/>
          <w:sz w:val="26"/>
          <w:szCs w:val="26"/>
        </w:rPr>
        <w:t xml:space="preserve">APPEL, T. A. (2014) “Writing Women into Medical History in the 1930s: Kate Campbell Hurd-Mead and ‘Medical Women’ of the Past and Present.” </w:t>
      </w:r>
      <w:r>
        <w:rPr>
          <w:rFonts w:ascii="Times New Roman" w:hAnsi="Times New Roman"/>
          <w:b w:val="false"/>
          <w:bCs w:val="false"/>
          <w:i/>
          <w:sz w:val="26"/>
          <w:szCs w:val="26"/>
        </w:rPr>
        <w:t>Bulletin of the History of Medicine</w:t>
      </w:r>
      <w:r>
        <w:rPr>
          <w:rFonts w:ascii="Times New Roman" w:hAnsi="Times New Roman"/>
          <w:b w:val="false"/>
          <w:bCs w:val="false"/>
          <w:sz w:val="26"/>
          <w:szCs w:val="26"/>
        </w:rPr>
        <w:t xml:space="preserve">, vol. 88, no. 3, 2014, pp. 458. </w:t>
      </w:r>
      <w:r>
        <w:rPr>
          <w:rFonts w:ascii="Times New Roman" w:hAnsi="Times New Roman"/>
          <w:b w:val="false"/>
          <w:bCs w:val="false"/>
          <w:i/>
          <w:sz w:val="26"/>
          <w:szCs w:val="26"/>
        </w:rPr>
        <w:t>JSTOR</w:t>
      </w:r>
      <w:r>
        <w:rPr>
          <w:rFonts w:ascii="Times New Roman" w:hAnsi="Times New Roman"/>
          <w:b w:val="false"/>
          <w:bCs w:val="false"/>
          <w:sz w:val="26"/>
          <w:szCs w:val="26"/>
        </w:rPr>
        <w:t>, https://www.jstor.org/stable/26308939. Accessed 6 Nov. 2023.</w:t>
      </w:r>
    </w:p>
    <w:p>
      <w:pPr>
        <w:pStyle w:val="Normal"/>
        <w:bidi w:val="0"/>
        <w:spacing w:lineRule="auto" w:line="240"/>
        <w:jc w:val="start"/>
        <w:rPr>
          <w:b w:val="false"/>
          <w:bCs w:val="false"/>
          <w:sz w:val="26"/>
          <w:szCs w:val="26"/>
        </w:rPr>
      </w:pPr>
      <w:r>
        <w:rPr/>
      </w:r>
    </w:p>
    <w:sectPr>
      <w:headerReference w:type="default" r:id="rId3"/>
      <w:footnotePr>
        <w:numFmt w:val="decimal"/>
      </w:footnotePr>
      <w:type w:val="nextPage"/>
      <w:pgSz w:w="11906" w:h="16838"/>
      <w:pgMar w:left="1134" w:right="1134" w:gutter="0" w:header="1134" w:top="1946" w:footer="0" w:bottom="1134"/>
      <w:pgNumType w:start="1" w:fmt="decimal"/>
      <w:formProt w:val="false"/>
      <w:textDirection w:val="lrTb"/>
      <w:docGrid w:type="default" w:linePitch="100" w:charSpace="0"/>
    </w:sectPr>
  </w:body>
</w:document>
</file>

<file path=word/fontTable.xml><?xml version="1.0" encoding="utf-8"?>
<w:fonts xmlns:w="http://schemas.openxmlformats.org/wordprocessingml/2006/main" xmlns:r="http://schemas.openxmlformats.org/officeDocument/2006/relationships">
  <w:font w:name="Times New Roman">
    <w:charset w:val="00" w:characterSet="windows-1252"/>
    <w:family w:val="roman"/>
    <w:pitch w:val="variable"/>
  </w:font>
  <w:font w:name="Symbol">
    <w:charset w:val="02"/>
    <w:family w:val="roman"/>
    <w:pitch w:val="variable"/>
  </w:font>
  <w:font w:name="Arial">
    <w:charset w:val="00" w:characterSet="windows-1252"/>
    <w:family w:val="swiss"/>
    <w:pitch w:val="variable"/>
  </w:font>
  <w:font w:name="Liberation Serif">
    <w:altName w:val="Times New Roman"/>
    <w:charset w:val="00" w:characterSet="windows-1252"/>
    <w:family w:val="roman"/>
    <w:pitch w:val="variable"/>
  </w:font>
  <w:font w:name="Tahoma">
    <w:charset w:val="00" w:characterSet="windows-1252"/>
    <w:family w:val="roman"/>
    <w:pitch w:val="variable"/>
  </w:font>
  <w:font w:name="Liberation Sans">
    <w:altName w:val="Arial"/>
    <w:charset w:val="00" w:characterSet="windows-1252"/>
    <w:family w:val="roman"/>
    <w:pitch w:val="variable"/>
  </w:font>
  <w:font w:name="Georgia">
    <w:charset w:val="00" w:characterSet="windows-1252"/>
    <w:family w:val="roman"/>
    <w:pitch w:val="variable"/>
  </w:font>
  <w:font w:name="Arial">
    <w:charset w:val="00" w:characterSet="windows-1252"/>
    <w:family w:val="roman"/>
    <w:pitch w:val="variable"/>
  </w:font>
  <w:font w:name="Trebuchet MS">
    <w:charset w:val="00" w:characterSet="windows-1252"/>
    <w:family w:val="roman"/>
    <w:pitch w:val="variable"/>
  </w:font>
  <w:font w:name="Calibri">
    <w:charset w:val="00" w:characterSet="windows-1252"/>
    <w:family w:val="roman"/>
    <w:pitch w:val="variable"/>
  </w:font>
  <w:font w:name="Times New Roman">
    <w:charset w:val="01"/>
    <w:family w:val="roman"/>
    <w:pitch w:val="variable"/>
  </w:font>
</w:fonts>
</file>

<file path=word/footnotes.xml><?xml version="1.0" encoding="utf-8"?>
<w:footnotes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footnote w:id="0" w:type="separator">
    <w:p>
      <w:pPr>
        <w:rPr>
          <w:sz w:val="12"/>
        </w:rPr>
      </w:pPr>
      <w:r>
        <w:separator/>
      </w:r>
    </w:p>
  </w:footnote>
  <w:footnote w:id="1" w:type="continuationSeparator">
    <w:p>
      <w:pPr>
        <w:rPr>
          <w:sz w:val="12"/>
        </w:rPr>
      </w:pPr>
      <w:r>
        <w:continuationSeparator/>
      </w:r>
    </w:p>
  </w:footnote>
  <w:footnote w:id="2">
    <w:p>
      <w:pPr>
        <w:pStyle w:val="Normal"/>
        <w:bidi w:val="0"/>
        <w:spacing w:lineRule="auto" w:line="240"/>
        <w:jc w:val="start"/>
        <w:rPr>
          <w:sz w:val="20"/>
          <w:szCs w:val="20"/>
        </w:rPr>
      </w:pPr>
      <w:r>
        <w:rPr>
          <w:rStyle w:val="FootnoteCharacters"/>
        </w:rPr>
        <w:footnoteRef/>
      </w:r>
      <w:r>
        <w:rPr>
          <w:rFonts w:ascii="Times New Roman" w:hAnsi="Times New Roman"/>
          <w:b w:val="false"/>
          <w:bCs w:val="false"/>
          <w:sz w:val="20"/>
          <w:szCs w:val="20"/>
        </w:rPr>
        <w:t xml:space="preserve">  </w:t>
      </w:r>
      <w:r>
        <w:rPr>
          <w:rFonts w:ascii="Times New Roman" w:hAnsi="Times New Roman"/>
          <w:b w:val="false"/>
          <w:bCs w:val="false"/>
          <w:sz w:val="20"/>
          <w:szCs w:val="20"/>
        </w:rPr>
        <w:t xml:space="preserve">Nancy Siraisi, 'Anatomizing the Past: Physicians and History in Renaissance Culture.' </w:t>
      </w:r>
      <w:r>
        <w:rPr>
          <w:rFonts w:ascii="Times New Roman" w:hAnsi="Times New Roman"/>
          <w:b w:val="false"/>
          <w:bCs w:val="false"/>
          <w:i/>
          <w:iCs/>
          <w:sz w:val="20"/>
          <w:szCs w:val="20"/>
        </w:rPr>
        <w:t>Renaissance Quarterly</w:t>
      </w:r>
      <w:r>
        <w:rPr>
          <w:rFonts w:ascii="Times New Roman" w:hAnsi="Times New Roman"/>
          <w:b w:val="false"/>
          <w:bCs w:val="false"/>
          <w:sz w:val="20"/>
          <w:szCs w:val="20"/>
        </w:rPr>
        <w:t xml:space="preserve"> 53, no. 1 (2000): 1-30. </w:t>
      </w:r>
    </w:p>
  </w:footnote>
  <w:footnote w:id="3">
    <w:p>
      <w:pPr>
        <w:pStyle w:val="Footnote"/>
        <w:ind w:hanging="0"/>
        <w:rPr/>
      </w:pPr>
      <w:r>
        <w:rPr>
          <w:rStyle w:val="FootnoteCharacters"/>
        </w:rPr>
        <w:footnoteRef/>
      </w:r>
      <w:r>
        <w:rPr>
          <w:rFonts w:ascii="Times New Roman" w:hAnsi="Times New Roman"/>
          <w:b w:val="false"/>
          <w:bCs w:val="false"/>
        </w:rPr>
        <w:t xml:space="preserve">  </w:t>
      </w:r>
      <w:r>
        <w:rPr>
          <w:rFonts w:ascii="Times New Roman" w:hAnsi="Times New Roman"/>
          <w:b w:val="false"/>
          <w:bCs w:val="false"/>
        </w:rPr>
        <w:t xml:space="preserve">Alisha Rankin, 'Telling Time through Medicine: A Gendered Perspective.' In </w:t>
      </w:r>
      <w:r>
        <w:rPr>
          <w:rFonts w:ascii="Times New Roman" w:hAnsi="Times New Roman"/>
          <w:b w:val="false"/>
          <w:bCs w:val="false"/>
          <w:i/>
          <w:iCs/>
        </w:rPr>
        <w:t>Gendered Temporalities in the Early Modern World</w:t>
      </w:r>
      <w:r>
        <w:rPr>
          <w:rFonts w:ascii="Times New Roman" w:hAnsi="Times New Roman"/>
          <w:b w:val="false"/>
          <w:bCs w:val="false"/>
        </w:rPr>
        <w:t>, edited by Merry E. Wiesner-Hanks, 95-114: Amsterdam University Press, 2018</w:t>
      </w:r>
    </w:p>
  </w:footnote>
  <w:footnote w:id="4">
    <w:p>
      <w:pPr>
        <w:pStyle w:val="Footnote"/>
        <w:ind w:hanging="0"/>
        <w:rPr/>
      </w:pPr>
      <w:r>
        <w:rPr>
          <w:rStyle w:val="FootnoteCharacters"/>
        </w:rPr>
        <w:footnoteRef/>
      </w:r>
      <w:r>
        <w:rPr/>
        <w:t xml:space="preserve"> </w:t>
      </w:r>
      <w:r>
        <w:rPr/>
        <w:t xml:space="preserve">Roth, </w:t>
      </w:r>
      <w:r>
        <w:rPr>
          <w:i/>
          <w:iCs/>
        </w:rPr>
        <w:t>Timetables</w:t>
      </w:r>
      <w:r>
        <w:rPr/>
        <w:t xml:space="preserve">; Zerubavel, </w:t>
      </w:r>
      <w:r>
        <w:rPr>
          <w:i/>
          <w:iCs/>
        </w:rPr>
        <w:t>Patterns of Time in Hospital Life</w:t>
      </w:r>
      <w:r>
        <w:rPr/>
        <w:t xml:space="preserve">; Frankenberg, ed., </w:t>
      </w:r>
      <w:r>
        <w:rPr>
          <w:i/>
          <w:iCs/>
        </w:rPr>
        <w:t>Time, Health, and Medicine</w:t>
      </w:r>
      <w:r>
        <w:rPr>
          <w:i w:val="false"/>
          <w:iCs w:val="false"/>
        </w:rPr>
        <w:t>, cited in Rankin, 2018, p.96</w:t>
      </w:r>
    </w:p>
  </w:footnote>
  <w:footnote w:id="5">
    <w:p>
      <w:pPr>
        <w:pStyle w:val="Footnote"/>
        <w:ind w:hanging="0"/>
        <w:rPr/>
      </w:pPr>
      <w:r>
        <w:rPr>
          <w:rStyle w:val="FootnoteCharacters"/>
        </w:rPr>
        <w:footnoteRef/>
      </w:r>
      <w:r>
        <w:rPr/>
        <w:t xml:space="preserve"> </w:t>
      </w:r>
      <w:r>
        <w:rPr/>
        <w:t xml:space="preserve">Le Goff, </w:t>
      </w:r>
      <w:r>
        <w:rPr>
          <w:i/>
          <w:iCs/>
        </w:rPr>
        <w:t xml:space="preserve">Time, Work and Culture in the Middle </w:t>
      </w:r>
      <w:r>
        <w:rPr>
          <w:i w:val="false"/>
          <w:iCs w:val="false"/>
        </w:rPr>
        <w:t>Ages; Humphrey</w:t>
      </w:r>
      <w:r>
        <w:rPr/>
        <w:t xml:space="preserve"> and Ormrod, eds.,</w:t>
      </w:r>
      <w:r>
        <w:rPr>
          <w:i/>
          <w:iCs/>
        </w:rPr>
        <w:t xml:space="preserve"> Time in the Medieval World</w:t>
      </w:r>
      <w:r>
        <w:rPr>
          <w:i w:val="false"/>
          <w:iCs w:val="false"/>
        </w:rPr>
        <w:t>, cited in Rankin 2018, p. 97</w:t>
      </w:r>
    </w:p>
  </w:footnote>
  <w:footnote w:id="6">
    <w:p>
      <w:pPr>
        <w:pStyle w:val="Footnote"/>
        <w:ind w:hanging="0"/>
        <w:rPr/>
      </w:pPr>
      <w:r>
        <w:rPr>
          <w:rStyle w:val="FootnoteCharacters"/>
        </w:rPr>
        <w:footnoteRef/>
      </w:r>
      <w:r>
        <w:rPr/>
        <w:t xml:space="preserve"> </w:t>
      </w:r>
      <w:r>
        <w:rPr/>
        <w:t>Rankin ibid p. 98</w:t>
      </w:r>
    </w:p>
  </w:footnote>
  <w:footnote w:id="7">
    <w:p>
      <w:pPr>
        <w:pStyle w:val="Footnote"/>
        <w:ind w:hanging="0"/>
        <w:rPr/>
      </w:pPr>
      <w:r>
        <w:rPr>
          <w:rStyle w:val="FootnoteCharacters"/>
        </w:rPr>
        <w:footnoteRef/>
      </w:r>
      <w:r>
        <w:rPr/>
        <w:t xml:space="preserve"> </w:t>
      </w:r>
      <w:r>
        <w:rPr/>
        <w:t>Siraisi ibid p. 1</w:t>
      </w:r>
    </w:p>
  </w:footnote>
  <w:footnote w:id="8">
    <w:p>
      <w:pPr>
        <w:pStyle w:val="Footnote"/>
        <w:ind w:hanging="0"/>
        <w:rPr>
          <w:rFonts w:ascii="Times New Roman" w:hAnsi="Times New Roman"/>
        </w:rPr>
      </w:pPr>
      <w:r>
        <w:rPr>
          <w:rStyle w:val="FootnoteCharacters"/>
        </w:rPr>
        <w:footnoteRef/>
      </w:r>
      <w:r>
        <w:rPr>
          <w:rFonts w:ascii="Times New Roman" w:hAnsi="Times New Roman"/>
        </w:rPr>
        <w:t xml:space="preserve"> </w:t>
      </w:r>
      <w:r>
        <w:rPr>
          <w:rFonts w:ascii="Times New Roman" w:hAnsi="Times New Roman"/>
        </w:rPr>
        <w:t>Siraisi ibid p. 3</w:t>
      </w:r>
    </w:p>
  </w:footnote>
  <w:footnote w:id="9">
    <w:p>
      <w:pPr>
        <w:pStyle w:val="Normal"/>
        <w:rPr>
          <w:rFonts w:ascii="Times New Roman" w:hAnsi="Times New Roman"/>
          <w:sz w:val="20"/>
          <w:szCs w:val="20"/>
        </w:rPr>
      </w:pPr>
      <w:r>
        <w:rPr>
          <w:rStyle w:val="FootnoteCharacters"/>
        </w:rPr>
        <w:footnoteRef/>
      </w:r>
      <w:r>
        <w:rPr>
          <w:rFonts w:ascii="Times New Roman" w:hAnsi="Times New Roman"/>
          <w:sz w:val="20"/>
          <w:szCs w:val="20"/>
        </w:rPr>
        <w:t xml:space="preserve"> </w:t>
      </w:r>
      <w:r>
        <w:rPr>
          <w:rFonts w:ascii="Times New Roman" w:hAnsi="Times New Roman"/>
          <w:sz w:val="20"/>
          <w:szCs w:val="20"/>
        </w:rPr>
        <w:t xml:space="preserve">David Jones et al. “Making the Case for History in Medical Education.” </w:t>
      </w:r>
      <w:r>
        <w:rPr>
          <w:rFonts w:ascii="Times New Roman" w:hAnsi="Times New Roman"/>
          <w:i/>
          <w:sz w:val="20"/>
          <w:szCs w:val="20"/>
        </w:rPr>
        <w:t>Journal of the History of Medicine and Allied Sciences</w:t>
      </w:r>
      <w:r>
        <w:rPr>
          <w:rFonts w:ascii="Times New Roman" w:hAnsi="Times New Roman"/>
          <w:sz w:val="20"/>
          <w:szCs w:val="20"/>
        </w:rPr>
        <w:t xml:space="preserve">, vol. 70, no. 4, 2015, p. 624 </w:t>
      </w:r>
    </w:p>
  </w:footnote>
  <w:footnote w:id="10">
    <w:p>
      <w:pPr>
        <w:pStyle w:val="Normal"/>
        <w:rPr/>
      </w:pPr>
      <w:r>
        <w:rPr>
          <w:rStyle w:val="FootnoteCharacters"/>
        </w:rPr>
        <w:footnoteRef/>
      </w:r>
      <w:r>
        <w:rPr>
          <w:rFonts w:ascii="Times New Roman" w:hAnsi="Times New Roman"/>
          <w:sz w:val="20"/>
          <w:szCs w:val="20"/>
        </w:rPr>
        <w:t xml:space="preserve"> </w:t>
      </w:r>
      <w:r>
        <w:rPr>
          <w:rFonts w:ascii="Times New Roman" w:hAnsi="Times New Roman"/>
          <w:sz w:val="20"/>
          <w:szCs w:val="20"/>
        </w:rPr>
        <w:t xml:space="preserve">Alexandra Bamji. “Medical Care in Early Modern Venice.” </w:t>
      </w:r>
      <w:r>
        <w:rPr>
          <w:rFonts w:ascii="Times New Roman" w:hAnsi="Times New Roman"/>
          <w:i/>
          <w:sz w:val="20"/>
          <w:szCs w:val="20"/>
        </w:rPr>
        <w:t>Journal of Social History</w:t>
      </w:r>
      <w:r>
        <w:rPr>
          <w:rFonts w:ascii="Times New Roman" w:hAnsi="Times New Roman"/>
          <w:sz w:val="20"/>
          <w:szCs w:val="20"/>
        </w:rPr>
        <w:t xml:space="preserve"> 49, no. 3 (2016): p. 484</w:t>
      </w:r>
    </w:p>
    <w:p>
      <w:pPr>
        <w:pStyle w:val="Footnote"/>
        <w:rPr/>
      </w:pPr>
      <w:r>
        <w:rPr/>
      </w:r>
    </w:p>
  </w:footnote>
  <w:footnote w:id="11">
    <w:p>
      <w:pPr>
        <w:pStyle w:val="Normal"/>
        <w:rPr>
          <w:rFonts w:ascii="Times New Roman" w:hAnsi="Times New Roman"/>
          <w:sz w:val="20"/>
          <w:szCs w:val="20"/>
        </w:rPr>
      </w:pPr>
      <w:r>
        <w:rPr>
          <w:rStyle w:val="FootnoteCharacters"/>
        </w:rPr>
        <w:footnoteRef/>
      </w:r>
      <w:r>
        <w:rPr>
          <w:rFonts w:ascii="Times New Roman" w:hAnsi="Times New Roman"/>
          <w:sz w:val="20"/>
          <w:szCs w:val="20"/>
        </w:rPr>
        <w:t xml:space="preserve"> </w:t>
      </w:r>
      <w:r>
        <w:rPr>
          <w:rFonts w:ascii="Times New Roman" w:hAnsi="Times New Roman"/>
          <w:sz w:val="20"/>
          <w:szCs w:val="20"/>
        </w:rPr>
        <w:t xml:space="preserve">Toby A. Appel, “Writing Women into Medical History in the 1930s: Kate Campbell Hurd-Mead and ‘Medical Women’ of the Past and Present.” </w:t>
      </w:r>
      <w:r>
        <w:rPr>
          <w:rFonts w:ascii="Times New Roman" w:hAnsi="Times New Roman"/>
          <w:i/>
          <w:sz w:val="20"/>
          <w:szCs w:val="20"/>
        </w:rPr>
        <w:t>Bulletin of the History of Medicine</w:t>
      </w:r>
      <w:r>
        <w:rPr>
          <w:rFonts w:ascii="Times New Roman" w:hAnsi="Times New Roman"/>
          <w:sz w:val="20"/>
          <w:szCs w:val="20"/>
        </w:rPr>
        <w:t xml:space="preserve">, vol. 88, no. 3, 2014, pp. 458. </w:t>
      </w:r>
    </w:p>
  </w:footnote>
  <w:footnote w:id="12">
    <w:p>
      <w:pPr>
        <w:pStyle w:val="Footnote"/>
        <w:ind w:hanging="0"/>
        <w:rPr/>
      </w:pPr>
      <w:r>
        <w:rPr>
          <w:rStyle w:val="FootnoteCharacters"/>
        </w:rPr>
        <w:footnoteRef/>
      </w:r>
      <w:r>
        <w:rPr/>
        <w:t xml:space="preserve"> </w:t>
      </w:r>
      <w:r>
        <w:rPr/>
        <w:t xml:space="preserve">Siraisi ibid p. </w:t>
      </w:r>
      <w:r>
        <w:rPr/>
        <w:t>4</w:t>
      </w:r>
    </w:p>
  </w:footnote>
  <w:footnote w:id="13">
    <w:p>
      <w:pPr>
        <w:pStyle w:val="Footnote"/>
        <w:ind w:hanging="0"/>
        <w:rPr/>
      </w:pPr>
      <w:r>
        <w:rPr>
          <w:rStyle w:val="FootnoteCharacters"/>
        </w:rPr>
        <w:footnoteRef/>
      </w:r>
      <w:r>
        <w:rPr/>
        <w:t xml:space="preserve"> </w:t>
      </w:r>
      <w:r>
        <w:rPr/>
        <w:t>Rankin ibid p.98</w:t>
      </w:r>
    </w:p>
  </w:footnote>
  <w:footnote w:id="14">
    <w:p>
      <w:pPr>
        <w:pStyle w:val="Footnote"/>
        <w:ind w:hanging="0"/>
        <w:rPr/>
      </w:pPr>
      <w:r>
        <w:rPr>
          <w:rStyle w:val="FootnoteCharacters"/>
        </w:rPr>
        <w:footnoteRef/>
      </w:r>
      <w:r>
        <w:rPr/>
        <w:t xml:space="preserve"> </w:t>
      </w:r>
      <w:r>
        <w:rPr/>
        <w:t>Rankin, ibid pp. 99-100</w:t>
      </w:r>
    </w:p>
  </w:footnote>
  <w:footnote w:id="15">
    <w:p>
      <w:pPr>
        <w:pStyle w:val="Footnote"/>
        <w:rPr/>
      </w:pPr>
      <w:r>
        <w:rPr>
          <w:rStyle w:val="FootnoteCharacters"/>
        </w:rPr>
        <w:footnoteRef/>
      </w:r>
      <w:r>
        <w:rPr/>
        <w:tab/>
        <w:t>Rankin ibid p.96</w:t>
      </w:r>
    </w:p>
  </w:footnote>
  <w:footnote w:id="16">
    <w:p>
      <w:pPr>
        <w:pStyle w:val="Footnote"/>
        <w:rPr/>
      </w:pPr>
      <w:r>
        <w:rPr>
          <w:rStyle w:val="FootnoteCharacters"/>
        </w:rPr>
        <w:footnoteRef/>
      </w:r>
      <w:r>
        <w:rPr/>
        <w:tab/>
        <w:t>Siraisi ibid p. 8</w:t>
      </w:r>
    </w:p>
  </w:footnote>
</w:footnotes>
</file>

<file path=word/header1.xml><?xml version="1.0" encoding="utf-8"?>
<w:hd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Header"/>
      <w:rPr/>
    </w:pPr>
    <w:r>
      <w:rPr/>
      <w:t xml:space="preserve">Ruth-heather Collins </w:t>
    </w:r>
    <w:r>
      <w:rPr>
        <w:rFonts w:cs="Arial" w:ascii="Arial" w:hAnsi="Arial"/>
        <w:sz w:val="22"/>
        <w:szCs w:val="22"/>
      </w:rPr>
      <w:t>2237968</w:t>
    </w:r>
  </w:p>
  <w:p>
    <w:pPr>
      <w:pStyle w:val="Header"/>
      <w:rPr>
        <w:rFonts w:ascii="Arial" w:hAnsi="Arial" w:cs="Arial"/>
        <w:sz w:val="22"/>
        <w:szCs w:val="22"/>
      </w:rPr>
    </w:pPr>
    <w:r>
      <w:rPr/>
    </w:r>
  </w:p>
</w:hdr>
</file>

<file path=word/numbering.xml><?xml version="1.0" encoding="utf-8"?>
<w:numbering xmlns:w="http://schemas.openxmlformats.org/wordprocessingml/2006/main" xmlns:o="urn:schemas-microsoft-com:office:office" xmlns:r="http://schemas.openxmlformats.org/officeDocument/2006/relationships" xmlns:v="urn:schemas-microsoft-com:vml" xmlns:mc="http://schemas.openxmlformats.org/markup-compatibility/2006" xmlns:w14="http://schemas.microsoft.com/office/word/2010/wordml" mc:Ignorable="w14">
  <w:abstractNum w:abstractNumId="1">
    <w:lvl w:ilvl="0">
      <w:start w:val="1"/>
      <w:numFmt w:val="none"/>
      <w:suff w:val="nothing"/>
      <w:lvlText w:val=""/>
      <w:lvlJc w:val="start"/>
      <w:pPr>
        <w:tabs>
          <w:tab w:val="num" w:pos="0"/>
        </w:tabs>
        <w:ind w:start="0" w:hanging="0"/>
      </w:pPr>
      <w:rPr/>
    </w:lvl>
    <w:lvl w:ilvl="1">
      <w:start w:val="1"/>
      <w:numFmt w:val="none"/>
      <w:suff w:val="nothing"/>
      <w:lvlText w:val=""/>
      <w:lvlJc w:val="start"/>
      <w:pPr>
        <w:tabs>
          <w:tab w:val="num" w:pos="0"/>
        </w:tabs>
        <w:ind w:start="0" w:hanging="0"/>
      </w:pPr>
      <w:rPr/>
    </w:lvl>
    <w:lvl w:ilvl="2">
      <w:start w:val="1"/>
      <w:numFmt w:val="none"/>
      <w:suff w:val="nothing"/>
      <w:lvlText w:val=""/>
      <w:lvlJc w:val="start"/>
      <w:pPr>
        <w:tabs>
          <w:tab w:val="num" w:pos="0"/>
        </w:tabs>
        <w:ind w:start="0" w:hanging="0"/>
      </w:pPr>
      <w:rPr/>
    </w:lvl>
    <w:lvl w:ilvl="3">
      <w:start w:val="1"/>
      <w:numFmt w:val="none"/>
      <w:suff w:val="nothing"/>
      <w:lvlText w:val=""/>
      <w:lvlJc w:val="start"/>
      <w:pPr>
        <w:tabs>
          <w:tab w:val="num" w:pos="0"/>
        </w:tabs>
        <w:ind w:start="0" w:hanging="0"/>
      </w:pPr>
      <w:rPr/>
    </w:lvl>
    <w:lvl w:ilvl="4">
      <w:start w:val="1"/>
      <w:numFmt w:val="none"/>
      <w:suff w:val="nothing"/>
      <w:lvlText w:val=""/>
      <w:lvlJc w:val="start"/>
      <w:pPr>
        <w:tabs>
          <w:tab w:val="num" w:pos="0"/>
        </w:tabs>
        <w:ind w:start="0" w:hanging="0"/>
      </w:pPr>
      <w:rPr/>
    </w:lvl>
    <w:lvl w:ilvl="5">
      <w:start w:val="1"/>
      <w:numFmt w:val="none"/>
      <w:suff w:val="nothing"/>
      <w:lvlText w:val=""/>
      <w:lvlJc w:val="start"/>
      <w:pPr>
        <w:tabs>
          <w:tab w:val="num" w:pos="0"/>
        </w:tabs>
        <w:ind w:start="0" w:hanging="0"/>
      </w:pPr>
      <w:rPr/>
    </w:lvl>
    <w:lvl w:ilvl="6">
      <w:start w:val="1"/>
      <w:numFmt w:val="none"/>
      <w:suff w:val="nothing"/>
      <w:lvlText w:val=""/>
      <w:lvlJc w:val="start"/>
      <w:pPr>
        <w:tabs>
          <w:tab w:val="num" w:pos="0"/>
        </w:tabs>
        <w:ind w:start="0" w:hanging="0"/>
      </w:pPr>
      <w:rPr/>
    </w:lvl>
    <w:lvl w:ilvl="7">
      <w:start w:val="1"/>
      <w:numFmt w:val="none"/>
      <w:suff w:val="nothing"/>
      <w:lvlText w:val=""/>
      <w:lvlJc w:val="start"/>
      <w:pPr>
        <w:tabs>
          <w:tab w:val="num" w:pos="0"/>
        </w:tabs>
        <w:ind w:start="0" w:hanging="0"/>
      </w:pPr>
      <w:rPr/>
    </w:lvl>
    <w:lvl w:ilvl="8">
      <w:start w:val="1"/>
      <w:numFmt w:val="none"/>
      <w:suff w:val="nothing"/>
      <w:lvlText w:val=""/>
      <w:lvlJc w:val="start"/>
      <w:pPr>
        <w:tabs>
          <w:tab w:val="num" w:pos="0"/>
        </w:tabs>
        <w:ind w:start="0" w:hanging="0"/>
      </w:pPr>
      <w:rPr/>
    </w:lvl>
  </w:abstractNum>
  <w:abstractNum w:abstractNumId="2">
    <w:lvl w:ilvl="0">
      <w:start w:val="1"/>
      <w:numFmt w:val="none"/>
      <w:suff w:val="nothing"/>
      <w:lvlText w:val=""/>
      <w:lvlJc w:val="start"/>
      <w:pPr>
        <w:tabs>
          <w:tab w:val="num" w:pos="0"/>
        </w:tabs>
        <w:ind w:start="0" w:hanging="0"/>
      </w:pPr>
    </w:lvl>
    <w:lvl w:ilvl="1">
      <w:start w:val="1"/>
      <w:numFmt w:val="none"/>
      <w:suff w:val="nothing"/>
      <w:lvlText w:val=""/>
      <w:lvlJc w:val="start"/>
      <w:pPr>
        <w:tabs>
          <w:tab w:val="num" w:pos="0"/>
        </w:tabs>
        <w:ind w:start="0" w:hanging="0"/>
      </w:pPr>
    </w:lvl>
    <w:lvl w:ilvl="2">
      <w:start w:val="1"/>
      <w:numFmt w:val="none"/>
      <w:suff w:val="nothing"/>
      <w:lvlText w:val=""/>
      <w:lvlJc w:val="start"/>
      <w:pPr>
        <w:tabs>
          <w:tab w:val="num" w:pos="0"/>
        </w:tabs>
        <w:ind w:start="0" w:hanging="0"/>
      </w:pPr>
    </w:lvl>
    <w:lvl w:ilvl="3">
      <w:start w:val="1"/>
      <w:numFmt w:val="none"/>
      <w:suff w:val="nothing"/>
      <w:lvlText w:val=""/>
      <w:lvlJc w:val="start"/>
      <w:pPr>
        <w:tabs>
          <w:tab w:val="num" w:pos="0"/>
        </w:tabs>
        <w:ind w:start="0" w:hanging="0"/>
      </w:pPr>
    </w:lvl>
    <w:lvl w:ilvl="4">
      <w:start w:val="1"/>
      <w:numFmt w:val="none"/>
      <w:suff w:val="nothing"/>
      <w:lvlText w:val=""/>
      <w:lvlJc w:val="start"/>
      <w:pPr>
        <w:tabs>
          <w:tab w:val="num" w:pos="0"/>
        </w:tabs>
        <w:ind w:start="0" w:hanging="0"/>
      </w:pPr>
    </w:lvl>
    <w:lvl w:ilvl="5">
      <w:start w:val="1"/>
      <w:numFmt w:val="none"/>
      <w:suff w:val="nothing"/>
      <w:lvlText w:val=""/>
      <w:lvlJc w:val="start"/>
      <w:pPr>
        <w:tabs>
          <w:tab w:val="num" w:pos="0"/>
        </w:tabs>
        <w:ind w:start="0" w:hanging="0"/>
      </w:pPr>
    </w:lvl>
    <w:lvl w:ilvl="6">
      <w:start w:val="1"/>
      <w:numFmt w:val="none"/>
      <w:suff w:val="nothing"/>
      <w:lvlText w:val=""/>
      <w:lvlJc w:val="start"/>
      <w:pPr>
        <w:tabs>
          <w:tab w:val="num" w:pos="0"/>
        </w:tabs>
        <w:ind w:start="0" w:hanging="0"/>
      </w:pPr>
    </w:lvl>
    <w:lvl w:ilvl="7">
      <w:start w:val="1"/>
      <w:numFmt w:val="none"/>
      <w:suff w:val="nothing"/>
      <w:lvlText w:val=""/>
      <w:lvlJc w:val="start"/>
      <w:pPr>
        <w:tabs>
          <w:tab w:val="num" w:pos="0"/>
        </w:tabs>
        <w:ind w:start="0" w:hanging="0"/>
      </w:pPr>
    </w:lvl>
    <w:lvl w:ilvl="8">
      <w:start w:val="1"/>
      <w:numFmt w:val="none"/>
      <w:suff w:val="nothing"/>
      <w:lvlText w:val=""/>
      <w:lvlJc w:val="start"/>
      <w:pPr>
        <w:tabs>
          <w:tab w:val="num" w:pos="0"/>
        </w:tabs>
        <w:ind w:start="0" w:hanging="0"/>
      </w:pPr>
    </w:lvl>
  </w:abstractNum>
  <w:num w:numId="1">
    <w:abstractNumId w:val="1"/>
  </w:num>
  <w:num w:numId="2">
    <w:abstractNumId w:val="2"/>
  </w:num>
</w:numbering>
</file>

<file path=word/settings.xml><?xml version="1.0" encoding="utf-8"?>
<w:settings xmlns:w="http://schemas.openxmlformats.org/wordprocessingml/2006/main">
  <w:zoom w:percent="100"/>
  <w:defaultTabStop w:val="709"/>
  <w:autoHyphenation w:val="true"/>
  <w:footnotePr>
    <w:numFmt w:val="decimal"/>
    <w:footnote w:id="0"/>
    <w:footnote w:id="1"/>
  </w:footnotePr>
  <w:compat>
    <w:compatSetting w:name="compatibilityMode" w:uri="http://schemas.microsoft.com/office/word" w:val="15"/>
  </w:compat>
  <w:themeFontLang w:val="" w:eastAsia=""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Liberation Serif" w:hAnsi="Liberation Serif" w:eastAsia="NSimSun" w:cs="Lucida Sans"/>
        <w:kern w:val="2"/>
        <w:sz w:val="24"/>
        <w:szCs w:val="24"/>
        <w:lang w:val="en-GB" w:eastAsia="zh-CN" w:bidi="hi-IN"/>
      </w:rPr>
    </w:rPrDefault>
    <w:pPrDefault>
      <w:pPr>
        <w:suppressAutoHyphens w:val="true"/>
      </w:pPr>
    </w:pPrDefault>
  </w:docDefaults>
  <w:style w:type="paragraph" w:styleId="Normal">
    <w:name w:val="Normal"/>
    <w:qFormat/>
    <w:pPr>
      <w:widowControl/>
      <w:suppressAutoHyphens w:val="true"/>
      <w:bidi w:val="0"/>
      <w:spacing w:before="0" w:after="0"/>
      <w:jc w:val="start"/>
    </w:pPr>
    <w:rPr>
      <w:rFonts w:ascii="Liberation Serif" w:hAnsi="Liberation Serif" w:eastAsia="NSimSun" w:cs="Lucida Sans"/>
      <w:color w:val="auto"/>
      <w:kern w:val="2"/>
      <w:sz w:val="24"/>
      <w:szCs w:val="24"/>
      <w:lang w:val="en-GB" w:eastAsia="zh-CN" w:bidi="hi-IN"/>
    </w:rPr>
  </w:style>
  <w:style w:type="paragraph" w:styleId="Heading3">
    <w:name w:val="Heading 3"/>
    <w:basedOn w:val="Normal"/>
    <w:next w:val="TextBody"/>
    <w:qFormat/>
    <w:pPr>
      <w:keepNext w:val="true"/>
      <w:numPr>
        <w:ilvl w:val="2"/>
        <w:numId w:val="1"/>
      </w:numPr>
      <w:ind w:start="720" w:hanging="0"/>
      <w:jc w:val="both"/>
      <w:outlineLvl w:val="2"/>
    </w:pPr>
    <w:rPr>
      <w:rFonts w:ascii="Tahoma" w:hAnsi="Tahoma" w:cs="Tahoma"/>
      <w:b/>
      <w:bCs/>
      <w:sz w:val="20"/>
      <w:szCs w:val="20"/>
    </w:rPr>
  </w:style>
  <w:style w:type="character" w:styleId="FootnoteCharacters">
    <w:name w:val="Footnote Characters"/>
    <w:qFormat/>
    <w:rPr>
      <w:vertAlign w:val="superscript"/>
    </w:rPr>
  </w:style>
  <w:style w:type="character" w:styleId="FootnoteAnchor">
    <w:name w:val="Footnote Reference"/>
    <w:rPr>
      <w:vertAlign w:val="superscript"/>
    </w:rPr>
  </w:style>
  <w:style w:type="character" w:styleId="EndnoteCharacters">
    <w:name w:val="Endnote Characters"/>
    <w:qFormat/>
    <w:rPr>
      <w:vertAlign w:val="superscript"/>
    </w:rPr>
  </w:style>
  <w:style w:type="character" w:styleId="EndnoteAnchor">
    <w:name w:val="Endnote Reference"/>
    <w:rPr>
      <w:vertAlign w:val="superscript"/>
    </w:rPr>
  </w:style>
  <w:style w:type="character" w:styleId="InternetLink">
    <w:name w:val="Hyperlink"/>
    <w:rPr>
      <w:color w:val="000080"/>
      <w:u w:val="single"/>
    </w:rPr>
  </w:style>
  <w:style w:type="paragraph" w:styleId="Heading">
    <w:name w:val="Heading"/>
    <w:basedOn w:val="Normal"/>
    <w:next w:val="TextBody"/>
    <w:qFormat/>
    <w:pPr>
      <w:keepNext w:val="true"/>
      <w:spacing w:before="240" w:after="120"/>
    </w:pPr>
    <w:rPr>
      <w:rFonts w:ascii="Liberation Sans" w:hAnsi="Liberation Sans" w:eastAsia="Microsoft YaHei" w:cs="Lucida Sans"/>
      <w:sz w:val="28"/>
      <w:szCs w:val="28"/>
    </w:rPr>
  </w:style>
  <w:style w:type="paragraph" w:styleId="TextBody">
    <w:name w:val="Body Text"/>
    <w:basedOn w:val="Normal"/>
    <w:pPr>
      <w:spacing w:lineRule="auto" w:line="276" w:before="0" w:after="140"/>
    </w:pPr>
    <w:rPr/>
  </w:style>
  <w:style w:type="paragraph" w:styleId="List">
    <w:name w:val="List"/>
    <w:basedOn w:val="TextBody"/>
    <w:pPr/>
    <w:rPr>
      <w:rFonts w:cs="Lucida Sans"/>
    </w:rPr>
  </w:style>
  <w:style w:type="paragraph" w:styleId="Caption">
    <w:name w:val="Caption"/>
    <w:basedOn w:val="Normal"/>
    <w:qFormat/>
    <w:pPr>
      <w:suppressLineNumbers/>
      <w:spacing w:before="120" w:after="120"/>
    </w:pPr>
    <w:rPr>
      <w:rFonts w:cs="Lucida Sans"/>
      <w:i/>
      <w:iCs/>
      <w:sz w:val="24"/>
      <w:szCs w:val="24"/>
    </w:rPr>
  </w:style>
  <w:style w:type="paragraph" w:styleId="Index">
    <w:name w:val="Index"/>
    <w:basedOn w:val="Normal"/>
    <w:qFormat/>
    <w:pPr>
      <w:suppressLineNumbers/>
    </w:pPr>
    <w:rPr>
      <w:rFonts w:cs="Lucida Sans"/>
    </w:rPr>
  </w:style>
  <w:style w:type="paragraph" w:styleId="NormalWeb">
    <w:name w:val="Normal (Web)"/>
    <w:basedOn w:val="Normal"/>
    <w:qFormat/>
    <w:pPr>
      <w:spacing w:before="280" w:after="280"/>
    </w:pPr>
    <w:rPr>
      <w:rFonts w:ascii="Georgia" w:hAnsi="Georgia" w:cs="Georgia"/>
      <w:color w:val="000000"/>
      <w:sz w:val="21"/>
      <w:szCs w:val="21"/>
    </w:rPr>
  </w:style>
  <w:style w:type="paragraph" w:styleId="HeaderandFooter">
    <w:name w:val="Header and Footer"/>
    <w:basedOn w:val="Normal"/>
    <w:qFormat/>
    <w:pPr>
      <w:suppressLineNumbers/>
      <w:tabs>
        <w:tab w:val="clear" w:pos="709"/>
        <w:tab w:val="center" w:pos="4819" w:leader="none"/>
        <w:tab w:val="right" w:pos="9638" w:leader="none"/>
      </w:tabs>
    </w:pPr>
    <w:rPr/>
  </w:style>
  <w:style w:type="paragraph" w:styleId="Header">
    <w:name w:val="Header"/>
    <w:basedOn w:val="HeaderandFooter"/>
    <w:pPr>
      <w:suppressLineNumbers/>
    </w:pPr>
    <w:rPr/>
  </w:style>
  <w:style w:type="paragraph" w:styleId="Footnote">
    <w:name w:val="Footnote Text"/>
    <w:basedOn w:val="Normal"/>
    <w:pPr>
      <w:suppressLineNumbers/>
      <w:ind w:start="340" w:hanging="340"/>
    </w:pPr>
    <w:rPr>
      <w:sz w:val="20"/>
      <w:szCs w:val="20"/>
    </w:rPr>
  </w:style>
  <w:style w:type="paragraph" w:styleId="Endnote">
    <w:name w:val="Endnote Text"/>
    <w:basedOn w:val="Normal"/>
    <w:pPr>
      <w:suppressLineNumbers/>
      <w:ind w:start="340" w:hanging="340"/>
    </w:pPr>
    <w:rPr>
      <w:sz w:val="20"/>
      <w:szCs w:val="20"/>
    </w:r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hyperlink" Target="http://www.jstor.org/stable/43920711" TargetMode="External"/><Relationship Id="rId3" Type="http://schemas.openxmlformats.org/officeDocument/2006/relationships/header" Target="header1.xml"/><Relationship Id="rId4" Type="http://schemas.openxmlformats.org/officeDocument/2006/relationships/footnotes" Target="footnotes.xml"/><Relationship Id="rId5" Type="http://schemas.openxmlformats.org/officeDocument/2006/relationships/numbering" Target="numbering.xml"/><Relationship Id="rId6" Type="http://schemas.openxmlformats.org/officeDocument/2006/relationships/fontTable" Target="fontTable.xml"/><Relationship Id="rId7" Type="http://schemas.openxmlformats.org/officeDocument/2006/relationships/settings" Target="settings.xml"/>
</Relationships>
</file>

<file path=docProps/app.xml><?xml version="1.0" encoding="utf-8"?>
<Properties xmlns="http://schemas.openxmlformats.org/officeDocument/2006/extended-properties" xmlns:vt="http://schemas.openxmlformats.org/officeDocument/2006/docPropsVTypes">
  <Template/>
  <TotalTime>2683</TotalTime>
  <Application>LibreOffice/7.5.5.2$Windows_X86_64 LibreOffice_project/ca8fe7424262805f223b9a2334bc7181abbcbf5e</Application>
  <AppVersion>15.0000</AppVersion>
  <Pages>7</Pages>
  <Words>2279</Words>
  <Characters>12425</Characters>
  <CharactersWithSpaces>14705</CharactersWithSpaces>
  <Paragraphs>72</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2023-10-29T15:43:00Z</dcterms:created>
  <dc:creator/>
  <dc:description/>
  <dc:language>en-GB</dc:language>
  <cp:lastModifiedBy/>
  <dcterms:modified xsi:type="dcterms:W3CDTF">2023-11-06T23:53:06Z</dcterms:modified>
  <cp:revision>121</cp:revision>
  <dc:subject/>
  <dc:title/>
</cp:coreProperties>
</file>

<file path=docProps/custom.xml><?xml version="1.0" encoding="utf-8"?>
<Properties xmlns="http://schemas.openxmlformats.org/officeDocument/2006/custom-properties" xmlns:vt="http://schemas.openxmlformats.org/officeDocument/2006/docPropsVTypes"/>
</file>