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900552" w:rsidRDefault="00900552" w14:paraId="17241E67" w14:textId="184123DE" w:rsidP="00F11018" w:rsidRPr="00900552">
      <w:pPr>
        <w:jc w:val="center"/>
        <w:spacing w:line="360" w:lineRule="auto"/>
        <w:rPr>
          <w:bCs/>
          <w:b/>
          <w:rFonts w:ascii="Aptos Black" w:cs="Arial" w:hAnsi="Aptos Black"/>
          <w:sz w:val="28"/>
          <w:szCs w:val="28"/>
        </w:rPr>
      </w:pPr>
      <w:r w:rsidRPr="00F11018">
        <w:rPr>
          <w:bCs/>
          <w:b/>
          <w:rFonts w:ascii="Aptos Black" w:cs="Arial" w:hAnsi="Aptos Black"/>
          <w:sz w:val="28"/>
          <w:szCs w:val="28"/>
        </w:rPr>
        <w:t>T</w:t>
      </w:r>
      <w:r w:rsidRPr="00900552">
        <w:rPr>
          <w:bCs/>
          <w:b/>
          <w:rFonts w:ascii="Aptos Black" w:cs="Arial" w:hAnsi="Aptos Black"/>
          <w:sz w:val="28"/>
          <w:szCs w:val="28"/>
        </w:rPr>
        <w:t>he Impact of Digital Technology on Reducing Loneliness Among Older Adults in the United Kingdom: A Scoping Review</w:t>
      </w:r>
    </w:p>
    <w:p w:rsidR="00900552" w:rsidRDefault="00900552" w14:paraId="5FAF0F90" w14:textId="3A23505B" w:rsidP="00F11018" w:rsidRPr="00900552">
      <w:pPr>
        <w:jc w:val="center"/>
        <w:spacing w:line="360" w:lineRule="auto"/>
        <w:rPr>
          <w:rFonts w:ascii="Aptos Black" w:cs="Arial" w:hAnsi="Aptos Black"/>
          <w:sz w:val="28"/>
          <w:szCs w:val="28"/>
        </w:rPr>
      </w:pPr>
      <w:r w:rsidRPr="00900552">
        <w:rPr>
          <w:bCs/>
          <w:b/>
          <w:rFonts w:ascii="Aptos Black" w:cs="Arial" w:hAnsi="Aptos Black"/>
          <w:sz w:val="28"/>
          <w:szCs w:val="28"/>
        </w:rPr>
        <w:t>Student Name:Catalina-Gabriela Poghirc</w:t>
      </w:r>
      <w:r>
        <w:rPr>
          <w:rFonts w:ascii="Aptos Black" w:cs="Arial" w:hAnsi="Aptos Black"/>
          <w:sz w:val="28"/>
          <w:szCs w:val="28"/>
        </w:rPr>
        <w:br/>
      </w:r>
      <w:r w:rsidRPr="00900552">
        <w:rPr>
          <w:bCs/>
          <w:b/>
          <w:rFonts w:ascii="Aptos Black" w:cs="Arial" w:hAnsi="Aptos Black"/>
          <w:sz w:val="28"/>
          <w:szCs w:val="28"/>
        </w:rPr>
        <w:t>Student Number: 2321806</w:t>
      </w:r>
      <w:r>
        <w:rPr>
          <w:rFonts w:ascii="Aptos Black" w:cs="Arial" w:hAnsi="Aptos Black"/>
          <w:sz w:val="28"/>
          <w:szCs w:val="28"/>
        </w:rPr>
        <w:br/>
      </w:r>
      <w:r w:rsidRPr="00900552">
        <w:rPr>
          <w:bCs/>
          <w:b/>
          <w:rFonts w:ascii="Aptos Black" w:cs="Arial" w:hAnsi="Aptos Black"/>
          <w:sz w:val="28"/>
          <w:szCs w:val="28"/>
        </w:rPr>
        <w:t>Module:</w:t>
      </w:r>
      <w:r w:rsidRPr="00900552">
        <w:rPr>
          <w:rFonts w:ascii="Aptos Black" w:cs="Arial" w:hAnsi="Aptos Black"/>
          <w:sz w:val="28"/>
          <w:szCs w:val="28"/>
        </w:rPr>
        <w:t xml:space="preserve"> Introduction to Independent Research Skills</w:t>
      </w:r>
      <w:r>
        <w:rPr>
          <w:rFonts w:ascii="Aptos Black" w:cs="Arial" w:hAnsi="Aptos Black"/>
          <w:sz w:val="28"/>
          <w:szCs w:val="28"/>
        </w:rPr>
        <w:br/>
      </w:r>
      <w:r w:rsidRPr="00900552">
        <w:rPr>
          <w:bCs/>
          <w:b/>
          <w:rFonts w:ascii="Aptos Black" w:cs="Arial" w:hAnsi="Aptos Black"/>
          <w:sz w:val="28"/>
          <w:szCs w:val="28"/>
        </w:rPr>
        <w:t>Module Code:</w:t>
      </w:r>
      <w:r w:rsidRPr="00900552">
        <w:rPr>
          <w:rFonts w:ascii="Aptos Black" w:cs="Arial" w:hAnsi="Aptos Black"/>
          <w:sz w:val="28"/>
          <w:szCs w:val="28"/>
        </w:rPr>
        <w:t xml:space="preserve"> BMHP5019</w:t>
      </w:r>
      <w:r>
        <w:rPr>
          <w:rFonts w:ascii="Aptos Black" w:cs="Arial" w:hAnsi="Aptos Black"/>
          <w:sz w:val="28"/>
          <w:szCs w:val="28"/>
        </w:rPr>
        <w:br/>
      </w:r>
      <w:r w:rsidRPr="00900552">
        <w:rPr>
          <w:bCs/>
          <w:b/>
          <w:rFonts w:ascii="Aptos Black" w:cs="Arial" w:hAnsi="Aptos Black"/>
          <w:sz w:val="28"/>
          <w:szCs w:val="28"/>
        </w:rPr>
        <w:t>Assessment:</w:t>
      </w:r>
      <w:r w:rsidRPr="00900552">
        <w:rPr>
          <w:rFonts w:ascii="Aptos Black" w:cs="Arial" w:hAnsi="Aptos Black"/>
          <w:sz w:val="28"/>
          <w:szCs w:val="28"/>
        </w:rPr>
        <w:t xml:space="preserve"> Component 1 – Research Report</w:t>
      </w:r>
      <w:r>
        <w:rPr>
          <w:rFonts w:ascii="Aptos Black" w:cs="Arial" w:hAnsi="Aptos Black"/>
          <w:sz w:val="28"/>
          <w:szCs w:val="28"/>
        </w:rPr>
        <w:br/>
      </w:r>
      <w:r w:rsidRPr="00900552">
        <w:rPr>
          <w:bCs/>
          <w:b/>
          <w:rFonts w:ascii="Aptos Black" w:cs="Arial" w:hAnsi="Aptos Black"/>
          <w:sz w:val="28"/>
          <w:szCs w:val="28"/>
        </w:rPr>
        <w:t>Word Count:</w:t>
      </w:r>
      <w:r w:rsidRPr="00900552">
        <w:rPr>
          <w:rFonts w:ascii="Aptos Black" w:cs="Arial" w:hAnsi="Aptos Black"/>
          <w:sz w:val="28"/>
          <w:szCs w:val="28"/>
        </w:rPr>
        <w:t xml:space="preserve"> ~3,600 words</w:t>
      </w:r>
    </w:p>
    <w:p w:rsidR="006A6A4C" w:rsidRDefault="006A6A4C" w14:paraId="777C72EF" w14:textId="77777777" w:rsidP="00E1488C" w:rsidRPr="00E1488C">
      <w:pPr>
        <w:jc w:val="both"/>
        <w:spacing w:line="360" w:lineRule="auto"/>
        <w:rPr>
          <w:rFonts w:ascii="Arial" w:cs="Arial" w:hAnsi="Arial"/>
          <w:sz w:val="22"/>
          <w:szCs w:val="22"/>
        </w:rPr>
      </w:pPr>
    </w:p>
    <w:p w:rsidR="000320E9" w:rsidRDefault="000320E9" w14:paraId="546B4BBE" w14:textId="77777777" w:rsidP="00E1488C" w:rsidRPr="00E1488C">
      <w:pPr>
        <w:jc w:val="both"/>
        <w:spacing w:line="360" w:lineRule="auto"/>
        <w:rPr>
          <w:rFonts w:ascii="Arial" w:cs="Arial" w:hAnsi="Arial"/>
          <w:sz w:val="22"/>
          <w:szCs w:val="22"/>
        </w:rPr>
      </w:pPr>
    </w:p>
    <w:p w:rsidR="000320E9" w:rsidRDefault="000320E9" w14:paraId="1285F418" w14:textId="77777777" w:rsidP="00E1488C" w:rsidRPr="00E1488C">
      <w:pPr>
        <w:jc w:val="both"/>
        <w:spacing w:line="360" w:lineRule="auto"/>
        <w:rPr>
          <w:rFonts w:ascii="Arial" w:cs="Arial" w:hAnsi="Arial"/>
          <w:sz w:val="22"/>
          <w:szCs w:val="22"/>
        </w:rPr>
      </w:pPr>
    </w:p>
    <w:p w:rsidR="000320E9" w:rsidRDefault="000320E9" w14:paraId="57D7BCFD" w14:textId="77777777" w:rsidP="00E1488C" w:rsidRPr="00E1488C">
      <w:pPr>
        <w:jc w:val="both"/>
        <w:spacing w:line="360" w:lineRule="auto"/>
        <w:rPr>
          <w:rFonts w:ascii="Arial" w:cs="Arial" w:hAnsi="Arial"/>
          <w:sz w:val="22"/>
          <w:szCs w:val="22"/>
        </w:rPr>
      </w:pPr>
    </w:p>
    <w:p w:rsidR="000320E9" w:rsidRDefault="000320E9" w14:paraId="0B52E10B" w14:textId="77777777" w:rsidP="00E1488C" w:rsidRPr="00E1488C">
      <w:pPr>
        <w:jc w:val="both"/>
        <w:spacing w:line="360" w:lineRule="auto"/>
        <w:rPr>
          <w:rFonts w:ascii="Arial" w:cs="Arial" w:hAnsi="Arial"/>
          <w:sz w:val="22"/>
          <w:szCs w:val="22"/>
        </w:rPr>
      </w:pPr>
    </w:p>
    <w:p w:rsidR="000320E9" w:rsidRDefault="000320E9" w14:paraId="0181CB3D" w14:textId="77777777" w:rsidP="00E1488C" w:rsidRPr="00E1488C">
      <w:pPr>
        <w:jc w:val="both"/>
        <w:spacing w:line="360" w:lineRule="auto"/>
        <w:rPr>
          <w:rFonts w:ascii="Arial" w:cs="Arial" w:hAnsi="Arial"/>
          <w:sz w:val="22"/>
          <w:szCs w:val="22"/>
        </w:rPr>
      </w:pPr>
    </w:p>
    <w:p w:rsidR="000320E9" w:rsidRDefault="000320E9" w14:paraId="28412BD2" w14:textId="77777777" w:rsidP="00E1488C" w:rsidRPr="00E1488C">
      <w:pPr>
        <w:jc w:val="both"/>
        <w:spacing w:line="360" w:lineRule="auto"/>
        <w:rPr>
          <w:rFonts w:ascii="Arial" w:cs="Arial" w:hAnsi="Arial"/>
          <w:sz w:val="22"/>
          <w:szCs w:val="22"/>
        </w:rPr>
      </w:pPr>
    </w:p>
    <w:p w:rsidR="000320E9" w:rsidRDefault="000320E9" w14:paraId="56228BA2" w14:textId="77777777" w:rsidP="00E1488C" w:rsidRPr="00E1488C">
      <w:pPr>
        <w:jc w:val="both"/>
        <w:spacing w:line="360" w:lineRule="auto"/>
        <w:rPr>
          <w:rFonts w:ascii="Arial" w:cs="Arial" w:hAnsi="Arial"/>
          <w:sz w:val="22"/>
          <w:szCs w:val="22"/>
        </w:rPr>
      </w:pPr>
    </w:p>
    <w:p w:rsidR="000320E9" w:rsidRDefault="000320E9" w14:paraId="50F9DCC8" w14:textId="77777777" w:rsidP="00E1488C" w:rsidRPr="00E1488C">
      <w:pPr>
        <w:jc w:val="both"/>
        <w:spacing w:line="360" w:lineRule="auto"/>
        <w:rPr>
          <w:rFonts w:ascii="Arial" w:cs="Arial" w:hAnsi="Arial"/>
          <w:sz w:val="22"/>
          <w:szCs w:val="22"/>
        </w:rPr>
      </w:pPr>
    </w:p>
    <w:p w:rsidR="000320E9" w:rsidRDefault="000320E9" w14:paraId="07483F39" w14:textId="77777777" w:rsidP="00E1488C" w:rsidRPr="00E1488C">
      <w:pPr>
        <w:jc w:val="both"/>
        <w:spacing w:line="360" w:lineRule="auto"/>
        <w:rPr>
          <w:rFonts w:ascii="Arial" w:cs="Arial" w:hAnsi="Arial"/>
          <w:sz w:val="22"/>
          <w:szCs w:val="22"/>
        </w:rPr>
      </w:pPr>
    </w:p>
    <w:p w:rsidR="000320E9" w:rsidRDefault="000320E9" w14:paraId="27C31F2E" w14:textId="77777777" w:rsidP="00E1488C" w:rsidRPr="00E1488C">
      <w:pPr>
        <w:jc w:val="both"/>
        <w:spacing w:line="360" w:lineRule="auto"/>
        <w:rPr>
          <w:rFonts w:ascii="Arial" w:cs="Arial" w:hAnsi="Arial"/>
          <w:sz w:val="22"/>
          <w:szCs w:val="22"/>
        </w:rPr>
      </w:pPr>
    </w:p>
    <w:p w:rsidR="000320E9" w:rsidRDefault="000320E9" w14:paraId="43B87101" w14:textId="77777777" w:rsidP="00E1488C" w:rsidRPr="00E1488C">
      <w:pPr>
        <w:jc w:val="both"/>
        <w:spacing w:line="360" w:lineRule="auto"/>
        <w:rPr>
          <w:rFonts w:ascii="Arial" w:cs="Arial" w:hAnsi="Arial"/>
          <w:sz w:val="22"/>
          <w:szCs w:val="22"/>
        </w:rPr>
      </w:pPr>
    </w:p>
    <w:p w:rsidR="000320E9" w:rsidRDefault="000320E9" w14:paraId="001A3773" w14:textId="77777777" w:rsidP="00E1488C" w:rsidRPr="00E1488C">
      <w:pPr>
        <w:jc w:val="both"/>
        <w:spacing w:line="360" w:lineRule="auto"/>
        <w:rPr>
          <w:rFonts w:ascii="Arial" w:cs="Arial" w:hAnsi="Arial"/>
          <w:sz w:val="22"/>
          <w:szCs w:val="22"/>
        </w:rPr>
      </w:pPr>
    </w:p>
    <w:p w:rsidR="000320E9" w:rsidRDefault="000320E9" w14:paraId="5F64087E" w14:textId="77777777" w:rsidP="00E1488C" w:rsidRPr="00E1488C">
      <w:pPr>
        <w:jc w:val="both"/>
        <w:spacing w:line="360" w:lineRule="auto"/>
        <w:rPr>
          <w:rFonts w:ascii="Arial" w:cs="Arial" w:hAnsi="Arial"/>
          <w:sz w:val="22"/>
          <w:szCs w:val="22"/>
        </w:rPr>
      </w:pPr>
    </w:p>
    <w:p w:rsidR="000320E9" w:rsidRDefault="000320E9" w14:paraId="63356FD0" w14:textId="77777777" w:rsidP="00E1488C" w:rsidRPr="00E1488C">
      <w:pPr>
        <w:jc w:val="both"/>
        <w:spacing w:line="360" w:lineRule="auto"/>
        <w:rPr>
          <w:rFonts w:ascii="Arial" w:cs="Arial" w:hAnsi="Arial"/>
          <w:sz w:val="22"/>
          <w:szCs w:val="22"/>
        </w:rPr>
      </w:pPr>
    </w:p>
    <w:p w:rsidR="000320E9" w:rsidRDefault="000320E9" w14:paraId="2FD58A04" w14:textId="77777777" w:rsidP="00E1488C" w:rsidRPr="00E1488C">
      <w:pPr>
        <w:jc w:val="both"/>
        <w:spacing w:line="360" w:lineRule="auto"/>
        <w:rPr>
          <w:rFonts w:ascii="Arial" w:cs="Arial" w:hAnsi="Arial"/>
          <w:sz w:val="22"/>
          <w:szCs w:val="22"/>
        </w:rPr>
      </w:pPr>
    </w:p>
    <w:p w:rsidR="000320E9" w:rsidRDefault="000320E9" w14:paraId="18F1776C" w14:textId="77777777" w:rsidP="00E1488C" w:rsidRPr="00E1488C">
      <w:pPr>
        <w:jc w:val="both"/>
        <w:spacing w:line="360" w:lineRule="auto"/>
        <w:rPr>
          <w:rFonts w:ascii="Arial" w:cs="Arial" w:hAnsi="Arial"/>
          <w:sz w:val="22"/>
          <w:szCs w:val="22"/>
        </w:rPr>
      </w:pPr>
    </w:p>
    <w:p w:rsidR="000320E9" w:rsidRDefault="000320E9" w14:paraId="62E5924D" w14:textId="77777777" w:rsidP="00E1488C" w:rsidRPr="00E1488C">
      <w:pPr>
        <w:jc w:val="both"/>
        <w:spacing w:line="360" w:lineRule="auto"/>
        <w:rPr>
          <w:rFonts w:ascii="Arial" w:cs="Arial" w:hAnsi="Arial"/>
          <w:sz w:val="22"/>
          <w:szCs w:val="22"/>
        </w:rPr>
      </w:pPr>
    </w:p>
    <w:sdt>
      <w:sdtPr>
        <w:id w:val="-119267788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rsidR="006925FF" w:rsidRDefault="006925FF" w14:paraId="6857948C" w14:textId="662FBE80" w:rsidP="006925FF">
          <w:pPr>
            <w:pStyle w:val="TOCHeading"/>
            <w:jc w:val="center"/>
          </w:pPr>
          <w:r>
            <w:t>Table of Contents</w:t>
          </w:r>
        </w:p>
        <w:p w:rsidR="006925FF" w:rsidRDefault="006925FF" w14:paraId="6A7508B0" w14:textId="563B66B8">
          <w:pPr>
            <w:pStyle w:val="TOC1"/>
            <w:tabs>
              <w:tab w:val="right" w:leader="dot" w:pos="9350"/>
            </w:tabs>
            <w:rPr>
              <w:noProof/>
            </w:rPr>
          </w:pPr>
          <w:r>
            <w:fldChar w:fldCharType="begin"/>
          </w:r>
          <w:r>
            <w:instrText xml:space="preserve"> TOC \o "1-3" \h \z \u </w:instrText>
          </w:r>
          <w:r>
            <w:fldChar w:fldCharType="separate"/>
          </w:r>
          <w:hyperlink w:anchor="_Toc214224928" w:history="1">
            <w:r w:rsidRPr="002D665F">
              <w:rPr>
                <w:noProof/>
                <w:rStyle w:val="Hyperlink"/>
              </w:rPr>
              <w:t>Introduction</w:t>
            </w:r>
            <w:r>
              <w:rPr>
                <w:noProof/>
                <w:webHidden/>
              </w:rPr>
              <w:tab/>
            </w:r>
            <w:r>
              <w:rPr>
                <w:noProof/>
                <w:webHidden/>
              </w:rPr>
              <w:fldChar w:fldCharType="begin"/>
            </w:r>
            <w:r>
              <w:rPr>
                <w:noProof/>
                <w:webHidden/>
              </w:rPr>
              <w:instrText xml:space="preserve"> PAGEREF _Toc214224928 \h </w:instrText>
            </w:r>
            <w:r>
              <w:rPr>
                <w:noProof/>
                <w:webHidden/>
              </w:rPr>
            </w:r>
            <w:r>
              <w:rPr>
                <w:noProof/>
                <w:webHidden/>
              </w:rPr>
              <w:fldChar w:fldCharType="separate"/>
            </w:r>
            <w:r>
              <w:rPr>
                <w:noProof/>
                <w:webHidden/>
              </w:rPr>
              <w:t>2</w:t>
            </w:r>
            <w:r>
              <w:rPr>
                <w:noProof/>
                <w:webHidden/>
              </w:rPr>
              <w:fldChar w:fldCharType="end"/>
            </w:r>
          </w:hyperlink>
        </w:p>
        <w:p w:rsidR="006925FF" w:rsidRDefault="006925FF" w14:paraId="26DB39E8" w14:textId="23FFE408">
          <w:pPr>
            <w:pStyle w:val="TOC1"/>
            <w:tabs>
              <w:tab w:val="right" w:leader="dot" w:pos="9350"/>
            </w:tabs>
            <w:rPr>
              <w:noProof/>
            </w:rPr>
          </w:pPr>
          <w:hyperlink w:anchor="_Toc214224929" w:history="1">
            <w:r w:rsidRPr="002D665F">
              <w:rPr>
                <w:noProof/>
                <w:rStyle w:val="Hyperlink"/>
              </w:rPr>
              <w:t>Rationale</w:t>
            </w:r>
            <w:r>
              <w:rPr>
                <w:noProof/>
                <w:webHidden/>
              </w:rPr>
              <w:tab/>
            </w:r>
            <w:r>
              <w:rPr>
                <w:noProof/>
                <w:webHidden/>
              </w:rPr>
              <w:fldChar w:fldCharType="begin"/>
            </w:r>
            <w:r>
              <w:rPr>
                <w:noProof/>
                <w:webHidden/>
              </w:rPr>
              <w:instrText xml:space="preserve"> PAGEREF _Toc214224929 \h </w:instrText>
            </w:r>
            <w:r>
              <w:rPr>
                <w:noProof/>
                <w:webHidden/>
              </w:rPr>
            </w:r>
            <w:r>
              <w:rPr>
                <w:noProof/>
                <w:webHidden/>
              </w:rPr>
              <w:fldChar w:fldCharType="separate"/>
            </w:r>
            <w:r>
              <w:rPr>
                <w:noProof/>
                <w:webHidden/>
              </w:rPr>
              <w:t>2</w:t>
            </w:r>
            <w:r>
              <w:rPr>
                <w:noProof/>
                <w:webHidden/>
              </w:rPr>
              <w:fldChar w:fldCharType="end"/>
            </w:r>
          </w:hyperlink>
        </w:p>
        <w:p w:rsidR="006925FF" w:rsidRDefault="006925FF" w14:paraId="43493752" w14:textId="4AC6708F">
          <w:pPr>
            <w:pStyle w:val="TOC1"/>
            <w:tabs>
              <w:tab w:val="right" w:leader="dot" w:pos="9350"/>
            </w:tabs>
            <w:rPr>
              <w:noProof/>
            </w:rPr>
          </w:pPr>
          <w:hyperlink w:anchor="_Toc214224930" w:history="1">
            <w:r w:rsidRPr="002D665F">
              <w:rPr>
                <w:noProof/>
                <w:rStyle w:val="Hyperlink"/>
              </w:rPr>
              <w:t>Background</w:t>
            </w:r>
            <w:r>
              <w:rPr>
                <w:noProof/>
                <w:webHidden/>
              </w:rPr>
              <w:tab/>
            </w:r>
            <w:r>
              <w:rPr>
                <w:noProof/>
                <w:webHidden/>
              </w:rPr>
              <w:fldChar w:fldCharType="begin"/>
            </w:r>
            <w:r>
              <w:rPr>
                <w:noProof/>
                <w:webHidden/>
              </w:rPr>
              <w:instrText xml:space="preserve"> PAGEREF _Toc214224930 \h </w:instrText>
            </w:r>
            <w:r>
              <w:rPr>
                <w:noProof/>
                <w:webHidden/>
              </w:rPr>
            </w:r>
            <w:r>
              <w:rPr>
                <w:noProof/>
                <w:webHidden/>
              </w:rPr>
              <w:fldChar w:fldCharType="separate"/>
            </w:r>
            <w:r>
              <w:rPr>
                <w:noProof/>
                <w:webHidden/>
              </w:rPr>
              <w:t>3</w:t>
            </w:r>
            <w:r>
              <w:rPr>
                <w:noProof/>
                <w:webHidden/>
              </w:rPr>
              <w:fldChar w:fldCharType="end"/>
            </w:r>
          </w:hyperlink>
        </w:p>
        <w:p w:rsidR="006925FF" w:rsidRDefault="006925FF" w14:paraId="6ADC2DE9" w14:textId="521D03C6">
          <w:pPr>
            <w:pStyle w:val="TOC1"/>
            <w:tabs>
              <w:tab w:val="right" w:leader="dot" w:pos="9350"/>
            </w:tabs>
            <w:rPr>
              <w:noProof/>
            </w:rPr>
          </w:pPr>
          <w:hyperlink w:anchor="_Toc214224931" w:history="1">
            <w:r w:rsidRPr="002D665F">
              <w:rPr>
                <w:noProof/>
                <w:rStyle w:val="Hyperlink"/>
              </w:rPr>
              <w:t>Methods</w:t>
            </w:r>
            <w:r>
              <w:rPr>
                <w:noProof/>
                <w:webHidden/>
              </w:rPr>
              <w:tab/>
            </w:r>
            <w:r>
              <w:rPr>
                <w:noProof/>
                <w:webHidden/>
              </w:rPr>
              <w:fldChar w:fldCharType="begin"/>
            </w:r>
            <w:r>
              <w:rPr>
                <w:noProof/>
                <w:webHidden/>
              </w:rPr>
              <w:instrText xml:space="preserve"> PAGEREF _Toc214224931 \h </w:instrText>
            </w:r>
            <w:r>
              <w:rPr>
                <w:noProof/>
                <w:webHidden/>
              </w:rPr>
            </w:r>
            <w:r>
              <w:rPr>
                <w:noProof/>
                <w:webHidden/>
              </w:rPr>
              <w:fldChar w:fldCharType="separate"/>
            </w:r>
            <w:r>
              <w:rPr>
                <w:noProof/>
                <w:webHidden/>
              </w:rPr>
              <w:t>5</w:t>
            </w:r>
            <w:r>
              <w:rPr>
                <w:noProof/>
                <w:webHidden/>
              </w:rPr>
              <w:fldChar w:fldCharType="end"/>
            </w:r>
          </w:hyperlink>
        </w:p>
        <w:p w:rsidR="006925FF" w:rsidRDefault="006925FF" w14:paraId="1BDA3DC8" w14:textId="68A6F6C4">
          <w:pPr>
            <w:pStyle w:val="TOC1"/>
            <w:tabs>
              <w:tab w:val="right" w:leader="dot" w:pos="9350"/>
            </w:tabs>
            <w:rPr>
              <w:noProof/>
            </w:rPr>
          </w:pPr>
          <w:hyperlink w:anchor="_Toc214224932" w:history="1">
            <w:r w:rsidRPr="002D665F">
              <w:rPr>
                <w:noProof/>
                <w:rStyle w:val="Hyperlink"/>
              </w:rPr>
              <w:t>Results</w:t>
            </w:r>
            <w:r>
              <w:rPr>
                <w:noProof/>
                <w:webHidden/>
              </w:rPr>
              <w:tab/>
            </w:r>
            <w:r>
              <w:rPr>
                <w:noProof/>
                <w:webHidden/>
              </w:rPr>
              <w:fldChar w:fldCharType="begin"/>
            </w:r>
            <w:r>
              <w:rPr>
                <w:noProof/>
                <w:webHidden/>
              </w:rPr>
              <w:instrText xml:space="preserve"> PAGEREF _Toc214224932 \h </w:instrText>
            </w:r>
            <w:r>
              <w:rPr>
                <w:noProof/>
                <w:webHidden/>
              </w:rPr>
            </w:r>
            <w:r>
              <w:rPr>
                <w:noProof/>
                <w:webHidden/>
              </w:rPr>
              <w:fldChar w:fldCharType="separate"/>
            </w:r>
            <w:r>
              <w:rPr>
                <w:noProof/>
                <w:webHidden/>
              </w:rPr>
              <w:t>8</w:t>
            </w:r>
            <w:r>
              <w:rPr>
                <w:noProof/>
                <w:webHidden/>
              </w:rPr>
              <w:fldChar w:fldCharType="end"/>
            </w:r>
          </w:hyperlink>
        </w:p>
        <w:p w:rsidR="006925FF" w:rsidRDefault="006925FF" w14:paraId="1E80D822" w14:textId="37C3E4D5">
          <w:pPr>
            <w:pStyle w:val="TOC1"/>
            <w:tabs>
              <w:tab w:val="right" w:leader="dot" w:pos="9350"/>
            </w:tabs>
            <w:rPr>
              <w:noProof/>
            </w:rPr>
          </w:pPr>
          <w:hyperlink w:anchor="_Toc214224933" w:history="1">
            <w:r w:rsidRPr="002D665F">
              <w:rPr>
                <w:noProof/>
                <w:rStyle w:val="Hyperlink"/>
              </w:rPr>
              <w:t>Discussion</w:t>
            </w:r>
            <w:r>
              <w:rPr>
                <w:noProof/>
                <w:webHidden/>
              </w:rPr>
              <w:tab/>
            </w:r>
            <w:r>
              <w:rPr>
                <w:noProof/>
                <w:webHidden/>
              </w:rPr>
              <w:fldChar w:fldCharType="begin"/>
            </w:r>
            <w:r>
              <w:rPr>
                <w:noProof/>
                <w:webHidden/>
              </w:rPr>
              <w:instrText xml:space="preserve"> PAGEREF _Toc214224933 \h </w:instrText>
            </w:r>
            <w:r>
              <w:rPr>
                <w:noProof/>
                <w:webHidden/>
              </w:rPr>
            </w:r>
            <w:r>
              <w:rPr>
                <w:noProof/>
                <w:webHidden/>
              </w:rPr>
              <w:fldChar w:fldCharType="separate"/>
            </w:r>
            <w:r>
              <w:rPr>
                <w:noProof/>
                <w:webHidden/>
              </w:rPr>
              <w:t>9</w:t>
            </w:r>
            <w:r>
              <w:rPr>
                <w:noProof/>
                <w:webHidden/>
              </w:rPr>
              <w:fldChar w:fldCharType="end"/>
            </w:r>
          </w:hyperlink>
        </w:p>
        <w:p w:rsidR="006925FF" w:rsidRDefault="006925FF" w14:paraId="4FF045DA" w14:textId="20D04C83">
          <w:pPr>
            <w:pStyle w:val="TOC1"/>
            <w:tabs>
              <w:tab w:val="right" w:leader="dot" w:pos="9350"/>
            </w:tabs>
            <w:rPr>
              <w:noProof/>
            </w:rPr>
          </w:pPr>
          <w:hyperlink w:anchor="_Toc214224934" w:history="1">
            <w:r w:rsidRPr="002D665F">
              <w:rPr>
                <w:noProof/>
                <w:rStyle w:val="Hyperlink"/>
              </w:rPr>
              <w:t>Conclusion</w:t>
            </w:r>
            <w:r>
              <w:rPr>
                <w:noProof/>
                <w:webHidden/>
              </w:rPr>
              <w:tab/>
            </w:r>
            <w:r>
              <w:rPr>
                <w:noProof/>
                <w:webHidden/>
              </w:rPr>
              <w:fldChar w:fldCharType="begin"/>
            </w:r>
            <w:r>
              <w:rPr>
                <w:noProof/>
                <w:webHidden/>
              </w:rPr>
              <w:instrText xml:space="preserve"> PAGEREF _Toc214224934 \h </w:instrText>
            </w:r>
            <w:r>
              <w:rPr>
                <w:noProof/>
                <w:webHidden/>
              </w:rPr>
            </w:r>
            <w:r>
              <w:rPr>
                <w:noProof/>
                <w:webHidden/>
              </w:rPr>
              <w:fldChar w:fldCharType="separate"/>
            </w:r>
            <w:r>
              <w:rPr>
                <w:noProof/>
                <w:webHidden/>
              </w:rPr>
              <w:t>9</w:t>
            </w:r>
            <w:r>
              <w:rPr>
                <w:noProof/>
                <w:webHidden/>
              </w:rPr>
              <w:fldChar w:fldCharType="end"/>
            </w:r>
          </w:hyperlink>
        </w:p>
        <w:p w:rsidR="006925FF" w:rsidRDefault="006925FF" w14:paraId="4FB48A32" w14:textId="06BFB50D">
          <w:pPr>
            <w:pStyle w:val="TOC1"/>
            <w:tabs>
              <w:tab w:val="right" w:leader="dot" w:pos="9350"/>
            </w:tabs>
            <w:rPr>
              <w:noProof/>
            </w:rPr>
          </w:pPr>
          <w:hyperlink w:anchor="_Toc214224935" w:history="1">
            <w:r w:rsidRPr="002D665F">
              <w:rPr>
                <w:noProof/>
                <w:rStyle w:val="Hyperlink"/>
              </w:rPr>
              <w:t>Recommendations</w:t>
            </w:r>
            <w:r>
              <w:rPr>
                <w:noProof/>
                <w:webHidden/>
              </w:rPr>
              <w:tab/>
            </w:r>
            <w:r>
              <w:rPr>
                <w:noProof/>
                <w:webHidden/>
              </w:rPr>
              <w:fldChar w:fldCharType="begin"/>
            </w:r>
            <w:r>
              <w:rPr>
                <w:noProof/>
                <w:webHidden/>
              </w:rPr>
              <w:instrText xml:space="preserve"> PAGEREF _Toc214224935 \h </w:instrText>
            </w:r>
            <w:r>
              <w:rPr>
                <w:noProof/>
                <w:webHidden/>
              </w:rPr>
            </w:r>
            <w:r>
              <w:rPr>
                <w:noProof/>
                <w:webHidden/>
              </w:rPr>
              <w:fldChar w:fldCharType="separate"/>
            </w:r>
            <w:r>
              <w:rPr>
                <w:noProof/>
                <w:webHidden/>
              </w:rPr>
              <w:t>10</w:t>
            </w:r>
            <w:r>
              <w:rPr>
                <w:noProof/>
                <w:webHidden/>
              </w:rPr>
              <w:fldChar w:fldCharType="end"/>
            </w:r>
          </w:hyperlink>
        </w:p>
        <w:p w:rsidR="006925FF" w:rsidRDefault="006925FF" w14:paraId="5C267D60" w14:textId="7DF14D05">
          <w:pPr>
            <w:pStyle w:val="TOC1"/>
            <w:tabs>
              <w:tab w:val="right" w:leader="dot" w:pos="9350"/>
            </w:tabs>
            <w:rPr>
              <w:noProof/>
            </w:rPr>
          </w:pPr>
          <w:hyperlink w:anchor="_Toc214224936" w:history="1">
            <w:r w:rsidRPr="002D665F">
              <w:rPr>
                <w:noProof/>
                <w:rStyle w:val="Hyperlink"/>
              </w:rPr>
              <w:t>References</w:t>
            </w:r>
            <w:r>
              <w:rPr>
                <w:noProof/>
                <w:webHidden/>
              </w:rPr>
              <w:tab/>
            </w:r>
            <w:r>
              <w:rPr>
                <w:noProof/>
                <w:webHidden/>
              </w:rPr>
              <w:fldChar w:fldCharType="begin"/>
            </w:r>
            <w:r>
              <w:rPr>
                <w:noProof/>
                <w:webHidden/>
              </w:rPr>
              <w:instrText xml:space="preserve"> PAGEREF _Toc214224936 \h </w:instrText>
            </w:r>
            <w:r>
              <w:rPr>
                <w:noProof/>
                <w:webHidden/>
              </w:rPr>
            </w:r>
            <w:r>
              <w:rPr>
                <w:noProof/>
                <w:webHidden/>
              </w:rPr>
              <w:fldChar w:fldCharType="separate"/>
            </w:r>
            <w:r>
              <w:rPr>
                <w:noProof/>
                <w:webHidden/>
              </w:rPr>
              <w:t>13</w:t>
            </w:r>
            <w:r>
              <w:rPr>
                <w:noProof/>
                <w:webHidden/>
              </w:rPr>
              <w:fldChar w:fldCharType="end"/>
            </w:r>
          </w:hyperlink>
        </w:p>
        <w:p w:rsidR="006925FF" w:rsidRDefault="006925FF" w14:paraId="02EA9CF9" w14:textId="2D24C1DD">
          <w:r>
            <w:rPr>
              <w:bCs/>
              <w:noProof/>
              <w:b/>
            </w:rPr>
            <w:fldChar w:fldCharType="end"/>
          </w:r>
        </w:p>
      </w:sdtContent>
    </w:sdt>
    <w:p w:rsidR="009A3B30" w:rsidRDefault="009A3B30" w14:paraId="10C09D67" w14:textId="77777777" w:rsidP="00E1488C">
      <w:pPr>
        <w:jc w:val="both"/>
        <w:spacing w:line="360" w:lineRule="auto"/>
        <w:rPr>
          <w:rFonts w:ascii="Arial" w:cs="Arial" w:hAnsi="Arial"/>
          <w:sz w:val="22"/>
          <w:szCs w:val="22"/>
        </w:rPr>
      </w:pPr>
    </w:p>
    <w:p w:rsidR="006925FF" w:rsidRDefault="006925FF" w14:paraId="2E0A03F0" w14:textId="77777777" w:rsidP="00E1488C">
      <w:pPr>
        <w:jc w:val="both"/>
        <w:spacing w:line="360" w:lineRule="auto"/>
        <w:rPr>
          <w:rFonts w:ascii="Arial" w:cs="Arial" w:hAnsi="Arial"/>
          <w:sz w:val="22"/>
          <w:szCs w:val="22"/>
        </w:rPr>
      </w:pPr>
    </w:p>
    <w:p w:rsidR="006925FF" w:rsidRDefault="006925FF" w14:paraId="7DE0F461" w14:textId="77777777" w:rsidP="00E1488C">
      <w:pPr>
        <w:jc w:val="both"/>
        <w:spacing w:line="360" w:lineRule="auto"/>
        <w:rPr>
          <w:rFonts w:ascii="Arial" w:cs="Arial" w:hAnsi="Arial"/>
          <w:sz w:val="22"/>
          <w:szCs w:val="22"/>
        </w:rPr>
      </w:pPr>
    </w:p>
    <w:p w:rsidR="006925FF" w:rsidRDefault="006925FF" w14:paraId="531448C7" w14:textId="77777777" w:rsidP="00E1488C">
      <w:pPr>
        <w:jc w:val="both"/>
        <w:spacing w:line="360" w:lineRule="auto"/>
        <w:rPr>
          <w:rFonts w:ascii="Arial" w:cs="Arial" w:hAnsi="Arial"/>
          <w:sz w:val="22"/>
          <w:szCs w:val="22"/>
        </w:rPr>
      </w:pPr>
    </w:p>
    <w:p w:rsidR="006925FF" w:rsidRDefault="006925FF" w14:paraId="360AFA33" w14:textId="77777777" w:rsidP="00E1488C">
      <w:pPr>
        <w:jc w:val="both"/>
        <w:spacing w:line="360" w:lineRule="auto"/>
        <w:rPr>
          <w:rFonts w:ascii="Arial" w:cs="Arial" w:hAnsi="Arial"/>
          <w:sz w:val="22"/>
          <w:szCs w:val="22"/>
        </w:rPr>
      </w:pPr>
    </w:p>
    <w:p w:rsidR="006925FF" w:rsidRDefault="006925FF" w14:paraId="3A74167E" w14:textId="77777777" w:rsidP="00E1488C">
      <w:pPr>
        <w:jc w:val="both"/>
        <w:spacing w:line="360" w:lineRule="auto"/>
        <w:rPr>
          <w:rFonts w:ascii="Arial" w:cs="Arial" w:hAnsi="Arial"/>
          <w:sz w:val="22"/>
          <w:szCs w:val="22"/>
        </w:rPr>
      </w:pPr>
    </w:p>
    <w:p w:rsidR="006925FF" w:rsidRDefault="006925FF" w14:paraId="749C02E6" w14:textId="77777777" w:rsidP="00E1488C">
      <w:pPr>
        <w:jc w:val="both"/>
        <w:spacing w:line="360" w:lineRule="auto"/>
        <w:rPr>
          <w:rFonts w:ascii="Arial" w:cs="Arial" w:hAnsi="Arial"/>
          <w:sz w:val="22"/>
          <w:szCs w:val="22"/>
        </w:rPr>
      </w:pPr>
    </w:p>
    <w:p w:rsidR="006925FF" w:rsidRDefault="006925FF" w14:paraId="6A4B77F8" w14:textId="77777777" w:rsidP="00E1488C">
      <w:pPr>
        <w:jc w:val="both"/>
        <w:spacing w:line="360" w:lineRule="auto"/>
        <w:rPr>
          <w:rFonts w:ascii="Arial" w:cs="Arial" w:hAnsi="Arial"/>
          <w:sz w:val="22"/>
          <w:szCs w:val="22"/>
        </w:rPr>
      </w:pPr>
    </w:p>
    <w:p w:rsidR="006925FF" w:rsidRDefault="006925FF" w14:paraId="230CECCF" w14:textId="77777777" w:rsidP="00E1488C">
      <w:pPr>
        <w:jc w:val="both"/>
        <w:spacing w:line="360" w:lineRule="auto"/>
        <w:rPr>
          <w:rFonts w:ascii="Arial" w:cs="Arial" w:hAnsi="Arial"/>
          <w:sz w:val="22"/>
          <w:szCs w:val="22"/>
        </w:rPr>
      </w:pPr>
    </w:p>
    <w:p w:rsidR="006925FF" w:rsidRDefault="006925FF" w14:paraId="56BCE756" w14:textId="77777777" w:rsidP="00E1488C">
      <w:pPr>
        <w:jc w:val="both"/>
        <w:spacing w:line="360" w:lineRule="auto"/>
        <w:rPr>
          <w:rFonts w:ascii="Arial" w:cs="Arial" w:hAnsi="Arial"/>
          <w:sz w:val="22"/>
          <w:szCs w:val="22"/>
        </w:rPr>
      </w:pPr>
    </w:p>
    <w:p w:rsidR="006925FF" w:rsidRDefault="006925FF" w14:paraId="0D4313FC" w14:textId="77777777" w:rsidP="00E1488C">
      <w:pPr>
        <w:jc w:val="both"/>
        <w:spacing w:line="360" w:lineRule="auto"/>
        <w:rPr>
          <w:rFonts w:ascii="Arial" w:cs="Arial" w:hAnsi="Arial"/>
          <w:sz w:val="22"/>
          <w:szCs w:val="22"/>
        </w:rPr>
      </w:pPr>
    </w:p>
    <w:p w:rsidR="006925FF" w:rsidRDefault="006925FF" w14:paraId="42A167E3" w14:textId="074E6248" w:rsidP="00E1488C" w:rsidRPr="00E1488C">
      <w:pPr>
        <w:jc w:val="both"/>
        <w:spacing w:line="360" w:lineRule="auto"/>
        <w:rPr>
          <w:rFonts w:ascii="Arial" w:cs="Arial" w:hAnsi="Arial"/>
          <w:sz w:val="22"/>
          <w:szCs w:val="22"/>
        </w:rPr>
      </w:pPr>
    </w:p>
    <w:p w:rsidR="00D208B9" w:rsidRDefault="009A3B30" w14:paraId="04F5521A" w14:textId="525B5476" w:rsidP="00E1488C" w:rsidRPr="00E1488C">
      <w:pPr>
        <w:pStyle w:val="Heading1"/>
        <w:rPr>
          <w:sz w:val="32"/>
          <w:szCs w:val="32"/>
        </w:rPr>
      </w:pPr>
      <w:bookmarkStart w:id="0" w:name="_Toc214224928"/>
      <w:r w:rsidRPr="00E1488C">
        <w:rPr>
          <w:sz w:val="32"/>
          <w:szCs w:val="32"/>
        </w:rPr>
        <w:t>Introduction</w:t>
        <w:lastRenderedPageBreak/>
      </w:r>
      <w:bookmarkEnd w:id="0"/>
    </w:p>
    <w:p w:rsidR="00D208B9" w:rsidRDefault="00D208B9" w14:paraId="3F24D69C" w14:textId="77777777" w:rsidP="00E1488C" w:rsidRPr="00E1488C">
      <w:pPr>
        <w:jc w:val="both"/>
        <w:spacing w:line="360" w:lineRule="auto"/>
        <w:rPr>
          <w:rFonts w:ascii="Arial" w:cs="Arial" w:hAnsi="Arial"/>
          <w:sz w:val="22"/>
          <w:szCs w:val="22"/>
        </w:rPr>
      </w:pPr>
    </w:p>
    <w:p w:rsidR="006253E8" w:rsidRDefault="009A3B30" w14:paraId="243796F4" w14:textId="39F51458" w:rsidP="00E1488C" w:rsidRPr="00E1488C">
      <w:pPr>
        <w:jc w:val="both"/>
        <w:spacing w:line="360" w:lineRule="auto"/>
        <w:rPr>
          <w:rFonts w:ascii="Arial" w:cs="Arial" w:hAnsi="Arial"/>
          <w:sz w:val="22"/>
          <w:szCs w:val="22"/>
        </w:rPr>
      </w:pPr>
      <w:r w:rsidRPr="00E1488C">
        <w:rPr>
          <w:rFonts w:ascii="Arial" w:cs="Arial" w:hAnsi="Arial"/>
          <w:sz w:val="22"/>
          <w:szCs w:val="22"/>
        </w:rPr>
        <w:t>Loneliness in older adults is a growing public health issue in the UK. Loneliness is an emotional experience that every individual undergoes only once or a few times in life. Although loneliness is subjective, it is nonetheless correlated with negative physical and mental health outcomes (Age UK, 2024; Victor &amp; Sullivan, 2022). Further research shows that chronic loneliness can predict increased risk of death as strongly as other health determinants, like smoking and obesity (Holt-</w:t>
      </w:r>
      <w:proofErr w:type="spellStart"/>
      <w:r w:rsidRPr="00E1488C">
        <w:rPr>
          <w:rFonts w:ascii="Arial" w:cs="Arial" w:hAnsi="Arial"/>
          <w:sz w:val="22"/>
          <w:szCs w:val="22"/>
        </w:rPr>
        <w:t>Lunstad</w:t>
      </w:r>
      <w:proofErr w:type="spellEnd"/>
      <w:r w:rsidRPr="00E1488C">
        <w:rPr>
          <w:rFonts w:ascii="Arial" w:cs="Arial" w:hAnsi="Arial"/>
          <w:sz w:val="22"/>
          <w:szCs w:val="22"/>
        </w:rPr>
        <w:t xml:space="preserve"> 2021; Leigh-Hunt et al. 2017). As a result, dealing with loneliness is a new priority of public health policy and social care practice. According to Morris et al. (2022) and WHO (2023), video communication tools, online social platforms, digital health applications, virtual reality systems and assistive devices have been promoted as intervention tools to encourage social connectedness among older adults. Digital engagement helps people to keep their relationships, join online communities, do meaningful activities, and be more independent (Chen &amp; Schulz, 2019). Nevertheless, several studies show that these technologies are not very effective, they are difficult to access or </w:t>
      </w:r>
      <w:r w:rsidR="006925FF" w:rsidRPr="00E1488C">
        <w:rPr>
          <w:rFonts w:ascii="Arial" w:cs="Arial" w:hAnsi="Arial"/>
          <w:sz w:val="22"/>
          <w:szCs w:val="22"/>
        </w:rPr>
        <w:t>utilize</w:t>
      </w:r>
      <w:r w:rsidRPr="00E1488C">
        <w:rPr>
          <w:rFonts w:ascii="Arial" w:cs="Arial" w:hAnsi="Arial"/>
          <w:sz w:val="22"/>
          <w:szCs w:val="22"/>
        </w:rPr>
        <w:t>, and they are not accepted by older adults because many of them are digitally excluded due to age-</w:t>
      </w:r>
      <w:r w:rsidR="006925FF" w:rsidRPr="00E1488C">
        <w:rPr>
          <w:rFonts w:ascii="Arial" w:cs="Arial" w:hAnsi="Arial"/>
          <w:sz w:val="22"/>
          <w:szCs w:val="22"/>
        </w:rPr>
        <w:t>related</w:t>
      </w:r>
      <w:r w:rsidRPr="00E1488C">
        <w:rPr>
          <w:rFonts w:ascii="Arial" w:cs="Arial" w:hAnsi="Arial"/>
          <w:sz w:val="22"/>
          <w:szCs w:val="22"/>
        </w:rPr>
        <w:t xml:space="preserve"> impairments, digital illiteracy or because of low-resource or socio-economic limitations (Seifert, Cotten &amp; Xie, 2021; Ofcom, 2023). The scoping review will look at the available literature which explores how digital technology is used to tackle loneliness in older adults in the UK. The review is guided by the following question. Review Question. In the UK, how effective is technology in reducing loneliness and increasing social interaction in older adults? Objectives. To determine the digital measures presently being utilized in the UK to curb seniors’ isolation. To explore if this technology helps include and connect us socially. To understand the difficulties faced by the elderly in using digital tools.</w:t>
      </w:r>
    </w:p>
    <w:p w:rsidR="004A116B" w:rsidRDefault="00554D3B" w14:paraId="4A70F57D" w14:textId="02600D91" w:rsidP="00E27F39" w:rsidRPr="00E27F39">
      <w:pPr>
        <w:pStyle w:val="Heading1"/>
        <w:rPr>
          <w:sz w:val="28"/>
          <w:szCs w:val="28"/>
        </w:rPr>
      </w:pPr>
      <w:bookmarkStart w:id="1" w:name="_Toc214224929"/>
      <w:r w:rsidRPr="00E1488C">
        <w:rPr>
          <w:sz w:val="28"/>
          <w:szCs w:val="28"/>
        </w:rPr>
        <w:t>Rationale</w:t>
      </w:r>
      <w:bookmarkEnd w:id="1"/>
    </w:p>
    <w:p w:rsidR="00873C08" w:rsidRDefault="00554D3B" w14:paraId="252628EE" w14:textId="0A1A554E" w:rsidP="00E1488C" w:rsidRPr="00E1488C">
      <w:pPr>
        <w:jc w:val="both"/>
        <w:spacing w:line="360" w:lineRule="auto"/>
        <w:rPr>
          <w:rFonts w:ascii="Arial" w:cs="Arial" w:hAnsi="Arial"/>
          <w:sz w:val="22"/>
          <w:szCs w:val="22"/>
        </w:rPr>
      </w:pPr>
      <w:r w:rsidRPr="00E1488C">
        <w:rPr>
          <w:rFonts w:ascii="Arial" w:cs="Arial" w:hAnsi="Arial"/>
          <w:sz w:val="22"/>
          <w:szCs w:val="22"/>
        </w:rPr>
        <w:t xml:space="preserve">More than 1.4 million older people in the UK experience loneliness  with this rate anticipated to worsen as the population ages (Age UK, 2024). The social isolation of the pandemic has worsened the digital divide between older adults and younger people, as older adults who relied on the digital tools to remain socially connected and access services have suffered and died most, according to recent studies. Digital solutions can help older adults enhance their emotional well-being and everyday connectedness, according to studies (Chen &amp; Schulz, 2019; Fang et al., 2023; Barbosa Neves et al., 2019). It includes virtual social groups, apps, telepresence robots and telehealth platforms. Nonetheless, significant barriers </w:t>
      </w:r>
      <w:r w:rsidR="006925FF" w:rsidRPr="00E1488C">
        <w:rPr>
          <w:rFonts w:ascii="Arial" w:cs="Arial" w:hAnsi="Arial"/>
          <w:sz w:val="22"/>
          <w:szCs w:val="22"/>
        </w:rPr>
        <w:t>persist</w:t>
      </w:r>
      <w:r w:rsidRPr="00E1488C">
        <w:rPr>
          <w:rFonts w:ascii="Arial" w:cs="Arial" w:hAnsi="Arial"/>
          <w:sz w:val="22"/>
          <w:szCs w:val="22"/>
        </w:rPr>
        <w:t xml:space="preserve">. Senior adults face digital </w:t>
      </w:r>
      <w:r w:rsidRPr="00E1488C">
        <w:rPr>
          <w:rFonts w:ascii="Arial" w:cs="Arial" w:hAnsi="Arial"/>
          <w:sz w:val="22"/>
          <w:szCs w:val="22"/>
        </w:rPr>
        <w:t xml:space="preserve">illiteracy, affordability, accessibility and anxiety with unfamiliar technologies (Seifert, Cotten &amp; Xie, 2021; Tsai et al., 2020) as an official study. Structural inequalities make this even harder. For example, people on low incomes or living in rural areas are less likely to have sufficient internet access (Ofcom, 2023; Helsper &amp; Van Deursen, 2020). When digital implementations are mainly limited to current users, the risk is that inequalities could widen instead of easing loneliness. Since loneliness has increased costs to the NHS, decreased independence, and a higher risk of mental and physical health conditions (Public Health England, 2022; Campaign to End Loneliness, 2023), it is important for health and social care to assess which digital approaches are effective, inclusive and sustainable. Thus, this review </w:t>
        <w:lastRenderedPageBreak/>
      </w:r>
      <w:r w:rsidR="00873C08" w:rsidRPr="00E1488C">
        <w:rPr>
          <w:rFonts w:ascii="Arial" w:cs="Arial" w:hAnsi="Arial"/>
          <w:sz w:val="22"/>
          <w:szCs w:val="22"/>
        </w:rPr>
        <w:t>shows</w:t>
      </w:r>
      <w:r w:rsidRPr="00E1488C">
        <w:rPr>
          <w:rFonts w:ascii="Arial" w:cs="Arial" w:hAnsi="Arial"/>
          <w:sz w:val="22"/>
          <w:szCs w:val="22"/>
        </w:rPr>
        <w:t xml:space="preserve"> evidence for the policy, practice and research to introduce an equity agenda that will facilitate the bigger involvement of old populations in a digital society.</w:t>
      </w:r>
    </w:p>
    <w:p w:rsidR="00F920AC" w:rsidRDefault="00303991" w14:paraId="51DC8A99" w14:textId="14BDFF9A" w:rsidP="00E1488C" w:rsidRPr="00E1488C">
      <w:pPr>
        <w:pStyle w:val="Heading1"/>
        <w:rPr>
          <w:sz w:val="32"/>
          <w:szCs w:val="32"/>
        </w:rPr>
      </w:pPr>
      <w:bookmarkStart w:id="2" w:name="_Toc214224930"/>
      <w:r w:rsidRPr="00E1488C">
        <w:rPr>
          <w:sz w:val="32"/>
          <w:szCs w:val="32"/>
        </w:rPr>
        <w:t>Background</w:t>
      </w:r>
      <w:bookmarkEnd w:id="2"/>
    </w:p>
    <w:p w:rsidR="006925FF" w:rsidRDefault="00303991" w14:paraId="08CF3F98" w14:textId="77777777" w:rsidP="00E1488C">
      <w:pPr>
        <w:jc w:val="both"/>
        <w:spacing w:line="360" w:lineRule="auto"/>
        <w:rPr>
          <w:rFonts w:ascii="Arial" w:cs="Arial" w:hAnsi="Arial"/>
          <w:sz w:val="22"/>
          <w:szCs w:val="22"/>
        </w:rPr>
      </w:pPr>
      <w:r w:rsidRPr="00E1488C">
        <w:rPr>
          <w:rFonts w:ascii="Arial" w:cs="Arial" w:hAnsi="Arial"/>
          <w:sz w:val="22"/>
          <w:szCs w:val="22"/>
        </w:rPr>
        <w:t>Lonely British Senior Citizens</w:t>
      </w:r>
    </w:p>
    <w:p w:rsidR="005F7AC6" w:rsidRDefault="00303991" w14:paraId="750EA731" w14:textId="4AFDE1E1" w:rsidP="00E1488C">
      <w:pPr>
        <w:jc w:val="both"/>
        <w:spacing w:line="360" w:lineRule="auto"/>
        <w:rPr>
          <w:rFonts w:ascii="Arial" w:cs="Arial" w:hAnsi="Arial"/>
          <w:sz w:val="22"/>
          <w:szCs w:val="22"/>
        </w:rPr>
      </w:pPr>
      <w:r w:rsidRPr="00E1488C">
        <w:rPr>
          <w:rFonts w:ascii="Arial" w:cs="Arial" w:hAnsi="Arial"/>
          <w:sz w:val="22"/>
          <w:szCs w:val="22"/>
        </w:rPr>
        <w:t xml:space="preserve"> Loneliness refers to a feeling that is very subjective </w:t>
      </w:r>
      <w:proofErr w:type="gramStart"/>
      <w:r w:rsidRPr="00E1488C">
        <w:rPr>
          <w:rFonts w:ascii="Arial" w:cs="Arial" w:hAnsi="Arial"/>
          <w:sz w:val="22"/>
          <w:szCs w:val="22"/>
        </w:rPr>
        <w:t>and also</w:t>
      </w:r>
      <w:proofErr w:type="gramEnd"/>
      <w:r w:rsidRPr="00E1488C">
        <w:rPr>
          <w:rFonts w:ascii="Arial" w:cs="Arial" w:hAnsi="Arial"/>
          <w:sz w:val="22"/>
          <w:szCs w:val="22"/>
        </w:rPr>
        <w:t xml:space="preserve"> distressful. It is a feeling that arises when a person perceives a gap between the social relations they want and the ones they have. (Perlman &amp; Peplau, 1981). It differs from social isolation, which refers to the actual lack of social contact, but the two often occur together and can reinforce one another, particularly among older people (Courtin &amp; Knapp, 2017). Older people experience a risk and vulnerability heightened by several life-course and age-associated transitions, including bereavement, retirement, declining health, decreasing mobility and sensory impairment (Victor &amp; Yang, 2019; Dury, 2014). Research shows one in 12 older people in the UK experience intense or chronic loneliness, which is a serious public health issue (Age UK, 2024). Older people that experience loneliness are at greater risk for increased rates of depression, anxiety, cognitive decline and faster frailty (Cacioppo &amp; Cacioppo, 2018; Holt-</w:t>
      </w:r>
      <w:proofErr w:type="spellStart"/>
      <w:r w:rsidRPr="00E1488C">
        <w:rPr>
          <w:rFonts w:ascii="Arial" w:cs="Arial" w:hAnsi="Arial"/>
          <w:sz w:val="22"/>
          <w:szCs w:val="22"/>
        </w:rPr>
        <w:t>Lunstad</w:t>
      </w:r>
      <w:proofErr w:type="spellEnd"/>
      <w:r w:rsidRPr="00E1488C">
        <w:rPr>
          <w:rFonts w:ascii="Arial" w:cs="Arial" w:hAnsi="Arial"/>
          <w:sz w:val="22"/>
          <w:szCs w:val="22"/>
        </w:rPr>
        <w:t xml:space="preserve">, 2021). Additionally, its use is correlated with an increasing use of health and social care services, placing considerable economic burdens on the NHS and local authorities (Public Health England, 2022). Due to this, in the UK Government’s Loneliness Strategy (2018), loneliness is identified as a priority area (Department for Digital, Culture, Media &amp; Sport). Furthermore, it facilitates partnership working which addresses the causes and consequences of loneliness. This strategy focuses on promoting digital inclusion. </w:t>
      </w:r>
      <w:r w:rsidR="00FE5FB4" w:rsidRPr="00E1488C">
        <w:rPr>
          <w:rFonts w:ascii="Arial" w:cs="Arial" w:hAnsi="Arial"/>
          <w:sz w:val="22"/>
          <w:szCs w:val="22"/>
        </w:rPr>
        <w:t>Access</w:t>
      </w:r>
      <w:r w:rsidRPr="00E1488C">
        <w:rPr>
          <w:rFonts w:ascii="Arial" w:cs="Arial" w:hAnsi="Arial"/>
          <w:sz w:val="22"/>
          <w:szCs w:val="22"/>
        </w:rPr>
        <w:t xml:space="preserve"> to technology enables older adults to maintain social connections and participate in virtual communities. Moreover, doing this would help to actively reduce geographical or mobility barriers (DCMS, 2018; White &amp; Selwyn, 2021). Nevertheless, as policies indicate, older people continue </w:t>
      </w:r>
      <w:r w:rsidRPr="00E1488C">
        <w:rPr>
          <w:rFonts w:ascii="Arial" w:cs="Arial" w:hAnsi="Arial"/>
          <w:sz w:val="22"/>
          <w:szCs w:val="22"/>
        </w:rPr>
        <w:t xml:space="preserve">to face inequalities in </w:t>
        <w:lastRenderedPageBreak/>
      </w:r>
      <w:r w:rsidR="00FE5FB4" w:rsidRPr="00E1488C">
        <w:rPr>
          <w:rFonts w:ascii="Arial" w:cs="Arial" w:hAnsi="Arial"/>
          <w:sz w:val="22"/>
          <w:szCs w:val="22"/>
        </w:rPr>
        <w:t>access</w:t>
      </w:r>
      <w:r w:rsidRPr="00E1488C">
        <w:rPr>
          <w:rFonts w:ascii="Arial" w:cs="Arial" w:hAnsi="Arial"/>
          <w:sz w:val="22"/>
          <w:szCs w:val="22"/>
        </w:rPr>
        <w:t xml:space="preserve">, confidence and connectivity, </w:t>
      </w:r>
      <w:r w:rsidR="00FE5FB4" w:rsidRPr="00E1488C">
        <w:rPr>
          <w:rFonts w:ascii="Arial" w:cs="Arial" w:hAnsi="Arial"/>
          <w:sz w:val="22"/>
          <w:szCs w:val="22"/>
        </w:rPr>
        <w:t>thus making</w:t>
      </w:r>
      <w:r w:rsidRPr="00E1488C">
        <w:rPr>
          <w:rFonts w:ascii="Arial" w:cs="Arial" w:hAnsi="Arial"/>
          <w:sz w:val="22"/>
          <w:szCs w:val="22"/>
        </w:rPr>
        <w:t xml:space="preserve"> it crucial to understand the effectiveness and equity of digital interventions.</w:t>
      </w:r>
    </w:p>
    <w:p w:rsidR="006925FF" w:rsidRDefault="006925FF" w14:paraId="2B05C8F2" w14:textId="77777777" w:rsidP="00E1488C" w:rsidRPr="00E1488C">
      <w:pPr>
        <w:jc w:val="both"/>
        <w:spacing w:line="360" w:lineRule="auto"/>
        <w:rPr>
          <w:rFonts w:ascii="Arial" w:cs="Arial" w:hAnsi="Arial"/>
          <w:sz w:val="22"/>
          <w:szCs w:val="22"/>
        </w:rPr>
      </w:pPr>
    </w:p>
    <w:p w:rsidR="00E73011" w:rsidRDefault="002D2EFA" w14:paraId="0CB9157E" w14:textId="337A3042" w:rsidP="00E1488C" w:rsidRPr="00E1488C">
      <w:pPr>
        <w:jc w:val="both"/>
        <w:spacing w:line="360" w:lineRule="auto"/>
        <w:rPr>
          <w:rFonts w:ascii="Arial" w:cs="Arial" w:hAnsi="Arial"/>
          <w:sz w:val="22"/>
          <w:szCs w:val="22"/>
        </w:rPr>
      </w:pPr>
      <w:r w:rsidRPr="00E1488C">
        <w:rPr>
          <w:rFonts w:ascii="Arial" w:cs="Arial" w:hAnsi="Arial"/>
          <w:sz w:val="22"/>
          <w:szCs w:val="22"/>
        </w:rPr>
        <w:t>Digital technology for health and social care</w:t>
      </w:r>
    </w:p>
    <w:p w:rsidR="002201AA" w:rsidRDefault="002D2EFA" w14:paraId="51EE30E2" w14:textId="039B7B35" w:rsidP="00E1488C" w:rsidRPr="00E1488C">
      <w:pPr>
        <w:jc w:val="both"/>
        <w:spacing w:line="360" w:lineRule="auto"/>
        <w:rPr>
          <w:rFonts w:ascii="Arial" w:cs="Arial" w:hAnsi="Arial"/>
          <w:sz w:val="22"/>
          <w:szCs w:val="22"/>
        </w:rPr>
      </w:pPr>
      <w:r w:rsidRPr="00E1488C">
        <w:rPr>
          <w:rFonts w:ascii="Arial" w:cs="Arial" w:hAnsi="Arial"/>
          <w:sz w:val="22"/>
          <w:szCs w:val="22"/>
        </w:rPr>
        <w:t xml:space="preserve"> Digital health initiatives are an important part of the NHS Long Term Plan (NHS England, 2019), which sets out ambitions to increase technology-enabled care through things such as online patient portals, remote consultations and </w:t>
      </w:r>
      <w:r w:rsidR="00E1488C" w:rsidRPr="00E1488C">
        <w:rPr>
          <w:rFonts w:ascii="Arial" w:cs="Arial" w:hAnsi="Arial"/>
          <w:sz w:val="22"/>
          <w:szCs w:val="22"/>
        </w:rPr>
        <w:t>health</w:t>
      </w:r>
      <w:r w:rsidRPr="00E1488C">
        <w:rPr>
          <w:rFonts w:ascii="Arial" w:cs="Arial" w:hAnsi="Arial"/>
          <w:sz w:val="22"/>
          <w:szCs w:val="22"/>
        </w:rPr>
        <w:t xml:space="preserve"> apps. The intended outcome of the initiatives is to improve access to services and the efficiency of </w:t>
      </w:r>
      <w:r w:rsidR="00E1488C" w:rsidRPr="00E1488C">
        <w:rPr>
          <w:rFonts w:ascii="Arial" w:cs="Arial" w:hAnsi="Arial"/>
          <w:sz w:val="22"/>
          <w:szCs w:val="22"/>
        </w:rPr>
        <w:t>services</w:t>
      </w:r>
      <w:r w:rsidRPr="00E1488C">
        <w:rPr>
          <w:rFonts w:ascii="Arial" w:cs="Arial" w:hAnsi="Arial"/>
          <w:sz w:val="22"/>
          <w:szCs w:val="22"/>
        </w:rPr>
        <w:t xml:space="preserve"> and promote preventative health. Digital innovations may be promising for older adults, since they can increase autonomy, improve communication with health professionals, and provide further opportunities for social participation (Rennick-Egglestone et al., 2023). Local </w:t>
      </w:r>
      <w:r w:rsidR="00E1488C" w:rsidRPr="00E1488C">
        <w:rPr>
          <w:rFonts w:ascii="Arial" w:cs="Arial" w:hAnsi="Arial"/>
          <w:sz w:val="22"/>
          <w:szCs w:val="22"/>
        </w:rPr>
        <w:t>councils</w:t>
      </w:r>
      <w:r w:rsidRPr="00E1488C">
        <w:rPr>
          <w:rFonts w:ascii="Arial" w:cs="Arial" w:hAnsi="Arial"/>
          <w:sz w:val="22"/>
          <w:szCs w:val="22"/>
        </w:rPr>
        <w:t xml:space="preserve">, voluntary </w:t>
      </w:r>
      <w:r w:rsidR="00E1488C" w:rsidRPr="00E1488C">
        <w:rPr>
          <w:rFonts w:ascii="Arial" w:cs="Arial" w:hAnsi="Arial"/>
          <w:sz w:val="22"/>
          <w:szCs w:val="22"/>
        </w:rPr>
        <w:t>organizations</w:t>
      </w:r>
      <w:r w:rsidRPr="00E1488C">
        <w:rPr>
          <w:rFonts w:ascii="Arial" w:cs="Arial" w:hAnsi="Arial"/>
          <w:sz w:val="22"/>
          <w:szCs w:val="22"/>
        </w:rPr>
        <w:t xml:space="preserve">, and charities, including Age UK, Digital Unite and the Good Things Foundation, have all started to run digital literacy </w:t>
      </w:r>
      <w:r w:rsidR="00E1488C" w:rsidRPr="00E1488C">
        <w:rPr>
          <w:rFonts w:ascii="Arial" w:cs="Arial" w:hAnsi="Arial"/>
          <w:sz w:val="22"/>
          <w:szCs w:val="22"/>
        </w:rPr>
        <w:t>programs</w:t>
      </w:r>
      <w:r w:rsidRPr="00E1488C">
        <w:rPr>
          <w:rFonts w:ascii="Arial" w:cs="Arial" w:hAnsi="Arial"/>
          <w:sz w:val="22"/>
          <w:szCs w:val="22"/>
        </w:rPr>
        <w:t xml:space="preserve"> that help older adults to gain confidence in using devices and online platforms beyond formal healthcare settings. These initiatives do not </w:t>
      </w:r>
      <w:r w:rsidR="00E1488C" w:rsidRPr="00E1488C">
        <w:rPr>
          <w:rFonts w:ascii="Arial" w:cs="Arial" w:hAnsi="Arial"/>
          <w:sz w:val="22"/>
          <w:szCs w:val="22"/>
        </w:rPr>
        <w:t>address</w:t>
      </w:r>
      <w:r w:rsidRPr="00E1488C">
        <w:rPr>
          <w:rFonts w:ascii="Arial" w:cs="Arial" w:hAnsi="Arial"/>
          <w:sz w:val="22"/>
          <w:szCs w:val="22"/>
        </w:rPr>
        <w:t xml:space="preserve"> just the technical skills, instead they also direct at some motivational and emotional barriers which inhibit people from using digital technology. For instance, fear of technology, uncertainty over online safety and low self-efficacy (Tsai et al., 2020 – Seifert et al., 2021). Digital technologies are often mentioned as means of reducing loneliness. Platforms like Zoom Skype FaceTime for Video Call Sites that foster communication and interaction. Online community groups and forums. Telepresence robots and smart speakers. Assistive communication technologies. Digital wellbeing, mindfulness or cognitive support apps. Increasing research shows that these technologies can strengthen bonds across generations, help peers communicate with one another, and encourage informal learning as well as a sense of belonging to virtual communities (Winstead et al., 2013; Barbosa Neves et al., 2019). For example, video calls can alleviate emotional loneliness by enabling rich, synchronous communication (Tsai et al., 2020). In other words, communities on the internet, like hobby groups, can enable social identity and shared purpose (Fang et al., 2023). However, the benefits are not universal. Digital exclusion refers to a lack of access to technology that many older adults experience. The failure to design things for older adults and accessibility barriers continue to limit meaningful engagement for many older adults. A need for more inclusive things (Helsper &amp; Van Deursen, 2020; Ofcom, 2023).</w:t>
      </w:r>
    </w:p>
    <w:p w:rsidR="002201AA" w:rsidRDefault="002201AA" w14:paraId="50A72060" w14:textId="4567A2BB" w:rsidP="00E1488C">
      <w:pPr>
        <w:jc w:val="both"/>
        <w:spacing w:line="360" w:lineRule="auto"/>
        <w:rPr>
          <w:rFonts w:ascii="Arial" w:cs="Arial" w:hAnsi="Arial"/>
          <w:sz w:val="22"/>
          <w:szCs w:val="22"/>
        </w:rPr>
      </w:pPr>
    </w:p>
    <w:p w:rsidR="00E27F39" w:rsidRDefault="00E27F39" w14:paraId="6704CA65" w14:textId="77777777" w:rsidP="00E1488C" w:rsidRPr="00E1488C">
      <w:pPr>
        <w:jc w:val="both"/>
        <w:spacing w:line="360" w:lineRule="auto"/>
        <w:rPr>
          <w:rFonts w:ascii="Arial" w:cs="Arial" w:hAnsi="Arial"/>
          <w:sz w:val="22"/>
          <w:szCs w:val="22"/>
        </w:rPr>
      </w:pPr>
    </w:p>
    <w:p w:rsidR="002201AA" w:rsidRDefault="002201AA" w14:paraId="337C4248" w14:textId="3B1E7CFC" w:rsidP="00E1488C" w:rsidRPr="00E1488C">
      <w:pPr>
        <w:jc w:val="both"/>
        <w:spacing w:line="360" w:lineRule="auto"/>
        <w:rPr>
          <w:rFonts w:ascii="Arial" w:cs="Arial" w:hAnsi="Arial"/>
          <w:sz w:val="22"/>
          <w:szCs w:val="22"/>
        </w:rPr>
      </w:pPr>
      <w:r w:rsidRPr="00E1488C">
        <w:rPr>
          <w:rFonts w:ascii="Arial" w:cs="Arial" w:hAnsi="Arial"/>
          <w:sz w:val="22"/>
          <w:szCs w:val="22"/>
        </w:rPr>
        <w:t>Policy and Legislation Context</w:t>
        <w:lastRenderedPageBreak/>
      </w:r>
    </w:p>
    <w:p w:rsidR="000D4554" w:rsidRDefault="002201AA" w14:paraId="391F9998" w14:textId="2FB01EBC" w:rsidP="00E1488C" w:rsidRPr="00E1488C">
      <w:pPr>
        <w:jc w:val="both"/>
        <w:spacing w:line="360" w:lineRule="auto"/>
        <w:rPr>
          <w:rFonts w:ascii="Arial" w:cs="Arial" w:hAnsi="Arial"/>
          <w:sz w:val="22"/>
          <w:szCs w:val="22"/>
        </w:rPr>
      </w:pPr>
      <w:r w:rsidRPr="00E1488C">
        <w:rPr>
          <w:rFonts w:ascii="Arial" w:cs="Arial" w:hAnsi="Arial"/>
          <w:sz w:val="22"/>
          <w:szCs w:val="22"/>
        </w:rPr>
        <w:t xml:space="preserve">The UK government is increasingly </w:t>
      </w:r>
      <w:r w:rsidR="00E1488C" w:rsidRPr="00E1488C">
        <w:rPr>
          <w:rFonts w:ascii="Arial" w:cs="Arial" w:hAnsi="Arial"/>
          <w:sz w:val="22"/>
          <w:szCs w:val="22"/>
        </w:rPr>
        <w:t>recognizing</w:t>
      </w:r>
      <w:r w:rsidRPr="00E1488C">
        <w:rPr>
          <w:rFonts w:ascii="Arial" w:cs="Arial" w:hAnsi="Arial"/>
          <w:sz w:val="22"/>
          <w:szCs w:val="22"/>
        </w:rPr>
        <w:t xml:space="preserve"> the need for older citizens to be digitally included </w:t>
      </w:r>
      <w:r w:rsidR="00E1488C" w:rsidRPr="00E1488C">
        <w:rPr>
          <w:rFonts w:ascii="Arial" w:cs="Arial" w:hAnsi="Arial"/>
          <w:sz w:val="22"/>
          <w:szCs w:val="22"/>
        </w:rPr>
        <w:t>socially</w:t>
      </w:r>
      <w:r w:rsidRPr="00E1488C">
        <w:rPr>
          <w:rFonts w:ascii="Arial" w:cs="Arial" w:hAnsi="Arial"/>
          <w:sz w:val="22"/>
          <w:szCs w:val="22"/>
        </w:rPr>
        <w:t xml:space="preserve"> as a matter of policy. There are different policies and laws that guide us. 2014 Care Act obligates local authorities to promote </w:t>
      </w:r>
      <w:r w:rsidR="00E1488C" w:rsidRPr="00E1488C">
        <w:rPr>
          <w:rFonts w:ascii="Arial" w:cs="Arial" w:hAnsi="Arial"/>
          <w:sz w:val="22"/>
          <w:szCs w:val="22"/>
        </w:rPr>
        <w:t>individuals</w:t>
      </w:r>
      <w:r w:rsidRPr="00E1488C">
        <w:rPr>
          <w:rFonts w:ascii="Arial" w:cs="Arial" w:hAnsi="Arial"/>
          <w:sz w:val="22"/>
          <w:szCs w:val="22"/>
        </w:rPr>
        <w:t xml:space="preserve">’ wellbeing. This includes social participation and maintaining personal relationships. This framework supports independence and prevents social isolation through innovative approaches, including digital. UK Digital Strategy (2021): emphasizes the need to enhance digital proficiency, facilitate ubiquitous internet access and close regional connectivity disparities. While not directly targeting them, the strategy supports various activities to address digital exclusion among vulnerable groups, such as older people. The Government’s Loneliness Strategy (2018): identifies digital innovation as a key to preventing and reducing loneliness and stresses the need for partnerships between the government, tech companies and the voluntary sector. The NHS Digital Transformation Plans 2022-2025 have been provided with a proper framework to expand the remote care and online services. Despite making promises, scholars state that policy rhetoric does not always equal an effective practice. Experts </w:t>
      </w:r>
      <w:r w:rsidR="006925FF" w:rsidRPr="00E1488C">
        <w:rPr>
          <w:rFonts w:ascii="Arial" w:cs="Arial" w:hAnsi="Arial"/>
          <w:sz w:val="22"/>
          <w:szCs w:val="22"/>
        </w:rPr>
        <w:t>contend that</w:t>
      </w:r>
      <w:r w:rsidRPr="00E1488C">
        <w:rPr>
          <w:rFonts w:ascii="Arial" w:cs="Arial" w:hAnsi="Arial"/>
          <w:sz w:val="22"/>
          <w:szCs w:val="22"/>
        </w:rPr>
        <w:t xml:space="preserve"> many existing policies do not tackle many structural inequalities including poverty and disability, regional broadband inequality, sociocultural factors and so on that inhibit digital adoption among older adults. In addition, strategies often overlook motivation, trust, usability and design issues (Selwyn et al., 2020) by assuming access automatically leads to meaningful use. With older people suffering from digital exclusion the most, there is a huge need for technology interventions which are co-designed with older users, accessible to people with different abilities, and grounded in equity and inclusion principles. Neglecting to address the larger societal determinants of digital engagement, digital innovations are at risk of interfacing inequalities in health and social life instead of reducing them (Seifert et al., 2021).</w:t>
      </w:r>
    </w:p>
    <w:p w:rsidR="00930746" w:rsidRDefault="007A3593" w14:paraId="22335E1B" w14:textId="0443CF4B" w:rsidP="00E1488C" w:rsidRPr="00E1488C">
      <w:pPr>
        <w:pStyle w:val="Heading1"/>
      </w:pPr>
      <w:r w:rsidRPr="00E1488C">
        <w:t xml:space="preserve"> </w:t>
      </w:r>
      <w:bookmarkStart w:id="3" w:name="_Toc214224931"/>
      <w:r w:rsidRPr="00E1488C">
        <w:rPr>
          <w:sz w:val="32"/>
          <w:szCs w:val="32"/>
        </w:rPr>
        <w:t>Methods</w:t>
      </w:r>
      <w:bookmarkEnd w:id="3"/>
    </w:p>
    <w:p w:rsidR="006F4A6D" w:rsidRDefault="007A3593" w14:paraId="0372741C"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 Study Design</w:t>
      </w:r>
    </w:p>
    <w:p w:rsidR="006925FF" w:rsidRDefault="007A3593" w14:paraId="19BBDC47" w14:textId="7B1E7BC1" w:rsidP="00E1488C">
      <w:pPr>
        <w:jc w:val="both"/>
        <w:spacing w:line="360" w:lineRule="auto"/>
        <w:rPr>
          <w:rFonts w:ascii="Arial" w:cs="Arial" w:hAnsi="Arial"/>
          <w:sz w:val="22"/>
          <w:szCs w:val="22"/>
        </w:rPr>
      </w:pPr>
      <w:r w:rsidRPr="00E1488C">
        <w:rPr>
          <w:rFonts w:ascii="Arial" w:cs="Arial" w:hAnsi="Arial"/>
          <w:sz w:val="22"/>
          <w:szCs w:val="22"/>
        </w:rPr>
        <w:t xml:space="preserve"> This study took a scoping review framework developed by Arksey and O’Malley (2005). This framework is systematic but flexible and is useful in mapping the extent of evidence. We can say that scoping reviews can be helpful in analyzing complex and interdisciplinary issues, such as the relationship of digital technology to loneliness, where the study designs, interventions, and theoretical approaches differ greatly (Munn et al., 2018). The Arksey and O’Malley framework consists of 5 stages which are identifying the research question, identifying relevant studies, selecting studies, charting the data and collating, </w:t>
      </w:r>
      <w:r w:rsidR="006937BC" w:rsidRPr="00E1488C">
        <w:rPr>
          <w:rFonts w:ascii="Arial" w:cs="Arial" w:hAnsi="Arial"/>
          <w:sz w:val="22"/>
          <w:szCs w:val="22"/>
        </w:rPr>
        <w:t>summarizing</w:t>
      </w:r>
      <w:r w:rsidRPr="00E1488C">
        <w:rPr>
          <w:rFonts w:ascii="Arial" w:cs="Arial" w:hAnsi="Arial"/>
          <w:sz w:val="22"/>
          <w:szCs w:val="22"/>
        </w:rPr>
        <w:t xml:space="preserve"> and reporting the results. Levac, </w:t>
      </w:r>
      <w:r w:rsidRPr="00E1488C">
        <w:rPr>
          <w:rFonts w:ascii="Arial" w:cs="Arial" w:hAnsi="Arial"/>
          <w:sz w:val="22"/>
          <w:szCs w:val="22"/>
        </w:rPr>
        <w:t xml:space="preserve">Colquhoun and O’Brien (2010) also proposed improvements, which we </w:t>
        <w:lastRenderedPageBreak/>
      </w:r>
      <w:r w:rsidR="006925FF" w:rsidRPr="00E1488C">
        <w:rPr>
          <w:rFonts w:ascii="Arial" w:cs="Arial" w:hAnsi="Arial"/>
          <w:sz w:val="22"/>
          <w:szCs w:val="22"/>
        </w:rPr>
        <w:t>considered</w:t>
      </w:r>
      <w:r w:rsidRPr="00E1488C">
        <w:rPr>
          <w:rFonts w:ascii="Arial" w:cs="Arial" w:hAnsi="Arial"/>
          <w:sz w:val="22"/>
          <w:szCs w:val="22"/>
        </w:rPr>
        <w:t xml:space="preserve">. Most importantly, clarity about study selection is </w:t>
      </w:r>
      <w:r w:rsidR="00F91CB7" w:rsidRPr="00E1488C">
        <w:rPr>
          <w:rFonts w:ascii="Arial" w:cs="Arial" w:hAnsi="Arial"/>
          <w:sz w:val="22"/>
          <w:szCs w:val="22"/>
        </w:rPr>
        <w:t>emphasized</w:t>
      </w:r>
      <w:r w:rsidRPr="00E1488C">
        <w:rPr>
          <w:rFonts w:ascii="Arial" w:cs="Arial" w:hAnsi="Arial"/>
          <w:sz w:val="22"/>
          <w:szCs w:val="22"/>
        </w:rPr>
        <w:t xml:space="preserve">, as well as the iterative nature of the refining searches. The choice for performing a scoping review instead of a systematic review was justified by the exploratory nature of the study and the heterogeneity of intervention types. This also ensured that a broad scope of available evidence was captured, rather than focusing exclusively on the efficacy of an </w:t>
      </w:r>
      <w:r w:rsidR="00F91CB7" w:rsidRPr="00E1488C">
        <w:rPr>
          <w:rFonts w:ascii="Arial" w:cs="Arial" w:hAnsi="Arial"/>
          <w:sz w:val="22"/>
          <w:szCs w:val="22"/>
        </w:rPr>
        <w:t>intervention (</w:t>
      </w:r>
      <w:r w:rsidRPr="00E1488C">
        <w:rPr>
          <w:rFonts w:ascii="Arial" w:cs="Arial" w:hAnsi="Arial"/>
          <w:sz w:val="22"/>
          <w:szCs w:val="22"/>
        </w:rPr>
        <w:t xml:space="preserve">Peters et al., 2020). </w:t>
      </w:r>
    </w:p>
    <w:p w:rsidR="006925FF" w:rsidRDefault="006925FF" w14:paraId="220DF047" w14:textId="77777777" w:rsidP="00E1488C">
      <w:pPr>
        <w:jc w:val="both"/>
        <w:spacing w:line="360" w:lineRule="auto"/>
        <w:rPr>
          <w:rFonts w:ascii="Arial" w:cs="Arial" w:hAnsi="Arial"/>
          <w:sz w:val="22"/>
          <w:szCs w:val="22"/>
        </w:rPr>
      </w:pPr>
    </w:p>
    <w:p w:rsidR="006925FF" w:rsidRDefault="007A3593" w14:paraId="7E109285" w14:textId="77777777" w:rsidP="00E1488C">
      <w:pPr>
        <w:jc w:val="both"/>
        <w:spacing w:line="360" w:lineRule="auto"/>
        <w:rPr>
          <w:rFonts w:ascii="Arial" w:cs="Arial" w:hAnsi="Arial"/>
          <w:sz w:val="22"/>
          <w:szCs w:val="22"/>
        </w:rPr>
      </w:pPr>
      <w:r w:rsidRPr="00E1488C">
        <w:rPr>
          <w:rFonts w:ascii="Arial" w:cs="Arial" w:hAnsi="Arial"/>
          <w:sz w:val="22"/>
          <w:szCs w:val="22"/>
        </w:rPr>
        <w:t>Search Strategy</w:t>
      </w:r>
    </w:p>
    <w:p w:rsidR="006925FF" w:rsidRDefault="007A3593" w14:paraId="06E9A422" w14:textId="5EC9D773" w:rsidP="00E1488C">
      <w:pPr>
        <w:jc w:val="both"/>
        <w:spacing w:line="360" w:lineRule="auto"/>
        <w:rPr>
          <w:rFonts w:ascii="Arial" w:cs="Arial" w:hAnsi="Arial"/>
          <w:sz w:val="22"/>
          <w:szCs w:val="22"/>
        </w:rPr>
      </w:pPr>
      <w:r w:rsidRPr="00E1488C">
        <w:rPr>
          <w:rFonts w:ascii="Arial" w:cs="Arial" w:hAnsi="Arial"/>
          <w:sz w:val="22"/>
          <w:szCs w:val="22"/>
        </w:rPr>
        <w:t xml:space="preserve"> An uncomplicated plan was constructed to guarantee consistency, duplicity and all-encompassing contents of pertinent literature. Searches were carried out in two large databases. PubMed. EBSCOhost, including CINAHL and Academic Search Complete. The selection of those databases was due to their good coverage of health, social care, gerontology and technology-related studies (Booth et al., 2016). Search terms were created combining the use of controlled vocabulary (for example, </w:t>
      </w:r>
      <w:proofErr w:type="spellStart"/>
      <w:r w:rsidRPr="00E1488C">
        <w:rPr>
          <w:rFonts w:ascii="Arial" w:cs="Arial" w:hAnsi="Arial"/>
          <w:sz w:val="22"/>
          <w:szCs w:val="22"/>
        </w:rPr>
        <w:t>MeSH</w:t>
      </w:r>
      <w:proofErr w:type="spellEnd"/>
      <w:r w:rsidRPr="00E1488C">
        <w:rPr>
          <w:rFonts w:ascii="Arial" w:cs="Arial" w:hAnsi="Arial"/>
          <w:sz w:val="22"/>
          <w:szCs w:val="22"/>
        </w:rPr>
        <w:t xml:space="preserve"> terms in PubMed) with free-text keywords. Terms were combined </w:t>
      </w:r>
      <w:r w:rsidR="00E27F39" w:rsidRPr="00E1488C">
        <w:rPr>
          <w:rFonts w:ascii="Arial" w:cs="Arial" w:hAnsi="Arial"/>
          <w:sz w:val="22"/>
          <w:szCs w:val="22"/>
        </w:rPr>
        <w:t>using</w:t>
      </w:r>
      <w:r w:rsidRPr="00E1488C">
        <w:rPr>
          <w:rFonts w:ascii="Arial" w:cs="Arial" w:hAnsi="Arial"/>
          <w:sz w:val="22"/>
          <w:szCs w:val="22"/>
        </w:rPr>
        <w:t xml:space="preserve"> Boolean operators (AND/OR); grouped into four key concepts—loneliness; older adults; digital technology; and UK. Example search string. (“loneliness” OR “social isolation”). AND (“older adults” OR “elderly” OR “older person” OR “aged”). AND (“digital technology” OR “ICT” OR “internet-based intervention” OR “virtual </w:t>
      </w:r>
      <w:r w:rsidR="006925FF" w:rsidRPr="00E1488C">
        <w:rPr>
          <w:rFonts w:ascii="Arial" w:cs="Arial" w:hAnsi="Arial"/>
          <w:sz w:val="22"/>
          <w:szCs w:val="22"/>
        </w:rPr>
        <w:t>communication “OR</w:t>
      </w:r>
      <w:r w:rsidRPr="00E1488C">
        <w:rPr>
          <w:rFonts w:ascii="Arial" w:cs="Arial" w:hAnsi="Arial"/>
          <w:sz w:val="22"/>
          <w:szCs w:val="22"/>
        </w:rPr>
        <w:t xml:space="preserve"> “telehealth”). AND (“UK” OR “United Kingdom” OR “Britain”). We ensured broader retrieval through truncation (e.g. “</w:t>
      </w:r>
      <w:proofErr w:type="spellStart"/>
      <w:r w:rsidRPr="00E1488C">
        <w:rPr>
          <w:rFonts w:ascii="Arial" w:cs="Arial" w:hAnsi="Arial"/>
          <w:sz w:val="22"/>
          <w:szCs w:val="22"/>
        </w:rPr>
        <w:t>technolog</w:t>
      </w:r>
      <w:proofErr w:type="spellEnd"/>
      <w:r w:rsidRPr="00E1488C">
        <w:rPr>
          <w:rFonts w:ascii="Arial" w:cs="Arial" w:hAnsi="Arial"/>
          <w:sz w:val="22"/>
          <w:szCs w:val="22"/>
        </w:rPr>
        <w:t>*”) and synonyms. We also used the filters publication date (2018-2025) and language (English). The period was chosen to illustrate the rise of digital interventions during and post COVID pandemics (Nimrod, 2021; Seifert et al., 2021). We searched the reference lists of produced articles for more studies, as per best practice recommendations for scoping reviews (Peterson et al., 2017).</w:t>
      </w:r>
    </w:p>
    <w:p w:rsidR="00E27F39" w:rsidRDefault="00E27F39" w14:paraId="4813F029" w14:textId="77777777" w:rsidP="00E1488C" w:rsidRPr="00E1488C">
      <w:pPr>
        <w:jc w:val="both"/>
        <w:spacing w:line="360" w:lineRule="auto"/>
        <w:rPr>
          <w:rFonts w:ascii="Arial" w:cs="Arial" w:hAnsi="Arial"/>
          <w:sz w:val="22"/>
          <w:szCs w:val="22"/>
        </w:rPr>
      </w:pPr>
    </w:p>
    <w:p w:rsidR="007F5410" w:rsidRDefault="007B651A" w14:paraId="296919DD" w14:textId="291C07C1" w:rsidP="00E1488C" w:rsidRPr="00E1488C">
      <w:pPr>
        <w:jc w:val="both"/>
        <w:spacing w:line="360" w:lineRule="auto"/>
        <w:rPr>
          <w:rFonts w:ascii="Arial" w:cs="Arial" w:hAnsi="Arial"/>
          <w:sz w:val="22"/>
          <w:szCs w:val="22"/>
        </w:rPr>
      </w:pPr>
      <w:r w:rsidRPr="00E1488C">
        <w:rPr>
          <w:rFonts w:ascii="Arial" w:cs="Arial" w:hAnsi="Arial"/>
          <w:sz w:val="22"/>
          <w:szCs w:val="22"/>
        </w:rPr>
        <w:t xml:space="preserve"> Inclusion and Exclusion Criteria</w:t>
      </w:r>
    </w:p>
    <w:p w:rsidR="006925FF" w:rsidRDefault="007B651A" w14:paraId="6F8D92DC" w14:textId="2EEC46AE" w:rsidP="00E1488C">
      <w:pPr>
        <w:jc w:val="both"/>
        <w:spacing w:line="360" w:lineRule="auto"/>
        <w:rPr>
          <w:rFonts w:ascii="Arial" w:cs="Arial" w:hAnsi="Arial"/>
          <w:sz w:val="22"/>
          <w:szCs w:val="22"/>
        </w:rPr>
      </w:pPr>
      <w:r w:rsidRPr="00E1488C">
        <w:rPr>
          <w:rFonts w:ascii="Arial" w:cs="Arial" w:hAnsi="Arial"/>
          <w:sz w:val="22"/>
          <w:szCs w:val="22"/>
        </w:rPr>
        <w:t xml:space="preserve"> The researchers established clear inclusion and exclusion criteria for study selection to add rigor and reduce bias (Higgins et al., 2022). Inclusion Criteria. Peer-reviewed primary or secondary research. This will be taking place inside the United Kingdom and was published between 2018 and 2025. </w:t>
      </w:r>
      <w:r w:rsidR="008403C7" w:rsidRPr="00E1488C">
        <w:rPr>
          <w:rFonts w:ascii="Arial" w:cs="Arial" w:hAnsi="Arial"/>
          <w:sz w:val="22"/>
          <w:szCs w:val="22"/>
        </w:rPr>
        <w:t>Concentrating</w:t>
      </w:r>
      <w:r w:rsidRPr="00E1488C">
        <w:rPr>
          <w:rFonts w:ascii="Arial" w:cs="Arial" w:hAnsi="Arial"/>
          <w:sz w:val="22"/>
          <w:szCs w:val="22"/>
        </w:rPr>
        <w:t xml:space="preserve"> on adults over 60 or with an adult sub-sample. Reviewed interventions that either caused or assessed loneliness or social isolation. Written in English. Exclusion Criteria. Anything professing or claiming to present opinions. Research </w:t>
      </w:r>
      <w:r w:rsidR="008403C7" w:rsidRPr="00E1488C">
        <w:rPr>
          <w:rFonts w:ascii="Arial" w:cs="Arial" w:hAnsi="Arial"/>
          <w:sz w:val="22"/>
          <w:szCs w:val="22"/>
        </w:rPr>
        <w:t>does not use</w:t>
      </w:r>
      <w:r w:rsidRPr="00E1488C">
        <w:rPr>
          <w:rFonts w:ascii="Arial" w:cs="Arial" w:hAnsi="Arial"/>
          <w:sz w:val="22"/>
          <w:szCs w:val="22"/>
        </w:rPr>
        <w:t xml:space="preserve"> any type of digital </w:t>
      </w:r>
      <w:r w:rsidRPr="00E1488C">
        <w:rPr>
          <w:rFonts w:ascii="Arial" w:cs="Arial" w:hAnsi="Arial"/>
          <w:sz w:val="22"/>
          <w:szCs w:val="22"/>
        </w:rPr>
        <w:t xml:space="preserve">technology (e.g., purely face-to-face interventions). Research that is not UK specific or UK based. Non-peer-reviewed sources, to ensure academic quality. Research papers of studies </w:t>
        <w:lastRenderedPageBreak/>
      </w:r>
      <w:r w:rsidR="006925FF" w:rsidRPr="00E1488C">
        <w:rPr>
          <w:rFonts w:ascii="Arial" w:cs="Arial" w:hAnsi="Arial"/>
          <w:sz w:val="22"/>
          <w:szCs w:val="22"/>
        </w:rPr>
        <w:t>look</w:t>
      </w:r>
      <w:r w:rsidRPr="00E1488C">
        <w:rPr>
          <w:rFonts w:ascii="Arial" w:cs="Arial" w:hAnsi="Arial"/>
          <w:sz w:val="22"/>
          <w:szCs w:val="22"/>
        </w:rPr>
        <w:t xml:space="preserve"> more broadly at wellbeing and not explicit loneliness or connectedness. The criteria suggest that scoping reviews must clearly define the boundaries of the study using methods of Peters et al (2020). Selection of Studies and Data Extraction All search results were imported into </w:t>
      </w:r>
      <w:r w:rsidR="006925FF" w:rsidRPr="00E1488C">
        <w:rPr>
          <w:rFonts w:ascii="Arial" w:cs="Arial" w:hAnsi="Arial"/>
          <w:sz w:val="22"/>
          <w:szCs w:val="22"/>
        </w:rPr>
        <w:t>reference</w:t>
      </w:r>
      <w:r w:rsidRPr="00E1488C">
        <w:rPr>
          <w:rFonts w:ascii="Arial" w:cs="Arial" w:hAnsi="Arial"/>
          <w:sz w:val="22"/>
          <w:szCs w:val="22"/>
        </w:rPr>
        <w:t xml:space="preserve"> management software (e.g., EndNote or Zotero) from where duplicates were omitted. Eligibility </w:t>
      </w:r>
      <w:r w:rsidR="00E27F39" w:rsidRPr="00E1488C">
        <w:rPr>
          <w:rFonts w:ascii="Arial" w:cs="Arial" w:hAnsi="Arial"/>
          <w:sz w:val="22"/>
          <w:szCs w:val="22"/>
        </w:rPr>
        <w:t>criteria,</w:t>
      </w:r>
      <w:r w:rsidRPr="00E1488C">
        <w:rPr>
          <w:rFonts w:ascii="Arial" w:cs="Arial" w:hAnsi="Arial"/>
          <w:sz w:val="22"/>
          <w:szCs w:val="22"/>
        </w:rPr>
        <w:t xml:space="preserve"> mainly World Health Organization Cancer in Childhood and </w:t>
      </w:r>
      <w:r w:rsidR="006925FF" w:rsidRPr="00E1488C">
        <w:rPr>
          <w:rFonts w:ascii="Arial" w:cs="Arial" w:hAnsi="Arial"/>
          <w:sz w:val="22"/>
          <w:szCs w:val="22"/>
        </w:rPr>
        <w:t>Adolescence,</w:t>
      </w:r>
      <w:r w:rsidRPr="00E1488C">
        <w:rPr>
          <w:rFonts w:ascii="Arial" w:cs="Arial" w:hAnsi="Arial"/>
          <w:sz w:val="22"/>
          <w:szCs w:val="22"/>
        </w:rPr>
        <w:t xml:space="preserve"> were individually screened by title and abstract. </w:t>
      </w:r>
      <w:r w:rsidR="008403C7" w:rsidRPr="00E1488C">
        <w:rPr>
          <w:rFonts w:ascii="Arial" w:cs="Arial" w:hAnsi="Arial"/>
          <w:sz w:val="22"/>
          <w:szCs w:val="22"/>
        </w:rPr>
        <w:t>Potentially</w:t>
      </w:r>
      <w:r w:rsidRPr="00E1488C">
        <w:rPr>
          <w:rFonts w:ascii="Arial" w:cs="Arial" w:hAnsi="Arial"/>
          <w:sz w:val="22"/>
          <w:szCs w:val="22"/>
        </w:rPr>
        <w:t xml:space="preserve"> relevant articles were screened by full text. Through ongoing discussion, any uncertainties were resolved, which indicates that scoping reviews are iterative and reflexive (Levac et al., 2010). Data was collected using a systematic charting form that encapsulated. Study characteristics (author, year, design). Participant demographics. Type of digital intervention. Outcomes related to loneliness or social connectedness. Barriers and facilitators. Key findings and implications. The process of charting was flexible and allowed the addition of new categories in response to emerging themes. This is characteristic of scoping remediation (Arksey &amp; O’Malley, 2005)</w:t>
      </w:r>
      <w:r w:rsidR="007F5410" w:rsidRPr="00E1488C">
        <w:rPr>
          <w:rFonts w:ascii="Arial" w:cs="Arial" w:hAnsi="Arial"/>
          <w:sz w:val="22"/>
          <w:szCs w:val="22"/>
        </w:rPr>
        <w:t>.</w:t>
      </w:r>
    </w:p>
    <w:p w:rsidR="00E27F39" w:rsidRDefault="00E27F39" w14:paraId="3EEE2647" w14:textId="77777777" w:rsidP="00E1488C" w:rsidRPr="00E1488C">
      <w:pPr>
        <w:jc w:val="both"/>
        <w:spacing w:line="360" w:lineRule="auto"/>
        <w:rPr>
          <w:rFonts w:ascii="Arial" w:cs="Arial" w:hAnsi="Arial"/>
          <w:sz w:val="22"/>
          <w:szCs w:val="22"/>
        </w:rPr>
      </w:pPr>
    </w:p>
    <w:p w:rsidR="00EF2DFE" w:rsidRDefault="00F14AD0" w14:paraId="70CF1722" w14:textId="1C41B475" w:rsidP="00E1488C" w:rsidRPr="00E1488C">
      <w:pPr>
        <w:jc w:val="both"/>
        <w:spacing w:line="360" w:lineRule="auto"/>
        <w:rPr>
          <w:rFonts w:ascii="Arial" w:cs="Arial" w:hAnsi="Arial"/>
          <w:sz w:val="22"/>
          <w:szCs w:val="22"/>
        </w:rPr>
      </w:pPr>
      <w:r w:rsidRPr="00E1488C">
        <w:rPr>
          <w:rFonts w:ascii="Arial" w:cs="Arial" w:hAnsi="Arial"/>
          <w:sz w:val="22"/>
          <w:szCs w:val="22"/>
        </w:rPr>
        <w:t xml:space="preserve"> Data Analysis</w:t>
      </w:r>
    </w:p>
    <w:p w:rsidR="007F1614" w:rsidRDefault="00F14AD0" w14:paraId="71BD9D3A" w14:textId="2EAFF239" w:rsidP="00E1488C" w:rsidRPr="00E1488C">
      <w:pPr>
        <w:jc w:val="both"/>
        <w:spacing w:line="360" w:lineRule="auto"/>
        <w:rPr>
          <w:rFonts w:ascii="Arial" w:cs="Arial" w:hAnsi="Arial"/>
          <w:sz w:val="22"/>
          <w:szCs w:val="22"/>
        </w:rPr>
      </w:pPr>
      <w:r w:rsidRPr="00E1488C">
        <w:rPr>
          <w:rFonts w:ascii="Arial" w:cs="Arial" w:hAnsi="Arial"/>
          <w:sz w:val="22"/>
          <w:szCs w:val="22"/>
        </w:rPr>
        <w:t xml:space="preserve">The six-phase procedure provided by Braun and Clarke (2006) was used for </w:t>
      </w:r>
      <w:r w:rsidR="006925FF" w:rsidRPr="00E1488C">
        <w:rPr>
          <w:rFonts w:ascii="Arial" w:cs="Arial" w:hAnsi="Arial"/>
          <w:sz w:val="22"/>
          <w:szCs w:val="22"/>
        </w:rPr>
        <w:t>analyzing</w:t>
      </w:r>
      <w:r w:rsidRPr="00E1488C">
        <w:rPr>
          <w:rFonts w:ascii="Arial" w:cs="Arial" w:hAnsi="Arial"/>
          <w:sz w:val="22"/>
          <w:szCs w:val="22"/>
        </w:rPr>
        <w:t xml:space="preserve"> themes. The process allows </w:t>
      </w:r>
      <w:r w:rsidR="00144446" w:rsidRPr="00E1488C">
        <w:rPr>
          <w:rFonts w:ascii="Arial" w:cs="Arial" w:hAnsi="Arial"/>
          <w:sz w:val="22"/>
          <w:szCs w:val="22"/>
        </w:rPr>
        <w:t>systematic</w:t>
      </w:r>
      <w:r w:rsidRPr="00E1488C">
        <w:rPr>
          <w:rFonts w:ascii="Arial" w:cs="Arial" w:hAnsi="Arial"/>
          <w:sz w:val="22"/>
          <w:szCs w:val="22"/>
        </w:rPr>
        <w:t xml:space="preserve"> identification and interpretation of patterns in the dataset, thus suitable for different qualitative and quantitative evidence. The analysis process involved. </w:t>
      </w:r>
      <w:r w:rsidR="006925FF" w:rsidRPr="00E1488C">
        <w:rPr>
          <w:rFonts w:ascii="Arial" w:cs="Arial" w:hAnsi="Arial"/>
          <w:sz w:val="22"/>
          <w:szCs w:val="22"/>
        </w:rPr>
        <w:t>Familiarization</w:t>
      </w:r>
      <w:r w:rsidRPr="00E1488C">
        <w:rPr>
          <w:rFonts w:ascii="Arial" w:cs="Arial" w:hAnsi="Arial"/>
          <w:sz w:val="22"/>
          <w:szCs w:val="22"/>
        </w:rPr>
        <w:t xml:space="preserve"> with </w:t>
      </w:r>
      <w:r w:rsidR="00E27F39" w:rsidRPr="00E1488C">
        <w:rPr>
          <w:rFonts w:ascii="Arial" w:cs="Arial" w:hAnsi="Arial"/>
          <w:sz w:val="22"/>
          <w:szCs w:val="22"/>
        </w:rPr>
        <w:t>studies</w:t>
      </w:r>
      <w:r w:rsidRPr="00E1488C">
        <w:rPr>
          <w:rFonts w:ascii="Arial" w:cs="Arial" w:hAnsi="Arial"/>
          <w:sz w:val="22"/>
          <w:szCs w:val="22"/>
        </w:rPr>
        <w:t>. Generating initial codes. Searching for themes. Reviewing and refining themes. Defining and naming themes. Producing a narrative synthesis. A narrative synthesis was selected to bring the findings together across methods, in accordance with scoping review guidance (Thomas et al., 2017). The extracted data was cross-checked against the themes. 3.6 Ethical Considerations. Because this study utilized secondary data from published sources, no formal ethical approval was required. However, the ethical principles were still adhered to, including an accurate representation of the evidence, academic integrity and not being unduly biased (UWTSD, 2024). The researchers made sure to use non-stigmatizing language when talking about older adults in line with ethical gerontological research practices highlighted by the British Society of Gerontology (2020). All sources were referenced correctly to prevent any plagiarism.</w:t>
      </w:r>
    </w:p>
    <w:p w:rsidR="007F1614" w:rsidRDefault="007F1614" w14:paraId="1894BAC4" w14:textId="77777777" w:rsidP="00E1488C" w:rsidRPr="00E1488C">
      <w:pPr>
        <w:jc w:val="both"/>
        <w:spacing w:line="360" w:lineRule="auto"/>
        <w:rPr>
          <w:rFonts w:ascii="Arial" w:cs="Arial" w:hAnsi="Arial"/>
          <w:sz w:val="22"/>
          <w:szCs w:val="22"/>
        </w:rPr>
      </w:pPr>
    </w:p>
    <w:p w:rsidR="007F1614" w:rsidRDefault="007F1614" w14:paraId="39DB9E3A" w14:textId="7C374334" w:rsidP="00E1488C" w:rsidRPr="00E1488C">
      <w:pPr>
        <w:pStyle w:val="Heading1"/>
        <w:rPr>
          <w:sz w:val="32"/>
          <w:szCs w:val="32"/>
        </w:rPr>
      </w:pPr>
      <w:bookmarkStart w:id="4" w:name="_Toc214224932"/>
      <w:r w:rsidRPr="00E1488C">
        <w:rPr>
          <w:sz w:val="32"/>
          <w:szCs w:val="32"/>
        </w:rPr>
        <w:t>Results</w:t>
        <w:lastRenderedPageBreak/>
      </w:r>
      <w:bookmarkEnd w:id="4"/>
      <w:r w:rsidRPr="00E1488C">
        <w:rPr>
          <w:sz w:val="32"/>
          <w:szCs w:val="32"/>
        </w:rPr>
        <w:t xml:space="preserve"> </w:t>
      </w:r>
    </w:p>
    <w:p w:rsidR="00F336B8" w:rsidRDefault="00F336B8" w14:paraId="397D8194" w14:textId="77777777" w:rsidP="00E1488C" w:rsidRPr="00E1488C">
      <w:pPr>
        <w:jc w:val="both"/>
        <w:spacing w:line="360" w:lineRule="auto"/>
        <w:rPr>
          <w:rFonts w:ascii="Arial" w:cs="Arial" w:hAnsi="Arial"/>
          <w:sz w:val="22"/>
          <w:szCs w:val="22"/>
        </w:rPr>
      </w:pPr>
    </w:p>
    <w:p w:rsidR="009E02F7" w:rsidRDefault="007F1614" w14:paraId="59D6B8BC" w14:textId="79D5273B" w:rsidP="00E1488C" w:rsidRPr="00E1488C">
      <w:pPr>
        <w:jc w:val="both"/>
        <w:spacing w:line="360" w:lineRule="auto"/>
        <w:rPr>
          <w:rFonts w:ascii="Arial" w:cs="Arial" w:hAnsi="Arial"/>
          <w:sz w:val="22"/>
          <w:szCs w:val="22"/>
        </w:rPr>
      </w:pPr>
      <w:r>
        <w:rPr>
          <w:noProof/>
        </w:rPr>
        <w:drawing>
          <wp:inline distB="0" distL="0" distR="0" distT="0" wp14:anchorId="014EF334" wp14:editId="59BC599D">
            <wp:extent cx="6165850" cy="2082800"/>
            <wp:effectExtent l="0" t="0" r="6350" b="0"/>
            <wp:docPr id="502205364"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05364" name="Picture 1" descr="A screenshot of a computer  AI-generated content may be incorrect."/>
                    <pic:cNvPicPr/>
                  </pic:nvPicPr>
                  <pic:blipFill>
                    <a:blip r:embed="rId12"/>
                    <a:stretch>
                      <a:fillRect/>
                    </a:stretch>
                  </pic:blipFill>
                  <pic:spPr>
                    <a:xfrm>
                      <a:off x="0" y="0"/>
                      <a:ext cx="6165850" cy="2082800"/>
                    </a:xfrm>
                    <a:prstGeom prst="rect">
                      <a:avLst/>
                    </a:prstGeom>
                  </pic:spPr>
                </pic:pic>
              </a:graphicData>
            </a:graphic>
          </wp:inline>
        </w:drawing>
      </w:r>
    </w:p>
    <w:p w:rsidR="005F7AC6" w:rsidRDefault="005F7AC6" w14:paraId="14C1EDCA" w14:textId="77777777" w:rsidP="00E1488C" w:rsidRPr="00E1488C">
      <w:pPr>
        <w:jc w:val="both"/>
        <w:spacing w:line="360" w:lineRule="auto"/>
        <w:rPr>
          <w:rFonts w:ascii="Arial" w:cs="Arial" w:hAnsi="Arial"/>
          <w:sz w:val="22"/>
          <w:szCs w:val="22"/>
        </w:rPr>
      </w:pPr>
    </w:p>
    <w:p w:rsidR="00B30AC2" w:rsidRDefault="009E17E5" w14:paraId="6EAF16EF" w14:textId="4C613580" w:rsidP="00E1488C" w:rsidRPr="00E1488C">
      <w:pPr>
        <w:jc w:val="both"/>
        <w:spacing w:line="360" w:lineRule="auto"/>
        <w:rPr>
          <w:rFonts w:ascii="Arial" w:cs="Arial" w:hAnsi="Arial"/>
          <w:sz w:val="22"/>
          <w:szCs w:val="22"/>
        </w:rPr>
      </w:pPr>
      <w:r w:rsidRPr="00E1488C">
        <w:rPr>
          <w:rFonts w:ascii="Arial" w:cs="Arial" w:hAnsi="Arial"/>
          <w:sz w:val="22"/>
          <w:szCs w:val="22"/>
        </w:rPr>
        <w:t>Thematic Analysis</w:t>
      </w:r>
    </w:p>
    <w:p w:rsidR="006925FF" w:rsidRDefault="009E17E5" w14:paraId="75A4C056" w14:textId="77777777" w:rsidP="00E1488C">
      <w:pPr>
        <w:jc w:val="both"/>
        <w:spacing w:line="360" w:lineRule="auto"/>
        <w:rPr>
          <w:rFonts w:ascii="Arial" w:cs="Arial" w:hAnsi="Arial"/>
          <w:sz w:val="22"/>
          <w:szCs w:val="22"/>
        </w:rPr>
      </w:pPr>
      <w:r w:rsidRPr="00E1488C">
        <w:rPr>
          <w:rFonts w:ascii="Arial" w:cs="Arial" w:hAnsi="Arial"/>
          <w:sz w:val="22"/>
          <w:szCs w:val="22"/>
        </w:rPr>
        <w:t xml:space="preserve">Three overarching themes were identified. Digital technology can enhance social connectedness. Digital literacy and accessibility issues limit engagement. Emotional benefits exist, but not universally. These themes are explored in detail below. Digital technologies allow communication, interaction and relationship-building. According to all five studies, digital technologies improve communications and reduce feelings of loneliness when used properly. Older adults increasingly relied on video calls to stay in touch with their families during COVID-19 lockdowns (Jones et al. 2019). Online community groups offered opportunities for shared activities and increased regular </w:t>
      </w:r>
      <w:r w:rsidR="006B13DA" w:rsidRPr="00E1488C">
        <w:rPr>
          <w:rFonts w:ascii="Arial" w:cs="Arial" w:hAnsi="Arial"/>
          <w:sz w:val="22"/>
          <w:szCs w:val="22"/>
        </w:rPr>
        <w:t>socialization</w:t>
      </w:r>
      <w:r w:rsidRPr="00E1488C">
        <w:rPr>
          <w:rFonts w:ascii="Arial" w:cs="Arial" w:hAnsi="Arial"/>
          <w:sz w:val="22"/>
          <w:szCs w:val="22"/>
        </w:rPr>
        <w:t xml:space="preserve"> (Smith &amp; Bradshaw, 2020). Users of digital community platforms experienced increased social connectedness, according to Ahmed and Morrison (2023). People who are elderly or are suffering from mobility problems can make use of these services and meet online. Obstacles of Digital Literacy, Usability and Self-assurance. Although the outcome was positive, all studies identified significant barriers that hinder participants from fully harnessing digital tools. Many elderly people reported that they had trouble using an interface, remembering passwords, and decoding messages (Williams et al., 2022). Patel et al. (2021) discovered an aversion to new technologies like social robots, with participants worried about “breaking the device” or not using it “correctly.” Barriers included affordability and lack of access to Wi-Fi suggesting structural inequalities in digital inclusion. </w:t>
      </w:r>
    </w:p>
    <w:p w:rsidR="00E27F39" w:rsidRDefault="00E27F39" w14:paraId="02626D41" w14:textId="77777777" w:rsidP="00E1488C">
      <w:pPr>
        <w:jc w:val="both"/>
        <w:spacing w:line="360" w:lineRule="auto"/>
        <w:rPr>
          <w:rFonts w:ascii="Arial" w:cs="Arial" w:hAnsi="Arial"/>
          <w:sz w:val="22"/>
          <w:szCs w:val="22"/>
        </w:rPr>
      </w:pPr>
    </w:p>
    <w:p w:rsidR="006925FF" w:rsidRDefault="009E17E5" w14:paraId="13A3186F" w14:textId="77777777" w:rsidP="00E1488C">
      <w:pPr>
        <w:jc w:val="both"/>
        <w:spacing w:line="360" w:lineRule="auto"/>
        <w:rPr>
          <w:rFonts w:ascii="Arial" w:cs="Arial" w:hAnsi="Arial"/>
          <w:sz w:val="22"/>
          <w:szCs w:val="22"/>
        </w:rPr>
      </w:pPr>
      <w:r w:rsidRPr="00E1488C">
        <w:rPr>
          <w:rFonts w:ascii="Arial" w:cs="Arial" w:hAnsi="Arial"/>
          <w:sz w:val="22"/>
          <w:szCs w:val="22"/>
        </w:rPr>
        <w:t>Effects on Emotions and Psychology</w:t>
        <w:lastRenderedPageBreak/>
      </w:r>
    </w:p>
    <w:p w:rsidR="00C95B00" w:rsidRDefault="009E17E5" w14:paraId="0FD845C8" w14:textId="15060B71" w:rsidP="00E1488C" w:rsidRPr="00E1488C">
      <w:pPr>
        <w:jc w:val="both"/>
        <w:spacing w:line="360" w:lineRule="auto"/>
        <w:rPr>
          <w:rFonts w:ascii="Arial" w:cs="Arial" w:hAnsi="Arial"/>
          <w:sz w:val="22"/>
          <w:szCs w:val="22"/>
        </w:rPr>
      </w:pPr>
      <w:r w:rsidRPr="00E1488C">
        <w:rPr>
          <w:rFonts w:ascii="Arial" w:cs="Arial" w:hAnsi="Arial"/>
          <w:sz w:val="22"/>
          <w:szCs w:val="22"/>
        </w:rPr>
        <w:t>According to Smith and Bradshaw (2020) and Ahmed and Morrison (2023), the positive emotional outcomes include enhanced mood, boredom, and sense of belonging. Nonetheless, there were instances of frustration or embarrassment reported by participants for instances of technology not working (Williams et al., 2022). Moreover, Patel et al. (2021) are also worried that this robotic companionship may replace humans. The results indicate that although they may support it, they cannot replace meaningful human contact.</w:t>
      </w:r>
    </w:p>
    <w:p w:rsidR="00B330C7" w:rsidRDefault="00B330C7" w14:paraId="67FCD5B8" w14:textId="266B217C" w:rsidP="00E1488C" w:rsidRPr="00E1488C">
      <w:pPr>
        <w:pStyle w:val="Heading1"/>
        <w:rPr>
          <w:sz w:val="32"/>
          <w:szCs w:val="32"/>
        </w:rPr>
      </w:pPr>
      <w:bookmarkStart w:id="5" w:name="_Toc214224933"/>
      <w:r w:rsidRPr="00E1488C">
        <w:rPr>
          <w:sz w:val="32"/>
          <w:szCs w:val="32"/>
        </w:rPr>
        <w:t>Discussion</w:t>
      </w:r>
      <w:bookmarkEnd w:id="5"/>
    </w:p>
    <w:p w:rsidR="006925FF" w:rsidRDefault="00B330C7" w14:paraId="6A2FC0A9" w14:textId="77777777" w:rsidP="00E1488C">
      <w:pPr>
        <w:jc w:val="both"/>
        <w:spacing w:line="360" w:lineRule="auto"/>
        <w:rPr>
          <w:rFonts w:ascii="Arial" w:cs="Arial" w:hAnsi="Arial"/>
          <w:sz w:val="22"/>
          <w:szCs w:val="22"/>
        </w:rPr>
      </w:pPr>
      <w:r w:rsidRPr="00E1488C">
        <w:rPr>
          <w:rFonts w:ascii="Arial" w:cs="Arial" w:hAnsi="Arial"/>
          <w:sz w:val="22"/>
          <w:szCs w:val="22"/>
        </w:rPr>
        <w:t xml:space="preserve">This review has shown that digital technology may help alleviate loneliness in older adults in the United Kingdom. Nonetheless, how effective they are </w:t>
      </w:r>
      <w:r w:rsidR="00A213D8" w:rsidRPr="00E1488C">
        <w:rPr>
          <w:rFonts w:ascii="Arial" w:cs="Arial" w:hAnsi="Arial"/>
          <w:sz w:val="22"/>
          <w:szCs w:val="22"/>
        </w:rPr>
        <w:t>depending</w:t>
      </w:r>
      <w:r w:rsidRPr="00E1488C">
        <w:rPr>
          <w:rFonts w:ascii="Arial" w:cs="Arial" w:hAnsi="Arial"/>
          <w:sz w:val="22"/>
          <w:szCs w:val="22"/>
        </w:rPr>
        <w:t xml:space="preserve"> a great deal on how easy it is to get and use. </w:t>
      </w:r>
    </w:p>
    <w:p w:rsidR="006925FF" w:rsidRDefault="00B330C7" w14:paraId="4F8B8E16" w14:textId="77777777" w:rsidP="00E1488C">
      <w:pPr>
        <w:jc w:val="both"/>
        <w:spacing w:line="360" w:lineRule="auto"/>
        <w:rPr>
          <w:rFonts w:ascii="Arial" w:cs="Arial" w:hAnsi="Arial"/>
          <w:sz w:val="22"/>
          <w:szCs w:val="22"/>
        </w:rPr>
      </w:pPr>
      <w:r w:rsidRPr="00E1488C">
        <w:rPr>
          <w:rFonts w:ascii="Arial" w:cs="Arial" w:hAnsi="Arial"/>
          <w:sz w:val="22"/>
          <w:szCs w:val="22"/>
        </w:rPr>
        <w:t>Effectiveness of Digital Tools</w:t>
      </w:r>
    </w:p>
    <w:p w:rsidR="006A7EB4" w:rsidRDefault="00B330C7" w14:paraId="38A98F62" w14:textId="7F8C970B" w:rsidP="00E1488C" w:rsidRPr="006A7EB4">
      <w:pPr>
        <w:jc w:val="both"/>
        <w:spacing w:line="360" w:lineRule="auto"/>
        <w:rPr>
          <w:rFonts w:ascii="Arial" w:cs="Arial" w:hAnsi="Arial"/>
          <w:sz w:val="22"/>
          <w:szCs w:val="22"/>
        </w:rPr>
      </w:pPr>
      <w:r w:rsidRPr="00E1488C">
        <w:rPr>
          <w:rFonts w:ascii="Arial" w:cs="Arial" w:hAnsi="Arial"/>
          <w:sz w:val="22"/>
          <w:szCs w:val="22"/>
        </w:rPr>
        <w:t xml:space="preserve">The studies in this review show that video calls, online communities and digital apps enhance social inclusion as consistent with the earlier studies (Chen &amp; Schulz, 2019; Fang et al., 2023) Communication is flexible, and participation </w:t>
      </w:r>
      <w:r w:rsidR="00DE690A" w:rsidRPr="00E1488C">
        <w:rPr>
          <w:rFonts w:ascii="Arial" w:cs="Arial" w:hAnsi="Arial"/>
          <w:sz w:val="22"/>
          <w:szCs w:val="22"/>
        </w:rPr>
        <w:t>in</w:t>
      </w:r>
      <w:r w:rsidRPr="00E1488C">
        <w:rPr>
          <w:rFonts w:ascii="Arial" w:cs="Arial" w:hAnsi="Arial"/>
          <w:sz w:val="22"/>
          <w:szCs w:val="22"/>
        </w:rPr>
        <w:t xml:space="preserve"> social networks can happen without geographical hindrance. However, the effectiveness differed due to the users’ skills, confidence and experience. Digital inclusion is about proper engagement and not necessarily access (Helsper, 2021). Digital skills may help with reducing loneliness. Digital literacy was the most significant barrier aligned with national data which suggest many older people do not have basic skills (Office for National Statistics, 2023). It is important to ensure digital assets by implementing community digital support and training. 5.3 Technology Acceptance. Studies show that social robots and other advanced technologies are received differently. To some, they were beneficial while others considered them impersonal. It raises important ethical and practical questions for digital health policy. Consequences for British healthcare and social care operatives. Taking a person-</w:t>
      </w:r>
      <w:r w:rsidR="00DE690A" w:rsidRPr="00E1488C">
        <w:rPr>
          <w:rFonts w:ascii="Arial" w:cs="Arial" w:hAnsi="Arial"/>
          <w:sz w:val="22"/>
          <w:szCs w:val="22"/>
        </w:rPr>
        <w:t>centered</w:t>
      </w:r>
      <w:r w:rsidRPr="00E1488C">
        <w:rPr>
          <w:rFonts w:ascii="Arial" w:cs="Arial" w:hAnsi="Arial"/>
          <w:sz w:val="22"/>
          <w:szCs w:val="22"/>
        </w:rPr>
        <w:t xml:space="preserve"> approach must </w:t>
      </w:r>
      <w:r w:rsidR="006A7EB4" w:rsidRPr="00E1488C">
        <w:rPr>
          <w:rFonts w:ascii="Arial" w:cs="Arial" w:hAnsi="Arial"/>
          <w:sz w:val="22"/>
          <w:szCs w:val="22"/>
        </w:rPr>
        <w:t>be healthy</w:t>
      </w:r>
      <w:r w:rsidRPr="00E1488C">
        <w:rPr>
          <w:rFonts w:ascii="Arial" w:cs="Arial" w:hAnsi="Arial"/>
          <w:sz w:val="22"/>
          <w:szCs w:val="22"/>
        </w:rPr>
        <w:t xml:space="preserve"> and social care professionals by. assessing individual digital abilities. providing tailored training. addressing affordability and accessibility barriers. In-person interaction needs to be prioritized over digital. Moreover, service providers should work with charities and local councils to foster inclusive digital engagement.</w:t>
      </w:r>
    </w:p>
    <w:p w:rsidR="00A57007" w:rsidRDefault="006A7EB4" w14:paraId="2A7A7ABC" w14:textId="0FD2E4E8" w:rsidP="00E1488C" w:rsidRPr="00E1488C">
      <w:pPr>
        <w:pStyle w:val="Heading1"/>
        <w:rPr>
          <w:sz w:val="32"/>
          <w:szCs w:val="32"/>
        </w:rPr>
      </w:pPr>
      <w:bookmarkStart w:id="6" w:name="_Toc214224934"/>
      <w:r w:rsidRPr="00E1488C">
        <w:rPr>
          <w:sz w:val="32"/>
          <w:szCs w:val="32"/>
        </w:rPr>
        <w:t>Conclusion</w:t>
        <w:lastRenderedPageBreak/>
      </w:r>
      <w:bookmarkEnd w:id="6"/>
    </w:p>
    <w:p w:rsidR="00D777A5" w:rsidRDefault="006A7EB4" w14:paraId="57FD156B" w14:textId="23F1A3B4" w:rsidP="00E1488C" w:rsidRPr="00E1488C">
      <w:pPr>
        <w:jc w:val="both"/>
        <w:spacing w:line="360" w:lineRule="auto"/>
        <w:rPr>
          <w:rFonts w:ascii="Arial" w:cs="Arial" w:hAnsi="Arial"/>
          <w:sz w:val="22"/>
          <w:szCs w:val="22"/>
        </w:rPr>
      </w:pPr>
      <w:r w:rsidRPr="006A7EB4">
        <w:rPr>
          <w:rFonts w:ascii="Arial" w:cs="Arial" w:hAnsi="Arial"/>
          <w:sz w:val="22"/>
          <w:szCs w:val="22"/>
        </w:rPr>
        <w:t xml:space="preserve">This scoping review shows that digital technologies can greatly help reduce loneliness among older people in the UK. According to some evidence, tools such as video calling (via Zoom), online communities, social media (such as Facebook) and digital assistive devices can enhance social connectedness and communication with family and </w:t>
      </w:r>
      <w:r w:rsidR="003F3984" w:rsidRPr="00E1488C">
        <w:rPr>
          <w:rFonts w:ascii="Arial" w:cs="Arial" w:hAnsi="Arial"/>
          <w:sz w:val="22"/>
          <w:szCs w:val="22"/>
        </w:rPr>
        <w:t>friends and</w:t>
      </w:r>
      <w:r w:rsidRPr="006A7EB4">
        <w:rPr>
          <w:rFonts w:ascii="Arial" w:cs="Arial" w:hAnsi="Arial"/>
          <w:sz w:val="22"/>
          <w:szCs w:val="22"/>
        </w:rPr>
        <w:t xml:space="preserve"> improve emotional wellbeing. The findings of studies highlighted in this section </w:t>
      </w:r>
      <w:r w:rsidR="00D777A5" w:rsidRPr="006A7EB4">
        <w:rPr>
          <w:rFonts w:ascii="Arial" w:cs="Arial" w:hAnsi="Arial"/>
          <w:sz w:val="22"/>
          <w:szCs w:val="22"/>
        </w:rPr>
        <w:t>are</w:t>
      </w:r>
      <w:r w:rsidRPr="006A7EB4">
        <w:rPr>
          <w:rFonts w:ascii="Arial" w:cs="Arial" w:hAnsi="Arial"/>
          <w:sz w:val="22"/>
          <w:szCs w:val="22"/>
        </w:rPr>
        <w:t xml:space="preserve"> consistent with existing literature, where it was found that technology use was positively associated with mental health outcomes in later life (Chen &amp; Schulz, 2019; Barbosa Neves et al., 2019). However, this review also </w:t>
      </w:r>
      <w:r w:rsidR="00A57007" w:rsidRPr="00E1488C">
        <w:rPr>
          <w:rFonts w:ascii="Arial" w:cs="Arial" w:hAnsi="Arial"/>
          <w:sz w:val="22"/>
          <w:szCs w:val="22"/>
        </w:rPr>
        <w:t>shows</w:t>
      </w:r>
      <w:r w:rsidRPr="006A7EB4">
        <w:rPr>
          <w:rFonts w:ascii="Arial" w:cs="Arial" w:hAnsi="Arial"/>
          <w:sz w:val="22"/>
          <w:szCs w:val="22"/>
        </w:rPr>
        <w:t xml:space="preserve"> that usability, accessibility and digital </w:t>
      </w:r>
      <w:r w:rsidR="003F3984" w:rsidRPr="00E1488C">
        <w:rPr>
          <w:rFonts w:ascii="Arial" w:cs="Arial" w:hAnsi="Arial"/>
          <w:sz w:val="22"/>
          <w:szCs w:val="22"/>
        </w:rPr>
        <w:t>confidence</w:t>
      </w:r>
      <w:r w:rsidRPr="006A7EB4">
        <w:rPr>
          <w:rFonts w:ascii="Arial" w:cs="Arial" w:hAnsi="Arial"/>
          <w:sz w:val="22"/>
          <w:szCs w:val="22"/>
        </w:rPr>
        <w:t xml:space="preserve"> all have great effects on the effectiveness of an intervention. The biggest challenge facing older populations to use technology is digital literacy which has been raised as an issue in national reports on digital exclusion (Ofcom, 2023; Helsper &amp; Van Deursen, 2020) Affordability, technology anxiety, poor internet access, and age-related disabilities make it extra hard to adopt and use what. We must think of technologies as complements and not substitutes for human relationships. Digital tools can help people connect. But these tools cannot replicate the quality of face-to-face meetings. This is especially true for people who have </w:t>
      </w:r>
      <w:r w:rsidR="003F3984" w:rsidRPr="00E1488C">
        <w:rPr>
          <w:rFonts w:ascii="Arial" w:cs="Arial" w:hAnsi="Arial"/>
          <w:sz w:val="22"/>
          <w:szCs w:val="22"/>
        </w:rPr>
        <w:t>suffered</w:t>
      </w:r>
      <w:r w:rsidRPr="006A7EB4">
        <w:rPr>
          <w:rFonts w:ascii="Arial" w:cs="Arial" w:hAnsi="Arial"/>
          <w:sz w:val="22"/>
          <w:szCs w:val="22"/>
        </w:rPr>
        <w:t xml:space="preserve"> a loss. Similarly, people coping with chronic illness or mobility issues will not receive the same value from virtual </w:t>
      </w:r>
      <w:r w:rsidR="003F3984" w:rsidRPr="00E1488C">
        <w:rPr>
          <w:rFonts w:ascii="Arial" w:cs="Arial" w:hAnsi="Arial"/>
          <w:sz w:val="22"/>
          <w:szCs w:val="22"/>
        </w:rPr>
        <w:t>meetups</w:t>
      </w:r>
      <w:r w:rsidRPr="006A7EB4">
        <w:rPr>
          <w:rFonts w:ascii="Arial" w:cs="Arial" w:hAnsi="Arial"/>
          <w:sz w:val="22"/>
          <w:szCs w:val="22"/>
        </w:rPr>
        <w:t>. To be effective, digital interventions need to be part of larger social care frameworks that enable meaningful, person-</w:t>
      </w:r>
      <w:r w:rsidR="003F3984" w:rsidRPr="00E1488C">
        <w:rPr>
          <w:rFonts w:ascii="Arial" w:cs="Arial" w:hAnsi="Arial"/>
          <w:sz w:val="22"/>
          <w:szCs w:val="22"/>
        </w:rPr>
        <w:t>centered</w:t>
      </w:r>
      <w:r w:rsidRPr="006A7EB4">
        <w:rPr>
          <w:rFonts w:ascii="Arial" w:cs="Arial" w:hAnsi="Arial"/>
          <w:sz w:val="22"/>
          <w:szCs w:val="22"/>
        </w:rPr>
        <w:t xml:space="preserve"> engagement. It is important to focus on inclusive age-friendly design principles that should be established in the collaboration of older adults. Consequently, a digital approach without consideration can inadvertently deepen current inequalities and may exclude those who are already vulnerable. In all, the findings suggest that digital solutions may provide opportunities but there are limitations too. To use digital technology in supporting healthy ageing and social participation, effective implementation needs coordinated effort across policy, practice and research. </w:t>
      </w:r>
    </w:p>
    <w:p w:rsidR="004C1CB0" w:rsidRDefault="00304D79" w14:paraId="73FF58A5" w14:textId="12C00B76" w:rsidP="00E1488C" w:rsidRPr="00E1488C">
      <w:pPr>
        <w:pStyle w:val="Heading1"/>
        <w:rPr>
          <w:sz w:val="32"/>
          <w:szCs w:val="32"/>
        </w:rPr>
      </w:pPr>
      <w:bookmarkStart w:id="7" w:name="_Toc214224935"/>
      <w:r w:rsidRPr="00E1488C">
        <w:rPr>
          <w:sz w:val="32"/>
          <w:szCs w:val="32"/>
        </w:rPr>
        <w:t>Recommendations</w:t>
      </w:r>
      <w:bookmarkEnd w:id="7"/>
    </w:p>
    <w:p w:rsidR="004C1CB0" w:rsidRDefault="00304D79" w14:paraId="609C65B1" w14:textId="7DF398A0" w:rsidP="00E1488C" w:rsidRPr="00E1488C">
      <w:pPr>
        <w:jc w:val="both"/>
        <w:spacing w:line="360" w:lineRule="auto"/>
        <w:rPr>
          <w:rFonts w:ascii="Arial" w:cs="Arial" w:hAnsi="Arial"/>
          <w:sz w:val="22"/>
          <w:szCs w:val="22"/>
        </w:rPr>
      </w:pPr>
      <w:r w:rsidRPr="00E1488C">
        <w:rPr>
          <w:rFonts w:ascii="Arial" w:cs="Arial" w:hAnsi="Arial"/>
          <w:sz w:val="22"/>
          <w:szCs w:val="22"/>
        </w:rPr>
        <w:t>Recommendations for Policy</w:t>
      </w:r>
    </w:p>
    <w:p w:rsidR="00057027" w:rsidRDefault="00304D79" w14:paraId="335992BF"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Increase government investment in digital inclusion </w:t>
      </w:r>
      <w:r w:rsidR="004C1CB0" w:rsidRPr="00E1488C">
        <w:rPr>
          <w:rFonts w:ascii="Arial" w:cs="Arial" w:hAnsi="Arial"/>
          <w:sz w:val="22"/>
          <w:szCs w:val="22"/>
        </w:rPr>
        <w:t>programs</w:t>
      </w:r>
      <w:r w:rsidRPr="00E1488C">
        <w:rPr>
          <w:rFonts w:ascii="Arial" w:cs="Arial" w:hAnsi="Arial"/>
          <w:sz w:val="22"/>
          <w:szCs w:val="22"/>
        </w:rPr>
        <w:t xml:space="preserve"> for older adults. Funding for community-based digital education for older adults must be available on a continuous basis and not just be provided as a one-off intervention. National and local authorities should expand such funding. </w:t>
      </w:r>
    </w:p>
    <w:p w:rsidR="004C1CB0" w:rsidRDefault="00304D79" w14:paraId="234EA01E" w14:textId="7D716552" w:rsidP="00E1488C" w:rsidRPr="00E1488C">
      <w:pPr>
        <w:jc w:val="both"/>
        <w:spacing w:line="360" w:lineRule="auto"/>
        <w:rPr>
          <w:rFonts w:ascii="Arial" w:cs="Arial" w:hAnsi="Arial"/>
          <w:sz w:val="22"/>
          <w:szCs w:val="22"/>
        </w:rPr>
      </w:pPr>
      <w:r w:rsidRPr="00E1488C">
        <w:rPr>
          <w:rFonts w:ascii="Arial" w:cs="Arial" w:hAnsi="Arial"/>
          <w:sz w:val="22"/>
          <w:szCs w:val="22"/>
        </w:rPr>
        <w:t xml:space="preserve"> Improve broadband and digital infrastructure, particularly in rural and deprived areas. For a significant participation, internet connectivity is a requirement. Improving infrastructure may help solve regional disparities and </w:t>
        <w:lastRenderedPageBreak/>
      </w:r>
      <w:r w:rsidR="004C1CB0" w:rsidRPr="00E1488C">
        <w:rPr>
          <w:rFonts w:ascii="Arial" w:cs="Arial" w:hAnsi="Arial"/>
          <w:sz w:val="22"/>
          <w:szCs w:val="22"/>
        </w:rPr>
        <w:t>access</w:t>
      </w:r>
      <w:r w:rsidRPr="00E1488C">
        <w:rPr>
          <w:rFonts w:ascii="Arial" w:cs="Arial" w:hAnsi="Arial"/>
          <w:sz w:val="22"/>
          <w:szCs w:val="22"/>
        </w:rPr>
        <w:t xml:space="preserve"> digital health solutions. </w:t>
      </w:r>
    </w:p>
    <w:p w:rsidR="00D67607" w:rsidRDefault="00304D79" w14:paraId="10D8D9B5"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 Embed digital literacy and access into social care funding frameworks. According to the Care Act 2014, wellbeing needs to be </w:t>
      </w:r>
      <w:r w:rsidR="003B539D" w:rsidRPr="00E1488C">
        <w:rPr>
          <w:rFonts w:ascii="Arial" w:cs="Arial" w:hAnsi="Arial"/>
          <w:sz w:val="22"/>
          <w:szCs w:val="22"/>
        </w:rPr>
        <w:t>promoted,</w:t>
      </w:r>
      <w:r w:rsidRPr="00E1488C">
        <w:rPr>
          <w:rFonts w:ascii="Arial" w:cs="Arial" w:hAnsi="Arial"/>
          <w:sz w:val="22"/>
          <w:szCs w:val="22"/>
        </w:rPr>
        <w:t xml:space="preserve"> and digital inclusion needs to be formally included as part of the same duty. Funding to support social care should include devices, connectivity and tech-support services. </w:t>
      </w:r>
    </w:p>
    <w:p w:rsidR="00D67607" w:rsidRDefault="00304D79" w14:paraId="1AB5B85A" w14:textId="52A4F5E6" w:rsidP="00E1488C" w:rsidRPr="00E1488C">
      <w:pPr>
        <w:jc w:val="both"/>
        <w:spacing w:line="360" w:lineRule="auto"/>
        <w:rPr>
          <w:rFonts w:ascii="Arial" w:cs="Arial" w:hAnsi="Arial"/>
          <w:sz w:val="22"/>
          <w:szCs w:val="22"/>
        </w:rPr>
      </w:pPr>
      <w:r w:rsidRPr="00E1488C">
        <w:rPr>
          <w:rFonts w:ascii="Arial" w:cs="Arial" w:hAnsi="Arial"/>
          <w:sz w:val="22"/>
          <w:szCs w:val="22"/>
        </w:rPr>
        <w:t>Promote cross-sector collaboration. Partnerships between government, technology companies, charities and health care providers are key to creating scalable, user-</w:t>
      </w:r>
      <w:r w:rsidR="00D777A5" w:rsidRPr="00E1488C">
        <w:rPr>
          <w:rFonts w:ascii="Arial" w:cs="Arial" w:hAnsi="Arial"/>
          <w:sz w:val="22"/>
          <w:szCs w:val="22"/>
        </w:rPr>
        <w:t>centered</w:t>
      </w:r>
      <w:r w:rsidRPr="00E1488C">
        <w:rPr>
          <w:rFonts w:ascii="Arial" w:cs="Arial" w:hAnsi="Arial"/>
          <w:sz w:val="22"/>
          <w:szCs w:val="22"/>
        </w:rPr>
        <w:t xml:space="preserve"> digital solutions for older people. </w:t>
      </w:r>
    </w:p>
    <w:p w:rsidR="00D67607" w:rsidRDefault="00D67607" w14:paraId="40421166" w14:textId="77777777" w:rsidP="00E1488C" w:rsidRPr="00E1488C">
      <w:pPr>
        <w:jc w:val="both"/>
        <w:spacing w:line="360" w:lineRule="auto"/>
        <w:rPr>
          <w:rFonts w:ascii="Arial" w:cs="Arial" w:hAnsi="Arial"/>
          <w:sz w:val="22"/>
          <w:szCs w:val="22"/>
        </w:rPr>
      </w:pPr>
    </w:p>
    <w:p w:rsidR="00D67607" w:rsidRDefault="00304D79" w14:paraId="200FFAC5" w14:textId="1D7A5E89" w:rsidP="00E1488C" w:rsidRPr="00E1488C">
      <w:pPr>
        <w:jc w:val="both"/>
        <w:spacing w:line="360" w:lineRule="auto"/>
        <w:rPr>
          <w:rFonts w:ascii="Arial" w:cs="Arial" w:hAnsi="Arial"/>
          <w:sz w:val="22"/>
          <w:szCs w:val="22"/>
        </w:rPr>
      </w:pPr>
      <w:r w:rsidRPr="00E1488C">
        <w:rPr>
          <w:rFonts w:ascii="Arial" w:cs="Arial" w:hAnsi="Arial"/>
          <w:sz w:val="22"/>
          <w:szCs w:val="22"/>
        </w:rPr>
        <w:t>Recommendations for Practice</w:t>
      </w:r>
    </w:p>
    <w:p w:rsidR="003514E2" w:rsidRDefault="00304D79" w14:paraId="4FFEF68A"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Provide routine digital skills assessments in health and social care settings. Regular assessments can help identify those who may benefit from individualized training or adaptive technology. </w:t>
      </w:r>
    </w:p>
    <w:p w:rsidR="00AD6F44" w:rsidRDefault="00304D79" w14:paraId="7895AF66"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Offer ongoing, flexible training and technical support. The speed of training should be appropriate, accessible in various formats, and available in several ways (e.g. home visit, group class, phone support). </w:t>
      </w:r>
    </w:p>
    <w:p w:rsidR="00AD6F44" w:rsidRDefault="00304D79" w14:paraId="23702550"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Ensure accessible device interfaces and age-friendly design. Application developers must </w:t>
      </w:r>
      <w:r w:rsidR="00AD6F44" w:rsidRPr="00E1488C">
        <w:rPr>
          <w:rFonts w:ascii="Arial" w:cs="Arial" w:hAnsi="Arial"/>
          <w:sz w:val="22"/>
          <w:szCs w:val="22"/>
        </w:rPr>
        <w:t>prioritize</w:t>
      </w:r>
      <w:r w:rsidRPr="00E1488C">
        <w:rPr>
          <w:rFonts w:ascii="Arial" w:cs="Arial" w:hAnsi="Arial"/>
          <w:sz w:val="22"/>
          <w:szCs w:val="22"/>
        </w:rPr>
        <w:t xml:space="preserve"> technologies that improve navigation, allow for text resizing, are voice-activated and provide instructions. </w:t>
      </w:r>
    </w:p>
    <w:p w:rsidR="001F546E" w:rsidRDefault="00304D79" w14:paraId="120542D5"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Combine digital interventions with traditional social support. An application should complement in-person socialization and befriending schemes, community </w:t>
      </w:r>
      <w:r w:rsidR="00AD6F44" w:rsidRPr="00E1488C">
        <w:rPr>
          <w:rFonts w:ascii="Arial" w:cs="Arial" w:hAnsi="Arial"/>
          <w:sz w:val="22"/>
          <w:szCs w:val="22"/>
        </w:rPr>
        <w:t>centers</w:t>
      </w:r>
      <w:r w:rsidRPr="00E1488C">
        <w:rPr>
          <w:rFonts w:ascii="Arial" w:cs="Arial" w:hAnsi="Arial"/>
          <w:sz w:val="22"/>
          <w:szCs w:val="22"/>
        </w:rPr>
        <w:t xml:space="preserve"> and volunteer services. </w:t>
      </w:r>
    </w:p>
    <w:p w:rsidR="005F7AC6" w:rsidRDefault="00304D79" w14:paraId="294B4EC3" w14:textId="63821FA7" w:rsidP="00E1488C">
      <w:pPr>
        <w:jc w:val="both"/>
        <w:spacing w:line="360" w:lineRule="auto"/>
        <w:rPr>
          <w:rFonts w:ascii="Arial" w:cs="Arial" w:hAnsi="Arial"/>
          <w:sz w:val="22"/>
          <w:szCs w:val="22"/>
        </w:rPr>
      </w:pPr>
      <w:r w:rsidRPr="00E1488C">
        <w:rPr>
          <w:rFonts w:ascii="Arial" w:cs="Arial" w:hAnsi="Arial"/>
          <w:sz w:val="22"/>
          <w:szCs w:val="22"/>
        </w:rPr>
        <w:t>Promote intergenerational digital support models. Older people gain confidence through younger volunteers or community groups helping them improve social participation, thereby reducing intergenerational divide.</w:t>
      </w:r>
    </w:p>
    <w:p w:rsidR="00D777A5" w:rsidRDefault="00D777A5" w14:paraId="3579807F" w14:textId="77777777" w:rsidP="00E1488C">
      <w:pPr>
        <w:jc w:val="both"/>
        <w:spacing w:line="360" w:lineRule="auto"/>
        <w:rPr>
          <w:rFonts w:ascii="Arial" w:cs="Arial" w:hAnsi="Arial"/>
          <w:sz w:val="22"/>
          <w:szCs w:val="22"/>
        </w:rPr>
      </w:pPr>
    </w:p>
    <w:p w:rsidR="00E27F39" w:rsidRDefault="00E27F39" w14:paraId="1AF28200" w14:textId="77777777" w:rsidP="00E1488C">
      <w:pPr>
        <w:jc w:val="both"/>
        <w:spacing w:line="360" w:lineRule="auto"/>
        <w:rPr>
          <w:rFonts w:ascii="Arial" w:cs="Arial" w:hAnsi="Arial"/>
          <w:sz w:val="22"/>
          <w:szCs w:val="22"/>
        </w:rPr>
      </w:pPr>
    </w:p>
    <w:p w:rsidR="00E27F39" w:rsidRDefault="00E27F39" w14:paraId="01B312DE" w14:textId="77777777" w:rsidP="00E1488C">
      <w:pPr>
        <w:jc w:val="both"/>
        <w:spacing w:line="360" w:lineRule="auto"/>
        <w:rPr>
          <w:rFonts w:ascii="Arial" w:cs="Arial" w:hAnsi="Arial"/>
          <w:sz w:val="22"/>
          <w:szCs w:val="22"/>
        </w:rPr>
      </w:pPr>
    </w:p>
    <w:p w:rsidR="00E27F39" w:rsidRDefault="00E27F39" w14:paraId="44C87F30" w14:textId="77777777" w:rsidP="00E1488C" w:rsidRPr="00E1488C">
      <w:pPr>
        <w:jc w:val="both"/>
        <w:spacing w:line="360" w:lineRule="auto"/>
        <w:rPr>
          <w:rFonts w:ascii="Arial" w:cs="Arial" w:hAnsi="Arial"/>
          <w:sz w:val="22"/>
          <w:szCs w:val="22"/>
        </w:rPr>
      </w:pPr>
    </w:p>
    <w:p w:rsidR="00CA4E9C" w:rsidRDefault="005C2A13" w14:paraId="20686BCD" w14:textId="7A896969" w:rsidP="00E1488C" w:rsidRPr="00E1488C">
      <w:pPr>
        <w:jc w:val="both"/>
        <w:spacing w:line="360" w:lineRule="auto"/>
        <w:rPr>
          <w:rFonts w:ascii="Arial" w:cs="Arial" w:hAnsi="Arial"/>
          <w:sz w:val="22"/>
          <w:szCs w:val="22"/>
        </w:rPr>
      </w:pPr>
      <w:r w:rsidRPr="00E1488C">
        <w:rPr>
          <w:rFonts w:ascii="Arial" w:cs="Arial" w:hAnsi="Arial"/>
          <w:sz w:val="22"/>
          <w:szCs w:val="22"/>
        </w:rPr>
        <w:t>Recommendations for Future Research</w:t>
        <w:lastRenderedPageBreak/>
      </w:r>
    </w:p>
    <w:p w:rsidR="00CA4E9C" w:rsidRDefault="005C2A13" w14:paraId="64C39827" w14:textId="33FF2228" w:rsidP="00E1488C" w:rsidRPr="00E1488C">
      <w:pPr>
        <w:jc w:val="both"/>
        <w:spacing w:line="360" w:lineRule="auto"/>
        <w:rPr>
          <w:rFonts w:ascii="Arial" w:cs="Arial" w:hAnsi="Arial"/>
          <w:sz w:val="22"/>
          <w:szCs w:val="22"/>
        </w:rPr>
      </w:pPr>
      <w:r w:rsidRPr="00E1488C">
        <w:rPr>
          <w:rFonts w:ascii="Arial" w:cs="Arial" w:hAnsi="Arial"/>
          <w:sz w:val="22"/>
          <w:szCs w:val="22"/>
        </w:rPr>
        <w:t xml:space="preserve">Conduct large-scale, longitudinal studies to explore long-term outcomes. Oftentimes, present research focuses on smaller samples or lesser durations. Longitudinal methods would shed light on continued involvement, alteration in </w:t>
      </w:r>
      <w:r w:rsidR="00E27F39" w:rsidRPr="00E1488C">
        <w:rPr>
          <w:rFonts w:ascii="Arial" w:cs="Arial" w:hAnsi="Arial"/>
          <w:sz w:val="22"/>
          <w:szCs w:val="22"/>
        </w:rPr>
        <w:t>behavior</w:t>
      </w:r>
      <w:r w:rsidRPr="00E1488C">
        <w:rPr>
          <w:rFonts w:ascii="Arial" w:cs="Arial" w:hAnsi="Arial"/>
          <w:sz w:val="22"/>
          <w:szCs w:val="22"/>
        </w:rPr>
        <w:t xml:space="preserve"> and mental health impact. </w:t>
      </w:r>
    </w:p>
    <w:p w:rsidR="00CA4E9C" w:rsidRDefault="005C2A13" w14:paraId="28439C0A"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 Investigate experiences of underrepresented and </w:t>
      </w:r>
      <w:r w:rsidR="00CA4E9C" w:rsidRPr="00E1488C">
        <w:rPr>
          <w:rFonts w:ascii="Arial" w:cs="Arial" w:hAnsi="Arial"/>
          <w:sz w:val="22"/>
          <w:szCs w:val="22"/>
        </w:rPr>
        <w:t>marginalized</w:t>
      </w:r>
      <w:r w:rsidRPr="00E1488C">
        <w:rPr>
          <w:rFonts w:ascii="Arial" w:cs="Arial" w:hAnsi="Arial"/>
          <w:sz w:val="22"/>
          <w:szCs w:val="22"/>
        </w:rPr>
        <w:t xml:space="preserve"> groups. Research is needed that investigates digital engagement of older minority ethnic communities, LGTGBT populations, disabled persons, and person who faces severe economic disadvantage.</w:t>
      </w:r>
    </w:p>
    <w:p w:rsidR="00CA4E9C" w:rsidRDefault="005C2A13" w14:paraId="3AA02706" w14:textId="09B6AD8D" w:rsidP="00E1488C" w:rsidRPr="00E1488C">
      <w:pPr>
        <w:jc w:val="both"/>
        <w:spacing w:line="360" w:lineRule="auto"/>
        <w:rPr>
          <w:rFonts w:ascii="Arial" w:cs="Arial" w:hAnsi="Arial"/>
          <w:sz w:val="22"/>
          <w:szCs w:val="22"/>
        </w:rPr>
      </w:pPr>
      <w:r w:rsidRPr="00E1488C">
        <w:rPr>
          <w:rFonts w:ascii="Arial" w:cs="Arial" w:hAnsi="Arial"/>
          <w:sz w:val="22"/>
          <w:szCs w:val="22"/>
        </w:rPr>
        <w:t xml:space="preserve"> Evaluate cost-effectiveness and scalability. </w:t>
      </w:r>
      <w:r w:rsidR="00CA4E9C" w:rsidRPr="00E1488C">
        <w:rPr>
          <w:rFonts w:ascii="Arial" w:cs="Arial" w:hAnsi="Arial"/>
          <w:sz w:val="22"/>
          <w:szCs w:val="22"/>
        </w:rPr>
        <w:t>To</w:t>
      </w:r>
      <w:r w:rsidRPr="00E1488C">
        <w:rPr>
          <w:rFonts w:ascii="Arial" w:cs="Arial" w:hAnsi="Arial"/>
          <w:sz w:val="22"/>
          <w:szCs w:val="22"/>
        </w:rPr>
        <w:t xml:space="preserve"> invest further in policies, </w:t>
      </w:r>
      <w:r w:rsidR="00CA4E9C" w:rsidRPr="00E1488C">
        <w:rPr>
          <w:rFonts w:ascii="Arial" w:cs="Arial" w:hAnsi="Arial"/>
          <w:sz w:val="22"/>
          <w:szCs w:val="22"/>
        </w:rPr>
        <w:t>policy</w:t>
      </w:r>
      <w:r w:rsidRPr="00E1488C">
        <w:rPr>
          <w:rFonts w:ascii="Arial" w:cs="Arial" w:hAnsi="Arial"/>
          <w:sz w:val="22"/>
          <w:szCs w:val="22"/>
        </w:rPr>
        <w:t xml:space="preserve"> makers require evidence based on the economic benefits, allocation of resources and </w:t>
      </w:r>
      <w:r w:rsidR="00CA4E9C" w:rsidRPr="00E1488C">
        <w:rPr>
          <w:rFonts w:ascii="Arial" w:cs="Arial" w:hAnsi="Arial"/>
          <w:sz w:val="22"/>
          <w:szCs w:val="22"/>
        </w:rPr>
        <w:t>sustainability</w:t>
      </w:r>
      <w:r w:rsidRPr="00E1488C">
        <w:rPr>
          <w:rFonts w:ascii="Arial" w:cs="Arial" w:hAnsi="Arial"/>
          <w:sz w:val="22"/>
          <w:szCs w:val="22"/>
        </w:rPr>
        <w:t xml:space="preserve">. </w:t>
      </w:r>
    </w:p>
    <w:p w:rsidR="00CA4E9C" w:rsidRDefault="005C2A13" w14:paraId="72D42815" w14:textId="77777777" w:rsidP="00E1488C" w:rsidRPr="00E1488C">
      <w:pPr>
        <w:jc w:val="both"/>
        <w:spacing w:line="360" w:lineRule="auto"/>
        <w:rPr>
          <w:rFonts w:ascii="Arial" w:cs="Arial" w:hAnsi="Arial"/>
          <w:sz w:val="22"/>
          <w:szCs w:val="22"/>
        </w:rPr>
      </w:pPr>
      <w:r w:rsidRPr="00E1488C">
        <w:rPr>
          <w:rFonts w:ascii="Arial" w:cs="Arial" w:hAnsi="Arial"/>
          <w:sz w:val="22"/>
          <w:szCs w:val="22"/>
        </w:rPr>
        <w:t xml:space="preserve"> Examine co-produced and participatory design approaches. Research should assess how including older adults in designing technology impacts the usability, adoption, and satisfaction levels. </w:t>
      </w:r>
    </w:p>
    <w:p w:rsidR="005F7AC6" w:rsidRDefault="005C2A13" w14:paraId="6E47B317" w14:textId="6FC4FABD" w:rsidP="00E1488C" w:rsidRPr="00E1488C">
      <w:pPr>
        <w:jc w:val="both"/>
        <w:spacing w:line="360" w:lineRule="auto"/>
        <w:rPr>
          <w:rFonts w:ascii="Arial" w:cs="Arial" w:hAnsi="Arial"/>
          <w:sz w:val="22"/>
          <w:szCs w:val="22"/>
        </w:rPr>
      </w:pPr>
      <w:r w:rsidRPr="00E1488C">
        <w:rPr>
          <w:rFonts w:ascii="Arial" w:cs="Arial" w:hAnsi="Arial"/>
          <w:sz w:val="22"/>
          <w:szCs w:val="22"/>
        </w:rPr>
        <w:t xml:space="preserve"> Explore ethical and privacy considerations. With the growth of digital health, we need to </w:t>
      </w:r>
      <w:r w:rsidR="00CA4E9C" w:rsidRPr="00E1488C">
        <w:rPr>
          <w:rFonts w:ascii="Arial" w:cs="Arial" w:hAnsi="Arial"/>
          <w:sz w:val="22"/>
          <w:szCs w:val="22"/>
        </w:rPr>
        <w:t>investigate</w:t>
      </w:r>
      <w:r w:rsidRPr="00E1488C">
        <w:rPr>
          <w:rFonts w:ascii="Arial" w:cs="Arial" w:hAnsi="Arial"/>
          <w:sz w:val="22"/>
          <w:szCs w:val="22"/>
        </w:rPr>
        <w:t xml:space="preserve"> issues like data security, surveillance, and autonomy, especially for vulnerable older users.</w:t>
      </w:r>
    </w:p>
    <w:p w:rsidR="005F7AC6" w:rsidRDefault="005F7AC6" w14:paraId="6E8F2D57" w14:textId="77777777" w:rsidP="00E1488C" w:rsidRPr="00E1488C">
      <w:pPr>
        <w:jc w:val="both"/>
        <w:spacing w:line="360" w:lineRule="auto"/>
        <w:rPr>
          <w:rFonts w:ascii="Arial" w:cs="Arial" w:hAnsi="Arial"/>
          <w:sz w:val="22"/>
          <w:szCs w:val="22"/>
        </w:rPr>
      </w:pPr>
    </w:p>
    <w:p w:rsidR="005F7AC6" w:rsidRDefault="005F7AC6" w14:paraId="621F8478" w14:textId="77777777" w:rsidP="00E1488C" w:rsidRPr="00E1488C">
      <w:pPr>
        <w:jc w:val="both"/>
        <w:spacing w:line="360" w:lineRule="auto"/>
        <w:rPr>
          <w:rFonts w:ascii="Arial" w:cs="Arial" w:hAnsi="Arial"/>
          <w:sz w:val="22"/>
          <w:szCs w:val="22"/>
        </w:rPr>
      </w:pPr>
    </w:p>
    <w:p w:rsidR="005F7AC6" w:rsidRDefault="005F7AC6" w14:paraId="5903E0BD" w14:textId="77777777" w:rsidP="00E1488C" w:rsidRPr="00E1488C">
      <w:pPr>
        <w:jc w:val="both"/>
        <w:spacing w:line="360" w:lineRule="auto"/>
        <w:rPr>
          <w:rFonts w:ascii="Arial" w:cs="Arial" w:hAnsi="Arial"/>
          <w:sz w:val="22"/>
          <w:szCs w:val="22"/>
        </w:rPr>
      </w:pPr>
    </w:p>
    <w:p w:rsidR="005F7AC6" w:rsidRDefault="005F7AC6" w14:paraId="77890AD7" w14:textId="77777777" w:rsidP="00E1488C" w:rsidRPr="00E1488C">
      <w:pPr>
        <w:jc w:val="both"/>
        <w:spacing w:line="360" w:lineRule="auto"/>
        <w:rPr>
          <w:rFonts w:ascii="Arial" w:cs="Arial" w:hAnsi="Arial"/>
          <w:sz w:val="22"/>
          <w:szCs w:val="22"/>
        </w:rPr>
      </w:pPr>
    </w:p>
    <w:p w:rsidR="005F7AC6" w:rsidRDefault="005F7AC6" w14:paraId="2B7AF559" w14:textId="77777777" w:rsidP="00E1488C" w:rsidRPr="00E1488C">
      <w:pPr>
        <w:jc w:val="both"/>
        <w:spacing w:line="360" w:lineRule="auto"/>
        <w:rPr>
          <w:rFonts w:ascii="Arial" w:cs="Arial" w:hAnsi="Arial"/>
          <w:sz w:val="22"/>
          <w:szCs w:val="22"/>
        </w:rPr>
      </w:pPr>
    </w:p>
    <w:p w:rsidR="005F7AC6" w:rsidRDefault="005F7AC6" w14:paraId="095676DD" w14:textId="77777777" w:rsidP="00E1488C" w:rsidRPr="00E1488C">
      <w:pPr>
        <w:jc w:val="both"/>
        <w:spacing w:line="360" w:lineRule="auto"/>
        <w:rPr>
          <w:rFonts w:ascii="Arial" w:cs="Arial" w:hAnsi="Arial"/>
          <w:sz w:val="22"/>
          <w:szCs w:val="22"/>
        </w:rPr>
      </w:pPr>
    </w:p>
    <w:p w:rsidR="00250C69" w:rsidRDefault="00250C69" w14:paraId="147850BD" w14:textId="77777777" w:rsidP="00E1488C" w:rsidRPr="00E1488C">
      <w:pPr>
        <w:jc w:val="both"/>
        <w:spacing w:line="360" w:lineRule="auto"/>
        <w:rPr>
          <w:rFonts w:ascii="Arial" w:cs="Arial" w:hAnsi="Arial"/>
          <w:sz w:val="22"/>
          <w:szCs w:val="22"/>
        </w:rPr>
      </w:pPr>
    </w:p>
    <w:p w:rsidR="00E1488C" w:rsidRDefault="00E1488C" w14:paraId="522938F4" w14:textId="77777777" w:rsidP="00E1488C">
      <w:pPr>
        <w:jc w:val="both"/>
        <w:spacing w:line="360" w:lineRule="auto"/>
        <w:rPr>
          <w:rFonts w:ascii="Arial" w:cs="Arial" w:hAnsi="Arial"/>
          <w:sz w:val="22"/>
          <w:szCs w:val="22"/>
        </w:rPr>
      </w:pPr>
    </w:p>
    <w:p w:rsidR="00E27F39" w:rsidRDefault="00E27F39" w14:paraId="46252996" w14:textId="77777777" w:rsidP="00E1488C">
      <w:pPr>
        <w:jc w:val="both"/>
        <w:spacing w:line="360" w:lineRule="auto"/>
        <w:rPr>
          <w:rFonts w:ascii="Arial" w:cs="Arial" w:hAnsi="Arial"/>
          <w:sz w:val="22"/>
          <w:szCs w:val="22"/>
        </w:rPr>
      </w:pPr>
    </w:p>
    <w:p w:rsidR="00E27F39" w:rsidRDefault="00E27F39" w14:paraId="4EFBC200" w14:textId="77777777" w:rsidP="00E1488C" w:rsidRPr="00E1488C">
      <w:pPr>
        <w:jc w:val="both"/>
        <w:spacing w:line="360" w:lineRule="auto"/>
        <w:rPr>
          <w:rFonts w:ascii="Arial" w:cs="Arial" w:hAnsi="Arial"/>
          <w:sz w:val="22"/>
          <w:szCs w:val="22"/>
        </w:rPr>
      </w:pPr>
    </w:p>
    <w:p w:rsidR="005F7AC6" w:rsidRDefault="005F7AC6" w14:paraId="684D6BF1" w14:textId="46C20827" w:rsidP="00E1488C" w:rsidRPr="00E1488C">
      <w:pPr>
        <w:pStyle w:val="Heading1"/>
        <w:jc w:val="center"/>
        <w:rPr>
          <w:sz w:val="32"/>
          <w:szCs w:val="32"/>
        </w:rPr>
      </w:pPr>
      <w:bookmarkStart w:id="8" w:name="_Toc214224936"/>
      <w:r w:rsidRPr="00E1488C">
        <w:rPr>
          <w:sz w:val="32"/>
          <w:szCs w:val="32"/>
        </w:rPr>
        <w:t>References</w:t>
        <w:lastRenderedPageBreak/>
      </w:r>
      <w:bookmarkEnd w:id="8"/>
    </w:p>
    <w:p w:rsidR="005F7AC6" w:rsidRDefault="005F7AC6" w14:paraId="7CB7F994" w14:textId="77777777" w:rsidP="00E1488C" w:rsidRPr="00E1488C">
      <w:pPr>
        <w:jc w:val="both"/>
        <w:spacing w:line="360" w:lineRule="auto"/>
        <w:rPr>
          <w:rFonts w:ascii="Arial" w:cs="Arial" w:hAnsi="Arial"/>
          <w:sz w:val="22"/>
          <w:szCs w:val="22"/>
        </w:rPr>
      </w:pPr>
    </w:p>
    <w:p w:rsidR="005F7AC6" w:rsidRDefault="005F7AC6" w14:paraId="26815154"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Age UK (2024) </w:t>
      </w:r>
      <w:r w:rsidRPr="005F7AC6">
        <w:rPr>
          <w:iCs/>
          <w:i/>
          <w:rFonts w:ascii="Arial" w:cs="Arial" w:hAnsi="Arial"/>
          <w:sz w:val="22"/>
          <w:szCs w:val="22"/>
        </w:rPr>
        <w:t>Loneliness in Later Life: Key Statistics</w:t>
      </w:r>
      <w:r w:rsidRPr="005F7AC6">
        <w:rPr>
          <w:rFonts w:ascii="Arial" w:cs="Arial" w:hAnsi="Arial"/>
          <w:sz w:val="22"/>
          <w:szCs w:val="22"/>
        </w:rPr>
        <w:t>. London: Age UK.</w:t>
      </w:r>
    </w:p>
    <w:p w:rsidR="005F7AC6" w:rsidRDefault="005F7AC6" w14:paraId="4A19DB08" w14:textId="77777777" w:rsidP="00E1488C" w:rsidRPr="005F7AC6">
      <w:pPr>
        <w:jc w:val="both"/>
        <w:spacing w:line="360" w:lineRule="auto"/>
        <w:rPr>
          <w:rFonts w:ascii="Arial" w:cs="Arial" w:hAnsi="Arial"/>
          <w:sz w:val="22"/>
          <w:szCs w:val="22"/>
        </w:rPr>
      </w:pPr>
      <w:r w:rsidRPr="005F7AC6">
        <w:rPr>
          <w:rFonts w:ascii="Arial" w:cs="Arial" w:hAnsi="Arial"/>
          <w:sz w:val="22"/>
          <w:szCs w:val="22"/>
        </w:rPr>
        <w:t>Barbosa Neves, B., Franz, R., Judges, R., Beermann, C. &amp; Baecker, R. (</w:t>
      </w:r>
      <w:proofErr w:type="gramStart"/>
      <w:r w:rsidRPr="005F7AC6">
        <w:rPr>
          <w:rFonts w:ascii="Arial" w:cs="Arial" w:hAnsi="Arial"/>
          <w:sz w:val="22"/>
          <w:szCs w:val="22"/>
        </w:rPr>
        <w:t>2019) ‘</w:t>
      </w:r>
      <w:proofErr w:type="gramEnd"/>
      <w:r w:rsidRPr="005F7AC6">
        <w:rPr>
          <w:rFonts w:ascii="Arial" w:cs="Arial" w:hAnsi="Arial"/>
          <w:sz w:val="22"/>
          <w:szCs w:val="22"/>
        </w:rPr>
        <w:t xml:space="preserve">Can digital technology enhance social connectedness among older adults?’ </w:t>
      </w:r>
      <w:r w:rsidRPr="005F7AC6">
        <w:rPr>
          <w:iCs/>
          <w:i/>
          <w:rFonts w:ascii="Arial" w:cs="Arial" w:hAnsi="Arial"/>
          <w:sz w:val="22"/>
          <w:szCs w:val="22"/>
        </w:rPr>
        <w:t>Journal of Applied Gerontology</w:t>
      </w:r>
      <w:r w:rsidRPr="005F7AC6">
        <w:rPr>
          <w:rFonts w:ascii="Arial" w:cs="Arial" w:hAnsi="Arial"/>
          <w:sz w:val="22"/>
          <w:szCs w:val="22"/>
        </w:rPr>
        <w:t>, 38(1), pp. 49–72.</w:t>
      </w:r>
    </w:p>
    <w:p w:rsidR="005F7AC6" w:rsidRDefault="005F7AC6" w14:paraId="5CF4A1BD"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Campaign to End Loneliness (2023) </w:t>
      </w:r>
      <w:r w:rsidRPr="005F7AC6">
        <w:rPr>
          <w:iCs/>
          <w:i/>
          <w:rFonts w:ascii="Arial" w:cs="Arial" w:hAnsi="Arial"/>
          <w:sz w:val="22"/>
          <w:szCs w:val="22"/>
        </w:rPr>
        <w:t>The Cost of Loneliness to Health and Social Care</w:t>
      </w:r>
      <w:r w:rsidRPr="005F7AC6">
        <w:rPr>
          <w:rFonts w:ascii="Arial" w:cs="Arial" w:hAnsi="Arial"/>
          <w:sz w:val="22"/>
          <w:szCs w:val="22"/>
        </w:rPr>
        <w:t>. London: Campaign to End Loneliness.</w:t>
      </w:r>
    </w:p>
    <w:p w:rsidR="005F7AC6" w:rsidRDefault="005F7AC6" w14:paraId="2FEDB5B7" w14:textId="77777777" w:rsidP="00E1488C" w:rsidRPr="005F7AC6">
      <w:pPr>
        <w:jc w:val="both"/>
        <w:spacing w:line="360" w:lineRule="auto"/>
        <w:rPr>
          <w:rFonts w:ascii="Arial" w:cs="Arial" w:hAnsi="Arial"/>
          <w:sz w:val="22"/>
          <w:szCs w:val="22"/>
        </w:rPr>
      </w:pPr>
      <w:r w:rsidRPr="005F7AC6">
        <w:rPr>
          <w:rFonts w:ascii="Arial" w:cs="Arial" w:hAnsi="Arial"/>
          <w:sz w:val="22"/>
          <w:szCs w:val="22"/>
        </w:rPr>
        <w:t>Chen, Y. &amp; Schulz, P. (</w:t>
      </w:r>
      <w:proofErr w:type="gramStart"/>
      <w:r w:rsidRPr="005F7AC6">
        <w:rPr>
          <w:rFonts w:ascii="Arial" w:cs="Arial" w:hAnsi="Arial"/>
          <w:sz w:val="22"/>
          <w:szCs w:val="22"/>
        </w:rPr>
        <w:t>2019) ‘</w:t>
      </w:r>
      <w:proofErr w:type="gramEnd"/>
      <w:r w:rsidRPr="005F7AC6">
        <w:rPr>
          <w:rFonts w:ascii="Arial" w:cs="Arial" w:hAnsi="Arial"/>
          <w:sz w:val="22"/>
          <w:szCs w:val="22"/>
        </w:rPr>
        <w:t xml:space="preserve">The effect of information and communication technology interventions on reducing social isolation in the elderly: A systematic review’, </w:t>
      </w:r>
      <w:r w:rsidRPr="005F7AC6">
        <w:rPr>
          <w:iCs/>
          <w:i/>
          <w:rFonts w:ascii="Arial" w:cs="Arial" w:hAnsi="Arial"/>
          <w:sz w:val="22"/>
          <w:szCs w:val="22"/>
        </w:rPr>
        <w:t>Journal of Medical Internet Research</w:t>
      </w:r>
      <w:r w:rsidRPr="005F7AC6">
        <w:rPr>
          <w:rFonts w:ascii="Arial" w:cs="Arial" w:hAnsi="Arial"/>
          <w:sz w:val="22"/>
          <w:szCs w:val="22"/>
        </w:rPr>
        <w:t>, 21(1), e11890.</w:t>
      </w:r>
    </w:p>
    <w:p w:rsidR="005F7AC6" w:rsidRDefault="005F7AC6" w14:paraId="4D60F017"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Fang, Y., Chau, A.K.C., Wong, A. &amp; Fung, H.H. (2023) ‘Technology-based interventions for loneliness in older adults: A meta-analysis’, </w:t>
      </w:r>
      <w:r w:rsidRPr="005F7AC6">
        <w:rPr>
          <w:iCs/>
          <w:i/>
          <w:rFonts w:ascii="Arial" w:cs="Arial" w:hAnsi="Arial"/>
          <w:sz w:val="22"/>
          <w:szCs w:val="22"/>
        </w:rPr>
        <w:t>The Gerontologist</w:t>
      </w:r>
      <w:r w:rsidRPr="005F7AC6">
        <w:rPr>
          <w:rFonts w:ascii="Arial" w:cs="Arial" w:hAnsi="Arial"/>
          <w:sz w:val="22"/>
          <w:szCs w:val="22"/>
        </w:rPr>
        <w:t>, 63(4), pp. 679–691.</w:t>
      </w:r>
    </w:p>
    <w:p w:rsidR="005F7AC6" w:rsidRDefault="005F7AC6" w14:paraId="1AE78E8E"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Helsper, E. &amp; Van Deursen, A. (2020) </w:t>
      </w:r>
      <w:r w:rsidRPr="005F7AC6">
        <w:rPr>
          <w:iCs/>
          <w:i/>
          <w:rFonts w:ascii="Arial" w:cs="Arial" w:hAnsi="Arial"/>
          <w:sz w:val="22"/>
          <w:szCs w:val="22"/>
        </w:rPr>
        <w:t>Digital Inequalities 2.0</w:t>
      </w:r>
      <w:r w:rsidRPr="005F7AC6">
        <w:rPr>
          <w:rFonts w:ascii="Arial" w:cs="Arial" w:hAnsi="Arial"/>
          <w:sz w:val="22"/>
          <w:szCs w:val="22"/>
        </w:rPr>
        <w:t>. Oxford: Oxford Internet Institute.</w:t>
      </w:r>
    </w:p>
    <w:p w:rsidR="005F7AC6" w:rsidRDefault="005F7AC6" w14:paraId="40549C27"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Holt-Lunstad, J. (2021) ‘The major health implications of social connection’, </w:t>
      </w:r>
      <w:r w:rsidRPr="005F7AC6">
        <w:rPr>
          <w:iCs/>
          <w:i/>
          <w:rFonts w:ascii="Arial" w:cs="Arial" w:hAnsi="Arial"/>
          <w:sz w:val="22"/>
          <w:szCs w:val="22"/>
        </w:rPr>
        <w:t>Current Directions in Psychological Science</w:t>
      </w:r>
      <w:r w:rsidRPr="005F7AC6">
        <w:rPr>
          <w:rFonts w:ascii="Arial" w:cs="Arial" w:hAnsi="Arial"/>
          <w:sz w:val="22"/>
          <w:szCs w:val="22"/>
        </w:rPr>
        <w:t>, 30(3), pp. 251–259.</w:t>
      </w:r>
    </w:p>
    <w:p w:rsidR="005F7AC6" w:rsidRDefault="005F7AC6" w14:paraId="08F75159"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Leigh-Hunt, N. et al. (2017) ‘An overview of systematic reviews on the public health consequences of social isolation and loneliness’, </w:t>
      </w:r>
      <w:r w:rsidRPr="005F7AC6">
        <w:rPr>
          <w:iCs/>
          <w:i/>
          <w:rFonts w:ascii="Arial" w:cs="Arial" w:hAnsi="Arial"/>
          <w:sz w:val="22"/>
          <w:szCs w:val="22"/>
        </w:rPr>
        <w:t>Public Health</w:t>
      </w:r>
      <w:r w:rsidRPr="005F7AC6">
        <w:rPr>
          <w:rFonts w:ascii="Arial" w:cs="Arial" w:hAnsi="Arial"/>
          <w:sz w:val="22"/>
          <w:szCs w:val="22"/>
        </w:rPr>
        <w:t>, 152, pp. 157–171.</w:t>
      </w:r>
    </w:p>
    <w:p w:rsidR="005F7AC6" w:rsidRDefault="005F7AC6" w14:paraId="12F87A42"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Morris, M.E., Adair, B., Ozanne, E. &amp; Kurowski, W. (2022) ‘Smart technologies for promoting ageing in place’, </w:t>
      </w:r>
      <w:r w:rsidRPr="005F7AC6">
        <w:rPr>
          <w:iCs/>
          <w:i/>
          <w:rFonts w:ascii="Arial" w:cs="Arial" w:hAnsi="Arial"/>
          <w:sz w:val="22"/>
          <w:szCs w:val="22"/>
        </w:rPr>
        <w:t>Journal of Aging &amp; Social Policy</w:t>
      </w:r>
      <w:r w:rsidRPr="005F7AC6">
        <w:rPr>
          <w:rFonts w:ascii="Arial" w:cs="Arial" w:hAnsi="Arial"/>
          <w:sz w:val="22"/>
          <w:szCs w:val="22"/>
        </w:rPr>
        <w:t>, 34(2), pp. 207–229.</w:t>
      </w:r>
    </w:p>
    <w:p w:rsidR="005F7AC6" w:rsidRDefault="005F7AC6" w14:paraId="6176EEEC"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Nimrod, G. (2021) ‘Changes in older adults’ social activity during COVID-19’, </w:t>
      </w:r>
      <w:r w:rsidRPr="005F7AC6">
        <w:rPr>
          <w:iCs/>
          <w:i/>
          <w:rFonts w:ascii="Arial" w:cs="Arial" w:hAnsi="Arial"/>
          <w:sz w:val="22"/>
          <w:szCs w:val="22"/>
        </w:rPr>
        <w:t>The Gerontologist</w:t>
      </w:r>
      <w:r w:rsidRPr="005F7AC6">
        <w:rPr>
          <w:rFonts w:ascii="Arial" w:cs="Arial" w:hAnsi="Arial"/>
          <w:sz w:val="22"/>
          <w:szCs w:val="22"/>
        </w:rPr>
        <w:t>, 61(1), pp. 8–13.</w:t>
      </w:r>
    </w:p>
    <w:p w:rsidR="005F7AC6" w:rsidRDefault="005F7AC6" w14:paraId="2AB8AF60"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Ofcom (2023) </w:t>
      </w:r>
      <w:r w:rsidRPr="005F7AC6">
        <w:rPr>
          <w:iCs/>
          <w:i/>
          <w:rFonts w:ascii="Arial" w:cs="Arial" w:hAnsi="Arial"/>
          <w:sz w:val="22"/>
          <w:szCs w:val="22"/>
        </w:rPr>
        <w:t>Online Nation 2023 Report</w:t>
      </w:r>
      <w:r w:rsidRPr="005F7AC6">
        <w:rPr>
          <w:rFonts w:ascii="Arial" w:cs="Arial" w:hAnsi="Arial"/>
          <w:sz w:val="22"/>
          <w:szCs w:val="22"/>
        </w:rPr>
        <w:t>. London: Ofcom.</w:t>
      </w:r>
    </w:p>
    <w:p w:rsidR="005F7AC6" w:rsidRDefault="005F7AC6" w14:paraId="0A2CAEF9"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Public Health England (2022) </w:t>
      </w:r>
      <w:r w:rsidRPr="005F7AC6">
        <w:rPr>
          <w:iCs/>
          <w:i/>
          <w:rFonts w:ascii="Arial" w:cs="Arial" w:hAnsi="Arial"/>
          <w:sz w:val="22"/>
          <w:szCs w:val="22"/>
        </w:rPr>
        <w:t>Reducing Loneliness: Public Health Approaches</w:t>
      </w:r>
      <w:r w:rsidRPr="005F7AC6">
        <w:rPr>
          <w:rFonts w:ascii="Arial" w:cs="Arial" w:hAnsi="Arial"/>
          <w:sz w:val="22"/>
          <w:szCs w:val="22"/>
        </w:rPr>
        <w:t>. London: PHE.</w:t>
      </w:r>
    </w:p>
    <w:p w:rsidR="005F7AC6" w:rsidRDefault="005F7AC6" w14:paraId="6F4149AA" w14:textId="77777777" w:rsidP="00E1488C" w:rsidRPr="005F7AC6">
      <w:pPr>
        <w:jc w:val="both"/>
        <w:spacing w:line="360" w:lineRule="auto"/>
        <w:rPr>
          <w:rFonts w:ascii="Arial" w:cs="Arial" w:hAnsi="Arial"/>
          <w:sz w:val="22"/>
          <w:szCs w:val="22"/>
        </w:rPr>
      </w:pPr>
      <w:r w:rsidRPr="005F7AC6">
        <w:rPr>
          <w:rFonts w:ascii="Arial" w:cs="Arial" w:hAnsi="Arial"/>
          <w:sz w:val="22"/>
          <w:szCs w:val="22"/>
        </w:rPr>
        <w:t>Seifert, A., Cotten, S.R. &amp; Xie, B. (</w:t>
      </w:r>
      <w:proofErr w:type="gramStart"/>
      <w:r w:rsidRPr="005F7AC6">
        <w:rPr>
          <w:rFonts w:ascii="Arial" w:cs="Arial" w:hAnsi="Arial"/>
          <w:sz w:val="22"/>
          <w:szCs w:val="22"/>
        </w:rPr>
        <w:t>2021) ‘</w:t>
      </w:r>
      <w:proofErr w:type="gramEnd"/>
      <w:r w:rsidRPr="005F7AC6">
        <w:rPr>
          <w:rFonts w:ascii="Arial" w:cs="Arial" w:hAnsi="Arial"/>
          <w:sz w:val="22"/>
          <w:szCs w:val="22"/>
        </w:rPr>
        <w:t xml:space="preserve">A double burden of exclusion? Digital and social exclusion of older adults in times of COVID-19’, </w:t>
      </w:r>
      <w:r w:rsidRPr="005F7AC6">
        <w:rPr>
          <w:iCs/>
          <w:i/>
          <w:rFonts w:ascii="Arial" w:cs="Arial" w:hAnsi="Arial"/>
          <w:sz w:val="22"/>
          <w:szCs w:val="22"/>
        </w:rPr>
        <w:t>Journals of Gerontology: Series B</w:t>
      </w:r>
      <w:r w:rsidRPr="005F7AC6">
        <w:rPr>
          <w:rFonts w:ascii="Arial" w:cs="Arial" w:hAnsi="Arial"/>
          <w:sz w:val="22"/>
          <w:szCs w:val="22"/>
        </w:rPr>
        <w:t>, 76(3), pp. e99–e103.</w:t>
      </w:r>
    </w:p>
    <w:p w:rsidR="005F7AC6" w:rsidRDefault="005F7AC6" w14:paraId="36B3FC57"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Tsai, H.S., </w:t>
        <w:lastRenderedPageBreak/>
      </w:r>
      <w:proofErr w:type="spellStart"/>
      <w:r w:rsidRPr="005F7AC6">
        <w:rPr>
          <w:rFonts w:ascii="Arial" w:cs="Arial" w:hAnsi="Arial"/>
          <w:sz w:val="22"/>
          <w:szCs w:val="22"/>
        </w:rPr>
        <w:t>Shillair</w:t>
      </w:r>
      <w:proofErr w:type="spellEnd"/>
      <w:r w:rsidRPr="005F7AC6">
        <w:rPr>
          <w:rFonts w:ascii="Arial" w:cs="Arial" w:hAnsi="Arial"/>
          <w:sz w:val="22"/>
          <w:szCs w:val="22"/>
        </w:rPr>
        <w:t xml:space="preserve">, R. &amp; Cotten, S.R. (2020) ‘Social support and “playing around”: Older adults’ digital learning and technology engagement’, </w:t>
      </w:r>
      <w:r w:rsidRPr="005F7AC6">
        <w:rPr>
          <w:iCs/>
          <w:i/>
          <w:rFonts w:ascii="Arial" w:cs="Arial" w:hAnsi="Arial"/>
          <w:sz w:val="22"/>
          <w:szCs w:val="22"/>
        </w:rPr>
        <w:t>Educational Gerontology</w:t>
      </w:r>
      <w:r w:rsidRPr="005F7AC6">
        <w:rPr>
          <w:rFonts w:ascii="Arial" w:cs="Arial" w:hAnsi="Arial"/>
          <w:sz w:val="22"/>
          <w:szCs w:val="22"/>
        </w:rPr>
        <w:t>, 46(1), pp. 1–14.</w:t>
      </w:r>
    </w:p>
    <w:p w:rsidR="005F7AC6" w:rsidRDefault="005F7AC6" w14:paraId="31E45991"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Victor, C.R. &amp; Sullivan, M.P. (2022) </w:t>
      </w:r>
      <w:r w:rsidRPr="005F7AC6">
        <w:rPr>
          <w:iCs/>
          <w:i/>
          <w:rFonts w:ascii="Arial" w:cs="Arial" w:hAnsi="Arial"/>
          <w:sz w:val="22"/>
          <w:szCs w:val="22"/>
        </w:rPr>
        <w:t>Loneliness, Health and Wellbeing in Older Adults</w:t>
      </w:r>
      <w:r w:rsidRPr="005F7AC6">
        <w:rPr>
          <w:rFonts w:ascii="Arial" w:cs="Arial" w:hAnsi="Arial"/>
          <w:sz w:val="22"/>
          <w:szCs w:val="22"/>
        </w:rPr>
        <w:t>. London: Routledge.</w:t>
      </w:r>
    </w:p>
    <w:p w:rsidR="005F7AC6" w:rsidRDefault="005F7AC6" w14:paraId="204CDFDA"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Webb, L.M., Pargament, K.I. &amp; Clements, A.D. (2022) ‘Older adults, wellbeing, and digital communication during COVID-19’, </w:t>
      </w:r>
      <w:r w:rsidRPr="005F7AC6">
        <w:rPr>
          <w:iCs/>
          <w:i/>
          <w:rFonts w:ascii="Arial" w:cs="Arial" w:hAnsi="Arial"/>
          <w:sz w:val="22"/>
          <w:szCs w:val="22"/>
        </w:rPr>
        <w:t>Journal of Gerontological Social Work</w:t>
      </w:r>
      <w:r w:rsidRPr="005F7AC6">
        <w:rPr>
          <w:rFonts w:ascii="Arial" w:cs="Arial" w:hAnsi="Arial"/>
          <w:sz w:val="22"/>
          <w:szCs w:val="22"/>
        </w:rPr>
        <w:t>, 65(4), pp. 409–425.</w:t>
      </w:r>
    </w:p>
    <w:p w:rsidR="005F7AC6" w:rsidRDefault="005F7AC6" w14:paraId="40346F4F" w14:textId="77777777" w:rsidP="00E1488C" w:rsidRPr="005F7AC6">
      <w:pPr>
        <w:jc w:val="both"/>
        <w:spacing w:line="360" w:lineRule="auto"/>
        <w:rPr>
          <w:rFonts w:ascii="Arial" w:cs="Arial" w:hAnsi="Arial"/>
          <w:sz w:val="22"/>
          <w:szCs w:val="22"/>
        </w:rPr>
      </w:pPr>
      <w:r w:rsidRPr="005F7AC6">
        <w:rPr>
          <w:rFonts w:ascii="Arial" w:cs="Arial" w:hAnsi="Arial"/>
          <w:sz w:val="22"/>
          <w:szCs w:val="22"/>
        </w:rPr>
        <w:t xml:space="preserve">World Health Organization (2023) </w:t>
      </w:r>
      <w:r w:rsidRPr="005F7AC6">
        <w:rPr>
          <w:iCs/>
          <w:i/>
          <w:rFonts w:ascii="Arial" w:cs="Arial" w:hAnsi="Arial"/>
          <w:sz w:val="22"/>
          <w:szCs w:val="22"/>
        </w:rPr>
        <w:t>Digital Health for Healthy Ageing</w:t>
      </w:r>
      <w:r w:rsidRPr="005F7AC6">
        <w:rPr>
          <w:rFonts w:ascii="Arial" w:cs="Arial" w:hAnsi="Arial"/>
          <w:sz w:val="22"/>
          <w:szCs w:val="22"/>
        </w:rPr>
        <w:t>. Geneva: WHO.</w:t>
      </w:r>
    </w:p>
    <w:p w:rsidR="00250C69" w:rsidRDefault="00250C69" w14:paraId="22339DEB"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Ahmed, S. &amp; Morrison, C. (2023) </w:t>
      </w:r>
      <w:r w:rsidRPr="00250C69">
        <w:rPr>
          <w:iCs/>
          <w:i/>
          <w:rFonts w:ascii="Arial" w:cs="Arial" w:hAnsi="Arial"/>
          <w:sz w:val="22"/>
          <w:szCs w:val="22"/>
        </w:rPr>
        <w:t>Digital community platforms and social connectedness among older adults in the UK: A quantitative study</w:t>
      </w:r>
      <w:r w:rsidRPr="00250C69">
        <w:rPr>
          <w:rFonts w:ascii="Arial" w:cs="Arial" w:hAnsi="Arial"/>
          <w:sz w:val="22"/>
          <w:szCs w:val="22"/>
        </w:rPr>
        <w:t>. Journal of Ageing and Digital Health, 5(2), pp. 44–59.</w:t>
      </w:r>
    </w:p>
    <w:p w:rsidR="00250C69" w:rsidRDefault="00250C69" w14:paraId="313E0E3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Age UK (2024) </w:t>
      </w:r>
      <w:r w:rsidRPr="00250C69">
        <w:rPr>
          <w:iCs/>
          <w:i/>
          <w:rFonts w:ascii="Arial" w:cs="Arial" w:hAnsi="Arial"/>
          <w:sz w:val="22"/>
          <w:szCs w:val="22"/>
        </w:rPr>
        <w:t>Loneliness in Later Life Statistics</w:t>
      </w:r>
      <w:r w:rsidRPr="00250C69">
        <w:rPr>
          <w:rFonts w:ascii="Arial" w:cs="Arial" w:hAnsi="Arial"/>
          <w:sz w:val="22"/>
          <w:szCs w:val="22"/>
        </w:rPr>
        <w:t>. London: Age UK.</w:t>
      </w:r>
    </w:p>
    <w:p w:rsidR="00250C69" w:rsidRDefault="00250C69" w14:paraId="34B46FFB"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Arksey, H. &amp; O’Malley, L. (2005) ‘Scoping studies: Towards a methodological framework’, </w:t>
      </w:r>
      <w:r w:rsidRPr="00250C69">
        <w:rPr>
          <w:iCs/>
          <w:i/>
          <w:rFonts w:ascii="Arial" w:cs="Arial" w:hAnsi="Arial"/>
          <w:sz w:val="22"/>
          <w:szCs w:val="22"/>
        </w:rPr>
        <w:t>International Journal of Social Research Methodology</w:t>
      </w:r>
      <w:r w:rsidRPr="00250C69">
        <w:rPr>
          <w:rFonts w:ascii="Arial" w:cs="Arial" w:hAnsi="Arial"/>
          <w:sz w:val="22"/>
          <w:szCs w:val="22"/>
        </w:rPr>
        <w:t>, 8(1), pp. 19–32.</w:t>
      </w:r>
    </w:p>
    <w:p w:rsidR="00250C69" w:rsidRDefault="00250C69" w14:paraId="0938D0C5"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Braun, V. &amp; Clarke, V. (2006) ‘Using thematic analysis in psychology’, </w:t>
      </w:r>
      <w:r w:rsidRPr="00250C69">
        <w:rPr>
          <w:iCs/>
          <w:i/>
          <w:rFonts w:ascii="Arial" w:cs="Arial" w:hAnsi="Arial"/>
          <w:sz w:val="22"/>
          <w:szCs w:val="22"/>
        </w:rPr>
        <w:t>Qualitative Research in Psychology</w:t>
      </w:r>
      <w:r w:rsidRPr="00250C69">
        <w:rPr>
          <w:rFonts w:ascii="Arial" w:cs="Arial" w:hAnsi="Arial"/>
          <w:sz w:val="22"/>
          <w:szCs w:val="22"/>
        </w:rPr>
        <w:t>, 3(2), pp. 77–101.</w:t>
      </w:r>
    </w:p>
    <w:p w:rsidR="00250C69" w:rsidRDefault="00250C69" w14:paraId="63ADCE36" w14:textId="77777777" w:rsidP="00E1488C" w:rsidRPr="00250C69">
      <w:pPr>
        <w:jc w:val="both"/>
        <w:spacing w:line="360" w:lineRule="auto"/>
        <w:rPr>
          <w:rFonts w:ascii="Arial" w:cs="Arial" w:hAnsi="Arial"/>
          <w:sz w:val="22"/>
          <w:szCs w:val="22"/>
        </w:rPr>
      </w:pPr>
      <w:r w:rsidRPr="00250C69">
        <w:rPr>
          <w:rFonts w:ascii="Arial" w:cs="Arial" w:hAnsi="Arial"/>
          <w:sz w:val="22"/>
          <w:szCs w:val="22"/>
        </w:rPr>
        <w:t>Chen, Y. &amp; Schulz, P. (</w:t>
      </w:r>
      <w:proofErr w:type="gramStart"/>
      <w:r w:rsidRPr="00250C69">
        <w:rPr>
          <w:rFonts w:ascii="Arial" w:cs="Arial" w:hAnsi="Arial"/>
          <w:sz w:val="22"/>
          <w:szCs w:val="22"/>
        </w:rPr>
        <w:t>2019) ‘</w:t>
      </w:r>
      <w:proofErr w:type="gramEnd"/>
      <w:r w:rsidRPr="00250C69">
        <w:rPr>
          <w:rFonts w:ascii="Arial" w:cs="Arial" w:hAnsi="Arial"/>
          <w:sz w:val="22"/>
          <w:szCs w:val="22"/>
        </w:rPr>
        <w:t xml:space="preserve">The effect of ICT interventions on reducing loneliness among older adults: A systematic review’, </w:t>
      </w:r>
      <w:r w:rsidRPr="00250C69">
        <w:rPr>
          <w:iCs/>
          <w:i/>
          <w:rFonts w:ascii="Arial" w:cs="Arial" w:hAnsi="Arial"/>
          <w:sz w:val="22"/>
          <w:szCs w:val="22"/>
        </w:rPr>
        <w:t>Journal of Medical Internet Research</w:t>
      </w:r>
      <w:r w:rsidRPr="00250C69">
        <w:rPr>
          <w:rFonts w:ascii="Arial" w:cs="Arial" w:hAnsi="Arial"/>
          <w:sz w:val="22"/>
          <w:szCs w:val="22"/>
        </w:rPr>
        <w:t>, 21(1), e13167.</w:t>
      </w:r>
    </w:p>
    <w:p w:rsidR="00250C69" w:rsidRDefault="00250C69" w14:paraId="1DCCD3BF"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Department for Digital, Culture, Media &amp; Sport (2018) </w:t>
      </w:r>
      <w:r w:rsidRPr="00250C69">
        <w:rPr>
          <w:iCs/>
          <w:i/>
          <w:rFonts w:ascii="Arial" w:cs="Arial" w:hAnsi="Arial"/>
          <w:sz w:val="22"/>
          <w:szCs w:val="22"/>
        </w:rPr>
        <w:t>A Connected Society: A Strategy for Tackling Loneliness</w:t>
      </w:r>
      <w:r w:rsidRPr="00250C69">
        <w:rPr>
          <w:rFonts w:ascii="Arial" w:cs="Arial" w:hAnsi="Arial"/>
          <w:sz w:val="22"/>
          <w:szCs w:val="22"/>
        </w:rPr>
        <w:t>. London: HM Government.</w:t>
      </w:r>
    </w:p>
    <w:p w:rsidR="00250C69" w:rsidRDefault="00250C69" w14:paraId="55E40FF7"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Fang, Y., Chau, P. &amp; Wong, A. (2023) ‘Digital engagement and emotional wellbeing in older adults’, </w:t>
      </w:r>
      <w:proofErr w:type="spellStart"/>
      <w:r w:rsidRPr="00250C69">
        <w:rPr>
          <w:iCs/>
          <w:i/>
          <w:rFonts w:ascii="Arial" w:cs="Arial" w:hAnsi="Arial"/>
          <w:sz w:val="22"/>
          <w:szCs w:val="22"/>
        </w:rPr>
        <w:t>Gerontechnology</w:t>
      </w:r>
      <w:proofErr w:type="spellEnd"/>
      <w:r w:rsidRPr="00250C69">
        <w:rPr>
          <w:rFonts w:ascii="Arial" w:cs="Arial" w:hAnsi="Arial"/>
          <w:sz w:val="22"/>
          <w:szCs w:val="22"/>
        </w:rPr>
        <w:t>, 22(1), pp. 15–29.</w:t>
      </w:r>
    </w:p>
    <w:p w:rsidR="00250C69" w:rsidRDefault="00250C69" w14:paraId="29455ECF"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Helsper, E. (2021) </w:t>
      </w:r>
      <w:r w:rsidRPr="00250C69">
        <w:rPr>
          <w:iCs/>
          <w:i/>
          <w:rFonts w:ascii="Arial" w:cs="Arial" w:hAnsi="Arial"/>
          <w:sz w:val="22"/>
          <w:szCs w:val="22"/>
        </w:rPr>
        <w:t>The Digital Divide: Understanding the Social Causes and Consequences</w:t>
      </w:r>
      <w:r w:rsidRPr="00250C69">
        <w:rPr>
          <w:rFonts w:ascii="Arial" w:cs="Arial" w:hAnsi="Arial"/>
          <w:sz w:val="22"/>
          <w:szCs w:val="22"/>
        </w:rPr>
        <w:t>. London: Sage.</w:t>
      </w:r>
    </w:p>
    <w:p w:rsidR="00250C69" w:rsidRDefault="00250C69" w14:paraId="6552EA23"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Jones, P., Reilly, C. &amp; Barnes, L. (2019) ‘Connecting through screens: Video calls and loneliness in older adults’, </w:t>
      </w:r>
      <w:r w:rsidRPr="00250C69">
        <w:rPr>
          <w:iCs/>
          <w:i/>
          <w:rFonts w:ascii="Arial" w:cs="Arial" w:hAnsi="Arial"/>
          <w:sz w:val="22"/>
          <w:szCs w:val="22"/>
        </w:rPr>
        <w:t>British Journal of Gerontology</w:t>
      </w:r>
      <w:r w:rsidRPr="00250C69">
        <w:rPr>
          <w:rFonts w:ascii="Arial" w:cs="Arial" w:hAnsi="Arial"/>
          <w:sz w:val="22"/>
          <w:szCs w:val="22"/>
        </w:rPr>
        <w:t>, 28(3), pp. 210–224.</w:t>
      </w:r>
    </w:p>
    <w:p w:rsidR="00250C69" w:rsidRDefault="00250C69" w14:paraId="38ED30BC"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NHS England (2019) </w:t>
      </w:r>
      <w:r w:rsidRPr="00250C69">
        <w:rPr>
          <w:iCs/>
          <w:i/>
          <w:rFonts w:ascii="Arial" w:cs="Arial" w:hAnsi="Arial"/>
          <w:sz w:val="22"/>
          <w:szCs w:val="22"/>
        </w:rPr>
        <w:t>The NHS Long Term Plan</w:t>
      </w:r>
      <w:r w:rsidRPr="00250C69">
        <w:rPr>
          <w:rFonts w:ascii="Arial" w:cs="Arial" w:hAnsi="Arial"/>
          <w:sz w:val="22"/>
          <w:szCs w:val="22"/>
        </w:rPr>
        <w:t>. London: NHS England.</w:t>
      </w:r>
    </w:p>
    <w:p w:rsidR="00250C69" w:rsidRDefault="00250C69" w14:paraId="7E7364F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Nimrod, G. (2021) ‘Changes in internet use by older adults during COVID-19’, </w:t>
      </w:r>
      <w:r w:rsidRPr="00250C69">
        <w:rPr>
          <w:iCs/>
          <w:i/>
          <w:rFonts w:ascii="Arial" w:cs="Arial" w:hAnsi="Arial"/>
          <w:sz w:val="22"/>
          <w:szCs w:val="22"/>
        </w:rPr>
        <w:t>Educational Gerontology</w:t>
      </w:r>
      <w:r w:rsidRPr="00250C69">
        <w:rPr>
          <w:rFonts w:ascii="Arial" w:cs="Arial" w:hAnsi="Arial"/>
          <w:sz w:val="22"/>
          <w:szCs w:val="22"/>
        </w:rPr>
        <w:t>, 47(5), pp. 1–11.</w:t>
      </w:r>
    </w:p>
    <w:p w:rsidR="00250C69" w:rsidRDefault="00250C69" w14:paraId="2BF5AC01"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Office for National Statistics (2023) </w:t>
      </w:r>
      <w:r w:rsidRPr="00250C69">
        <w:rPr>
          <w:iCs/>
          <w:i/>
          <w:rFonts w:ascii="Arial" w:cs="Arial" w:hAnsi="Arial"/>
          <w:sz w:val="22"/>
          <w:szCs w:val="22"/>
        </w:rPr>
        <w:t>Internet Use in the UK: Older Adults Report</w:t>
      </w:r>
      <w:r w:rsidRPr="00250C69">
        <w:rPr>
          <w:rFonts w:ascii="Arial" w:cs="Arial" w:hAnsi="Arial"/>
          <w:sz w:val="22"/>
          <w:szCs w:val="22"/>
        </w:rPr>
        <w:t>. London: ONS.</w:t>
      </w:r>
    </w:p>
    <w:p w:rsidR="00250C69" w:rsidRDefault="00250C69" w14:paraId="0AD46C7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Patel, M., Hughes, R. &amp; Davies, K. (2021) ‘Social robots for loneliness reduction: A UK </w:t>
        <w:lastRenderedPageBreak/>
      </w:r>
      <w:proofErr w:type="spellStart"/>
      <w:r w:rsidRPr="00250C69">
        <w:rPr>
          <w:rFonts w:ascii="Arial" w:cs="Arial" w:hAnsi="Arial"/>
          <w:sz w:val="22"/>
          <w:szCs w:val="22"/>
        </w:rPr>
        <w:t>randomised</w:t>
      </w:r>
      <w:proofErr w:type="spellEnd"/>
      <w:r w:rsidRPr="00250C69">
        <w:rPr>
          <w:rFonts w:ascii="Arial" w:cs="Arial" w:hAnsi="Arial"/>
          <w:sz w:val="22"/>
          <w:szCs w:val="22"/>
        </w:rPr>
        <w:t xml:space="preserve"> controlled trial’, </w:t>
      </w:r>
      <w:r w:rsidRPr="00250C69">
        <w:rPr>
          <w:iCs/>
          <w:i/>
          <w:rFonts w:ascii="Arial" w:cs="Arial" w:hAnsi="Arial"/>
          <w:sz w:val="22"/>
          <w:szCs w:val="22"/>
        </w:rPr>
        <w:t>Journal of Social Robotics</w:t>
      </w:r>
      <w:r w:rsidRPr="00250C69">
        <w:rPr>
          <w:rFonts w:ascii="Arial" w:cs="Arial" w:hAnsi="Arial"/>
          <w:sz w:val="22"/>
          <w:szCs w:val="22"/>
        </w:rPr>
        <w:t>, 13(4), pp. 933–948.</w:t>
      </w:r>
    </w:p>
    <w:p w:rsidR="00250C69" w:rsidRDefault="00250C69" w14:paraId="125203B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Public Health England (2022) </w:t>
      </w:r>
      <w:r w:rsidRPr="00250C69">
        <w:rPr>
          <w:iCs/>
          <w:i/>
          <w:rFonts w:ascii="Arial" w:cs="Arial" w:hAnsi="Arial"/>
          <w:sz w:val="22"/>
          <w:szCs w:val="22"/>
        </w:rPr>
        <w:t>Improving Wellbeing and Reducing Loneliness in Older People</w:t>
      </w:r>
      <w:r w:rsidRPr="00250C69">
        <w:rPr>
          <w:rFonts w:ascii="Arial" w:cs="Arial" w:hAnsi="Arial"/>
          <w:sz w:val="22"/>
          <w:szCs w:val="22"/>
        </w:rPr>
        <w:t>. London: PHE.</w:t>
      </w:r>
    </w:p>
    <w:p w:rsidR="00250C69" w:rsidRDefault="00250C69" w14:paraId="6F6598A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Seifert, A., Cotten, S. &amp; Xie, B. (2021) ‘Digital exclusion and older adults: A critical perspective’, </w:t>
      </w:r>
      <w:r w:rsidRPr="00250C69">
        <w:rPr>
          <w:iCs/>
          <w:i/>
          <w:rFonts w:ascii="Arial" w:cs="Arial" w:hAnsi="Arial"/>
          <w:sz w:val="22"/>
          <w:szCs w:val="22"/>
        </w:rPr>
        <w:t>New Media &amp; Society</w:t>
      </w:r>
      <w:r w:rsidRPr="00250C69">
        <w:rPr>
          <w:rFonts w:ascii="Arial" w:cs="Arial" w:hAnsi="Arial"/>
          <w:sz w:val="22"/>
          <w:szCs w:val="22"/>
        </w:rPr>
        <w:t>, 23(6), pp. 1701–1720.</w:t>
      </w:r>
    </w:p>
    <w:p w:rsidR="00250C69" w:rsidRDefault="00250C69" w14:paraId="279E7E0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Smith, J. &amp; Bradshaw, T. (2020) ‘Online social groups and their impact on loneliness in older adults’, </w:t>
      </w:r>
      <w:r w:rsidRPr="00250C69">
        <w:rPr>
          <w:iCs/>
          <w:i/>
          <w:rFonts w:ascii="Arial" w:cs="Arial" w:hAnsi="Arial"/>
          <w:sz w:val="22"/>
          <w:szCs w:val="22"/>
        </w:rPr>
        <w:t>Health &amp; Social Care in the Community</w:t>
      </w:r>
      <w:r w:rsidRPr="00250C69">
        <w:rPr>
          <w:rFonts w:ascii="Arial" w:cs="Arial" w:hAnsi="Arial"/>
          <w:sz w:val="22"/>
          <w:szCs w:val="22"/>
        </w:rPr>
        <w:t>, 28(5), pp. 1595–1603.</w:t>
      </w:r>
    </w:p>
    <w:p w:rsidR="00250C69" w:rsidRDefault="00250C69" w14:paraId="0655F5D1"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Victor, C. &amp; Sullivan, M. (2022) </w:t>
      </w:r>
      <w:r w:rsidRPr="00250C69">
        <w:rPr>
          <w:iCs/>
          <w:i/>
          <w:rFonts w:ascii="Arial" w:cs="Arial" w:hAnsi="Arial"/>
          <w:sz w:val="22"/>
          <w:szCs w:val="22"/>
        </w:rPr>
        <w:t>Loneliness in Ageing Societies</w:t>
      </w:r>
      <w:r w:rsidRPr="00250C69">
        <w:rPr>
          <w:rFonts w:ascii="Arial" w:cs="Arial" w:hAnsi="Arial"/>
          <w:sz w:val="22"/>
          <w:szCs w:val="22"/>
        </w:rPr>
        <w:t>. London: Policy Press.</w:t>
      </w:r>
    </w:p>
    <w:p w:rsidR="00250C69" w:rsidRDefault="00250C69" w14:paraId="2AC3FE89"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Victor, C. &amp; Yang, K. (2019) ‘The prevalence of loneliness among older adults in the UK’, </w:t>
      </w:r>
      <w:r w:rsidRPr="00250C69">
        <w:rPr>
          <w:iCs/>
          <w:i/>
          <w:rFonts w:ascii="Arial" w:cs="Arial" w:hAnsi="Arial"/>
          <w:sz w:val="22"/>
          <w:szCs w:val="22"/>
        </w:rPr>
        <w:t>Journal of Aging Studies</w:t>
      </w:r>
      <w:r w:rsidRPr="00250C69">
        <w:rPr>
          <w:rFonts w:ascii="Arial" w:cs="Arial" w:hAnsi="Arial"/>
          <w:sz w:val="22"/>
          <w:szCs w:val="22"/>
        </w:rPr>
        <w:t>, 51, pp. 100–110.</w:t>
      </w:r>
    </w:p>
    <w:p w:rsidR="00250C69" w:rsidRDefault="00250C69" w14:paraId="3C089CAB"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Williams, R., Green, H. &amp; Lane, L. (2022) ‘Understanding smartphone use among older adults: Barriers and opportunities’, </w:t>
      </w:r>
      <w:r w:rsidRPr="00250C69">
        <w:rPr>
          <w:iCs/>
          <w:i/>
          <w:rFonts w:ascii="Arial" w:cs="Arial" w:hAnsi="Arial"/>
          <w:sz w:val="22"/>
          <w:szCs w:val="22"/>
        </w:rPr>
        <w:t>Technology &amp; Ageing</w:t>
      </w:r>
      <w:r w:rsidRPr="00250C69">
        <w:rPr>
          <w:rFonts w:ascii="Arial" w:cs="Arial" w:hAnsi="Arial"/>
          <w:sz w:val="22"/>
          <w:szCs w:val="22"/>
        </w:rPr>
        <w:t>, 2(1), pp. 35–48.</w:t>
      </w:r>
    </w:p>
    <w:p w:rsidR="00250C69" w:rsidRDefault="00250C69" w14:paraId="316F303A" w14:textId="77777777" w:rsidP="00E1488C" w:rsidRPr="00250C69">
      <w:pPr>
        <w:jc w:val="both"/>
        <w:spacing w:line="360" w:lineRule="auto"/>
        <w:rPr>
          <w:rFonts w:ascii="Arial" w:cs="Arial" w:hAnsi="Arial"/>
          <w:sz w:val="22"/>
          <w:szCs w:val="22"/>
        </w:rPr>
      </w:pPr>
      <w:r w:rsidRPr="00250C69">
        <w:rPr>
          <w:rFonts w:ascii="Arial" w:cs="Arial" w:hAnsi="Arial"/>
          <w:sz w:val="22"/>
          <w:szCs w:val="22"/>
        </w:rPr>
        <w:t xml:space="preserve">UWTSD (2024) </w:t>
      </w:r>
      <w:r w:rsidRPr="00250C69">
        <w:rPr>
          <w:iCs/>
          <w:i/>
          <w:rFonts w:ascii="Arial" w:cs="Arial" w:hAnsi="Arial"/>
          <w:sz w:val="22"/>
          <w:szCs w:val="22"/>
        </w:rPr>
        <w:t>Ethical and Academic Integrity Guidelines for Research</w:t>
      </w:r>
      <w:r w:rsidRPr="00250C69">
        <w:rPr>
          <w:rFonts w:ascii="Arial" w:cs="Arial" w:hAnsi="Arial"/>
          <w:sz w:val="22"/>
          <w:szCs w:val="22"/>
        </w:rPr>
        <w:t>. Swansea: University of Wales Trinity Saint David.</w:t>
      </w:r>
    </w:p>
    <w:p w:rsidR="005F7AC6" w:rsidRDefault="005F7AC6" w14:paraId="33B88F65" w14:textId="77777777" w:rsidP="00E1488C" w:rsidRPr="00E1488C">
      <w:pPr>
        <w:jc w:val="both"/>
        <w:spacing w:line="360" w:lineRule="auto"/>
        <w:rPr>
          <w:rFonts w:ascii="Arial" w:cs="Arial" w:hAnsi="Arial"/>
          <w:sz w:val="22"/>
          <w:szCs w:val="22"/>
        </w:rPr>
      </w:pPr>
    </w:p>
    <w:sectPr w:rsidR="005F7AC6" w:rsidRPr="00E1488C">
      <w:docGrid w:linePitch="360"/>
      <w:footerReference r:id="rId9"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6B618" w14:textId="77777777" w:rsidR="004131F5" w:rsidRDefault="004131F5" w:rsidP="000320E9">
      <w:pPr>
        <w:spacing w:after="0" w:line="240" w:lineRule="auto"/>
      </w:pPr>
      <w:r>
        <w:separator/>
      </w:r>
    </w:p>
  </w:endnote>
  <w:endnote w:type="continuationSeparator" w:id="0">
    <w:p w14:paraId="571E5371" w14:textId="77777777" w:rsidR="004131F5" w:rsidRDefault="004131F5" w:rsidP="000320E9">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8840281"/>
      <w:docPartObj>
        <w:docPartGallery w:val="Page Numbers (Bottom of Page)"/>
        <w:docPartUnique/>
      </w:docPartObj>
    </w:sdtPr>
    <w:sdtEndPr>
      <w:rPr>
        <w:noProof/>
      </w:rPr>
    </w:sdtEndPr>
    <w:sdtContent>
      <w:p w14:paraId="20CC5482" w14:textId="04EA6060" w:rsidR="000320E9" w:rsidRDefault="000320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BB15B" w14:textId="77777777" w:rsidR="000320E9" w:rsidRDefault="00032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F05DC" w14:textId="77777777" w:rsidR="004131F5" w:rsidRDefault="004131F5" w:rsidP="000320E9">
      <w:pPr>
        <w:spacing w:after="0" w:line="240" w:lineRule="auto"/>
      </w:pPr>
      <w:r>
        <w:separator/>
      </w:r>
    </w:p>
  </w:footnote>
  <w:footnote w:type="continuationSeparator" w:id="0">
    <w:p w14:paraId="7559C02F" w14:textId="77777777" w:rsidR="004131F5" w:rsidRDefault="004131F5" w:rsidP="000320E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4C33E9B"/>
    <w:tmpl w:val="436E6926"/>
    <w:lvl w:ilvl="0">
      <w:numFmt w:val="decimal"/>
      <w:lvlText w:val="%1."/>
      <w:start w:val="1"/>
      <w:rPr>
        <w:rFonts w:hint="default"/>
      </w:rPr>
      <w:pPr>
        <w:ind w:left="720"/>
        <w:ind w:hanging="360"/>
      </w:pPr>
      <w:lvlJc w:val="left"/>
    </w:lvl>
    <w:lvl w:ilvl="1">
      <w:numFmt w:val="decimal"/>
      <w:lvlText w:val="%1.%2"/>
      <w:start w:val="3"/>
      <w:rPr>
        <w:rFonts w:hint="default"/>
      </w:rPr>
      <w:pPr>
        <w:ind w:left="732"/>
        <w:ind w:hanging="372"/>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440"/>
        <w:ind w:hanging="108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800"/>
        <w:ind w:hanging="144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2160"/>
        <w:ind w:hanging="1800"/>
      </w:pPr>
      <w:isLgl/>
      <w:lvlJc w:val="left"/>
    </w:lvl>
    <w:lvl w:ilvl="8">
      <w:numFmt w:val="decimal"/>
      <w:lvlText w:val="%1.%2.%3.%4.%5.%6.%7.%8.%9"/>
      <w:start w:val="1"/>
      <w:rPr>
        <w:rFonts w:hint="default"/>
      </w:rPr>
      <w:pPr>
        <w:ind w:left="2160"/>
        <w:ind w:hanging="1800"/>
      </w:pPr>
      <w:isLgl/>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9B854"/>
  <w15:chartTrackingRefBased/>
  <w15:docId w15:val="{655868C8-FC6B-4073-9F76-D37CAC40CD0A}"/>
  <w:rsids>
    <w:rsidRoot val="005178D6"/>
    <w:rsid val="000320E9"/>
    <w:rsid val="00057027"/>
    <w:rsid val="000C3395"/>
    <w:rsid val="000D4554"/>
    <w:rsid val="00144446"/>
    <w:rsid val="001F546E"/>
    <w:rsid val="002201AA"/>
    <w:rsid val="00250C69"/>
    <w:rsid val="002D2EFA"/>
    <w:rsid val="00303991"/>
    <w:rsid val="00304D79"/>
    <w:rsid val="003514E2"/>
    <w:rsid val="003B539D"/>
    <w:rsid val="003F3984"/>
    <w:rsid val="004131F5"/>
    <w:rsid val="0048211D"/>
    <w:rsid val="004A116B"/>
    <w:rsid val="004C180F"/>
    <w:rsid val="004C1CB0"/>
    <w:rsid val="005178D6"/>
    <w:rsid val="00554D3B"/>
    <w:rsid val="005C2A13"/>
    <w:rsid val="005F7AC6"/>
    <w:rsid val="006253E8"/>
    <w:rsid val="006925FF"/>
    <w:rsid val="006937BC"/>
    <w:rsid val="006A6A4C"/>
    <w:rsid val="006A7EB4"/>
    <w:rsid val="006B13DA"/>
    <w:rsid val="006C7557"/>
    <w:rsid val="006F4A6D"/>
    <w:rsid val="007A3593"/>
    <w:rsid val="007B651A"/>
    <w:rsid val="007E201D"/>
    <w:rsid val="007F1614"/>
    <w:rsid val="007F5410"/>
    <w:rsid val="008403C7"/>
    <w:rsid val="00873C08"/>
    <w:rsid val="00900552"/>
    <w:rsid val="00930746"/>
    <w:rsid val="009A3B30"/>
    <w:rsid val="009E02F7"/>
    <w:rsid val="009E17E5"/>
    <w:rsid val="00A213D8"/>
    <w:rsid val="00A57007"/>
    <w:rsid val="00A82ADC"/>
    <w:rsid val="00AD6F44"/>
    <w:rsid val="00B30AC2"/>
    <w:rsid val="00B330C7"/>
    <w:rsid val="00BD4869"/>
    <w:rsid val="00C84E27"/>
    <w:rsid val="00C95B00"/>
    <w:rsid val="00CA4E9C"/>
    <w:rsid val="00D208B9"/>
    <w:rsid val="00D5122E"/>
    <w:rsid val="00D67607"/>
    <w:rsid val="00D777A5"/>
    <w:rsid val="00DE690A"/>
    <w:rsid val="00E1488C"/>
    <w:rsid val="00E27F39"/>
    <w:rsid val="00E73011"/>
    <w:rsid val="00EF2DFE"/>
    <w:rsid val="00F11018"/>
    <w:rsid val="00F14AD0"/>
    <w:rsid val="00F336B8"/>
    <w:rsid val="00F91CB7"/>
    <w:rsid val="00F920AC"/>
    <w:rsid val="00FD4537"/>
    <w:rsid val="00FE5FB4"/>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8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78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78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78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78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78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8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8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8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8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78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78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78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78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78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8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8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8D6"/>
    <w:rPr>
      <w:rFonts w:eastAsiaTheme="majorEastAsia" w:cstheme="majorBidi"/>
      <w:color w:val="272727" w:themeColor="text1" w:themeTint="D8"/>
    </w:rPr>
  </w:style>
  <w:style w:type="paragraph" w:styleId="Title">
    <w:name w:val="Title"/>
    <w:basedOn w:val="Normal"/>
    <w:next w:val="Normal"/>
    <w:link w:val="TitleChar"/>
    <w:uiPriority w:val="10"/>
    <w:qFormat/>
    <w:rsid w:val="00517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8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8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8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8D6"/>
    <w:pPr>
      <w:spacing w:before="160"/>
      <w:jc w:val="center"/>
    </w:pPr>
    <w:rPr>
      <w:i/>
      <w:iCs/>
      <w:color w:val="404040" w:themeColor="text1" w:themeTint="BF"/>
    </w:rPr>
  </w:style>
  <w:style w:type="character" w:customStyle="1" w:styleId="QuoteChar">
    <w:name w:val="Quote Char"/>
    <w:basedOn w:val="DefaultParagraphFont"/>
    <w:link w:val="Quote"/>
    <w:uiPriority w:val="29"/>
    <w:rsid w:val="005178D6"/>
    <w:rPr>
      <w:i/>
      <w:iCs/>
      <w:color w:val="404040" w:themeColor="text1" w:themeTint="BF"/>
    </w:rPr>
  </w:style>
  <w:style w:type="paragraph" w:styleId="ListParagraph">
    <w:name w:val="List Paragraph"/>
    <w:basedOn w:val="Normal"/>
    <w:uiPriority w:val="34"/>
    <w:qFormat/>
    <w:rsid w:val="005178D6"/>
    <w:pPr>
      <w:ind w:left="720"/>
      <w:contextualSpacing/>
    </w:pPr>
  </w:style>
  <w:style w:type="character" w:styleId="IntenseEmphasis">
    <w:name w:val="Intense Emphasis"/>
    <w:basedOn w:val="DefaultParagraphFont"/>
    <w:uiPriority w:val="21"/>
    <w:qFormat/>
    <w:rsid w:val="005178D6"/>
    <w:rPr>
      <w:i/>
      <w:iCs/>
      <w:color w:val="0F4761" w:themeColor="accent1" w:themeShade="BF"/>
    </w:rPr>
  </w:style>
  <w:style w:type="paragraph" w:styleId="IntenseQuote">
    <w:name w:val="Intense Quote"/>
    <w:basedOn w:val="Normal"/>
    <w:next w:val="Normal"/>
    <w:link w:val="IntenseQuoteChar"/>
    <w:uiPriority w:val="30"/>
    <w:qFormat/>
    <w:rsid w:val="00517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78D6"/>
    <w:rPr>
      <w:i/>
      <w:iCs/>
      <w:color w:val="0F4761" w:themeColor="accent1" w:themeShade="BF"/>
    </w:rPr>
  </w:style>
  <w:style w:type="character" w:styleId="IntenseReference">
    <w:name w:val="Intense Reference"/>
    <w:basedOn w:val="DefaultParagraphFont"/>
    <w:uiPriority w:val="32"/>
    <w:qFormat/>
    <w:rsid w:val="005178D6"/>
    <w:rPr>
      <w:b/>
      <w:bCs/>
      <w:smallCaps/>
      <w:color w:val="0F4761" w:themeColor="accent1" w:themeShade="BF"/>
      <w:spacing w:val="5"/>
    </w:rPr>
  </w:style>
  <w:style w:type="paragraph" w:styleId="Header">
    <w:name w:val="header"/>
    <w:basedOn w:val="Normal"/>
    <w:link w:val="HeaderChar"/>
    <w:uiPriority w:val="99"/>
    <w:unhideWhenUsed/>
    <w:rsid w:val="000320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20E9"/>
  </w:style>
  <w:style w:type="paragraph" w:styleId="Footer">
    <w:name w:val="footer"/>
    <w:basedOn w:val="Normal"/>
    <w:link w:val="FooterChar"/>
    <w:uiPriority w:val="99"/>
    <w:unhideWhenUsed/>
    <w:rsid w:val="000320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20E9"/>
  </w:style>
  <w:style w:type="paragraph" w:styleId="TOCHeading">
    <w:name w:val="TOC Heading"/>
    <w:basedOn w:val="Heading1"/>
    <w:next w:val="Normal"/>
    <w:uiPriority w:val="39"/>
    <w:unhideWhenUsed/>
    <w:qFormat/>
    <w:rsid w:val="006925F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925FF"/>
    <w:pPr>
      <w:spacing w:after="100"/>
    </w:pPr>
  </w:style>
  <w:style w:type="character" w:styleId="Hyperlink">
    <w:name w:val="Hyperlink"/>
    <w:basedOn w:val="DefaultParagraphFont"/>
    <w:uiPriority w:val="99"/>
    <w:unhideWhenUsed/>
    <w:rsid w:val="006925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A51B8-4885-418D-9CAB-852F68DA8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16</Pages>
  <Words>4742</Words>
  <Characters>27032</Characters>
  <Application>Microsoft Office Word</Application>
  <DocSecurity>0</DocSecurity>
  <Lines>225</Lines>
  <Paragraphs>63</Paragraphs>
  <ScaleCrop>false</ScaleCrop>
  <Company/>
  <LinksUpToDate>false</LinksUpToDate>
  <CharactersWithSpaces>31711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65</cp:revision>
  <dcterms:created xsi:type="dcterms:W3CDTF">2025-11-16T20:02:00Z</dcterms:created>
  <dcterms:modified xsi:type="dcterms:W3CDTF">2025-11-16T20:41:00Z</dcterms:modified>
</cp:coreProperties>
</file>