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F9B537" w14:textId="77777777" w:rsidR="00E27B52" w:rsidRPr="002F3222" w:rsidRDefault="00E27B52" w:rsidP="00E27B52">
      <w:pPr>
        <w:jc w:val="left"/>
        <w:rPr>
          <w:b/>
          <w:sz w:val="32"/>
          <w:szCs w:val="32"/>
        </w:rPr>
      </w:pPr>
      <w:r w:rsidRPr="002F3222">
        <w:rPr>
          <w:b/>
          <w:noProof/>
          <w:lang w:val="en-IN" w:eastAsia="en-IN" w:bidi="gu-IN"/>
        </w:rPr>
        <w:drawing>
          <wp:inline distT="0" distB="0" distL="0" distR="0" wp14:anchorId="750027C8" wp14:editId="2203231D">
            <wp:extent cx="2619299" cy="1140460"/>
            <wp:effectExtent l="0" t="0" r="0" b="254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619299" cy="1140460"/>
                    </a:xfrm>
                    <a:prstGeom prst="rect">
                      <a:avLst/>
                    </a:prstGeom>
                    <a:noFill/>
                  </pic:spPr>
                </pic:pic>
              </a:graphicData>
            </a:graphic>
          </wp:inline>
        </w:drawing>
      </w:r>
    </w:p>
    <w:p w14:paraId="17A9CF75" w14:textId="77777777" w:rsidR="00E27B52" w:rsidRDefault="00E27B52" w:rsidP="00E27B52">
      <w:pPr>
        <w:rPr>
          <w:bCs/>
          <w:sz w:val="32"/>
          <w:szCs w:val="32"/>
        </w:rPr>
      </w:pPr>
    </w:p>
    <w:p w14:paraId="68887220" w14:textId="77777777" w:rsidR="00E27B52" w:rsidRPr="00DC6754" w:rsidRDefault="00E27B52" w:rsidP="00E27B52">
      <w:pPr>
        <w:ind w:left="2880" w:firstLine="720"/>
        <w:rPr>
          <w:bCs/>
          <w:sz w:val="32"/>
          <w:szCs w:val="32"/>
        </w:rPr>
      </w:pPr>
      <w:r w:rsidRPr="00DC6754">
        <w:rPr>
          <w:bCs/>
          <w:sz w:val="32"/>
          <w:szCs w:val="32"/>
        </w:rPr>
        <w:t xml:space="preserve">Assignment </w:t>
      </w:r>
      <w:r>
        <w:rPr>
          <w:bCs/>
          <w:sz w:val="32"/>
          <w:szCs w:val="32"/>
        </w:rPr>
        <w:t>T</w:t>
      </w:r>
      <w:r w:rsidRPr="00DC6754">
        <w:rPr>
          <w:bCs/>
          <w:sz w:val="32"/>
          <w:szCs w:val="32"/>
        </w:rPr>
        <w:t>itle</w:t>
      </w:r>
    </w:p>
    <w:p w14:paraId="558F1F6C" w14:textId="77777777" w:rsidR="00E27B52" w:rsidRPr="00DC6754" w:rsidRDefault="00E27B52" w:rsidP="00E27B52">
      <w:pPr>
        <w:jc w:val="center"/>
        <w:rPr>
          <w:bCs/>
          <w:sz w:val="32"/>
          <w:szCs w:val="32"/>
        </w:rPr>
      </w:pPr>
      <w:r>
        <w:rPr>
          <w:bCs/>
          <w:sz w:val="32"/>
          <w:szCs w:val="32"/>
        </w:rPr>
        <w:t>Financial Management</w:t>
      </w:r>
    </w:p>
    <w:p w14:paraId="6EB55E5A" w14:textId="77777777" w:rsidR="00E27B52" w:rsidRDefault="00E27B52" w:rsidP="00E27B52">
      <w:pPr>
        <w:jc w:val="left"/>
        <w:rPr>
          <w:b/>
          <w:sz w:val="32"/>
          <w:szCs w:val="32"/>
        </w:rPr>
      </w:pPr>
    </w:p>
    <w:p w14:paraId="3EF1A705" w14:textId="77777777" w:rsidR="00E27B52" w:rsidRDefault="00E27B52" w:rsidP="00E27B52">
      <w:pPr>
        <w:jc w:val="left"/>
        <w:rPr>
          <w:b/>
          <w:sz w:val="32"/>
          <w:szCs w:val="32"/>
        </w:rPr>
      </w:pPr>
    </w:p>
    <w:p w14:paraId="57A13C43" w14:textId="77777777" w:rsidR="00E27B52" w:rsidRDefault="00E27B52" w:rsidP="00E27B52">
      <w:pPr>
        <w:spacing w:after="160" w:line="256" w:lineRule="auto"/>
        <w:rPr>
          <w:rFonts w:eastAsia="DengXian"/>
          <w:kern w:val="2"/>
          <w:sz w:val="28"/>
          <w:szCs w:val="28"/>
          <w:lang w:val="en-GB" w:eastAsia="zh-CN"/>
          <w14:ligatures w14:val="standardContextual"/>
        </w:rPr>
      </w:pPr>
    </w:p>
    <w:p w14:paraId="5F91C130" w14:textId="77777777" w:rsidR="00E27B52" w:rsidRDefault="00E27B52" w:rsidP="00E27B52">
      <w:pPr>
        <w:spacing w:after="160" w:line="256" w:lineRule="auto"/>
        <w:rPr>
          <w:rFonts w:eastAsia="DengXian"/>
          <w:kern w:val="2"/>
          <w:sz w:val="28"/>
          <w:szCs w:val="28"/>
          <w:lang w:val="en-GB" w:eastAsia="zh-CN"/>
          <w14:ligatures w14:val="standardContextual"/>
        </w:rPr>
      </w:pPr>
    </w:p>
    <w:p w14:paraId="75AD2906" w14:textId="77777777" w:rsidR="00E27B52" w:rsidRDefault="00E27B52" w:rsidP="00E27B52">
      <w:pPr>
        <w:spacing w:after="160" w:line="256" w:lineRule="auto"/>
        <w:rPr>
          <w:rFonts w:eastAsia="DengXian"/>
          <w:kern w:val="2"/>
          <w:sz w:val="28"/>
          <w:szCs w:val="28"/>
          <w:lang w:val="en-GB" w:eastAsia="zh-CN"/>
          <w14:ligatures w14:val="standardContextual"/>
        </w:rPr>
      </w:pPr>
    </w:p>
    <w:p w14:paraId="0F0BBC2D" w14:textId="77777777" w:rsidR="00E27B52" w:rsidRDefault="00E27B52" w:rsidP="00E27B52">
      <w:pPr>
        <w:spacing w:after="160" w:line="256" w:lineRule="auto"/>
        <w:rPr>
          <w:rFonts w:eastAsia="DengXian"/>
          <w:kern w:val="2"/>
          <w:sz w:val="28"/>
          <w:szCs w:val="28"/>
          <w:lang w:val="en-GB" w:eastAsia="zh-CN"/>
          <w14:ligatures w14:val="standardContextual"/>
        </w:rPr>
      </w:pPr>
    </w:p>
    <w:p w14:paraId="503EBA87" w14:textId="77777777" w:rsidR="00E27B52" w:rsidRDefault="00E27B52" w:rsidP="00E27B52">
      <w:pPr>
        <w:spacing w:after="160" w:line="256" w:lineRule="auto"/>
        <w:rPr>
          <w:rFonts w:eastAsia="DengXian"/>
          <w:kern w:val="2"/>
          <w:sz w:val="28"/>
          <w:szCs w:val="28"/>
          <w:lang w:val="en-GB" w:eastAsia="zh-CN"/>
          <w14:ligatures w14:val="standardContextual"/>
        </w:rPr>
      </w:pPr>
    </w:p>
    <w:p w14:paraId="11869F05" w14:textId="77777777" w:rsidR="00E27B52" w:rsidRDefault="00E27B52" w:rsidP="00E27B52">
      <w:pPr>
        <w:spacing w:after="160" w:line="256" w:lineRule="auto"/>
        <w:rPr>
          <w:rFonts w:eastAsia="DengXian"/>
          <w:kern w:val="2"/>
          <w:sz w:val="28"/>
          <w:szCs w:val="28"/>
          <w:lang w:val="en-GB" w:eastAsia="zh-CN"/>
          <w14:ligatures w14:val="standardContextual"/>
        </w:rPr>
      </w:pPr>
    </w:p>
    <w:p w14:paraId="748F2B5A" w14:textId="77777777" w:rsidR="00E27B52" w:rsidRPr="00202AFD" w:rsidRDefault="00E27B52" w:rsidP="00E27B52">
      <w:pPr>
        <w:spacing w:after="160" w:line="256" w:lineRule="auto"/>
        <w:rPr>
          <w:rFonts w:eastAsia="DengXian"/>
          <w:kern w:val="2"/>
          <w:sz w:val="28"/>
          <w:szCs w:val="28"/>
          <w:lang w:val="en-GB" w:eastAsia="zh-CN"/>
          <w14:ligatures w14:val="standardContextual"/>
        </w:rPr>
      </w:pPr>
      <w:r w:rsidRPr="00202AFD">
        <w:rPr>
          <w:rFonts w:eastAsia="DengXian"/>
          <w:kern w:val="2"/>
          <w:sz w:val="28"/>
          <w:szCs w:val="28"/>
          <w:lang w:val="en-GB" w:eastAsia="zh-CN"/>
          <w14:ligatures w14:val="standardContextual"/>
        </w:rPr>
        <w:t xml:space="preserve">Name: Naitik </w:t>
      </w:r>
      <w:r>
        <w:rPr>
          <w:rFonts w:eastAsia="DengXian"/>
          <w:kern w:val="2"/>
          <w:sz w:val="28"/>
          <w:szCs w:val="28"/>
          <w:lang w:val="en-GB" w:eastAsia="zh-CN"/>
          <w14:ligatures w14:val="standardContextual"/>
        </w:rPr>
        <w:t>H</w:t>
      </w:r>
      <w:r w:rsidRPr="00202AFD">
        <w:rPr>
          <w:rFonts w:eastAsia="DengXian"/>
          <w:kern w:val="2"/>
          <w:sz w:val="28"/>
          <w:szCs w:val="28"/>
          <w:lang w:val="en-GB" w:eastAsia="zh-CN"/>
          <w14:ligatures w14:val="standardContextual"/>
        </w:rPr>
        <w:t xml:space="preserve">areshbhai </w:t>
      </w:r>
      <w:r>
        <w:rPr>
          <w:rFonts w:eastAsia="DengXian"/>
          <w:kern w:val="2"/>
          <w:sz w:val="28"/>
          <w:szCs w:val="28"/>
          <w:lang w:val="en-GB" w:eastAsia="zh-CN"/>
          <w14:ligatures w14:val="standardContextual"/>
        </w:rPr>
        <w:t>B</w:t>
      </w:r>
      <w:r w:rsidRPr="00202AFD">
        <w:rPr>
          <w:rFonts w:eastAsia="DengXian"/>
          <w:kern w:val="2"/>
          <w:sz w:val="28"/>
          <w:szCs w:val="28"/>
          <w:lang w:val="en-GB" w:eastAsia="zh-CN"/>
          <w14:ligatures w14:val="standardContextual"/>
        </w:rPr>
        <w:t>okha</w:t>
      </w:r>
    </w:p>
    <w:p w14:paraId="337EFFCD" w14:textId="77777777" w:rsidR="00E27B52" w:rsidRPr="00202AFD" w:rsidRDefault="00E27B52" w:rsidP="00E27B52">
      <w:pPr>
        <w:spacing w:after="160" w:line="256" w:lineRule="auto"/>
        <w:rPr>
          <w:rFonts w:eastAsia="DengXian"/>
          <w:kern w:val="2"/>
          <w:sz w:val="28"/>
          <w:szCs w:val="28"/>
          <w:lang w:val="en-GB" w:eastAsia="zh-CN"/>
          <w14:ligatures w14:val="standardContextual"/>
        </w:rPr>
      </w:pPr>
      <w:r w:rsidRPr="00202AFD">
        <w:rPr>
          <w:rFonts w:eastAsia="DengXian"/>
          <w:kern w:val="2"/>
          <w:sz w:val="28"/>
          <w:szCs w:val="28"/>
          <w:lang w:val="en-GB" w:eastAsia="zh-CN"/>
          <w14:ligatures w14:val="standardContextual"/>
        </w:rPr>
        <w:t>Student ID: 2332525</w:t>
      </w:r>
    </w:p>
    <w:p w14:paraId="2A2828BA" w14:textId="77777777" w:rsidR="00E27B52" w:rsidRPr="00202AFD" w:rsidRDefault="00E27B52" w:rsidP="00E27B52">
      <w:pPr>
        <w:spacing w:after="160" w:line="256" w:lineRule="auto"/>
        <w:rPr>
          <w:rFonts w:eastAsia="DengXian"/>
          <w:kern w:val="2"/>
          <w:sz w:val="28"/>
          <w:szCs w:val="28"/>
          <w:lang w:val="en-GB" w:eastAsia="zh-CN"/>
          <w14:ligatures w14:val="standardContextual"/>
        </w:rPr>
      </w:pPr>
      <w:r w:rsidRPr="00202AFD">
        <w:rPr>
          <w:rFonts w:eastAsia="DengXian"/>
          <w:kern w:val="2"/>
          <w:sz w:val="28"/>
          <w:szCs w:val="28"/>
          <w:lang w:val="en-GB" w:eastAsia="zh-CN"/>
          <w14:ligatures w14:val="standardContextual"/>
        </w:rPr>
        <w:t xml:space="preserve">Module Code: </w:t>
      </w:r>
      <w:r w:rsidRPr="00202AFD">
        <w:rPr>
          <w:rFonts w:eastAsia="DengXian"/>
          <w:b/>
          <w:bCs/>
          <w:kern w:val="2"/>
          <w:sz w:val="28"/>
          <w:szCs w:val="28"/>
          <w:lang w:val="en-GB" w:eastAsia="zh-CN"/>
          <w14:ligatures w14:val="standardContextual"/>
        </w:rPr>
        <w:t>LCMB70</w:t>
      </w:r>
      <w:r>
        <w:rPr>
          <w:rFonts w:eastAsia="DengXian"/>
          <w:b/>
          <w:bCs/>
          <w:kern w:val="2"/>
          <w:sz w:val="28"/>
          <w:szCs w:val="28"/>
          <w:lang w:val="en-GB" w:eastAsia="zh-CN"/>
          <w14:ligatures w14:val="standardContextual"/>
        </w:rPr>
        <w:t>02</w:t>
      </w:r>
    </w:p>
    <w:p w14:paraId="61AF2576" w14:textId="77777777" w:rsidR="00E27B52" w:rsidRPr="00202AFD" w:rsidRDefault="00E27B52" w:rsidP="00E27B52">
      <w:pPr>
        <w:spacing w:after="160" w:line="256" w:lineRule="auto"/>
        <w:rPr>
          <w:rFonts w:eastAsia="DengXian"/>
          <w:kern w:val="2"/>
          <w:sz w:val="28"/>
          <w:szCs w:val="28"/>
          <w:lang w:val="en-GB" w:eastAsia="zh-CN"/>
          <w14:ligatures w14:val="standardContextual"/>
        </w:rPr>
      </w:pPr>
      <w:r w:rsidRPr="00202AFD">
        <w:rPr>
          <w:rFonts w:eastAsia="DengXian"/>
          <w:kern w:val="2"/>
          <w:sz w:val="28"/>
          <w:szCs w:val="28"/>
          <w:lang w:val="en-GB" w:eastAsia="zh-CN"/>
          <w14:ligatures w14:val="standardContextual"/>
        </w:rPr>
        <w:t xml:space="preserve">Module: </w:t>
      </w:r>
      <w:r>
        <w:rPr>
          <w:rFonts w:eastAsia="DengXian"/>
          <w:kern w:val="2"/>
          <w:sz w:val="28"/>
          <w:szCs w:val="28"/>
          <w:lang w:val="en-GB" w:eastAsia="zh-CN"/>
          <w14:ligatures w14:val="standardContextual"/>
        </w:rPr>
        <w:t>Financial Management</w:t>
      </w:r>
    </w:p>
    <w:p w14:paraId="173CFB0F" w14:textId="77777777" w:rsidR="00E27B52" w:rsidRPr="00202AFD" w:rsidRDefault="00E27B52" w:rsidP="00E27B52">
      <w:pPr>
        <w:spacing w:after="160" w:line="256" w:lineRule="auto"/>
        <w:rPr>
          <w:rFonts w:eastAsia="DengXian"/>
          <w:kern w:val="2"/>
          <w:sz w:val="28"/>
          <w:szCs w:val="28"/>
          <w:lang w:val="en-GB" w:eastAsia="zh-CN"/>
          <w14:ligatures w14:val="standardContextual"/>
        </w:rPr>
      </w:pPr>
      <w:r w:rsidRPr="00202AFD">
        <w:rPr>
          <w:rFonts w:eastAsia="DengXian"/>
          <w:kern w:val="2"/>
          <w:sz w:val="28"/>
          <w:szCs w:val="28"/>
          <w:lang w:val="en-GB" w:eastAsia="zh-CN"/>
          <w14:ligatures w14:val="standardContextual"/>
        </w:rPr>
        <w:t xml:space="preserve">Lecturer: </w:t>
      </w:r>
      <w:r>
        <w:rPr>
          <w:rFonts w:eastAsia="DengXian"/>
          <w:kern w:val="2"/>
          <w:sz w:val="28"/>
          <w:szCs w:val="28"/>
          <w:lang w:val="en-GB" w:eastAsia="zh-CN"/>
          <w14:ligatures w14:val="standardContextual"/>
        </w:rPr>
        <w:t>MD Kalam</w:t>
      </w:r>
    </w:p>
    <w:p w14:paraId="1978241A" w14:textId="77777777" w:rsidR="00E27B52" w:rsidRDefault="00E27B52" w:rsidP="00E27B52">
      <w:pPr>
        <w:jc w:val="center"/>
        <w:rPr>
          <w:rFonts w:asciiTheme="minorBidi" w:hAnsiTheme="minorBidi"/>
          <w:sz w:val="28"/>
          <w:szCs w:val="28"/>
        </w:rPr>
      </w:pPr>
    </w:p>
    <w:p w14:paraId="310DAF05" w14:textId="77777777" w:rsidR="00E27B52" w:rsidRDefault="00E27B52" w:rsidP="00E27B52">
      <w:pPr>
        <w:jc w:val="center"/>
      </w:pPr>
      <w:r w:rsidRPr="00DC6754">
        <w:rPr>
          <w:bCs/>
          <w:sz w:val="32"/>
          <w:szCs w:val="32"/>
        </w:rPr>
        <w:t>Submitted on:  2</w:t>
      </w:r>
      <w:r>
        <w:rPr>
          <w:bCs/>
          <w:sz w:val="32"/>
          <w:szCs w:val="32"/>
        </w:rPr>
        <w:t>1</w:t>
      </w:r>
      <w:r>
        <w:rPr>
          <w:bCs/>
          <w:sz w:val="32"/>
          <w:szCs w:val="32"/>
          <w:vertAlign w:val="superscript"/>
        </w:rPr>
        <w:t>st</w:t>
      </w:r>
      <w:r w:rsidRPr="00DC6754">
        <w:rPr>
          <w:bCs/>
          <w:sz w:val="32"/>
          <w:szCs w:val="32"/>
        </w:rPr>
        <w:t xml:space="preserve"> August 2024</w:t>
      </w:r>
    </w:p>
    <w:p w14:paraId="6B01141B" w14:textId="2995FBE1" w:rsidR="0053206A" w:rsidRDefault="00E27B52" w:rsidP="00E27B52">
      <w:pPr>
        <w:jc w:val="center"/>
        <w:rPr>
          <w:b/>
          <w:sz w:val="28"/>
          <w:szCs w:val="28"/>
        </w:rPr>
      </w:pPr>
      <w:r>
        <w:rPr>
          <w:b/>
          <w:sz w:val="28"/>
          <w:szCs w:val="28"/>
        </w:rPr>
        <w:lastRenderedPageBreak/>
        <w:t>Table of Contents</w:t>
      </w:r>
    </w:p>
    <w:p w14:paraId="079F79AB" w14:textId="2066E21F" w:rsidR="00E27B52" w:rsidRPr="00420767" w:rsidRDefault="00CB0C0F" w:rsidP="000F5CAD">
      <w:pPr>
        <w:widowControl w:val="0"/>
        <w:tabs>
          <w:tab w:val="right" w:leader="dot" w:pos="9360"/>
        </w:tabs>
        <w:spacing w:before="60" w:after="0" w:line="240" w:lineRule="auto"/>
        <w:jc w:val="left"/>
        <w:rPr>
          <w:noProof/>
        </w:rPr>
      </w:pPr>
      <w:hyperlink w:anchor="_xsmaf8wcfbnz">
        <w:r w:rsidR="00E27B52" w:rsidRPr="00420767">
          <w:rPr>
            <w:noProof/>
            <w:color w:val="000000"/>
          </w:rPr>
          <w:t>Part (A). Introduction</w:t>
        </w:r>
        <w:r w:rsidR="00420767">
          <w:rPr>
            <w:noProof/>
            <w:color w:val="000000"/>
          </w:rPr>
          <w:t>……………………………………………………………………………...</w:t>
        </w:r>
      </w:hyperlink>
      <w:r w:rsidR="00420767">
        <w:rPr>
          <w:noProof/>
        </w:rPr>
        <w:t>3</w:t>
      </w:r>
    </w:p>
    <w:p w14:paraId="52B1BE25" w14:textId="5966ED81" w:rsidR="00C676A3" w:rsidRPr="00420767" w:rsidRDefault="00C676A3" w:rsidP="000F5CAD">
      <w:pPr>
        <w:spacing w:line="240" w:lineRule="auto"/>
        <w:rPr>
          <w:bCs/>
          <w:iCs/>
        </w:rPr>
      </w:pPr>
      <w:r w:rsidRPr="00420767">
        <w:rPr>
          <w:bCs/>
          <w:iCs/>
        </w:rPr>
        <w:t xml:space="preserve">    </w:t>
      </w:r>
      <w:r w:rsidR="00B206CF" w:rsidRPr="00420767">
        <w:rPr>
          <w:bCs/>
          <w:iCs/>
        </w:rPr>
        <w:t>1.</w:t>
      </w:r>
      <w:r w:rsidRPr="00420767">
        <w:rPr>
          <w:bCs/>
          <w:iCs/>
        </w:rPr>
        <w:t>History and Business Model</w:t>
      </w:r>
      <w:r w:rsidRPr="00420767">
        <w:rPr>
          <w:bCs/>
          <w:iCs/>
        </w:rPr>
        <w:t>………………………………………………………………......3</w:t>
      </w:r>
    </w:p>
    <w:p w14:paraId="10EA512E" w14:textId="7E1CF35E" w:rsidR="00C676A3" w:rsidRPr="00420767" w:rsidRDefault="00C676A3" w:rsidP="000F5CAD">
      <w:pPr>
        <w:spacing w:line="240" w:lineRule="auto"/>
        <w:rPr>
          <w:bCs/>
          <w:iCs/>
        </w:rPr>
      </w:pPr>
      <w:r w:rsidRPr="00420767">
        <w:rPr>
          <w:bCs/>
          <w:iCs/>
        </w:rPr>
        <w:t xml:space="preserve">    </w:t>
      </w:r>
      <w:r w:rsidR="00B206CF" w:rsidRPr="00420767">
        <w:rPr>
          <w:bCs/>
          <w:iCs/>
        </w:rPr>
        <w:t>2.</w:t>
      </w:r>
      <w:r w:rsidRPr="00420767">
        <w:rPr>
          <w:bCs/>
          <w:iCs/>
        </w:rPr>
        <w:t>Market Place and Major Competitor</w:t>
      </w:r>
      <w:r w:rsidRPr="00420767">
        <w:rPr>
          <w:bCs/>
          <w:iCs/>
        </w:rPr>
        <w:t>………………………………………………………….3</w:t>
      </w:r>
    </w:p>
    <w:p w14:paraId="4E72FBDE" w14:textId="2E4665CB" w:rsidR="00C676A3" w:rsidRPr="00420767" w:rsidRDefault="00C676A3" w:rsidP="000F5CAD">
      <w:pPr>
        <w:spacing w:line="240" w:lineRule="auto"/>
        <w:rPr>
          <w:bCs/>
          <w:iCs/>
        </w:rPr>
      </w:pPr>
      <w:r w:rsidRPr="00420767">
        <w:rPr>
          <w:bCs/>
          <w:iCs/>
        </w:rPr>
        <w:t xml:space="preserve">    </w:t>
      </w:r>
      <w:r w:rsidR="00B206CF" w:rsidRPr="00420767">
        <w:rPr>
          <w:bCs/>
          <w:iCs/>
        </w:rPr>
        <w:t>3.</w:t>
      </w:r>
      <w:r w:rsidRPr="00420767">
        <w:rPr>
          <w:bCs/>
          <w:iCs/>
        </w:rPr>
        <w:t>Major Recent Events (2019-2024</w:t>
      </w:r>
      <w:r w:rsidRPr="00420767">
        <w:rPr>
          <w:bCs/>
          <w:iCs/>
        </w:rPr>
        <w:t>) ……………………………………………………………3</w:t>
      </w:r>
    </w:p>
    <w:p w14:paraId="45BF141A" w14:textId="09A6BDE9" w:rsidR="00C676A3" w:rsidRPr="00420767" w:rsidRDefault="00B206CF" w:rsidP="000F5CAD">
      <w:pPr>
        <w:spacing w:line="240" w:lineRule="auto"/>
        <w:rPr>
          <w:bCs/>
        </w:rPr>
      </w:pPr>
      <w:r w:rsidRPr="00420767">
        <w:rPr>
          <w:bCs/>
          <w:iCs/>
        </w:rPr>
        <w:t xml:space="preserve">    3.1 </w:t>
      </w:r>
      <w:r w:rsidRPr="00420767">
        <w:rPr>
          <w:bCs/>
        </w:rPr>
        <w:t>Change of Leadership</w:t>
      </w:r>
      <w:r w:rsidRPr="00420767">
        <w:rPr>
          <w:bCs/>
        </w:rPr>
        <w:t>……………………………………………………………………….3</w:t>
      </w:r>
    </w:p>
    <w:p w14:paraId="1C21389D" w14:textId="7DB535C9" w:rsidR="00B206CF" w:rsidRPr="00420767" w:rsidRDefault="00B206CF" w:rsidP="000F5CAD">
      <w:pPr>
        <w:spacing w:line="240" w:lineRule="auto"/>
        <w:rPr>
          <w:bCs/>
        </w:rPr>
      </w:pPr>
      <w:r w:rsidRPr="00420767">
        <w:rPr>
          <w:bCs/>
        </w:rPr>
        <w:t xml:space="preserve">    3.2 </w:t>
      </w:r>
      <w:r w:rsidRPr="00420767">
        <w:rPr>
          <w:bCs/>
        </w:rPr>
        <w:t>Earnings Forecasts, and Company Performance</w:t>
      </w:r>
      <w:r w:rsidRPr="00420767">
        <w:rPr>
          <w:bCs/>
        </w:rPr>
        <w:t>……………………………………………3</w:t>
      </w:r>
    </w:p>
    <w:p w14:paraId="742B6439" w14:textId="10D6A6B2" w:rsidR="00B206CF" w:rsidRPr="00420767" w:rsidRDefault="00B206CF" w:rsidP="000F5CAD">
      <w:pPr>
        <w:spacing w:line="240" w:lineRule="auto"/>
      </w:pPr>
      <w:r w:rsidRPr="00420767">
        <w:t xml:space="preserve">    3.3 </w:t>
      </w:r>
      <w:r w:rsidRPr="00420767">
        <w:rPr>
          <w:bCs/>
          <w:iCs/>
        </w:rPr>
        <w:t>Legal Issues</w:t>
      </w:r>
      <w:r w:rsidRPr="00420767">
        <w:rPr>
          <w:bCs/>
          <w:iCs/>
        </w:rPr>
        <w:t>…………………………………………………………………………………4</w:t>
      </w:r>
    </w:p>
    <w:p w14:paraId="686209A0" w14:textId="680E2E31" w:rsidR="00B206CF" w:rsidRPr="00420767" w:rsidRDefault="00B206CF" w:rsidP="000F5CAD">
      <w:pPr>
        <w:spacing w:line="240" w:lineRule="auto"/>
        <w:rPr>
          <w:bCs/>
          <w:iCs/>
        </w:rPr>
      </w:pPr>
      <w:r w:rsidRPr="00420767">
        <w:t xml:space="preserve">    3.4 </w:t>
      </w:r>
      <w:r w:rsidRPr="00420767">
        <w:rPr>
          <w:bCs/>
          <w:iCs/>
        </w:rPr>
        <w:t>Mergers and Acquisitions</w:t>
      </w:r>
      <w:r w:rsidRPr="00420767">
        <w:rPr>
          <w:bCs/>
          <w:iCs/>
        </w:rPr>
        <w:t>……………………………………………………………</w:t>
      </w:r>
      <w:r w:rsidR="00B964FF" w:rsidRPr="00420767">
        <w:rPr>
          <w:bCs/>
          <w:iCs/>
        </w:rPr>
        <w:t>.</w:t>
      </w:r>
      <w:r w:rsidRPr="00420767">
        <w:rPr>
          <w:bCs/>
          <w:iCs/>
        </w:rPr>
        <w:t>…......4</w:t>
      </w:r>
    </w:p>
    <w:p w14:paraId="2C6FD4E8" w14:textId="78F87A35" w:rsidR="00B206CF" w:rsidRPr="00420767" w:rsidRDefault="00B206CF" w:rsidP="000F5CAD">
      <w:pPr>
        <w:spacing w:line="240" w:lineRule="auto"/>
      </w:pPr>
      <w:r w:rsidRPr="00420767">
        <w:t xml:space="preserve">    3.5 </w:t>
      </w:r>
      <w:r w:rsidRPr="00420767">
        <w:rPr>
          <w:bCs/>
          <w:iCs/>
        </w:rPr>
        <w:t>Strategic Changes</w:t>
      </w:r>
      <w:r w:rsidRPr="00420767">
        <w:rPr>
          <w:bCs/>
          <w:iCs/>
        </w:rPr>
        <w:t>………………………………………………………………………...</w:t>
      </w:r>
      <w:r w:rsidR="00B964FF" w:rsidRPr="00420767">
        <w:rPr>
          <w:bCs/>
          <w:iCs/>
        </w:rPr>
        <w:t>.</w:t>
      </w:r>
      <w:r w:rsidRPr="00420767">
        <w:rPr>
          <w:bCs/>
          <w:iCs/>
        </w:rPr>
        <w:t>...4</w:t>
      </w:r>
    </w:p>
    <w:p w14:paraId="0773C070" w14:textId="247FE3CF" w:rsidR="00E27B52" w:rsidRPr="00420767" w:rsidRDefault="00CB0C0F" w:rsidP="000F5CAD">
      <w:pPr>
        <w:widowControl w:val="0"/>
        <w:tabs>
          <w:tab w:val="right" w:leader="dot" w:pos="9360"/>
        </w:tabs>
        <w:spacing w:before="60" w:after="0" w:line="240" w:lineRule="auto"/>
        <w:jc w:val="left"/>
        <w:rPr>
          <w:noProof/>
        </w:rPr>
      </w:pPr>
      <w:hyperlink w:anchor="_aomz6221k107">
        <w:r w:rsidR="00E27B52" w:rsidRPr="00420767">
          <w:rPr>
            <w:noProof/>
            <w:color w:val="000000"/>
          </w:rPr>
          <w:t>Part (B). Financial performance review</w:t>
        </w:r>
        <w:r w:rsidR="00420767">
          <w:rPr>
            <w:noProof/>
            <w:color w:val="000000"/>
          </w:rPr>
          <w:t>…………………………………………………………...</w:t>
        </w:r>
      </w:hyperlink>
      <w:r w:rsidR="000F5CAD">
        <w:rPr>
          <w:noProof/>
        </w:rPr>
        <w:t>4</w:t>
      </w:r>
    </w:p>
    <w:p w14:paraId="1E188110" w14:textId="6E4C4B13" w:rsidR="00B964FF" w:rsidRPr="00420767" w:rsidRDefault="00B964FF" w:rsidP="000F5CAD">
      <w:pPr>
        <w:spacing w:line="240" w:lineRule="auto"/>
        <w:rPr>
          <w:bCs/>
          <w:iCs/>
        </w:rPr>
      </w:pPr>
      <w:r w:rsidRPr="00420767">
        <w:rPr>
          <w:bCs/>
          <w:iCs/>
        </w:rPr>
        <w:t xml:space="preserve">    </w:t>
      </w:r>
      <w:r w:rsidRPr="00420767">
        <w:rPr>
          <w:bCs/>
          <w:iCs/>
        </w:rPr>
        <w:t>1. Profitability Ratios</w:t>
      </w:r>
      <w:r w:rsidRPr="00420767">
        <w:rPr>
          <w:bCs/>
          <w:iCs/>
        </w:rPr>
        <w:t>…………………………………………………………………………...</w:t>
      </w:r>
      <w:r w:rsidRPr="00420767">
        <w:rPr>
          <w:bCs/>
          <w:iCs/>
        </w:rPr>
        <w:t>4</w:t>
      </w:r>
    </w:p>
    <w:p w14:paraId="2D1C10BD" w14:textId="3AB98594" w:rsidR="00B964FF" w:rsidRPr="00420767" w:rsidRDefault="00B964FF" w:rsidP="000F5CAD">
      <w:pPr>
        <w:spacing w:line="240" w:lineRule="auto"/>
        <w:rPr>
          <w:bCs/>
          <w:iCs/>
        </w:rPr>
      </w:pPr>
      <w:r w:rsidRPr="00420767">
        <w:rPr>
          <w:bCs/>
          <w:iCs/>
        </w:rPr>
        <w:t xml:space="preserve">    </w:t>
      </w:r>
      <w:r w:rsidRPr="00420767">
        <w:rPr>
          <w:bCs/>
          <w:iCs/>
        </w:rPr>
        <w:t>2. Liquidity Ratio</w:t>
      </w:r>
      <w:r w:rsidRPr="00420767">
        <w:rPr>
          <w:bCs/>
          <w:iCs/>
        </w:rPr>
        <w:t>……………………………………………………………………………….</w:t>
      </w:r>
      <w:r w:rsidRPr="00420767">
        <w:rPr>
          <w:bCs/>
          <w:iCs/>
        </w:rPr>
        <w:t>6</w:t>
      </w:r>
    </w:p>
    <w:p w14:paraId="28BAF8E8" w14:textId="7FE90C44" w:rsidR="00B964FF" w:rsidRPr="00420767" w:rsidRDefault="00B964FF" w:rsidP="000F5CAD">
      <w:pPr>
        <w:spacing w:line="240" w:lineRule="auto"/>
        <w:rPr>
          <w:bCs/>
          <w:iCs/>
        </w:rPr>
      </w:pPr>
      <w:r w:rsidRPr="00420767">
        <w:rPr>
          <w:bCs/>
          <w:iCs/>
        </w:rPr>
        <w:t xml:space="preserve">    </w:t>
      </w:r>
      <w:r w:rsidRPr="00420767">
        <w:rPr>
          <w:bCs/>
          <w:iCs/>
        </w:rPr>
        <w:t>3. Gearing Ratios</w:t>
      </w:r>
      <w:r w:rsidRPr="00420767">
        <w:rPr>
          <w:bCs/>
          <w:iCs/>
        </w:rPr>
        <w:t>………………………………………………………………………….…….</w:t>
      </w:r>
      <w:r w:rsidRPr="00420767">
        <w:rPr>
          <w:bCs/>
          <w:iCs/>
        </w:rPr>
        <w:t>8</w:t>
      </w:r>
    </w:p>
    <w:p w14:paraId="27EB9262" w14:textId="51C686B8" w:rsidR="00B964FF" w:rsidRPr="00420767" w:rsidRDefault="00B964FF" w:rsidP="000F5CAD">
      <w:pPr>
        <w:spacing w:line="240" w:lineRule="auto"/>
        <w:rPr>
          <w:bCs/>
          <w:iCs/>
        </w:rPr>
      </w:pPr>
      <w:r w:rsidRPr="00420767">
        <w:rPr>
          <w:bCs/>
          <w:iCs/>
        </w:rPr>
        <w:t xml:space="preserve">    </w:t>
      </w:r>
      <w:r w:rsidRPr="00420767">
        <w:rPr>
          <w:bCs/>
          <w:iCs/>
        </w:rPr>
        <w:t>4. Efficiency Ratios</w:t>
      </w:r>
      <w:r w:rsidRPr="00420767">
        <w:rPr>
          <w:bCs/>
          <w:iCs/>
        </w:rPr>
        <w:t>……………………………………………………………………………</w:t>
      </w:r>
      <w:r w:rsidRPr="00420767">
        <w:rPr>
          <w:bCs/>
          <w:iCs/>
        </w:rPr>
        <w:t>10</w:t>
      </w:r>
    </w:p>
    <w:p w14:paraId="135B72A0" w14:textId="78C0795C" w:rsidR="00B964FF" w:rsidRPr="00420767" w:rsidRDefault="00B964FF" w:rsidP="000F5CAD">
      <w:pPr>
        <w:spacing w:line="240" w:lineRule="auto"/>
        <w:rPr>
          <w:bCs/>
          <w:iCs/>
        </w:rPr>
      </w:pPr>
      <w:r w:rsidRPr="00420767">
        <w:rPr>
          <w:bCs/>
          <w:iCs/>
        </w:rPr>
        <w:t xml:space="preserve">    </w:t>
      </w:r>
      <w:r w:rsidRPr="00420767">
        <w:rPr>
          <w:bCs/>
          <w:iCs/>
        </w:rPr>
        <w:t>5. Recommendations</w:t>
      </w:r>
      <w:r w:rsidRPr="00420767">
        <w:rPr>
          <w:bCs/>
          <w:iCs/>
        </w:rPr>
        <w:t>………………………………………………………………………......</w:t>
      </w:r>
      <w:r w:rsidRPr="00420767">
        <w:rPr>
          <w:bCs/>
          <w:iCs/>
        </w:rPr>
        <w:t>12</w:t>
      </w:r>
    </w:p>
    <w:p w14:paraId="3649205E" w14:textId="64B251D6" w:rsidR="00B964FF" w:rsidRPr="00420767" w:rsidRDefault="00B964FF" w:rsidP="000F5CAD">
      <w:pPr>
        <w:spacing w:line="240" w:lineRule="auto"/>
        <w:rPr>
          <w:bCs/>
          <w:iCs/>
        </w:rPr>
      </w:pPr>
      <w:r w:rsidRPr="00420767">
        <w:rPr>
          <w:bCs/>
          <w:iCs/>
        </w:rPr>
        <w:t xml:space="preserve">    </w:t>
      </w:r>
      <w:r w:rsidRPr="00420767">
        <w:rPr>
          <w:bCs/>
          <w:iCs/>
        </w:rPr>
        <w:t>5.1 Inventory Management</w:t>
      </w:r>
      <w:r w:rsidRPr="00420767">
        <w:rPr>
          <w:bCs/>
          <w:iCs/>
        </w:rPr>
        <w:t>…………………………………………………………………….</w:t>
      </w:r>
      <w:r w:rsidRPr="00420767">
        <w:rPr>
          <w:bCs/>
          <w:iCs/>
        </w:rPr>
        <w:t>12</w:t>
      </w:r>
    </w:p>
    <w:p w14:paraId="2E6B917D" w14:textId="7D1CAF9A" w:rsidR="00B964FF" w:rsidRPr="00420767" w:rsidRDefault="00B964FF" w:rsidP="000F5CAD">
      <w:pPr>
        <w:spacing w:line="240" w:lineRule="auto"/>
        <w:rPr>
          <w:bCs/>
          <w:iCs/>
        </w:rPr>
      </w:pPr>
      <w:r w:rsidRPr="00420767">
        <w:rPr>
          <w:bCs/>
          <w:iCs/>
        </w:rPr>
        <w:t xml:space="preserve">    </w:t>
      </w:r>
      <w:r w:rsidRPr="00420767">
        <w:rPr>
          <w:bCs/>
          <w:iCs/>
        </w:rPr>
        <w:t>5.2 Receivables Collection</w:t>
      </w:r>
      <w:r w:rsidRPr="00420767">
        <w:rPr>
          <w:bCs/>
          <w:iCs/>
        </w:rPr>
        <w:t>…………………………………………………………………….</w:t>
      </w:r>
      <w:r w:rsidRPr="00420767">
        <w:rPr>
          <w:bCs/>
          <w:iCs/>
        </w:rPr>
        <w:t>12</w:t>
      </w:r>
    </w:p>
    <w:p w14:paraId="6FB92BFE" w14:textId="2748F9E6" w:rsidR="00B964FF" w:rsidRPr="00420767" w:rsidRDefault="00B964FF" w:rsidP="000F5CAD">
      <w:pPr>
        <w:spacing w:line="240" w:lineRule="auto"/>
        <w:rPr>
          <w:bCs/>
          <w:iCs/>
        </w:rPr>
      </w:pPr>
      <w:r w:rsidRPr="00420767">
        <w:rPr>
          <w:bCs/>
          <w:iCs/>
        </w:rPr>
        <w:t xml:space="preserve">    </w:t>
      </w:r>
      <w:r w:rsidRPr="00420767">
        <w:rPr>
          <w:bCs/>
          <w:iCs/>
        </w:rPr>
        <w:t>5.3 Debt Management</w:t>
      </w:r>
      <w:r w:rsidRPr="00420767">
        <w:rPr>
          <w:bCs/>
          <w:iCs/>
        </w:rPr>
        <w:t>…………………………………………………………………………</w:t>
      </w:r>
      <w:r w:rsidRPr="00420767">
        <w:rPr>
          <w:bCs/>
          <w:iCs/>
        </w:rPr>
        <w:t>12</w:t>
      </w:r>
    </w:p>
    <w:p w14:paraId="2DD9A955" w14:textId="516B6571" w:rsidR="00B964FF" w:rsidRPr="00420767" w:rsidRDefault="00B964FF" w:rsidP="000F5CAD">
      <w:pPr>
        <w:spacing w:line="240" w:lineRule="auto"/>
        <w:rPr>
          <w:bCs/>
          <w:iCs/>
        </w:rPr>
      </w:pPr>
      <w:r w:rsidRPr="00420767">
        <w:rPr>
          <w:bCs/>
          <w:iCs/>
        </w:rPr>
        <w:t xml:space="preserve">    </w:t>
      </w:r>
      <w:r w:rsidRPr="00420767">
        <w:rPr>
          <w:bCs/>
          <w:iCs/>
        </w:rPr>
        <w:t>5.5 Cost Efficiency</w:t>
      </w:r>
      <w:r w:rsidRPr="00420767">
        <w:rPr>
          <w:bCs/>
          <w:iCs/>
        </w:rPr>
        <w:t>…………………………………………………………………………….</w:t>
      </w:r>
      <w:r w:rsidRPr="00420767">
        <w:rPr>
          <w:bCs/>
          <w:iCs/>
        </w:rPr>
        <w:t>12</w:t>
      </w:r>
    </w:p>
    <w:p w14:paraId="10BEA035" w14:textId="15135059" w:rsidR="007B16DB" w:rsidRPr="00420767" w:rsidRDefault="00B964FF" w:rsidP="000F5CAD">
      <w:pPr>
        <w:spacing w:line="240" w:lineRule="auto"/>
        <w:rPr>
          <w:bCs/>
          <w:iCs/>
        </w:rPr>
      </w:pPr>
      <w:r w:rsidRPr="00420767">
        <w:rPr>
          <w:bCs/>
          <w:iCs/>
        </w:rPr>
        <w:t xml:space="preserve">    </w:t>
      </w:r>
      <w:r w:rsidRPr="00420767">
        <w:rPr>
          <w:bCs/>
          <w:iCs/>
        </w:rPr>
        <w:t>5.6 Innovation and Market Expansion</w:t>
      </w:r>
      <w:r w:rsidRPr="00420767">
        <w:rPr>
          <w:bCs/>
          <w:iCs/>
        </w:rPr>
        <w:t>…………………………………………………………</w:t>
      </w:r>
      <w:r w:rsidRPr="00420767">
        <w:rPr>
          <w:bCs/>
          <w:iCs/>
        </w:rPr>
        <w:t>13</w:t>
      </w:r>
    </w:p>
    <w:p w14:paraId="0E72E030" w14:textId="67146489" w:rsidR="00E27B52" w:rsidRPr="00420767" w:rsidRDefault="00CB0C0F" w:rsidP="000F5CAD">
      <w:pPr>
        <w:widowControl w:val="0"/>
        <w:tabs>
          <w:tab w:val="right" w:leader="dot" w:pos="9360"/>
        </w:tabs>
        <w:spacing w:before="60" w:after="0" w:line="240" w:lineRule="auto"/>
        <w:jc w:val="left"/>
        <w:rPr>
          <w:noProof/>
        </w:rPr>
      </w:pPr>
      <w:hyperlink w:anchor="_c4xoehm5j9ml">
        <w:r w:rsidR="00E27B52" w:rsidRPr="00420767">
          <w:rPr>
            <w:noProof/>
            <w:color w:val="000000"/>
          </w:rPr>
          <w:t>Part (C). Investment app</w:t>
        </w:r>
        <w:r w:rsidR="000F5CAD">
          <w:rPr>
            <w:noProof/>
            <w:color w:val="000000"/>
          </w:rPr>
          <w:t>r</w:t>
        </w:r>
        <w:r w:rsidR="00E27B52" w:rsidRPr="00420767">
          <w:rPr>
            <w:noProof/>
            <w:color w:val="000000"/>
          </w:rPr>
          <w:t>aisal</w:t>
        </w:r>
        <w:r w:rsidR="000F5CAD">
          <w:rPr>
            <w:noProof/>
            <w:color w:val="000000"/>
          </w:rPr>
          <w:t>……………………………………………………………………</w:t>
        </w:r>
      </w:hyperlink>
      <w:r w:rsidR="000F5CAD">
        <w:rPr>
          <w:noProof/>
        </w:rPr>
        <w:t>14</w:t>
      </w:r>
    </w:p>
    <w:p w14:paraId="5C6DD7B3" w14:textId="72802430" w:rsidR="00420767" w:rsidRPr="00420767" w:rsidRDefault="00420767" w:rsidP="000F5CAD">
      <w:pPr>
        <w:widowControl w:val="0"/>
        <w:tabs>
          <w:tab w:val="right" w:leader="dot" w:pos="9360"/>
        </w:tabs>
        <w:spacing w:before="60" w:after="0" w:line="240" w:lineRule="auto"/>
        <w:jc w:val="left"/>
        <w:rPr>
          <w:bCs/>
          <w:iCs/>
        </w:rPr>
      </w:pPr>
      <w:r w:rsidRPr="00420767">
        <w:rPr>
          <w:noProof/>
        </w:rPr>
        <w:t xml:space="preserve">    </w:t>
      </w:r>
      <w:r w:rsidRPr="00420767">
        <w:rPr>
          <w:bCs/>
          <w:iCs/>
        </w:rPr>
        <w:t>1. Payback Period</w:t>
      </w:r>
      <w:r w:rsidRPr="00420767">
        <w:rPr>
          <w:bCs/>
          <w:iCs/>
        </w:rPr>
        <w:t>…………………………………………………………………………...…</w:t>
      </w:r>
      <w:r w:rsidRPr="00420767">
        <w:rPr>
          <w:bCs/>
          <w:iCs/>
        </w:rPr>
        <w:t>14</w:t>
      </w:r>
    </w:p>
    <w:p w14:paraId="38F9499D" w14:textId="36CC3D1D" w:rsidR="00420767" w:rsidRPr="00420767" w:rsidRDefault="00420767" w:rsidP="000F5CAD">
      <w:pPr>
        <w:widowControl w:val="0"/>
        <w:tabs>
          <w:tab w:val="right" w:leader="dot" w:pos="9360"/>
        </w:tabs>
        <w:spacing w:before="60" w:after="0"/>
        <w:jc w:val="left"/>
        <w:rPr>
          <w:bCs/>
          <w:iCs/>
        </w:rPr>
      </w:pPr>
      <w:r w:rsidRPr="00420767">
        <w:rPr>
          <w:bCs/>
          <w:iCs/>
        </w:rPr>
        <w:t xml:space="preserve">    </w:t>
      </w:r>
      <w:r w:rsidRPr="00420767">
        <w:rPr>
          <w:bCs/>
          <w:iCs/>
        </w:rPr>
        <w:t>2. Accounting Rate of Return</w:t>
      </w:r>
      <w:r w:rsidRPr="00420767">
        <w:rPr>
          <w:bCs/>
          <w:iCs/>
        </w:rPr>
        <w:t>………………………………………………………………....</w:t>
      </w:r>
      <w:r w:rsidRPr="00420767">
        <w:rPr>
          <w:bCs/>
          <w:iCs/>
        </w:rPr>
        <w:t>15</w:t>
      </w:r>
    </w:p>
    <w:p w14:paraId="545140EC" w14:textId="62F45DA2" w:rsidR="00420767" w:rsidRPr="00420767" w:rsidRDefault="00420767" w:rsidP="000F5CAD">
      <w:pPr>
        <w:spacing w:line="240" w:lineRule="auto"/>
        <w:jc w:val="left"/>
        <w:rPr>
          <w:bCs/>
          <w:iCs/>
        </w:rPr>
      </w:pPr>
      <w:r w:rsidRPr="00420767">
        <w:rPr>
          <w:bCs/>
          <w:iCs/>
        </w:rPr>
        <w:t xml:space="preserve">    </w:t>
      </w:r>
      <w:r w:rsidRPr="00420767">
        <w:rPr>
          <w:bCs/>
          <w:iCs/>
        </w:rPr>
        <w:t>3. Net Present Value</w:t>
      </w:r>
      <w:r w:rsidRPr="00420767">
        <w:rPr>
          <w:bCs/>
          <w:iCs/>
        </w:rPr>
        <w:t>……………………………………………………………………</w:t>
      </w:r>
      <w:r w:rsidR="000F5CAD">
        <w:rPr>
          <w:bCs/>
          <w:iCs/>
        </w:rPr>
        <w:t>….….</w:t>
      </w:r>
      <w:r w:rsidRPr="00420767">
        <w:rPr>
          <w:bCs/>
          <w:iCs/>
        </w:rPr>
        <w:t>16</w:t>
      </w:r>
    </w:p>
    <w:p w14:paraId="4ED9B1C6" w14:textId="349E76F2" w:rsidR="00420767" w:rsidRPr="00420767" w:rsidRDefault="00420767" w:rsidP="000F5CAD">
      <w:pPr>
        <w:spacing w:line="240" w:lineRule="auto"/>
        <w:jc w:val="left"/>
        <w:rPr>
          <w:bCs/>
          <w:iCs/>
        </w:rPr>
      </w:pPr>
      <w:r w:rsidRPr="00420767">
        <w:rPr>
          <w:bCs/>
          <w:iCs/>
        </w:rPr>
        <w:t xml:space="preserve">    </w:t>
      </w:r>
      <w:r w:rsidRPr="00420767">
        <w:rPr>
          <w:bCs/>
          <w:iCs/>
        </w:rPr>
        <w:t>4. Comparison</w:t>
      </w:r>
      <w:r w:rsidRPr="00420767">
        <w:rPr>
          <w:bCs/>
          <w:iCs/>
        </w:rPr>
        <w:t>…………………………………………………………………………………</w:t>
      </w:r>
      <w:r w:rsidRPr="00420767">
        <w:rPr>
          <w:bCs/>
          <w:iCs/>
        </w:rPr>
        <w:t>17</w:t>
      </w:r>
    </w:p>
    <w:p w14:paraId="1B09D63E" w14:textId="4DC2927D" w:rsidR="00420767" w:rsidRDefault="00CB0C0F" w:rsidP="000F5CAD">
      <w:pPr>
        <w:widowControl w:val="0"/>
        <w:tabs>
          <w:tab w:val="right" w:leader="dot" w:pos="9360"/>
        </w:tabs>
        <w:spacing w:before="60" w:after="0" w:line="240" w:lineRule="auto"/>
        <w:jc w:val="left"/>
        <w:rPr>
          <w:noProof/>
          <w:color w:val="000000"/>
        </w:rPr>
      </w:pPr>
      <w:hyperlink w:anchor="_ohvmoonyydxb">
        <w:r w:rsidR="00E27B52" w:rsidRPr="00420767">
          <w:rPr>
            <w:noProof/>
            <w:color w:val="000000"/>
          </w:rPr>
          <w:t>Reference List</w:t>
        </w:r>
        <w:r w:rsidR="000F5CAD">
          <w:rPr>
            <w:noProof/>
            <w:color w:val="000000"/>
          </w:rPr>
          <w:t>……………………………………………………………………………………</w:t>
        </w:r>
      </w:hyperlink>
      <w:r w:rsidR="00E27B52" w:rsidRPr="00420767">
        <w:rPr>
          <w:noProof/>
          <w:color w:val="000000"/>
        </w:rPr>
        <w:t>2</w:t>
      </w:r>
      <w:r w:rsidR="000F5CAD">
        <w:rPr>
          <w:noProof/>
          <w:color w:val="000000"/>
        </w:rPr>
        <w:t>1</w:t>
      </w:r>
    </w:p>
    <w:p w14:paraId="10C2599A" w14:textId="2EAD60A1" w:rsidR="007B16DB" w:rsidRPr="00420767" w:rsidRDefault="004816D3" w:rsidP="000A2846">
      <w:pPr>
        <w:widowControl w:val="0"/>
        <w:tabs>
          <w:tab w:val="left" w:pos="4950"/>
          <w:tab w:val="right" w:leader="dot" w:pos="9360"/>
        </w:tabs>
        <w:spacing w:before="60" w:after="0" w:line="240" w:lineRule="auto"/>
        <w:jc w:val="left"/>
        <w:rPr>
          <w:noProof/>
          <w:color w:val="000000"/>
        </w:rPr>
      </w:pPr>
      <w:r w:rsidRPr="00420767">
        <w:rPr>
          <w:noProof/>
          <w:color w:val="000000"/>
        </w:rPr>
        <w:t>Appendix…………………..……………………………………………………………</w:t>
      </w:r>
      <w:r w:rsidR="00420767" w:rsidRPr="00420767">
        <w:rPr>
          <w:noProof/>
          <w:color w:val="000000"/>
        </w:rPr>
        <w:t>………</w:t>
      </w:r>
      <w:r w:rsidR="00420767">
        <w:rPr>
          <w:noProof/>
          <w:color w:val="000000"/>
        </w:rPr>
        <w:t>.</w:t>
      </w:r>
      <w:r w:rsidR="00420767" w:rsidRPr="00420767">
        <w:rPr>
          <w:noProof/>
          <w:color w:val="000000"/>
        </w:rPr>
        <w:t>.</w:t>
      </w:r>
      <w:r w:rsidR="00420767">
        <w:rPr>
          <w:noProof/>
          <w:color w:val="000000"/>
        </w:rPr>
        <w:t>25</w:t>
      </w:r>
    </w:p>
    <w:p w14:paraId="478C2289" w14:textId="77777777" w:rsidR="00E27B52" w:rsidRDefault="00E27B52" w:rsidP="00E27B52">
      <w:pPr>
        <w:pStyle w:val="Heading1"/>
      </w:pPr>
      <w:r>
        <w:lastRenderedPageBreak/>
        <w:t>Part A). Introduction</w:t>
      </w:r>
    </w:p>
    <w:p w14:paraId="6615BB88" w14:textId="1E0A06C6" w:rsidR="00E27B52" w:rsidRPr="007B16DB" w:rsidRDefault="007B16DB" w:rsidP="007B16DB">
      <w:pPr>
        <w:rPr>
          <w:u w:val="single"/>
        </w:rPr>
      </w:pPr>
      <w:r w:rsidRPr="007B16DB">
        <w:rPr>
          <w:b/>
          <w:i/>
          <w:iCs/>
          <w:u w:val="single"/>
        </w:rPr>
        <w:t>1.</w:t>
      </w:r>
      <w:r>
        <w:rPr>
          <w:b/>
          <w:i/>
          <w:u w:val="single"/>
        </w:rPr>
        <w:t xml:space="preserve"> </w:t>
      </w:r>
      <w:r w:rsidR="00E27B52" w:rsidRPr="007B16DB">
        <w:rPr>
          <w:b/>
          <w:i/>
          <w:u w:val="single"/>
        </w:rPr>
        <w:t>History and Business Model</w:t>
      </w:r>
    </w:p>
    <w:p w14:paraId="6AC84179" w14:textId="77777777" w:rsidR="00E27B52" w:rsidRDefault="00E27B52" w:rsidP="00E27B52">
      <w:r>
        <w:t>A multinational fast-moving consumer goods company, Unilever makes food, drinks, clothes, and personal care items. Unilever operates in over 190 countries and has its headquarters in London, UK, and Rotterdam, Netherlands. It sells meals and drinks, detergents, perfumes, personal and cosmetic items, and health products. Unilever's organizational model uses "fractal organizations” (Stanford, 2022). This enables firms and brands to live practically independently and adapt to change. Dove, Knorr, Lipton, and Magnum are among the brands this model can accept. Sustainability is a major principle, and the company's business strategy encourages sustainable living.</w:t>
      </w:r>
    </w:p>
    <w:p w14:paraId="1F849C78" w14:textId="35E5B103" w:rsidR="00E27B52" w:rsidRPr="00B206CF" w:rsidRDefault="007B16DB" w:rsidP="00E27B52">
      <w:pPr>
        <w:rPr>
          <w:b/>
          <w:i/>
          <w:u w:val="single"/>
        </w:rPr>
      </w:pPr>
      <w:r>
        <w:rPr>
          <w:b/>
          <w:i/>
          <w:u w:val="single"/>
        </w:rPr>
        <w:t xml:space="preserve">2. </w:t>
      </w:r>
      <w:r w:rsidR="00E27B52" w:rsidRPr="00B206CF">
        <w:rPr>
          <w:b/>
          <w:i/>
          <w:u w:val="single"/>
        </w:rPr>
        <w:t>Market Place and Major Competitor</w:t>
      </w:r>
    </w:p>
    <w:p w14:paraId="3D737572" w14:textId="77777777" w:rsidR="00E27B52" w:rsidRDefault="00E27B52" w:rsidP="00E27B52">
      <w:r>
        <w:t>Unilever faces tough worldwide competition from Procter and Gamble. Both companies fight for market share in all their product areas. Competition P&amp;G, established in Cincinnati, Ohio in 1837, also makes Tide, Gillette Pampers, and Crest. In many locations, Unilever and P&amp;G compete directly in beauty, personal, and home care.</w:t>
      </w:r>
    </w:p>
    <w:p w14:paraId="116D65B1" w14:textId="147AADE2" w:rsidR="00E27B52" w:rsidRPr="00B206CF" w:rsidRDefault="007B16DB" w:rsidP="00E27B52">
      <w:pPr>
        <w:rPr>
          <w:b/>
          <w:i/>
          <w:u w:val="single"/>
        </w:rPr>
      </w:pPr>
      <w:r>
        <w:rPr>
          <w:b/>
          <w:i/>
          <w:u w:val="single"/>
        </w:rPr>
        <w:t xml:space="preserve">3. </w:t>
      </w:r>
      <w:r w:rsidR="00E27B52" w:rsidRPr="00B206CF">
        <w:rPr>
          <w:b/>
          <w:i/>
          <w:u w:val="single"/>
        </w:rPr>
        <w:t>Major Recent Events (2019-2024)</w:t>
      </w:r>
    </w:p>
    <w:p w14:paraId="2CE2F186" w14:textId="72EE293A" w:rsidR="00E27B52" w:rsidRPr="00B206CF" w:rsidRDefault="007B16DB" w:rsidP="00E27B52">
      <w:pPr>
        <w:rPr>
          <w:i/>
          <w:iCs/>
        </w:rPr>
      </w:pPr>
      <w:bookmarkStart w:id="0" w:name="_Hlk174220364"/>
      <w:r>
        <w:rPr>
          <w:b/>
          <w:i/>
          <w:iCs/>
        </w:rPr>
        <w:t xml:space="preserve">3.1 </w:t>
      </w:r>
      <w:r w:rsidR="00E27B52" w:rsidRPr="00B206CF">
        <w:rPr>
          <w:b/>
          <w:i/>
          <w:iCs/>
        </w:rPr>
        <w:t>Change of Leadership</w:t>
      </w:r>
    </w:p>
    <w:bookmarkEnd w:id="0"/>
    <w:p w14:paraId="19585A54" w14:textId="77777777" w:rsidR="00E27B52" w:rsidRDefault="00E27B52" w:rsidP="00E27B52">
      <w:r>
        <w:t xml:space="preserve">The company has had its share of leaders with Paul Polman, the previous CEO, succeeded by Alan </w:t>
      </w:r>
      <w:proofErr w:type="spellStart"/>
      <w:r>
        <w:t>Jope</w:t>
      </w:r>
      <w:proofErr w:type="spellEnd"/>
      <w:r>
        <w:t xml:space="preserve"> in 2019. Cramer was succeeded by </w:t>
      </w:r>
      <w:proofErr w:type="spellStart"/>
      <w:r>
        <w:t>Jope</w:t>
      </w:r>
      <w:proofErr w:type="spellEnd"/>
      <w:r>
        <w:t xml:space="preserve"> who used to head the Beauty and Personal Care division of UL. He amplified the company’s strategic directions toward digitization and sustainability. He has continued to ensure that Unilever achieves this set goal, of making sustainable living the norm.</w:t>
      </w:r>
    </w:p>
    <w:p w14:paraId="6D8E0847" w14:textId="34250A76" w:rsidR="00E27B52" w:rsidRPr="00B206CF" w:rsidRDefault="007B16DB" w:rsidP="00E27B52">
      <w:pPr>
        <w:rPr>
          <w:i/>
          <w:iCs/>
        </w:rPr>
      </w:pPr>
      <w:r>
        <w:rPr>
          <w:b/>
          <w:i/>
          <w:iCs/>
        </w:rPr>
        <w:t xml:space="preserve">3.2 </w:t>
      </w:r>
      <w:r w:rsidR="00E27B52" w:rsidRPr="00B206CF">
        <w:rPr>
          <w:b/>
          <w:i/>
          <w:iCs/>
        </w:rPr>
        <w:t>Earnings Forecasts, and Company Performance</w:t>
      </w:r>
    </w:p>
    <w:p w14:paraId="7CE07BBC" w14:textId="77777777" w:rsidR="00E27B52" w:rsidRDefault="00E27B52" w:rsidP="00E27B52">
      <w:r>
        <w:t xml:space="preserve">In December 2019 Unilever released a profit warning through the slow sales growth in the emerging markets. This was a very important session because it revealed the problems the company had faced when seeking to experience steady growth, especially under the increasing volatility of the global economic situations (Hossain </w:t>
      </w:r>
      <w:r>
        <w:rPr>
          <w:i/>
        </w:rPr>
        <w:t xml:space="preserve">et al. </w:t>
      </w:r>
      <w:r>
        <w:t xml:space="preserve">2024). However, the company quickly </w:t>
      </w:r>
      <w:r>
        <w:lastRenderedPageBreak/>
        <w:t>adapted and shifted their focus on the e-commerce and digital sales channels, especially during the period of COVID-19 which clearly showed that more and more people prefer to buy products online.</w:t>
      </w:r>
    </w:p>
    <w:p w14:paraId="4AF7C386" w14:textId="223E5173" w:rsidR="00E27B52" w:rsidRDefault="007B16DB" w:rsidP="00E27B52">
      <w:r>
        <w:rPr>
          <w:b/>
          <w:i/>
        </w:rPr>
        <w:t xml:space="preserve">3.3 </w:t>
      </w:r>
      <w:r w:rsidR="00E27B52">
        <w:rPr>
          <w:b/>
          <w:i/>
        </w:rPr>
        <w:t>Legal Issues</w:t>
      </w:r>
    </w:p>
    <w:p w14:paraId="1E14B8A2" w14:textId="77777777" w:rsidR="00E27B52" w:rsidRDefault="00E27B52" w:rsidP="00E27B52">
      <w:r>
        <w:t xml:space="preserve">There was a legal challenge on Unilever concerning the firm’s environmental impacts. The company resolved a legal case related to pollution in Indonesia in the same year which was an indication that more multinational firms were being held to account on environmental practices (Chandra and </w:t>
      </w:r>
      <w:proofErr w:type="spellStart"/>
      <w:r>
        <w:t>Jatmika</w:t>
      </w:r>
      <w:proofErr w:type="spellEnd"/>
      <w:r>
        <w:t>, 2022). Although this was an expensive settlement, it also brought back the determination to the Company to enhance the sustainability standards that it has displayed.</w:t>
      </w:r>
    </w:p>
    <w:p w14:paraId="1BFBE73C" w14:textId="7B9C668B" w:rsidR="00E27B52" w:rsidRDefault="007B16DB" w:rsidP="00E27B52">
      <w:r>
        <w:rPr>
          <w:b/>
          <w:i/>
        </w:rPr>
        <w:t xml:space="preserve">3.4 </w:t>
      </w:r>
      <w:r w:rsidR="00E27B52">
        <w:rPr>
          <w:b/>
          <w:i/>
        </w:rPr>
        <w:t>Mergers and Acquisitions</w:t>
      </w:r>
    </w:p>
    <w:p w14:paraId="29E2AE1B" w14:textId="77777777" w:rsidR="00E27B52" w:rsidRDefault="00E27B52" w:rsidP="00E27B52">
      <w:r>
        <w:t>M&amp;A activities therefore have been adopted deliberately by Unilever in an effort to strengthen its arsenal. In 2020 it acquired a brand of health-science nutrition and wellness known as Liquid I.V. This acquisition was strategically to Unilever's goal of moving into higher-growth, higher-margin categories (Unilever Plc, 2024).</w:t>
      </w:r>
    </w:p>
    <w:p w14:paraId="783E1C52" w14:textId="746D2210" w:rsidR="00E27B52" w:rsidRDefault="007B16DB" w:rsidP="00E27B52">
      <w:r>
        <w:rPr>
          <w:b/>
          <w:i/>
        </w:rPr>
        <w:t xml:space="preserve">3.5 </w:t>
      </w:r>
      <w:r w:rsidR="00E27B52">
        <w:rPr>
          <w:b/>
          <w:i/>
        </w:rPr>
        <w:t>Strategic Changes</w:t>
      </w:r>
    </w:p>
    <w:p w14:paraId="01D15FD1" w14:textId="7A6B25F7" w:rsidR="00E27B52" w:rsidRDefault="00E27B52" w:rsidP="00E27B52">
      <w:r>
        <w:t>Unilever planned a major reorganization in 2020, towards a category structure from the geographical approach it used before. This was intended to increase the competitive flexibility of business and its adjustment to market conditions. Also, in 2021, Unilever pledged to make all the packaging material it uses reusable, recyclable or compostable by 2025, proving definitely a good progress was made in this regard (</w:t>
      </w:r>
      <w:proofErr w:type="spellStart"/>
      <w:r>
        <w:t>Annadur</w:t>
      </w:r>
      <w:proofErr w:type="spellEnd"/>
      <w:r>
        <w:t xml:space="preserve"> and Jain, 2023).</w:t>
      </w:r>
    </w:p>
    <w:p w14:paraId="5855894D" w14:textId="77777777" w:rsidR="00E27B52" w:rsidRDefault="00E27B52" w:rsidP="00E27B52">
      <w:pPr>
        <w:pStyle w:val="Heading1"/>
      </w:pPr>
      <w:bookmarkStart w:id="1" w:name="_aomz6221k107" w:colFirst="0" w:colLast="0"/>
      <w:bookmarkEnd w:id="1"/>
      <w:r>
        <w:t xml:space="preserve">Part B). Financial performance review </w:t>
      </w:r>
    </w:p>
    <w:p w14:paraId="6481278A" w14:textId="158AC374" w:rsidR="00E27B52" w:rsidRDefault="00254DDC" w:rsidP="00254DDC">
      <w:bookmarkStart w:id="2" w:name="_Hlk174221347"/>
      <w:r w:rsidRPr="00254DDC">
        <w:rPr>
          <w:b/>
          <w:i/>
        </w:rPr>
        <w:t>1.</w:t>
      </w:r>
      <w:r>
        <w:rPr>
          <w:b/>
          <w:i/>
        </w:rPr>
        <w:t xml:space="preserve"> </w:t>
      </w:r>
      <w:r w:rsidR="00E27B52" w:rsidRPr="00254DDC">
        <w:rPr>
          <w:b/>
          <w:i/>
        </w:rPr>
        <w:t>Profitability Ratios</w:t>
      </w:r>
    </w:p>
    <w:tbl>
      <w:tblPr>
        <w:tblW w:w="9360" w:type="dxa"/>
        <w:tblBorders>
          <w:top w:val="nil"/>
          <w:left w:val="nil"/>
          <w:bottom w:val="nil"/>
          <w:right w:val="nil"/>
          <w:insideH w:val="nil"/>
          <w:insideV w:val="nil"/>
        </w:tblBorders>
        <w:tblLayout w:type="fixed"/>
        <w:tblLook w:val="0600" w:firstRow="0" w:lastRow="0" w:firstColumn="0" w:lastColumn="0" w:noHBand="1" w:noVBand="1"/>
      </w:tblPr>
      <w:tblGrid>
        <w:gridCol w:w="810"/>
        <w:gridCol w:w="855"/>
        <w:gridCol w:w="975"/>
        <w:gridCol w:w="765"/>
        <w:gridCol w:w="675"/>
        <w:gridCol w:w="675"/>
        <w:gridCol w:w="675"/>
        <w:gridCol w:w="600"/>
        <w:gridCol w:w="720"/>
        <w:gridCol w:w="675"/>
        <w:gridCol w:w="585"/>
        <w:gridCol w:w="675"/>
        <w:gridCol w:w="675"/>
      </w:tblGrid>
      <w:tr w:rsidR="00E27B52" w14:paraId="07EA7E37" w14:textId="77777777" w:rsidTr="00815814">
        <w:trPr>
          <w:trHeight w:val="315"/>
        </w:trPr>
        <w:tc>
          <w:tcPr>
            <w:tcW w:w="810" w:type="dxa"/>
            <w:vMerge w:val="restart"/>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bookmarkEnd w:id="2"/>
          <w:p w14:paraId="49D6BE70" w14:textId="77777777" w:rsidR="00E27B52" w:rsidRDefault="00E27B52" w:rsidP="00815814">
            <w:pPr>
              <w:spacing w:before="240" w:after="0"/>
              <w:jc w:val="center"/>
              <w:rPr>
                <w:b/>
              </w:rPr>
            </w:pPr>
            <w:r>
              <w:rPr>
                <w:b/>
              </w:rPr>
              <w:t>Category</w:t>
            </w:r>
          </w:p>
        </w:tc>
        <w:tc>
          <w:tcPr>
            <w:tcW w:w="855" w:type="dxa"/>
            <w:vMerge w:val="restart"/>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4E549857" w14:textId="77777777" w:rsidR="00E27B52" w:rsidRDefault="00E27B52" w:rsidP="00815814">
            <w:pPr>
              <w:spacing w:before="240" w:after="0"/>
              <w:jc w:val="center"/>
              <w:rPr>
                <w:b/>
              </w:rPr>
            </w:pPr>
            <w:r>
              <w:rPr>
                <w:b/>
              </w:rPr>
              <w:t>Ratio</w:t>
            </w:r>
          </w:p>
        </w:tc>
        <w:tc>
          <w:tcPr>
            <w:tcW w:w="975" w:type="dxa"/>
            <w:vMerge w:val="restart"/>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1E6530A7" w14:textId="77777777" w:rsidR="00E27B52" w:rsidRDefault="00E27B52" w:rsidP="00815814">
            <w:pPr>
              <w:spacing w:before="240" w:after="0"/>
              <w:jc w:val="center"/>
              <w:rPr>
                <w:b/>
              </w:rPr>
            </w:pPr>
            <w:r>
              <w:rPr>
                <w:b/>
              </w:rPr>
              <w:t>Formula</w:t>
            </w:r>
          </w:p>
        </w:tc>
        <w:tc>
          <w:tcPr>
            <w:tcW w:w="3390" w:type="dxa"/>
            <w:gridSpan w:val="5"/>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2B08317D" w14:textId="77777777" w:rsidR="00E27B52" w:rsidRDefault="00E27B52" w:rsidP="00815814">
            <w:pPr>
              <w:spacing w:before="240" w:after="0"/>
              <w:jc w:val="center"/>
              <w:rPr>
                <w:b/>
              </w:rPr>
            </w:pPr>
            <w:r>
              <w:rPr>
                <w:b/>
              </w:rPr>
              <w:t>Unilever</w:t>
            </w:r>
          </w:p>
        </w:tc>
        <w:tc>
          <w:tcPr>
            <w:tcW w:w="3330" w:type="dxa"/>
            <w:gridSpan w:val="5"/>
            <w:tcBorders>
              <w:top w:val="single" w:sz="5" w:space="0" w:color="000000"/>
              <w:left w:val="nil"/>
              <w:bottom w:val="single" w:sz="5" w:space="0" w:color="000000"/>
              <w:right w:val="single" w:sz="5" w:space="0" w:color="000000"/>
            </w:tcBorders>
            <w:shd w:val="clear" w:color="auto" w:fill="auto"/>
            <w:tcMar>
              <w:top w:w="0" w:type="dxa"/>
              <w:left w:w="100" w:type="dxa"/>
              <w:bottom w:w="0" w:type="dxa"/>
              <w:right w:w="100" w:type="dxa"/>
            </w:tcMar>
          </w:tcPr>
          <w:p w14:paraId="745F5270" w14:textId="77777777" w:rsidR="00E27B52" w:rsidRDefault="00E27B52" w:rsidP="00815814">
            <w:pPr>
              <w:spacing w:before="240" w:after="0"/>
              <w:jc w:val="center"/>
              <w:rPr>
                <w:b/>
              </w:rPr>
            </w:pPr>
            <w:r>
              <w:rPr>
                <w:b/>
              </w:rPr>
              <w:t>Procter and Gamble</w:t>
            </w:r>
          </w:p>
        </w:tc>
      </w:tr>
      <w:tr w:rsidR="00E27B52" w14:paraId="0A787B81" w14:textId="77777777" w:rsidTr="00815814">
        <w:trPr>
          <w:trHeight w:val="315"/>
        </w:trPr>
        <w:tc>
          <w:tcPr>
            <w:tcW w:w="810" w:type="dxa"/>
            <w:vMerge/>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49F8AA45" w14:textId="77777777" w:rsidR="00E27B52" w:rsidRDefault="00E27B52" w:rsidP="00815814"/>
        </w:tc>
        <w:tc>
          <w:tcPr>
            <w:tcW w:w="855" w:type="dxa"/>
            <w:vMerge/>
            <w:tcBorders>
              <w:top w:val="single" w:sz="5" w:space="0" w:color="000000"/>
              <w:left w:val="nil"/>
              <w:bottom w:val="single" w:sz="5" w:space="0" w:color="000000"/>
              <w:right w:val="single" w:sz="5" w:space="0" w:color="000000"/>
            </w:tcBorders>
            <w:shd w:val="clear" w:color="auto" w:fill="auto"/>
            <w:tcMar>
              <w:top w:w="100" w:type="dxa"/>
              <w:left w:w="100" w:type="dxa"/>
              <w:bottom w:w="100" w:type="dxa"/>
              <w:right w:w="100" w:type="dxa"/>
            </w:tcMar>
          </w:tcPr>
          <w:p w14:paraId="63A8EBEF" w14:textId="77777777" w:rsidR="00E27B52" w:rsidRDefault="00E27B52" w:rsidP="00815814"/>
        </w:tc>
        <w:tc>
          <w:tcPr>
            <w:tcW w:w="975" w:type="dxa"/>
            <w:vMerge/>
            <w:tcBorders>
              <w:top w:val="single" w:sz="5" w:space="0" w:color="000000"/>
              <w:left w:val="nil"/>
              <w:bottom w:val="single" w:sz="5" w:space="0" w:color="000000"/>
              <w:right w:val="single" w:sz="5" w:space="0" w:color="000000"/>
            </w:tcBorders>
            <w:shd w:val="clear" w:color="auto" w:fill="auto"/>
            <w:tcMar>
              <w:top w:w="100" w:type="dxa"/>
              <w:left w:w="100" w:type="dxa"/>
              <w:bottom w:w="100" w:type="dxa"/>
              <w:right w:w="100" w:type="dxa"/>
            </w:tcMar>
          </w:tcPr>
          <w:p w14:paraId="62702BFB" w14:textId="77777777" w:rsidR="00E27B52" w:rsidRDefault="00E27B52" w:rsidP="00815814"/>
        </w:tc>
        <w:tc>
          <w:tcPr>
            <w:tcW w:w="76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14:paraId="04541534" w14:textId="77777777" w:rsidR="00E27B52" w:rsidRDefault="00E27B52" w:rsidP="00815814">
            <w:pPr>
              <w:spacing w:before="240" w:after="0"/>
              <w:jc w:val="center"/>
              <w:rPr>
                <w:b/>
              </w:rPr>
            </w:pPr>
            <w:r>
              <w:rPr>
                <w:b/>
              </w:rPr>
              <w:t>2023</w:t>
            </w:r>
          </w:p>
        </w:tc>
        <w:tc>
          <w:tcPr>
            <w:tcW w:w="67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14:paraId="28BE1747" w14:textId="77777777" w:rsidR="00E27B52" w:rsidRDefault="00E27B52" w:rsidP="00815814">
            <w:pPr>
              <w:spacing w:before="240" w:after="0"/>
              <w:jc w:val="center"/>
              <w:rPr>
                <w:b/>
              </w:rPr>
            </w:pPr>
            <w:r>
              <w:rPr>
                <w:b/>
              </w:rPr>
              <w:t>2022</w:t>
            </w:r>
          </w:p>
        </w:tc>
        <w:tc>
          <w:tcPr>
            <w:tcW w:w="67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14:paraId="1F8FB8CA" w14:textId="77777777" w:rsidR="00E27B52" w:rsidRDefault="00E27B52" w:rsidP="00815814">
            <w:pPr>
              <w:spacing w:before="240" w:after="0"/>
              <w:jc w:val="center"/>
              <w:rPr>
                <w:b/>
              </w:rPr>
            </w:pPr>
            <w:r>
              <w:rPr>
                <w:b/>
              </w:rPr>
              <w:t>2021</w:t>
            </w:r>
          </w:p>
        </w:tc>
        <w:tc>
          <w:tcPr>
            <w:tcW w:w="67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14:paraId="67B0E77C" w14:textId="77777777" w:rsidR="00E27B52" w:rsidRDefault="00E27B52" w:rsidP="00815814">
            <w:pPr>
              <w:spacing w:before="240" w:after="0"/>
              <w:jc w:val="center"/>
              <w:rPr>
                <w:b/>
              </w:rPr>
            </w:pPr>
            <w:r>
              <w:rPr>
                <w:b/>
              </w:rPr>
              <w:t>2020</w:t>
            </w:r>
          </w:p>
        </w:tc>
        <w:tc>
          <w:tcPr>
            <w:tcW w:w="600"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14:paraId="08AD728A" w14:textId="77777777" w:rsidR="00E27B52" w:rsidRDefault="00E27B52" w:rsidP="00815814">
            <w:pPr>
              <w:spacing w:before="240" w:after="0"/>
              <w:jc w:val="center"/>
              <w:rPr>
                <w:b/>
              </w:rPr>
            </w:pPr>
            <w:r>
              <w:rPr>
                <w:b/>
              </w:rPr>
              <w:t>2019</w:t>
            </w:r>
          </w:p>
        </w:tc>
        <w:tc>
          <w:tcPr>
            <w:tcW w:w="720"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14:paraId="010FE098" w14:textId="77777777" w:rsidR="00E27B52" w:rsidRDefault="00E27B52" w:rsidP="00815814">
            <w:pPr>
              <w:spacing w:before="240" w:after="0"/>
              <w:jc w:val="center"/>
              <w:rPr>
                <w:b/>
              </w:rPr>
            </w:pPr>
            <w:r>
              <w:rPr>
                <w:b/>
              </w:rPr>
              <w:t>2023</w:t>
            </w:r>
          </w:p>
        </w:tc>
        <w:tc>
          <w:tcPr>
            <w:tcW w:w="67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14:paraId="5927CD22" w14:textId="77777777" w:rsidR="00E27B52" w:rsidRDefault="00E27B52" w:rsidP="00815814">
            <w:pPr>
              <w:spacing w:before="240" w:after="0"/>
              <w:jc w:val="center"/>
              <w:rPr>
                <w:b/>
              </w:rPr>
            </w:pPr>
            <w:r>
              <w:rPr>
                <w:b/>
              </w:rPr>
              <w:t>2022</w:t>
            </w:r>
          </w:p>
        </w:tc>
        <w:tc>
          <w:tcPr>
            <w:tcW w:w="58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14:paraId="66F567BE" w14:textId="77777777" w:rsidR="00E27B52" w:rsidRDefault="00E27B52" w:rsidP="00815814">
            <w:pPr>
              <w:spacing w:before="240" w:after="0"/>
              <w:jc w:val="center"/>
              <w:rPr>
                <w:b/>
              </w:rPr>
            </w:pPr>
            <w:r>
              <w:rPr>
                <w:b/>
              </w:rPr>
              <w:t>2021</w:t>
            </w:r>
          </w:p>
        </w:tc>
        <w:tc>
          <w:tcPr>
            <w:tcW w:w="67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14:paraId="6F99D9E2" w14:textId="77777777" w:rsidR="00E27B52" w:rsidRDefault="00E27B52" w:rsidP="00815814">
            <w:pPr>
              <w:spacing w:before="240" w:after="0"/>
              <w:jc w:val="center"/>
              <w:rPr>
                <w:b/>
              </w:rPr>
            </w:pPr>
            <w:r>
              <w:rPr>
                <w:b/>
              </w:rPr>
              <w:t>2020</w:t>
            </w:r>
          </w:p>
        </w:tc>
        <w:tc>
          <w:tcPr>
            <w:tcW w:w="67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14:paraId="7C48A896" w14:textId="77777777" w:rsidR="00E27B52" w:rsidRDefault="00E27B52" w:rsidP="00815814">
            <w:pPr>
              <w:spacing w:before="240" w:after="0"/>
              <w:jc w:val="center"/>
              <w:rPr>
                <w:b/>
              </w:rPr>
            </w:pPr>
            <w:r>
              <w:rPr>
                <w:b/>
              </w:rPr>
              <w:t>2019</w:t>
            </w:r>
          </w:p>
        </w:tc>
      </w:tr>
      <w:tr w:rsidR="00E27B52" w14:paraId="190232F4" w14:textId="77777777" w:rsidTr="00815814">
        <w:trPr>
          <w:trHeight w:val="1410"/>
        </w:trPr>
        <w:tc>
          <w:tcPr>
            <w:tcW w:w="810" w:type="dxa"/>
            <w:vMerge w:val="restart"/>
            <w:tcBorders>
              <w:top w:val="nil"/>
              <w:left w:val="single" w:sz="5" w:space="0" w:color="000000"/>
              <w:bottom w:val="single" w:sz="5" w:space="0" w:color="000000"/>
              <w:right w:val="single" w:sz="5" w:space="0" w:color="000000"/>
            </w:tcBorders>
            <w:shd w:val="clear" w:color="auto" w:fill="auto"/>
            <w:tcMar>
              <w:top w:w="0" w:type="dxa"/>
              <w:left w:w="100" w:type="dxa"/>
              <w:bottom w:w="0" w:type="dxa"/>
              <w:right w:w="100" w:type="dxa"/>
            </w:tcMar>
          </w:tcPr>
          <w:p w14:paraId="4B26C4D3" w14:textId="77777777" w:rsidR="00E27B52" w:rsidRDefault="00E27B52" w:rsidP="00815814">
            <w:pPr>
              <w:spacing w:before="240" w:after="0"/>
              <w:jc w:val="center"/>
              <w:rPr>
                <w:b/>
              </w:rPr>
            </w:pPr>
            <w:r>
              <w:rPr>
                <w:b/>
              </w:rPr>
              <w:lastRenderedPageBreak/>
              <w:t>Profitability Ratios</w:t>
            </w:r>
          </w:p>
        </w:tc>
        <w:tc>
          <w:tcPr>
            <w:tcW w:w="85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14:paraId="2959BF00" w14:textId="77777777" w:rsidR="00E27B52" w:rsidRDefault="00E27B52" w:rsidP="00815814">
            <w:pPr>
              <w:spacing w:before="240" w:after="0"/>
            </w:pPr>
            <w:r>
              <w:t>1. Return on Equity (ROE)</w:t>
            </w:r>
          </w:p>
        </w:tc>
        <w:tc>
          <w:tcPr>
            <w:tcW w:w="97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14:paraId="73012F80" w14:textId="77777777" w:rsidR="00E27B52" w:rsidRDefault="00E27B52" w:rsidP="00815814">
            <w:pPr>
              <w:spacing w:before="240" w:after="0"/>
            </w:pPr>
            <w:r>
              <w:t>Net Income / Shareholders' Equity</w:t>
            </w:r>
          </w:p>
        </w:tc>
        <w:tc>
          <w:tcPr>
            <w:tcW w:w="76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14:paraId="0F882CCD" w14:textId="77777777" w:rsidR="00E27B52" w:rsidRDefault="00E27B52" w:rsidP="00815814">
            <w:pPr>
              <w:spacing w:before="240" w:after="0"/>
              <w:jc w:val="right"/>
            </w:pPr>
            <w:r>
              <w:t>31.24%</w:t>
            </w:r>
          </w:p>
        </w:tc>
        <w:tc>
          <w:tcPr>
            <w:tcW w:w="67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14:paraId="762B6C24" w14:textId="77777777" w:rsidR="00E27B52" w:rsidRDefault="00E27B52" w:rsidP="00815814">
            <w:pPr>
              <w:spacing w:before="240" w:after="0"/>
              <w:jc w:val="right"/>
            </w:pPr>
            <w:r>
              <w:t>35.22%</w:t>
            </w:r>
          </w:p>
        </w:tc>
        <w:tc>
          <w:tcPr>
            <w:tcW w:w="67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14:paraId="7AE09FB4" w14:textId="77777777" w:rsidR="00E27B52" w:rsidRDefault="00E27B52" w:rsidP="00815814">
            <w:pPr>
              <w:spacing w:before="240" w:after="0"/>
              <w:jc w:val="right"/>
            </w:pPr>
            <w:r>
              <w:t>30.63%</w:t>
            </w:r>
          </w:p>
        </w:tc>
        <w:tc>
          <w:tcPr>
            <w:tcW w:w="67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14:paraId="165BBBB2" w14:textId="77777777" w:rsidR="00E27B52" w:rsidRDefault="00E27B52" w:rsidP="00815814">
            <w:pPr>
              <w:spacing w:before="240" w:after="0"/>
              <w:jc w:val="right"/>
            </w:pPr>
            <w:r>
              <w:t>31.61%</w:t>
            </w:r>
          </w:p>
        </w:tc>
        <w:tc>
          <w:tcPr>
            <w:tcW w:w="600"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14:paraId="583C6684" w14:textId="77777777" w:rsidR="00E27B52" w:rsidRDefault="00E27B52" w:rsidP="00815814">
            <w:pPr>
              <w:spacing w:before="240" w:after="0"/>
              <w:jc w:val="right"/>
            </w:pPr>
            <w:r>
              <w:t>2.88%</w:t>
            </w:r>
          </w:p>
        </w:tc>
        <w:tc>
          <w:tcPr>
            <w:tcW w:w="720"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14:paraId="2035C167" w14:textId="77777777" w:rsidR="00E27B52" w:rsidRDefault="00E27B52" w:rsidP="00815814">
            <w:pPr>
              <w:spacing w:before="240" w:after="0"/>
              <w:jc w:val="right"/>
            </w:pPr>
            <w:r>
              <w:t>1.51%</w:t>
            </w:r>
          </w:p>
        </w:tc>
        <w:tc>
          <w:tcPr>
            <w:tcW w:w="67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14:paraId="49495207" w14:textId="77777777" w:rsidR="00E27B52" w:rsidRDefault="00E27B52" w:rsidP="00815814">
            <w:pPr>
              <w:spacing w:before="240" w:after="0"/>
              <w:jc w:val="right"/>
            </w:pPr>
            <w:r>
              <w:t>0.93%</w:t>
            </w:r>
          </w:p>
        </w:tc>
        <w:tc>
          <w:tcPr>
            <w:tcW w:w="58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14:paraId="1CDCA692" w14:textId="77777777" w:rsidR="00E27B52" w:rsidRDefault="00E27B52" w:rsidP="00815814">
            <w:pPr>
              <w:spacing w:before="240" w:after="0"/>
              <w:jc w:val="right"/>
            </w:pPr>
            <w:r>
              <w:t>6.26%</w:t>
            </w:r>
          </w:p>
        </w:tc>
        <w:tc>
          <w:tcPr>
            <w:tcW w:w="67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14:paraId="57EEE237" w14:textId="77777777" w:rsidR="00E27B52" w:rsidRDefault="00E27B52" w:rsidP="00815814">
            <w:pPr>
              <w:spacing w:before="240" w:after="0"/>
              <w:jc w:val="right"/>
            </w:pPr>
            <w:r>
              <w:t>9.82%</w:t>
            </w:r>
          </w:p>
        </w:tc>
        <w:tc>
          <w:tcPr>
            <w:tcW w:w="67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14:paraId="02693425" w14:textId="77777777" w:rsidR="00E27B52" w:rsidRDefault="00E27B52" w:rsidP="00815814">
            <w:pPr>
              <w:spacing w:before="240" w:after="0"/>
              <w:jc w:val="right"/>
            </w:pPr>
            <w:r>
              <w:t>7.98%</w:t>
            </w:r>
          </w:p>
        </w:tc>
      </w:tr>
      <w:tr w:rsidR="00E27B52" w14:paraId="4BE24C6B" w14:textId="77777777" w:rsidTr="00815814">
        <w:trPr>
          <w:trHeight w:val="1140"/>
        </w:trPr>
        <w:tc>
          <w:tcPr>
            <w:tcW w:w="810" w:type="dxa"/>
            <w:vMerge/>
            <w:tcBorders>
              <w:top w:val="nil"/>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04698760" w14:textId="77777777" w:rsidR="00E27B52" w:rsidRDefault="00E27B52" w:rsidP="00815814"/>
        </w:tc>
        <w:tc>
          <w:tcPr>
            <w:tcW w:w="85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14:paraId="5F7B11FD" w14:textId="77777777" w:rsidR="00E27B52" w:rsidRDefault="00E27B52" w:rsidP="00815814">
            <w:pPr>
              <w:spacing w:before="240" w:after="0"/>
            </w:pPr>
            <w:r>
              <w:t>2. Gross Profit Margin</w:t>
            </w:r>
          </w:p>
        </w:tc>
        <w:tc>
          <w:tcPr>
            <w:tcW w:w="97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14:paraId="0F6E05E2" w14:textId="77777777" w:rsidR="00E27B52" w:rsidRDefault="00E27B52" w:rsidP="00815814">
            <w:pPr>
              <w:spacing w:before="240" w:after="0"/>
            </w:pPr>
            <w:r>
              <w:t>(Revenue - Cost of Goods Sold) / Revenue</w:t>
            </w:r>
          </w:p>
        </w:tc>
        <w:tc>
          <w:tcPr>
            <w:tcW w:w="76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14:paraId="0AE462F5" w14:textId="77777777" w:rsidR="00E27B52" w:rsidRDefault="00E27B52" w:rsidP="00815814">
            <w:pPr>
              <w:spacing w:before="240" w:after="0"/>
              <w:jc w:val="right"/>
            </w:pPr>
            <w:r>
              <w:t>42.24%</w:t>
            </w:r>
          </w:p>
        </w:tc>
        <w:tc>
          <w:tcPr>
            <w:tcW w:w="67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14:paraId="76B4F8CA" w14:textId="77777777" w:rsidR="00E27B52" w:rsidRDefault="00E27B52" w:rsidP="00815814">
            <w:pPr>
              <w:spacing w:before="240" w:after="0"/>
              <w:jc w:val="right"/>
            </w:pPr>
            <w:r>
              <w:t>40.23%</w:t>
            </w:r>
          </w:p>
        </w:tc>
        <w:tc>
          <w:tcPr>
            <w:tcW w:w="67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14:paraId="17B94888" w14:textId="77777777" w:rsidR="00E27B52" w:rsidRDefault="00E27B52" w:rsidP="00815814">
            <w:pPr>
              <w:spacing w:before="240" w:after="0"/>
              <w:jc w:val="right"/>
            </w:pPr>
            <w:r>
              <w:t>42.30%</w:t>
            </w:r>
          </w:p>
        </w:tc>
        <w:tc>
          <w:tcPr>
            <w:tcW w:w="67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14:paraId="3A2059A8" w14:textId="77777777" w:rsidR="00E27B52" w:rsidRDefault="00E27B52" w:rsidP="00815814">
            <w:pPr>
              <w:spacing w:before="240" w:after="0"/>
              <w:jc w:val="right"/>
            </w:pPr>
            <w:r>
              <w:t>43.45%</w:t>
            </w:r>
          </w:p>
        </w:tc>
        <w:tc>
          <w:tcPr>
            <w:tcW w:w="600"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14:paraId="061C4A1E" w14:textId="77777777" w:rsidR="00E27B52" w:rsidRDefault="00E27B52" w:rsidP="00815814">
            <w:pPr>
              <w:spacing w:before="240" w:after="0"/>
              <w:jc w:val="right"/>
            </w:pPr>
            <w:r>
              <w:t>44.01%</w:t>
            </w:r>
          </w:p>
        </w:tc>
        <w:tc>
          <w:tcPr>
            <w:tcW w:w="720"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14:paraId="06540A56" w14:textId="77777777" w:rsidR="00E27B52" w:rsidRDefault="00E27B52" w:rsidP="00815814">
            <w:pPr>
              <w:spacing w:before="240" w:after="0"/>
              <w:jc w:val="right"/>
            </w:pPr>
            <w:r>
              <w:t>-6.13%</w:t>
            </w:r>
          </w:p>
        </w:tc>
        <w:tc>
          <w:tcPr>
            <w:tcW w:w="67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14:paraId="611D49E0" w14:textId="77777777" w:rsidR="00E27B52" w:rsidRDefault="00E27B52" w:rsidP="00815814">
            <w:pPr>
              <w:spacing w:before="240" w:after="0"/>
              <w:jc w:val="right"/>
            </w:pPr>
            <w:r>
              <w:t>14.68%</w:t>
            </w:r>
          </w:p>
        </w:tc>
        <w:tc>
          <w:tcPr>
            <w:tcW w:w="58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14:paraId="3BA7FEE7" w14:textId="77777777" w:rsidR="00E27B52" w:rsidRDefault="00E27B52" w:rsidP="00815814">
            <w:pPr>
              <w:spacing w:before="240" w:after="0"/>
              <w:jc w:val="right"/>
            </w:pPr>
            <w:r>
              <w:t>8.20%</w:t>
            </w:r>
          </w:p>
        </w:tc>
        <w:tc>
          <w:tcPr>
            <w:tcW w:w="67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14:paraId="36EAA64E" w14:textId="77777777" w:rsidR="00E27B52" w:rsidRDefault="00E27B52" w:rsidP="00815814">
            <w:pPr>
              <w:spacing w:before="240" w:after="0"/>
              <w:jc w:val="right"/>
            </w:pPr>
            <w:r>
              <w:t>16.50%</w:t>
            </w:r>
          </w:p>
        </w:tc>
        <w:tc>
          <w:tcPr>
            <w:tcW w:w="67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14:paraId="62FAD5A0" w14:textId="77777777" w:rsidR="00E27B52" w:rsidRDefault="00E27B52" w:rsidP="00815814">
            <w:pPr>
              <w:spacing w:before="240" w:after="0"/>
              <w:jc w:val="right"/>
            </w:pPr>
            <w:r>
              <w:t>15.25%</w:t>
            </w:r>
          </w:p>
        </w:tc>
      </w:tr>
    </w:tbl>
    <w:p w14:paraId="439A70EC" w14:textId="77777777" w:rsidR="00E27B52" w:rsidRDefault="00E27B52" w:rsidP="00E27B52"/>
    <w:p w14:paraId="16EAF596" w14:textId="77777777" w:rsidR="00E27B52" w:rsidRDefault="00E27B52" w:rsidP="00E27B52">
      <w:r>
        <w:t>Fundamental indicators of a company's tendency to turn profit compared to its sales, equity, or other financial benchmark are profitability ratios. Of these, Gross Profit Margin and Return on Equity (ROE) really stand out.</w:t>
      </w:r>
    </w:p>
    <w:p w14:paraId="4EDC4BE4" w14:textId="77777777" w:rsidR="00E27B52" w:rsidRDefault="00E27B52" w:rsidP="00E27B52">
      <w:r>
        <w:t xml:space="preserve">Return on equity (ROE) It shows how profitable a business is making use of the stocks owned by its founders. A greater ROE implies that the business is more adept in turning its equity into income. The return on equity of Unilever exhibits a varied pattern in 2019 and 2020. 2019 had a very low ROE of 2.88%; it then swiftly rose to 31.61% in 2020, then somewhat fell in 2021 to 30.63%; it peaked at 35.22% in 2022 before once again declining to 31.24%. Variance in profit margins and changes in shareholder ownership over time might help to clarify this volatility (Lindgren, 2024). Although the latter changes indicate operational or market difficulties, the dramatic rise from 2019 to 2020 may be attributable to either a rise in net income or effective shareholder equity management. Procter and Gamble (P&amp;G) started at 7.98% in 2019 and peaked in 2020 at 9.82%. Then it dropped gradually to 0.93% in 2022 before rising to 1.51% in 2023. While the little rise in 2023 points to a likely rebound or improvement in profit generating </w:t>
      </w:r>
      <w:r>
        <w:lastRenderedPageBreak/>
        <w:t>compared to equity, the drop from 2020 to 2022 might point to operational inefficiencies or difficulty in maintaining profitability (</w:t>
      </w:r>
      <w:proofErr w:type="spellStart"/>
      <w:r>
        <w:t>Baragiola</w:t>
      </w:r>
      <w:proofErr w:type="spellEnd"/>
      <w:r>
        <w:t xml:space="preserve"> and Mauri, 2021).</w:t>
      </w:r>
    </w:p>
    <w:p w14:paraId="74583FD8" w14:textId="77777777" w:rsidR="00E27B52" w:rsidRDefault="00E27B52" w:rsidP="00E27B52">
      <w:r>
        <w:t>Gross profit margin gauges the items' production and selling potency of a corporation. Starting at 44.01% in 2019 and declining to 42.24% in 2023, Unilever's Gross Profit Margin has somewhat fallen throughout the years. This drop suggests either increasing price pressures or manufacturing expenses, hence lowering profitability. The Gross Profit Margin shows great fluctuation for P&amp;G. Its value in 2023 is somewhat negative, -6.13%, down from 14.68% in 2022 and as high as 16.50% in 2020. P&amp;G's negative margin in 2023 indicates that their COGS surpassed their earnings, maybe in response to pricing difficulties, supply chain interruptions, or rising manufacturing costs. Variations in P&amp;G's margin across years reflect variations in revenue earning capacity and cost control capacity (</w:t>
      </w:r>
      <w:proofErr w:type="spellStart"/>
      <w:r>
        <w:t>Liozu</w:t>
      </w:r>
      <w:proofErr w:type="spellEnd"/>
      <w:r>
        <w:t xml:space="preserve"> and </w:t>
      </w:r>
      <w:proofErr w:type="spellStart"/>
      <w:r>
        <w:t>Hinterhuber</w:t>
      </w:r>
      <w:proofErr w:type="spellEnd"/>
      <w:r>
        <w:t>, 2022).</w:t>
      </w:r>
    </w:p>
    <w:p w14:paraId="78962F63" w14:textId="77777777" w:rsidR="00E27B52" w:rsidRDefault="00E27B52" w:rsidP="00E27B52">
      <w:r>
        <w:t xml:space="preserve">These ratios have a great impact on Unilever and P&amp;G. Although Unilever is financially successful, </w:t>
      </w:r>
      <w:proofErr w:type="spellStart"/>
      <w:r>
        <w:t>its</w:t>
      </w:r>
      <w:proofErr w:type="spellEnd"/>
      <w:r>
        <w:t xml:space="preserve"> very stable but somewhat dropping ROE and Gross Profit Margin indicate that the corporation finds it challenging to maintain its profit margins intact and effectively capitalize on the ownership equity (Martins, 2021). From this, calculated changes in cost control, pricing policies, or investment in efficiency enhancements might follow in terms of P&amp;G, the clear volatility and current negative gross profit margin create serious operating challenges. The dropping ROE highlights even more P&amp;G's need to correct inefficiencies and maybe change its business plans to raise profitability and shareholder returns. If both businesses want to increase their profitability ratios and sustain long-term development, they should concentrate on streamlining their operations, cutting expenses, and looking at new income sources (Martin, 2022).</w:t>
      </w:r>
    </w:p>
    <w:p w14:paraId="34A4D4CA" w14:textId="77777777" w:rsidR="00E27B52" w:rsidRDefault="00E27B52" w:rsidP="00E27B52"/>
    <w:p w14:paraId="32840B8C" w14:textId="77777777" w:rsidR="00E27B52" w:rsidRDefault="00E27B52" w:rsidP="00E27B52"/>
    <w:p w14:paraId="0EBBBC40" w14:textId="77777777" w:rsidR="00E27B52" w:rsidRDefault="00E27B52" w:rsidP="00E27B52"/>
    <w:p w14:paraId="5331942D" w14:textId="77777777" w:rsidR="00E27B52" w:rsidRDefault="00E27B52" w:rsidP="00E27B52"/>
    <w:p w14:paraId="300E73A4" w14:textId="77777777" w:rsidR="00E27B52" w:rsidRDefault="00E27B52" w:rsidP="00E27B52"/>
    <w:p w14:paraId="357726A2" w14:textId="77777777" w:rsidR="00E27B52" w:rsidRDefault="00E27B52" w:rsidP="00E27B52"/>
    <w:p w14:paraId="3711D657" w14:textId="77777777" w:rsidR="00E27B52" w:rsidRDefault="00E27B52" w:rsidP="00E27B52"/>
    <w:p w14:paraId="42589801" w14:textId="666E979B" w:rsidR="00E27B52" w:rsidRDefault="00254DDC" w:rsidP="00E27B52">
      <w:pPr>
        <w:rPr>
          <w:b/>
          <w:i/>
        </w:rPr>
      </w:pPr>
      <w:bookmarkStart w:id="3" w:name="_Hlk174221363"/>
      <w:r>
        <w:rPr>
          <w:b/>
          <w:i/>
        </w:rPr>
        <w:t xml:space="preserve">2. </w:t>
      </w:r>
      <w:r w:rsidR="00E27B52">
        <w:rPr>
          <w:b/>
          <w:i/>
        </w:rPr>
        <w:t>Liquidity Ratio</w:t>
      </w:r>
    </w:p>
    <w:tbl>
      <w:tblPr>
        <w:tblW w:w="10886" w:type="dxa"/>
        <w:tblInd w:w="-770" w:type="dxa"/>
        <w:tblLook w:val="04A0" w:firstRow="1" w:lastRow="0" w:firstColumn="1" w:lastColumn="0" w:noHBand="0" w:noVBand="1"/>
      </w:tblPr>
      <w:tblGrid>
        <w:gridCol w:w="1097"/>
        <w:gridCol w:w="889"/>
        <w:gridCol w:w="1145"/>
        <w:gridCol w:w="895"/>
        <w:gridCol w:w="895"/>
        <w:gridCol w:w="895"/>
        <w:gridCol w:w="895"/>
        <w:gridCol w:w="895"/>
        <w:gridCol w:w="656"/>
        <w:gridCol w:w="656"/>
        <w:gridCol w:w="656"/>
        <w:gridCol w:w="656"/>
        <w:gridCol w:w="656"/>
      </w:tblGrid>
      <w:tr w:rsidR="00E27B52" w:rsidRPr="00A253CD" w14:paraId="4DAAD8EB" w14:textId="77777777" w:rsidTr="00815814">
        <w:trPr>
          <w:trHeight w:val="294"/>
        </w:trPr>
        <w:tc>
          <w:tcPr>
            <w:tcW w:w="1097" w:type="dxa"/>
            <w:vMerge w:val="restart"/>
            <w:tcBorders>
              <w:top w:val="single" w:sz="8" w:space="0" w:color="000000"/>
              <w:left w:val="single" w:sz="8" w:space="0" w:color="000000"/>
              <w:bottom w:val="single" w:sz="8" w:space="0" w:color="000000"/>
              <w:right w:val="single" w:sz="8" w:space="0" w:color="000000"/>
            </w:tcBorders>
            <w:shd w:val="clear" w:color="auto" w:fill="auto"/>
            <w:hideMark/>
          </w:tcPr>
          <w:bookmarkEnd w:id="3"/>
          <w:p w14:paraId="5BCC3461" w14:textId="77777777" w:rsidR="00E27B52" w:rsidRPr="00A253CD" w:rsidRDefault="00E27B52" w:rsidP="00815814">
            <w:pPr>
              <w:spacing w:after="0" w:line="240" w:lineRule="auto"/>
              <w:jc w:val="center"/>
              <w:rPr>
                <w:b/>
                <w:bCs/>
                <w:color w:val="000000"/>
                <w:sz w:val="22"/>
                <w:szCs w:val="22"/>
                <w:lang w:val="en-IN" w:eastAsia="en-IN" w:bidi="gu-IN"/>
              </w:rPr>
            </w:pPr>
            <w:r w:rsidRPr="00A253CD">
              <w:rPr>
                <w:b/>
                <w:bCs/>
                <w:color w:val="000000"/>
                <w:sz w:val="22"/>
                <w:szCs w:val="22"/>
                <w:lang w:eastAsia="en-IN" w:bidi="gu-IN"/>
              </w:rPr>
              <w:t>Category</w:t>
            </w:r>
          </w:p>
        </w:tc>
        <w:tc>
          <w:tcPr>
            <w:tcW w:w="889" w:type="dxa"/>
            <w:vMerge w:val="restart"/>
            <w:tcBorders>
              <w:top w:val="single" w:sz="8" w:space="0" w:color="000000"/>
              <w:left w:val="single" w:sz="8" w:space="0" w:color="000000"/>
              <w:bottom w:val="single" w:sz="8" w:space="0" w:color="000000"/>
              <w:right w:val="single" w:sz="8" w:space="0" w:color="000000"/>
            </w:tcBorders>
            <w:shd w:val="clear" w:color="auto" w:fill="auto"/>
            <w:hideMark/>
          </w:tcPr>
          <w:p w14:paraId="44025B28" w14:textId="77777777" w:rsidR="00E27B52" w:rsidRPr="00A253CD" w:rsidRDefault="00E27B52" w:rsidP="00815814">
            <w:pPr>
              <w:spacing w:after="0" w:line="240" w:lineRule="auto"/>
              <w:jc w:val="center"/>
              <w:rPr>
                <w:b/>
                <w:bCs/>
                <w:color w:val="000000"/>
                <w:sz w:val="22"/>
                <w:szCs w:val="22"/>
                <w:lang w:val="en-IN" w:eastAsia="en-IN" w:bidi="gu-IN"/>
              </w:rPr>
            </w:pPr>
            <w:r w:rsidRPr="00A253CD">
              <w:rPr>
                <w:b/>
                <w:bCs/>
                <w:color w:val="000000"/>
                <w:sz w:val="22"/>
                <w:szCs w:val="22"/>
                <w:lang w:eastAsia="en-IN" w:bidi="gu-IN"/>
              </w:rPr>
              <w:t>Ratio</w:t>
            </w:r>
          </w:p>
        </w:tc>
        <w:tc>
          <w:tcPr>
            <w:tcW w:w="1145" w:type="dxa"/>
            <w:vMerge w:val="restart"/>
            <w:tcBorders>
              <w:top w:val="single" w:sz="8" w:space="0" w:color="000000"/>
              <w:left w:val="single" w:sz="8" w:space="0" w:color="000000"/>
              <w:bottom w:val="single" w:sz="8" w:space="0" w:color="000000"/>
              <w:right w:val="single" w:sz="8" w:space="0" w:color="000000"/>
            </w:tcBorders>
            <w:shd w:val="clear" w:color="auto" w:fill="auto"/>
            <w:hideMark/>
          </w:tcPr>
          <w:p w14:paraId="296FF948" w14:textId="77777777" w:rsidR="00E27B52" w:rsidRPr="00A253CD" w:rsidRDefault="00E27B52" w:rsidP="00815814">
            <w:pPr>
              <w:spacing w:after="0" w:line="240" w:lineRule="auto"/>
              <w:jc w:val="center"/>
              <w:rPr>
                <w:b/>
                <w:bCs/>
                <w:color w:val="000000"/>
                <w:sz w:val="22"/>
                <w:szCs w:val="22"/>
                <w:lang w:val="en-IN" w:eastAsia="en-IN" w:bidi="gu-IN"/>
              </w:rPr>
            </w:pPr>
            <w:r w:rsidRPr="00A253CD">
              <w:rPr>
                <w:b/>
                <w:bCs/>
                <w:color w:val="000000"/>
                <w:sz w:val="22"/>
                <w:szCs w:val="22"/>
                <w:lang w:eastAsia="en-IN" w:bidi="gu-IN"/>
              </w:rPr>
              <w:t>Formula</w:t>
            </w:r>
          </w:p>
        </w:tc>
        <w:tc>
          <w:tcPr>
            <w:tcW w:w="4475" w:type="dxa"/>
            <w:gridSpan w:val="5"/>
            <w:tcBorders>
              <w:top w:val="single" w:sz="8" w:space="0" w:color="000000"/>
              <w:left w:val="nil"/>
              <w:bottom w:val="single" w:sz="8" w:space="0" w:color="000000"/>
              <w:right w:val="single" w:sz="8" w:space="0" w:color="000000"/>
            </w:tcBorders>
            <w:shd w:val="clear" w:color="auto" w:fill="auto"/>
            <w:hideMark/>
          </w:tcPr>
          <w:p w14:paraId="47BAFA46" w14:textId="77777777" w:rsidR="00E27B52" w:rsidRPr="00A253CD" w:rsidRDefault="00E27B52" w:rsidP="00815814">
            <w:pPr>
              <w:spacing w:after="0" w:line="240" w:lineRule="auto"/>
              <w:jc w:val="center"/>
              <w:rPr>
                <w:b/>
                <w:bCs/>
                <w:color w:val="000000"/>
                <w:sz w:val="22"/>
                <w:szCs w:val="22"/>
                <w:lang w:val="en-IN" w:eastAsia="en-IN" w:bidi="gu-IN"/>
              </w:rPr>
            </w:pPr>
            <w:r w:rsidRPr="00A253CD">
              <w:rPr>
                <w:b/>
                <w:bCs/>
                <w:color w:val="000000"/>
                <w:sz w:val="22"/>
                <w:szCs w:val="22"/>
                <w:lang w:eastAsia="en-IN" w:bidi="gu-IN"/>
              </w:rPr>
              <w:t>Unilever</w:t>
            </w:r>
          </w:p>
        </w:tc>
        <w:tc>
          <w:tcPr>
            <w:tcW w:w="3280" w:type="dxa"/>
            <w:gridSpan w:val="5"/>
            <w:tcBorders>
              <w:top w:val="single" w:sz="8" w:space="0" w:color="000000"/>
              <w:left w:val="nil"/>
              <w:bottom w:val="single" w:sz="8" w:space="0" w:color="000000"/>
              <w:right w:val="single" w:sz="8" w:space="0" w:color="000000"/>
            </w:tcBorders>
            <w:shd w:val="clear" w:color="auto" w:fill="auto"/>
            <w:hideMark/>
          </w:tcPr>
          <w:p w14:paraId="6B203554" w14:textId="77777777" w:rsidR="00E27B52" w:rsidRPr="00A253CD" w:rsidRDefault="00E27B52" w:rsidP="00815814">
            <w:pPr>
              <w:spacing w:after="0" w:line="240" w:lineRule="auto"/>
              <w:jc w:val="center"/>
              <w:rPr>
                <w:b/>
                <w:bCs/>
                <w:color w:val="000000"/>
                <w:sz w:val="22"/>
                <w:szCs w:val="22"/>
                <w:lang w:val="en-IN" w:eastAsia="en-IN" w:bidi="gu-IN"/>
              </w:rPr>
            </w:pPr>
            <w:r w:rsidRPr="00A253CD">
              <w:rPr>
                <w:b/>
                <w:bCs/>
                <w:color w:val="000000"/>
                <w:sz w:val="22"/>
                <w:szCs w:val="22"/>
                <w:lang w:eastAsia="en-IN" w:bidi="gu-IN"/>
              </w:rPr>
              <w:t>Procter and Gamble</w:t>
            </w:r>
          </w:p>
        </w:tc>
      </w:tr>
      <w:tr w:rsidR="00E27B52" w:rsidRPr="00A253CD" w14:paraId="1304ADC9" w14:textId="77777777" w:rsidTr="00815814">
        <w:trPr>
          <w:trHeight w:val="294"/>
        </w:trPr>
        <w:tc>
          <w:tcPr>
            <w:tcW w:w="1097" w:type="dxa"/>
            <w:vMerge/>
            <w:tcBorders>
              <w:top w:val="single" w:sz="8" w:space="0" w:color="000000"/>
              <w:left w:val="single" w:sz="8" w:space="0" w:color="000000"/>
              <w:bottom w:val="single" w:sz="8" w:space="0" w:color="000000"/>
              <w:right w:val="single" w:sz="8" w:space="0" w:color="000000"/>
            </w:tcBorders>
            <w:vAlign w:val="center"/>
            <w:hideMark/>
          </w:tcPr>
          <w:p w14:paraId="2E507D86" w14:textId="77777777" w:rsidR="00E27B52" w:rsidRPr="00A253CD" w:rsidRDefault="00E27B52" w:rsidP="00815814">
            <w:pPr>
              <w:spacing w:after="0" w:line="240" w:lineRule="auto"/>
              <w:jc w:val="left"/>
              <w:rPr>
                <w:b/>
                <w:bCs/>
                <w:color w:val="000000"/>
                <w:sz w:val="22"/>
                <w:szCs w:val="22"/>
                <w:lang w:val="en-IN" w:eastAsia="en-IN" w:bidi="gu-IN"/>
              </w:rPr>
            </w:pPr>
          </w:p>
        </w:tc>
        <w:tc>
          <w:tcPr>
            <w:tcW w:w="889" w:type="dxa"/>
            <w:vMerge/>
            <w:tcBorders>
              <w:top w:val="single" w:sz="8" w:space="0" w:color="000000"/>
              <w:left w:val="single" w:sz="8" w:space="0" w:color="000000"/>
              <w:bottom w:val="single" w:sz="8" w:space="0" w:color="000000"/>
              <w:right w:val="single" w:sz="8" w:space="0" w:color="000000"/>
            </w:tcBorders>
            <w:vAlign w:val="center"/>
            <w:hideMark/>
          </w:tcPr>
          <w:p w14:paraId="60EC4276" w14:textId="77777777" w:rsidR="00E27B52" w:rsidRPr="00A253CD" w:rsidRDefault="00E27B52" w:rsidP="00815814">
            <w:pPr>
              <w:spacing w:after="0" w:line="240" w:lineRule="auto"/>
              <w:jc w:val="left"/>
              <w:rPr>
                <w:b/>
                <w:bCs/>
                <w:color w:val="000000"/>
                <w:sz w:val="22"/>
                <w:szCs w:val="22"/>
                <w:lang w:val="en-IN" w:eastAsia="en-IN" w:bidi="gu-IN"/>
              </w:rPr>
            </w:pPr>
          </w:p>
        </w:tc>
        <w:tc>
          <w:tcPr>
            <w:tcW w:w="1145" w:type="dxa"/>
            <w:vMerge/>
            <w:tcBorders>
              <w:top w:val="single" w:sz="8" w:space="0" w:color="000000"/>
              <w:left w:val="single" w:sz="8" w:space="0" w:color="000000"/>
              <w:bottom w:val="single" w:sz="8" w:space="0" w:color="000000"/>
              <w:right w:val="single" w:sz="8" w:space="0" w:color="000000"/>
            </w:tcBorders>
            <w:vAlign w:val="center"/>
            <w:hideMark/>
          </w:tcPr>
          <w:p w14:paraId="62BE9F54" w14:textId="77777777" w:rsidR="00E27B52" w:rsidRPr="00A253CD" w:rsidRDefault="00E27B52" w:rsidP="00815814">
            <w:pPr>
              <w:spacing w:after="0" w:line="240" w:lineRule="auto"/>
              <w:jc w:val="left"/>
              <w:rPr>
                <w:b/>
                <w:bCs/>
                <w:color w:val="000000"/>
                <w:sz w:val="22"/>
                <w:szCs w:val="22"/>
                <w:lang w:val="en-IN" w:eastAsia="en-IN" w:bidi="gu-IN"/>
              </w:rPr>
            </w:pPr>
          </w:p>
        </w:tc>
        <w:tc>
          <w:tcPr>
            <w:tcW w:w="895" w:type="dxa"/>
            <w:tcBorders>
              <w:top w:val="nil"/>
              <w:left w:val="nil"/>
              <w:bottom w:val="single" w:sz="8" w:space="0" w:color="000000"/>
              <w:right w:val="single" w:sz="8" w:space="0" w:color="000000"/>
            </w:tcBorders>
            <w:shd w:val="clear" w:color="auto" w:fill="auto"/>
            <w:hideMark/>
          </w:tcPr>
          <w:p w14:paraId="45F33A06" w14:textId="77777777" w:rsidR="00E27B52" w:rsidRPr="00A253CD" w:rsidRDefault="00E27B52" w:rsidP="00815814">
            <w:pPr>
              <w:spacing w:after="0" w:line="240" w:lineRule="auto"/>
              <w:jc w:val="center"/>
              <w:rPr>
                <w:b/>
                <w:bCs/>
                <w:color w:val="000000"/>
                <w:sz w:val="22"/>
                <w:szCs w:val="22"/>
                <w:lang w:val="en-IN" w:eastAsia="en-IN" w:bidi="gu-IN"/>
              </w:rPr>
            </w:pPr>
            <w:r w:rsidRPr="00A253CD">
              <w:rPr>
                <w:b/>
                <w:bCs/>
                <w:color w:val="000000"/>
                <w:sz w:val="22"/>
                <w:szCs w:val="22"/>
                <w:lang w:eastAsia="en-IN" w:bidi="gu-IN"/>
              </w:rPr>
              <w:t>2023</w:t>
            </w:r>
          </w:p>
        </w:tc>
        <w:tc>
          <w:tcPr>
            <w:tcW w:w="895" w:type="dxa"/>
            <w:tcBorders>
              <w:top w:val="nil"/>
              <w:left w:val="nil"/>
              <w:bottom w:val="single" w:sz="8" w:space="0" w:color="000000"/>
              <w:right w:val="single" w:sz="8" w:space="0" w:color="000000"/>
            </w:tcBorders>
            <w:shd w:val="clear" w:color="auto" w:fill="auto"/>
            <w:hideMark/>
          </w:tcPr>
          <w:p w14:paraId="1F05D039" w14:textId="77777777" w:rsidR="00E27B52" w:rsidRPr="00A253CD" w:rsidRDefault="00E27B52" w:rsidP="00815814">
            <w:pPr>
              <w:spacing w:after="0" w:line="240" w:lineRule="auto"/>
              <w:jc w:val="center"/>
              <w:rPr>
                <w:b/>
                <w:bCs/>
                <w:color w:val="000000"/>
                <w:sz w:val="22"/>
                <w:szCs w:val="22"/>
                <w:lang w:val="en-IN" w:eastAsia="en-IN" w:bidi="gu-IN"/>
              </w:rPr>
            </w:pPr>
            <w:r w:rsidRPr="00A253CD">
              <w:rPr>
                <w:b/>
                <w:bCs/>
                <w:color w:val="000000"/>
                <w:sz w:val="22"/>
                <w:szCs w:val="22"/>
                <w:lang w:eastAsia="en-IN" w:bidi="gu-IN"/>
              </w:rPr>
              <w:t>2022</w:t>
            </w:r>
          </w:p>
        </w:tc>
        <w:tc>
          <w:tcPr>
            <w:tcW w:w="895" w:type="dxa"/>
            <w:tcBorders>
              <w:top w:val="nil"/>
              <w:left w:val="nil"/>
              <w:bottom w:val="single" w:sz="8" w:space="0" w:color="000000"/>
              <w:right w:val="single" w:sz="8" w:space="0" w:color="000000"/>
            </w:tcBorders>
            <w:shd w:val="clear" w:color="auto" w:fill="auto"/>
            <w:hideMark/>
          </w:tcPr>
          <w:p w14:paraId="3D11DE98" w14:textId="77777777" w:rsidR="00E27B52" w:rsidRPr="00A253CD" w:rsidRDefault="00E27B52" w:rsidP="00815814">
            <w:pPr>
              <w:spacing w:after="0" w:line="240" w:lineRule="auto"/>
              <w:jc w:val="center"/>
              <w:rPr>
                <w:b/>
                <w:bCs/>
                <w:color w:val="000000"/>
                <w:sz w:val="22"/>
                <w:szCs w:val="22"/>
                <w:lang w:val="en-IN" w:eastAsia="en-IN" w:bidi="gu-IN"/>
              </w:rPr>
            </w:pPr>
            <w:r w:rsidRPr="00A253CD">
              <w:rPr>
                <w:b/>
                <w:bCs/>
                <w:color w:val="000000"/>
                <w:sz w:val="22"/>
                <w:szCs w:val="22"/>
                <w:lang w:eastAsia="en-IN" w:bidi="gu-IN"/>
              </w:rPr>
              <w:t>2021</w:t>
            </w:r>
          </w:p>
        </w:tc>
        <w:tc>
          <w:tcPr>
            <w:tcW w:w="895" w:type="dxa"/>
            <w:tcBorders>
              <w:top w:val="nil"/>
              <w:left w:val="nil"/>
              <w:bottom w:val="single" w:sz="8" w:space="0" w:color="000000"/>
              <w:right w:val="single" w:sz="8" w:space="0" w:color="000000"/>
            </w:tcBorders>
            <w:shd w:val="clear" w:color="auto" w:fill="auto"/>
            <w:hideMark/>
          </w:tcPr>
          <w:p w14:paraId="7195366C" w14:textId="77777777" w:rsidR="00E27B52" w:rsidRPr="00A253CD" w:rsidRDefault="00E27B52" w:rsidP="00815814">
            <w:pPr>
              <w:spacing w:after="0" w:line="240" w:lineRule="auto"/>
              <w:jc w:val="center"/>
              <w:rPr>
                <w:b/>
                <w:bCs/>
                <w:color w:val="000000"/>
                <w:sz w:val="22"/>
                <w:szCs w:val="22"/>
                <w:lang w:val="en-IN" w:eastAsia="en-IN" w:bidi="gu-IN"/>
              </w:rPr>
            </w:pPr>
            <w:r w:rsidRPr="00A253CD">
              <w:rPr>
                <w:b/>
                <w:bCs/>
                <w:color w:val="000000"/>
                <w:sz w:val="22"/>
                <w:szCs w:val="22"/>
                <w:lang w:eastAsia="en-IN" w:bidi="gu-IN"/>
              </w:rPr>
              <w:t>2020</w:t>
            </w:r>
          </w:p>
        </w:tc>
        <w:tc>
          <w:tcPr>
            <w:tcW w:w="895" w:type="dxa"/>
            <w:tcBorders>
              <w:top w:val="nil"/>
              <w:left w:val="nil"/>
              <w:bottom w:val="single" w:sz="8" w:space="0" w:color="000000"/>
              <w:right w:val="single" w:sz="8" w:space="0" w:color="000000"/>
            </w:tcBorders>
            <w:shd w:val="clear" w:color="auto" w:fill="auto"/>
            <w:hideMark/>
          </w:tcPr>
          <w:p w14:paraId="0455B8D6" w14:textId="77777777" w:rsidR="00E27B52" w:rsidRPr="00A253CD" w:rsidRDefault="00E27B52" w:rsidP="00815814">
            <w:pPr>
              <w:spacing w:after="0" w:line="240" w:lineRule="auto"/>
              <w:jc w:val="center"/>
              <w:rPr>
                <w:b/>
                <w:bCs/>
                <w:color w:val="000000"/>
                <w:sz w:val="22"/>
                <w:szCs w:val="22"/>
                <w:lang w:val="en-IN" w:eastAsia="en-IN" w:bidi="gu-IN"/>
              </w:rPr>
            </w:pPr>
            <w:r w:rsidRPr="00A253CD">
              <w:rPr>
                <w:b/>
                <w:bCs/>
                <w:color w:val="000000"/>
                <w:sz w:val="22"/>
                <w:szCs w:val="22"/>
                <w:lang w:eastAsia="en-IN" w:bidi="gu-IN"/>
              </w:rPr>
              <w:t>2019</w:t>
            </w:r>
          </w:p>
        </w:tc>
        <w:tc>
          <w:tcPr>
            <w:tcW w:w="656" w:type="dxa"/>
            <w:tcBorders>
              <w:top w:val="nil"/>
              <w:left w:val="nil"/>
              <w:bottom w:val="single" w:sz="8" w:space="0" w:color="000000"/>
              <w:right w:val="single" w:sz="8" w:space="0" w:color="000000"/>
            </w:tcBorders>
            <w:shd w:val="clear" w:color="auto" w:fill="auto"/>
            <w:hideMark/>
          </w:tcPr>
          <w:p w14:paraId="67A096EC" w14:textId="77777777" w:rsidR="00E27B52" w:rsidRPr="00A253CD" w:rsidRDefault="00E27B52" w:rsidP="00815814">
            <w:pPr>
              <w:spacing w:after="0" w:line="240" w:lineRule="auto"/>
              <w:jc w:val="center"/>
              <w:rPr>
                <w:b/>
                <w:bCs/>
                <w:color w:val="000000"/>
                <w:sz w:val="22"/>
                <w:szCs w:val="22"/>
                <w:lang w:val="en-IN" w:eastAsia="en-IN" w:bidi="gu-IN"/>
              </w:rPr>
            </w:pPr>
            <w:r w:rsidRPr="00A253CD">
              <w:rPr>
                <w:b/>
                <w:bCs/>
                <w:color w:val="000000"/>
                <w:sz w:val="22"/>
                <w:szCs w:val="22"/>
                <w:lang w:eastAsia="en-IN" w:bidi="gu-IN"/>
              </w:rPr>
              <w:t>2023</w:t>
            </w:r>
          </w:p>
        </w:tc>
        <w:tc>
          <w:tcPr>
            <w:tcW w:w="656" w:type="dxa"/>
            <w:tcBorders>
              <w:top w:val="nil"/>
              <w:left w:val="nil"/>
              <w:bottom w:val="single" w:sz="8" w:space="0" w:color="000000"/>
              <w:right w:val="single" w:sz="8" w:space="0" w:color="000000"/>
            </w:tcBorders>
            <w:shd w:val="clear" w:color="auto" w:fill="auto"/>
            <w:hideMark/>
          </w:tcPr>
          <w:p w14:paraId="16CAC9E2" w14:textId="77777777" w:rsidR="00E27B52" w:rsidRPr="00A253CD" w:rsidRDefault="00E27B52" w:rsidP="00815814">
            <w:pPr>
              <w:spacing w:after="0" w:line="240" w:lineRule="auto"/>
              <w:jc w:val="center"/>
              <w:rPr>
                <w:b/>
                <w:bCs/>
                <w:color w:val="000000"/>
                <w:sz w:val="22"/>
                <w:szCs w:val="22"/>
                <w:lang w:val="en-IN" w:eastAsia="en-IN" w:bidi="gu-IN"/>
              </w:rPr>
            </w:pPr>
            <w:r w:rsidRPr="00A253CD">
              <w:rPr>
                <w:b/>
                <w:bCs/>
                <w:color w:val="000000"/>
                <w:sz w:val="22"/>
                <w:szCs w:val="22"/>
                <w:lang w:eastAsia="en-IN" w:bidi="gu-IN"/>
              </w:rPr>
              <w:t>2022</w:t>
            </w:r>
          </w:p>
        </w:tc>
        <w:tc>
          <w:tcPr>
            <w:tcW w:w="656" w:type="dxa"/>
            <w:tcBorders>
              <w:top w:val="nil"/>
              <w:left w:val="nil"/>
              <w:bottom w:val="single" w:sz="8" w:space="0" w:color="000000"/>
              <w:right w:val="single" w:sz="8" w:space="0" w:color="000000"/>
            </w:tcBorders>
            <w:shd w:val="clear" w:color="auto" w:fill="auto"/>
            <w:hideMark/>
          </w:tcPr>
          <w:p w14:paraId="7CAF9706" w14:textId="77777777" w:rsidR="00E27B52" w:rsidRPr="00A253CD" w:rsidRDefault="00E27B52" w:rsidP="00815814">
            <w:pPr>
              <w:spacing w:after="0" w:line="240" w:lineRule="auto"/>
              <w:jc w:val="center"/>
              <w:rPr>
                <w:b/>
                <w:bCs/>
                <w:color w:val="000000"/>
                <w:sz w:val="22"/>
                <w:szCs w:val="22"/>
                <w:lang w:val="en-IN" w:eastAsia="en-IN" w:bidi="gu-IN"/>
              </w:rPr>
            </w:pPr>
            <w:r w:rsidRPr="00A253CD">
              <w:rPr>
                <w:b/>
                <w:bCs/>
                <w:color w:val="000000"/>
                <w:sz w:val="22"/>
                <w:szCs w:val="22"/>
                <w:lang w:eastAsia="en-IN" w:bidi="gu-IN"/>
              </w:rPr>
              <w:t>2021</w:t>
            </w:r>
          </w:p>
        </w:tc>
        <w:tc>
          <w:tcPr>
            <w:tcW w:w="656" w:type="dxa"/>
            <w:tcBorders>
              <w:top w:val="nil"/>
              <w:left w:val="nil"/>
              <w:bottom w:val="single" w:sz="8" w:space="0" w:color="000000"/>
              <w:right w:val="single" w:sz="8" w:space="0" w:color="000000"/>
            </w:tcBorders>
            <w:shd w:val="clear" w:color="auto" w:fill="auto"/>
            <w:hideMark/>
          </w:tcPr>
          <w:p w14:paraId="7741BCA9" w14:textId="77777777" w:rsidR="00E27B52" w:rsidRPr="00A253CD" w:rsidRDefault="00E27B52" w:rsidP="00815814">
            <w:pPr>
              <w:spacing w:after="0" w:line="240" w:lineRule="auto"/>
              <w:jc w:val="center"/>
              <w:rPr>
                <w:b/>
                <w:bCs/>
                <w:color w:val="000000"/>
                <w:sz w:val="22"/>
                <w:szCs w:val="22"/>
                <w:lang w:val="en-IN" w:eastAsia="en-IN" w:bidi="gu-IN"/>
              </w:rPr>
            </w:pPr>
            <w:r w:rsidRPr="00A253CD">
              <w:rPr>
                <w:b/>
                <w:bCs/>
                <w:color w:val="000000"/>
                <w:sz w:val="22"/>
                <w:szCs w:val="22"/>
                <w:lang w:eastAsia="en-IN" w:bidi="gu-IN"/>
              </w:rPr>
              <w:t>2020</w:t>
            </w:r>
          </w:p>
        </w:tc>
        <w:tc>
          <w:tcPr>
            <w:tcW w:w="656" w:type="dxa"/>
            <w:tcBorders>
              <w:top w:val="nil"/>
              <w:left w:val="nil"/>
              <w:bottom w:val="single" w:sz="8" w:space="0" w:color="000000"/>
              <w:right w:val="single" w:sz="8" w:space="0" w:color="000000"/>
            </w:tcBorders>
            <w:shd w:val="clear" w:color="auto" w:fill="auto"/>
            <w:hideMark/>
          </w:tcPr>
          <w:p w14:paraId="2FEF866C" w14:textId="77777777" w:rsidR="00E27B52" w:rsidRPr="00A253CD" w:rsidRDefault="00E27B52" w:rsidP="00815814">
            <w:pPr>
              <w:spacing w:after="0" w:line="240" w:lineRule="auto"/>
              <w:jc w:val="center"/>
              <w:rPr>
                <w:b/>
                <w:bCs/>
                <w:color w:val="000000"/>
                <w:sz w:val="22"/>
                <w:szCs w:val="22"/>
                <w:lang w:val="en-IN" w:eastAsia="en-IN" w:bidi="gu-IN"/>
              </w:rPr>
            </w:pPr>
            <w:r w:rsidRPr="00A253CD">
              <w:rPr>
                <w:b/>
                <w:bCs/>
                <w:color w:val="000000"/>
                <w:sz w:val="22"/>
                <w:szCs w:val="22"/>
                <w:lang w:eastAsia="en-IN" w:bidi="gu-IN"/>
              </w:rPr>
              <w:t>2019</w:t>
            </w:r>
          </w:p>
        </w:tc>
      </w:tr>
      <w:tr w:rsidR="00E27B52" w:rsidRPr="00A253CD" w14:paraId="5C72BCB5" w14:textId="77777777" w:rsidTr="00815814">
        <w:trPr>
          <w:trHeight w:val="1094"/>
        </w:trPr>
        <w:tc>
          <w:tcPr>
            <w:tcW w:w="1097" w:type="dxa"/>
            <w:vMerge w:val="restart"/>
            <w:tcBorders>
              <w:top w:val="nil"/>
              <w:left w:val="single" w:sz="8" w:space="0" w:color="000000"/>
              <w:bottom w:val="single" w:sz="8" w:space="0" w:color="000000"/>
              <w:right w:val="single" w:sz="8" w:space="0" w:color="000000"/>
            </w:tcBorders>
            <w:shd w:val="clear" w:color="auto" w:fill="auto"/>
            <w:hideMark/>
          </w:tcPr>
          <w:p w14:paraId="358BB59D" w14:textId="77777777" w:rsidR="00E27B52" w:rsidRPr="00A253CD" w:rsidRDefault="00E27B52" w:rsidP="00815814">
            <w:pPr>
              <w:spacing w:after="0" w:line="240" w:lineRule="auto"/>
              <w:jc w:val="center"/>
              <w:rPr>
                <w:b/>
                <w:bCs/>
                <w:color w:val="000000"/>
                <w:sz w:val="22"/>
                <w:szCs w:val="22"/>
                <w:lang w:val="en-IN" w:eastAsia="en-IN" w:bidi="gu-IN"/>
              </w:rPr>
            </w:pPr>
            <w:r w:rsidRPr="00A253CD">
              <w:rPr>
                <w:b/>
                <w:bCs/>
                <w:color w:val="000000"/>
                <w:sz w:val="22"/>
                <w:szCs w:val="22"/>
                <w:lang w:eastAsia="en-IN" w:bidi="gu-IN"/>
              </w:rPr>
              <w:t>Liquidity Ratios</w:t>
            </w:r>
          </w:p>
        </w:tc>
        <w:tc>
          <w:tcPr>
            <w:tcW w:w="889" w:type="dxa"/>
            <w:tcBorders>
              <w:top w:val="nil"/>
              <w:left w:val="nil"/>
              <w:bottom w:val="single" w:sz="8" w:space="0" w:color="000000"/>
              <w:right w:val="single" w:sz="8" w:space="0" w:color="000000"/>
            </w:tcBorders>
            <w:shd w:val="clear" w:color="auto" w:fill="auto"/>
            <w:hideMark/>
          </w:tcPr>
          <w:p w14:paraId="4BC30759" w14:textId="77777777" w:rsidR="00E27B52" w:rsidRPr="00A253CD" w:rsidRDefault="00E27B52" w:rsidP="00815814">
            <w:pPr>
              <w:spacing w:after="0" w:line="240" w:lineRule="auto"/>
              <w:jc w:val="center"/>
              <w:rPr>
                <w:color w:val="000000"/>
                <w:sz w:val="22"/>
                <w:szCs w:val="22"/>
                <w:lang w:val="en-IN" w:eastAsia="en-IN" w:bidi="gu-IN"/>
              </w:rPr>
            </w:pPr>
            <w:r w:rsidRPr="00A253CD">
              <w:rPr>
                <w:color w:val="000000"/>
                <w:sz w:val="22"/>
                <w:szCs w:val="22"/>
                <w:lang w:eastAsia="en-IN" w:bidi="gu-IN"/>
              </w:rPr>
              <w:t>1. Current Ratio</w:t>
            </w:r>
          </w:p>
        </w:tc>
        <w:tc>
          <w:tcPr>
            <w:tcW w:w="1145" w:type="dxa"/>
            <w:tcBorders>
              <w:top w:val="nil"/>
              <w:left w:val="nil"/>
              <w:bottom w:val="single" w:sz="8" w:space="0" w:color="000000"/>
              <w:right w:val="single" w:sz="8" w:space="0" w:color="000000"/>
            </w:tcBorders>
            <w:shd w:val="clear" w:color="auto" w:fill="auto"/>
            <w:hideMark/>
          </w:tcPr>
          <w:p w14:paraId="13FDCDD5" w14:textId="77777777" w:rsidR="00E27B52" w:rsidRPr="00A253CD" w:rsidRDefault="00E27B52" w:rsidP="00815814">
            <w:pPr>
              <w:spacing w:after="0" w:line="240" w:lineRule="auto"/>
              <w:jc w:val="center"/>
              <w:rPr>
                <w:color w:val="000000"/>
                <w:sz w:val="22"/>
                <w:szCs w:val="22"/>
                <w:lang w:val="en-IN" w:eastAsia="en-IN" w:bidi="gu-IN"/>
              </w:rPr>
            </w:pPr>
            <w:r w:rsidRPr="00A253CD">
              <w:rPr>
                <w:color w:val="000000"/>
                <w:sz w:val="22"/>
                <w:szCs w:val="22"/>
                <w:lang w:eastAsia="en-IN" w:bidi="gu-IN"/>
              </w:rPr>
              <w:t>Current Assets / Current Liabilities</w:t>
            </w:r>
          </w:p>
        </w:tc>
        <w:tc>
          <w:tcPr>
            <w:tcW w:w="895" w:type="dxa"/>
            <w:tcBorders>
              <w:top w:val="nil"/>
              <w:left w:val="nil"/>
              <w:bottom w:val="single" w:sz="8" w:space="0" w:color="000000"/>
              <w:right w:val="single" w:sz="8" w:space="0" w:color="000000"/>
            </w:tcBorders>
            <w:shd w:val="clear" w:color="auto" w:fill="auto"/>
            <w:hideMark/>
          </w:tcPr>
          <w:p w14:paraId="0ACE1875" w14:textId="77777777" w:rsidR="00E27B52" w:rsidRPr="00A253CD" w:rsidRDefault="00E27B52" w:rsidP="00815814">
            <w:pPr>
              <w:spacing w:after="0" w:line="240" w:lineRule="auto"/>
              <w:jc w:val="center"/>
              <w:rPr>
                <w:color w:val="000000"/>
                <w:sz w:val="22"/>
                <w:szCs w:val="22"/>
                <w:lang w:val="en-IN" w:eastAsia="en-IN" w:bidi="gu-IN"/>
              </w:rPr>
            </w:pPr>
            <w:r w:rsidRPr="00A253CD">
              <w:rPr>
                <w:color w:val="000000"/>
                <w:sz w:val="22"/>
                <w:szCs w:val="22"/>
                <w:lang w:eastAsia="en-IN" w:bidi="gu-IN"/>
              </w:rPr>
              <w:t>0.76</w:t>
            </w:r>
          </w:p>
        </w:tc>
        <w:tc>
          <w:tcPr>
            <w:tcW w:w="895" w:type="dxa"/>
            <w:tcBorders>
              <w:top w:val="nil"/>
              <w:left w:val="nil"/>
              <w:bottom w:val="single" w:sz="8" w:space="0" w:color="000000"/>
              <w:right w:val="single" w:sz="8" w:space="0" w:color="000000"/>
            </w:tcBorders>
            <w:shd w:val="clear" w:color="auto" w:fill="auto"/>
            <w:hideMark/>
          </w:tcPr>
          <w:p w14:paraId="1F8CFD33" w14:textId="77777777" w:rsidR="00E27B52" w:rsidRPr="00A253CD" w:rsidRDefault="00E27B52" w:rsidP="00815814">
            <w:pPr>
              <w:spacing w:after="0" w:line="240" w:lineRule="auto"/>
              <w:jc w:val="center"/>
              <w:rPr>
                <w:color w:val="000000"/>
                <w:sz w:val="22"/>
                <w:szCs w:val="22"/>
                <w:lang w:val="en-IN" w:eastAsia="en-IN" w:bidi="gu-IN"/>
              </w:rPr>
            </w:pPr>
            <w:r w:rsidRPr="00A253CD">
              <w:rPr>
                <w:color w:val="000000"/>
                <w:sz w:val="22"/>
                <w:szCs w:val="22"/>
                <w:lang w:eastAsia="en-IN" w:bidi="gu-IN"/>
              </w:rPr>
              <w:t>0.75</w:t>
            </w:r>
          </w:p>
        </w:tc>
        <w:tc>
          <w:tcPr>
            <w:tcW w:w="895" w:type="dxa"/>
            <w:tcBorders>
              <w:top w:val="nil"/>
              <w:left w:val="nil"/>
              <w:bottom w:val="single" w:sz="8" w:space="0" w:color="000000"/>
              <w:right w:val="single" w:sz="8" w:space="0" w:color="000000"/>
            </w:tcBorders>
            <w:shd w:val="clear" w:color="auto" w:fill="auto"/>
            <w:hideMark/>
          </w:tcPr>
          <w:p w14:paraId="7EDA45F2" w14:textId="77777777" w:rsidR="00E27B52" w:rsidRPr="00A253CD" w:rsidRDefault="00E27B52" w:rsidP="00815814">
            <w:pPr>
              <w:spacing w:after="0" w:line="240" w:lineRule="auto"/>
              <w:jc w:val="center"/>
              <w:rPr>
                <w:color w:val="000000"/>
                <w:sz w:val="22"/>
                <w:szCs w:val="22"/>
                <w:lang w:val="en-IN" w:eastAsia="en-IN" w:bidi="gu-IN"/>
              </w:rPr>
            </w:pPr>
            <w:r w:rsidRPr="00A253CD">
              <w:rPr>
                <w:color w:val="000000"/>
                <w:sz w:val="22"/>
                <w:szCs w:val="22"/>
                <w:lang w:eastAsia="en-IN" w:bidi="gu-IN"/>
              </w:rPr>
              <w:t>0.7</w:t>
            </w:r>
          </w:p>
        </w:tc>
        <w:tc>
          <w:tcPr>
            <w:tcW w:w="895" w:type="dxa"/>
            <w:tcBorders>
              <w:top w:val="nil"/>
              <w:left w:val="nil"/>
              <w:bottom w:val="single" w:sz="8" w:space="0" w:color="000000"/>
              <w:right w:val="single" w:sz="8" w:space="0" w:color="000000"/>
            </w:tcBorders>
            <w:shd w:val="clear" w:color="auto" w:fill="auto"/>
            <w:hideMark/>
          </w:tcPr>
          <w:p w14:paraId="16BA4C81" w14:textId="77777777" w:rsidR="00E27B52" w:rsidRPr="00A253CD" w:rsidRDefault="00E27B52" w:rsidP="00815814">
            <w:pPr>
              <w:spacing w:after="0" w:line="240" w:lineRule="auto"/>
              <w:jc w:val="center"/>
              <w:rPr>
                <w:color w:val="000000"/>
                <w:sz w:val="22"/>
                <w:szCs w:val="22"/>
                <w:lang w:val="en-IN" w:eastAsia="en-IN" w:bidi="gu-IN"/>
              </w:rPr>
            </w:pPr>
            <w:r w:rsidRPr="00A253CD">
              <w:rPr>
                <w:color w:val="000000"/>
                <w:sz w:val="22"/>
                <w:szCs w:val="22"/>
                <w:lang w:eastAsia="en-IN" w:bidi="gu-IN"/>
              </w:rPr>
              <w:t>0.78</w:t>
            </w:r>
          </w:p>
        </w:tc>
        <w:tc>
          <w:tcPr>
            <w:tcW w:w="895" w:type="dxa"/>
            <w:tcBorders>
              <w:top w:val="nil"/>
              <w:left w:val="nil"/>
              <w:bottom w:val="single" w:sz="8" w:space="0" w:color="000000"/>
              <w:right w:val="single" w:sz="8" w:space="0" w:color="000000"/>
            </w:tcBorders>
            <w:shd w:val="clear" w:color="auto" w:fill="auto"/>
            <w:hideMark/>
          </w:tcPr>
          <w:p w14:paraId="0415A072" w14:textId="77777777" w:rsidR="00E27B52" w:rsidRPr="00A253CD" w:rsidRDefault="00E27B52" w:rsidP="00815814">
            <w:pPr>
              <w:spacing w:after="0" w:line="240" w:lineRule="auto"/>
              <w:jc w:val="center"/>
              <w:rPr>
                <w:color w:val="000000"/>
                <w:sz w:val="22"/>
                <w:szCs w:val="22"/>
                <w:lang w:val="en-IN" w:eastAsia="en-IN" w:bidi="gu-IN"/>
              </w:rPr>
            </w:pPr>
            <w:r w:rsidRPr="00A253CD">
              <w:rPr>
                <w:color w:val="000000"/>
                <w:sz w:val="22"/>
                <w:szCs w:val="22"/>
                <w:lang w:eastAsia="en-IN" w:bidi="gu-IN"/>
              </w:rPr>
              <w:t>0.78</w:t>
            </w:r>
          </w:p>
        </w:tc>
        <w:tc>
          <w:tcPr>
            <w:tcW w:w="656" w:type="dxa"/>
            <w:tcBorders>
              <w:top w:val="nil"/>
              <w:left w:val="nil"/>
              <w:bottom w:val="single" w:sz="8" w:space="0" w:color="000000"/>
              <w:right w:val="single" w:sz="8" w:space="0" w:color="000000"/>
            </w:tcBorders>
            <w:shd w:val="clear" w:color="auto" w:fill="auto"/>
            <w:hideMark/>
          </w:tcPr>
          <w:p w14:paraId="4CB8F600" w14:textId="77777777" w:rsidR="00E27B52" w:rsidRPr="00A253CD" w:rsidRDefault="00E27B52" w:rsidP="00815814">
            <w:pPr>
              <w:spacing w:after="0" w:line="240" w:lineRule="auto"/>
              <w:jc w:val="center"/>
              <w:rPr>
                <w:color w:val="000000"/>
                <w:sz w:val="22"/>
                <w:szCs w:val="22"/>
                <w:lang w:val="en-IN" w:eastAsia="en-IN" w:bidi="gu-IN"/>
              </w:rPr>
            </w:pPr>
            <w:r w:rsidRPr="00A253CD">
              <w:rPr>
                <w:color w:val="000000"/>
                <w:sz w:val="22"/>
                <w:szCs w:val="22"/>
                <w:lang w:eastAsia="en-IN" w:bidi="gu-IN"/>
              </w:rPr>
              <w:t>7.17</w:t>
            </w:r>
          </w:p>
        </w:tc>
        <w:tc>
          <w:tcPr>
            <w:tcW w:w="656" w:type="dxa"/>
            <w:tcBorders>
              <w:top w:val="nil"/>
              <w:left w:val="nil"/>
              <w:bottom w:val="single" w:sz="8" w:space="0" w:color="000000"/>
              <w:right w:val="single" w:sz="8" w:space="0" w:color="000000"/>
            </w:tcBorders>
            <w:shd w:val="clear" w:color="auto" w:fill="auto"/>
            <w:hideMark/>
          </w:tcPr>
          <w:p w14:paraId="6EC24DDE" w14:textId="77777777" w:rsidR="00E27B52" w:rsidRPr="00A253CD" w:rsidRDefault="00E27B52" w:rsidP="00815814">
            <w:pPr>
              <w:spacing w:after="0" w:line="240" w:lineRule="auto"/>
              <w:jc w:val="center"/>
              <w:rPr>
                <w:color w:val="000000"/>
                <w:sz w:val="22"/>
                <w:szCs w:val="22"/>
                <w:lang w:val="en-IN" w:eastAsia="en-IN" w:bidi="gu-IN"/>
              </w:rPr>
            </w:pPr>
            <w:r w:rsidRPr="00A253CD">
              <w:rPr>
                <w:color w:val="000000"/>
                <w:sz w:val="22"/>
                <w:szCs w:val="22"/>
                <w:lang w:eastAsia="en-IN" w:bidi="gu-IN"/>
              </w:rPr>
              <w:t>2.5</w:t>
            </w:r>
          </w:p>
        </w:tc>
        <w:tc>
          <w:tcPr>
            <w:tcW w:w="656" w:type="dxa"/>
            <w:tcBorders>
              <w:top w:val="nil"/>
              <w:left w:val="nil"/>
              <w:bottom w:val="single" w:sz="8" w:space="0" w:color="000000"/>
              <w:right w:val="single" w:sz="8" w:space="0" w:color="000000"/>
            </w:tcBorders>
            <w:shd w:val="clear" w:color="auto" w:fill="auto"/>
            <w:hideMark/>
          </w:tcPr>
          <w:p w14:paraId="2F321EC2" w14:textId="77777777" w:rsidR="00E27B52" w:rsidRPr="00A253CD" w:rsidRDefault="00E27B52" w:rsidP="00815814">
            <w:pPr>
              <w:spacing w:after="0" w:line="240" w:lineRule="auto"/>
              <w:jc w:val="center"/>
              <w:rPr>
                <w:color w:val="000000"/>
                <w:sz w:val="22"/>
                <w:szCs w:val="22"/>
                <w:lang w:val="en-IN" w:eastAsia="en-IN" w:bidi="gu-IN"/>
              </w:rPr>
            </w:pPr>
            <w:r w:rsidRPr="00A253CD">
              <w:rPr>
                <w:color w:val="000000"/>
                <w:sz w:val="22"/>
                <w:szCs w:val="22"/>
                <w:lang w:eastAsia="en-IN" w:bidi="gu-IN"/>
              </w:rPr>
              <w:t>1.64</w:t>
            </w:r>
          </w:p>
        </w:tc>
        <w:tc>
          <w:tcPr>
            <w:tcW w:w="656" w:type="dxa"/>
            <w:tcBorders>
              <w:top w:val="nil"/>
              <w:left w:val="nil"/>
              <w:bottom w:val="single" w:sz="8" w:space="0" w:color="000000"/>
              <w:right w:val="single" w:sz="8" w:space="0" w:color="000000"/>
            </w:tcBorders>
            <w:shd w:val="clear" w:color="auto" w:fill="auto"/>
            <w:hideMark/>
          </w:tcPr>
          <w:p w14:paraId="30D2BB8A" w14:textId="77777777" w:rsidR="00E27B52" w:rsidRPr="00A253CD" w:rsidRDefault="00E27B52" w:rsidP="00815814">
            <w:pPr>
              <w:spacing w:after="0" w:line="240" w:lineRule="auto"/>
              <w:jc w:val="center"/>
              <w:rPr>
                <w:color w:val="000000"/>
                <w:sz w:val="22"/>
                <w:szCs w:val="22"/>
                <w:lang w:val="en-IN" w:eastAsia="en-IN" w:bidi="gu-IN"/>
              </w:rPr>
            </w:pPr>
            <w:r w:rsidRPr="00A253CD">
              <w:rPr>
                <w:color w:val="000000"/>
                <w:sz w:val="22"/>
                <w:szCs w:val="22"/>
                <w:lang w:eastAsia="en-IN" w:bidi="gu-IN"/>
              </w:rPr>
              <w:t>1.07</w:t>
            </w:r>
          </w:p>
        </w:tc>
        <w:tc>
          <w:tcPr>
            <w:tcW w:w="656" w:type="dxa"/>
            <w:tcBorders>
              <w:top w:val="nil"/>
              <w:left w:val="nil"/>
              <w:bottom w:val="single" w:sz="8" w:space="0" w:color="000000"/>
              <w:right w:val="single" w:sz="8" w:space="0" w:color="000000"/>
            </w:tcBorders>
            <w:shd w:val="clear" w:color="auto" w:fill="auto"/>
            <w:hideMark/>
          </w:tcPr>
          <w:p w14:paraId="1F71666A" w14:textId="77777777" w:rsidR="00E27B52" w:rsidRPr="00A253CD" w:rsidRDefault="00E27B52" w:rsidP="00815814">
            <w:pPr>
              <w:spacing w:after="0" w:line="240" w:lineRule="auto"/>
              <w:jc w:val="center"/>
              <w:rPr>
                <w:color w:val="000000"/>
                <w:sz w:val="22"/>
                <w:szCs w:val="22"/>
                <w:lang w:val="en-IN" w:eastAsia="en-IN" w:bidi="gu-IN"/>
              </w:rPr>
            </w:pPr>
            <w:r w:rsidRPr="00A253CD">
              <w:rPr>
                <w:color w:val="000000"/>
                <w:sz w:val="22"/>
                <w:szCs w:val="22"/>
                <w:lang w:eastAsia="en-IN" w:bidi="gu-IN"/>
              </w:rPr>
              <w:t>1.05</w:t>
            </w:r>
          </w:p>
        </w:tc>
      </w:tr>
      <w:tr w:rsidR="00E27B52" w:rsidRPr="00A253CD" w14:paraId="3A21CD9F" w14:textId="77777777" w:rsidTr="00815814">
        <w:trPr>
          <w:trHeight w:val="1364"/>
        </w:trPr>
        <w:tc>
          <w:tcPr>
            <w:tcW w:w="1097" w:type="dxa"/>
            <w:vMerge/>
            <w:tcBorders>
              <w:top w:val="nil"/>
              <w:left w:val="single" w:sz="8" w:space="0" w:color="000000"/>
              <w:bottom w:val="single" w:sz="8" w:space="0" w:color="000000"/>
              <w:right w:val="single" w:sz="8" w:space="0" w:color="000000"/>
            </w:tcBorders>
            <w:vAlign w:val="center"/>
            <w:hideMark/>
          </w:tcPr>
          <w:p w14:paraId="38BE618B" w14:textId="77777777" w:rsidR="00E27B52" w:rsidRPr="00A253CD" w:rsidRDefault="00E27B52" w:rsidP="00815814">
            <w:pPr>
              <w:spacing w:after="0" w:line="240" w:lineRule="auto"/>
              <w:jc w:val="left"/>
              <w:rPr>
                <w:b/>
                <w:bCs/>
                <w:color w:val="000000"/>
                <w:sz w:val="22"/>
                <w:szCs w:val="22"/>
                <w:lang w:val="en-IN" w:eastAsia="en-IN" w:bidi="gu-IN"/>
              </w:rPr>
            </w:pPr>
          </w:p>
        </w:tc>
        <w:tc>
          <w:tcPr>
            <w:tcW w:w="889" w:type="dxa"/>
            <w:tcBorders>
              <w:top w:val="nil"/>
              <w:left w:val="nil"/>
              <w:bottom w:val="single" w:sz="8" w:space="0" w:color="000000"/>
              <w:right w:val="single" w:sz="8" w:space="0" w:color="000000"/>
            </w:tcBorders>
            <w:shd w:val="clear" w:color="auto" w:fill="auto"/>
            <w:hideMark/>
          </w:tcPr>
          <w:p w14:paraId="7AB0D9A6" w14:textId="77777777" w:rsidR="00E27B52" w:rsidRPr="00A253CD" w:rsidRDefault="00E27B52" w:rsidP="00815814">
            <w:pPr>
              <w:spacing w:after="0" w:line="240" w:lineRule="auto"/>
              <w:jc w:val="center"/>
              <w:rPr>
                <w:color w:val="000000"/>
                <w:sz w:val="22"/>
                <w:szCs w:val="22"/>
                <w:lang w:val="en-IN" w:eastAsia="en-IN" w:bidi="gu-IN"/>
              </w:rPr>
            </w:pPr>
            <w:r w:rsidRPr="00A253CD">
              <w:rPr>
                <w:color w:val="000000"/>
                <w:sz w:val="22"/>
                <w:szCs w:val="22"/>
                <w:lang w:eastAsia="en-IN" w:bidi="gu-IN"/>
              </w:rPr>
              <w:t>2. Quick Ratio</w:t>
            </w:r>
          </w:p>
        </w:tc>
        <w:tc>
          <w:tcPr>
            <w:tcW w:w="1145" w:type="dxa"/>
            <w:tcBorders>
              <w:top w:val="nil"/>
              <w:left w:val="nil"/>
              <w:bottom w:val="single" w:sz="8" w:space="0" w:color="000000"/>
              <w:right w:val="single" w:sz="8" w:space="0" w:color="000000"/>
            </w:tcBorders>
            <w:shd w:val="clear" w:color="auto" w:fill="auto"/>
            <w:hideMark/>
          </w:tcPr>
          <w:p w14:paraId="6D9AB26F" w14:textId="77777777" w:rsidR="00E27B52" w:rsidRPr="00A253CD" w:rsidRDefault="00E27B52" w:rsidP="00815814">
            <w:pPr>
              <w:spacing w:after="0" w:line="240" w:lineRule="auto"/>
              <w:jc w:val="center"/>
              <w:rPr>
                <w:color w:val="000000"/>
                <w:sz w:val="22"/>
                <w:szCs w:val="22"/>
                <w:lang w:val="en-IN" w:eastAsia="en-IN" w:bidi="gu-IN"/>
              </w:rPr>
            </w:pPr>
            <w:r w:rsidRPr="00A253CD">
              <w:rPr>
                <w:color w:val="000000"/>
                <w:sz w:val="22"/>
                <w:szCs w:val="22"/>
                <w:lang w:eastAsia="en-IN" w:bidi="gu-IN"/>
              </w:rPr>
              <w:t>(Current Assets - Inventory) / Current Liabilities</w:t>
            </w:r>
          </w:p>
        </w:tc>
        <w:tc>
          <w:tcPr>
            <w:tcW w:w="895" w:type="dxa"/>
            <w:tcBorders>
              <w:top w:val="nil"/>
              <w:left w:val="nil"/>
              <w:bottom w:val="single" w:sz="8" w:space="0" w:color="000000"/>
              <w:right w:val="single" w:sz="8" w:space="0" w:color="000000"/>
            </w:tcBorders>
            <w:shd w:val="clear" w:color="auto" w:fill="auto"/>
            <w:hideMark/>
          </w:tcPr>
          <w:p w14:paraId="62BC3359" w14:textId="77777777" w:rsidR="00E27B52" w:rsidRPr="00A253CD" w:rsidRDefault="00E27B52" w:rsidP="00815814">
            <w:pPr>
              <w:spacing w:after="0" w:line="240" w:lineRule="auto"/>
              <w:jc w:val="center"/>
              <w:rPr>
                <w:color w:val="000000"/>
                <w:sz w:val="22"/>
                <w:szCs w:val="22"/>
                <w:lang w:val="en-IN" w:eastAsia="en-IN" w:bidi="gu-IN"/>
              </w:rPr>
            </w:pPr>
            <w:r w:rsidRPr="00A253CD">
              <w:rPr>
                <w:color w:val="000000"/>
                <w:sz w:val="22"/>
                <w:szCs w:val="22"/>
                <w:lang w:eastAsia="en-IN" w:bidi="gu-IN"/>
              </w:rPr>
              <w:t>24.70%</w:t>
            </w:r>
          </w:p>
        </w:tc>
        <w:tc>
          <w:tcPr>
            <w:tcW w:w="895" w:type="dxa"/>
            <w:tcBorders>
              <w:top w:val="nil"/>
              <w:left w:val="nil"/>
              <w:bottom w:val="single" w:sz="8" w:space="0" w:color="000000"/>
              <w:right w:val="single" w:sz="8" w:space="0" w:color="000000"/>
            </w:tcBorders>
            <w:shd w:val="clear" w:color="auto" w:fill="auto"/>
            <w:hideMark/>
          </w:tcPr>
          <w:p w14:paraId="690AD43E" w14:textId="77777777" w:rsidR="00E27B52" w:rsidRPr="00A253CD" w:rsidRDefault="00E27B52" w:rsidP="00815814">
            <w:pPr>
              <w:spacing w:after="0" w:line="240" w:lineRule="auto"/>
              <w:jc w:val="center"/>
              <w:rPr>
                <w:color w:val="000000"/>
                <w:sz w:val="22"/>
                <w:szCs w:val="22"/>
                <w:lang w:val="en-IN" w:eastAsia="en-IN" w:bidi="gu-IN"/>
              </w:rPr>
            </w:pPr>
            <w:r w:rsidRPr="00A253CD">
              <w:rPr>
                <w:color w:val="000000"/>
                <w:sz w:val="22"/>
                <w:szCs w:val="22"/>
                <w:lang w:eastAsia="en-IN" w:bidi="gu-IN"/>
              </w:rPr>
              <w:t>25.24%</w:t>
            </w:r>
          </w:p>
        </w:tc>
        <w:tc>
          <w:tcPr>
            <w:tcW w:w="895" w:type="dxa"/>
            <w:tcBorders>
              <w:top w:val="nil"/>
              <w:left w:val="nil"/>
              <w:bottom w:val="single" w:sz="8" w:space="0" w:color="000000"/>
              <w:right w:val="single" w:sz="8" w:space="0" w:color="000000"/>
            </w:tcBorders>
            <w:shd w:val="clear" w:color="auto" w:fill="auto"/>
            <w:hideMark/>
          </w:tcPr>
          <w:p w14:paraId="5F7D327A" w14:textId="77777777" w:rsidR="00E27B52" w:rsidRPr="00A253CD" w:rsidRDefault="00E27B52" w:rsidP="00815814">
            <w:pPr>
              <w:spacing w:after="0" w:line="240" w:lineRule="auto"/>
              <w:jc w:val="center"/>
              <w:rPr>
                <w:color w:val="000000"/>
                <w:sz w:val="22"/>
                <w:szCs w:val="22"/>
                <w:lang w:val="en-IN" w:eastAsia="en-IN" w:bidi="gu-IN"/>
              </w:rPr>
            </w:pPr>
            <w:r w:rsidRPr="00A253CD">
              <w:rPr>
                <w:color w:val="000000"/>
                <w:sz w:val="22"/>
                <w:szCs w:val="22"/>
                <w:lang w:eastAsia="en-IN" w:bidi="gu-IN"/>
              </w:rPr>
              <w:t>25.27%</w:t>
            </w:r>
          </w:p>
        </w:tc>
        <w:tc>
          <w:tcPr>
            <w:tcW w:w="895" w:type="dxa"/>
            <w:tcBorders>
              <w:top w:val="nil"/>
              <w:left w:val="nil"/>
              <w:bottom w:val="single" w:sz="8" w:space="0" w:color="000000"/>
              <w:right w:val="single" w:sz="8" w:space="0" w:color="000000"/>
            </w:tcBorders>
            <w:shd w:val="clear" w:color="auto" w:fill="auto"/>
            <w:hideMark/>
          </w:tcPr>
          <w:p w14:paraId="610657FF" w14:textId="77777777" w:rsidR="00E27B52" w:rsidRPr="00A253CD" w:rsidRDefault="00E27B52" w:rsidP="00815814">
            <w:pPr>
              <w:spacing w:after="0" w:line="240" w:lineRule="auto"/>
              <w:jc w:val="center"/>
              <w:rPr>
                <w:color w:val="000000"/>
                <w:sz w:val="22"/>
                <w:szCs w:val="22"/>
                <w:lang w:val="en-IN" w:eastAsia="en-IN" w:bidi="gu-IN"/>
              </w:rPr>
            </w:pPr>
            <w:r w:rsidRPr="00A253CD">
              <w:rPr>
                <w:color w:val="000000"/>
                <w:sz w:val="22"/>
                <w:szCs w:val="22"/>
                <w:lang w:eastAsia="en-IN" w:bidi="gu-IN"/>
              </w:rPr>
              <w:t>24.85%</w:t>
            </w:r>
          </w:p>
        </w:tc>
        <w:tc>
          <w:tcPr>
            <w:tcW w:w="895" w:type="dxa"/>
            <w:tcBorders>
              <w:top w:val="nil"/>
              <w:left w:val="nil"/>
              <w:bottom w:val="single" w:sz="8" w:space="0" w:color="000000"/>
              <w:right w:val="single" w:sz="8" w:space="0" w:color="000000"/>
            </w:tcBorders>
            <w:shd w:val="clear" w:color="auto" w:fill="auto"/>
            <w:hideMark/>
          </w:tcPr>
          <w:p w14:paraId="4B6ABE22" w14:textId="77777777" w:rsidR="00E27B52" w:rsidRPr="00A253CD" w:rsidRDefault="00E27B52" w:rsidP="00815814">
            <w:pPr>
              <w:spacing w:after="0" w:line="240" w:lineRule="auto"/>
              <w:jc w:val="center"/>
              <w:rPr>
                <w:color w:val="000000"/>
                <w:sz w:val="22"/>
                <w:szCs w:val="22"/>
                <w:lang w:val="en-IN" w:eastAsia="en-IN" w:bidi="gu-IN"/>
              </w:rPr>
            </w:pPr>
            <w:r w:rsidRPr="00A253CD">
              <w:rPr>
                <w:color w:val="000000"/>
                <w:sz w:val="22"/>
                <w:szCs w:val="22"/>
                <w:lang w:eastAsia="en-IN" w:bidi="gu-IN"/>
              </w:rPr>
              <w:t>27.99%</w:t>
            </w:r>
          </w:p>
        </w:tc>
        <w:tc>
          <w:tcPr>
            <w:tcW w:w="656" w:type="dxa"/>
            <w:tcBorders>
              <w:top w:val="nil"/>
              <w:left w:val="nil"/>
              <w:bottom w:val="single" w:sz="8" w:space="0" w:color="000000"/>
              <w:right w:val="single" w:sz="8" w:space="0" w:color="000000"/>
            </w:tcBorders>
            <w:shd w:val="clear" w:color="auto" w:fill="auto"/>
            <w:hideMark/>
          </w:tcPr>
          <w:p w14:paraId="590CF8CA" w14:textId="77777777" w:rsidR="00E27B52" w:rsidRPr="00A253CD" w:rsidRDefault="00E27B52" w:rsidP="00815814">
            <w:pPr>
              <w:spacing w:after="0" w:line="240" w:lineRule="auto"/>
              <w:jc w:val="center"/>
              <w:rPr>
                <w:color w:val="000000"/>
                <w:sz w:val="22"/>
                <w:szCs w:val="22"/>
                <w:lang w:val="en-IN" w:eastAsia="en-IN" w:bidi="gu-IN"/>
              </w:rPr>
            </w:pPr>
            <w:r w:rsidRPr="00A253CD">
              <w:rPr>
                <w:color w:val="000000"/>
                <w:sz w:val="22"/>
                <w:szCs w:val="22"/>
                <w:lang w:eastAsia="en-IN" w:bidi="gu-IN"/>
              </w:rPr>
              <w:t>7.09</w:t>
            </w:r>
          </w:p>
        </w:tc>
        <w:tc>
          <w:tcPr>
            <w:tcW w:w="656" w:type="dxa"/>
            <w:tcBorders>
              <w:top w:val="nil"/>
              <w:left w:val="nil"/>
              <w:bottom w:val="single" w:sz="8" w:space="0" w:color="000000"/>
              <w:right w:val="single" w:sz="8" w:space="0" w:color="000000"/>
            </w:tcBorders>
            <w:shd w:val="clear" w:color="auto" w:fill="auto"/>
            <w:hideMark/>
          </w:tcPr>
          <w:p w14:paraId="61B14070" w14:textId="77777777" w:rsidR="00E27B52" w:rsidRPr="00A253CD" w:rsidRDefault="00E27B52" w:rsidP="00815814">
            <w:pPr>
              <w:spacing w:after="0" w:line="240" w:lineRule="auto"/>
              <w:jc w:val="center"/>
              <w:rPr>
                <w:color w:val="000000"/>
                <w:sz w:val="22"/>
                <w:szCs w:val="22"/>
                <w:lang w:val="en-IN" w:eastAsia="en-IN" w:bidi="gu-IN"/>
              </w:rPr>
            </w:pPr>
            <w:r w:rsidRPr="00A253CD">
              <w:rPr>
                <w:color w:val="000000"/>
                <w:sz w:val="22"/>
                <w:szCs w:val="22"/>
                <w:lang w:eastAsia="en-IN" w:bidi="gu-IN"/>
              </w:rPr>
              <w:t>2.48</w:t>
            </w:r>
          </w:p>
        </w:tc>
        <w:tc>
          <w:tcPr>
            <w:tcW w:w="656" w:type="dxa"/>
            <w:tcBorders>
              <w:top w:val="nil"/>
              <w:left w:val="nil"/>
              <w:bottom w:val="single" w:sz="8" w:space="0" w:color="000000"/>
              <w:right w:val="single" w:sz="8" w:space="0" w:color="000000"/>
            </w:tcBorders>
            <w:shd w:val="clear" w:color="auto" w:fill="auto"/>
            <w:hideMark/>
          </w:tcPr>
          <w:p w14:paraId="6801E778" w14:textId="77777777" w:rsidR="00E27B52" w:rsidRPr="00A253CD" w:rsidRDefault="00E27B52" w:rsidP="00815814">
            <w:pPr>
              <w:spacing w:after="0" w:line="240" w:lineRule="auto"/>
              <w:jc w:val="center"/>
              <w:rPr>
                <w:color w:val="000000"/>
                <w:sz w:val="22"/>
                <w:szCs w:val="22"/>
                <w:lang w:val="en-IN" w:eastAsia="en-IN" w:bidi="gu-IN"/>
              </w:rPr>
            </w:pPr>
            <w:r w:rsidRPr="00A253CD">
              <w:rPr>
                <w:color w:val="000000"/>
                <w:sz w:val="22"/>
                <w:szCs w:val="22"/>
                <w:lang w:eastAsia="en-IN" w:bidi="gu-IN"/>
              </w:rPr>
              <w:t>1.62</w:t>
            </w:r>
          </w:p>
        </w:tc>
        <w:tc>
          <w:tcPr>
            <w:tcW w:w="656" w:type="dxa"/>
            <w:tcBorders>
              <w:top w:val="nil"/>
              <w:left w:val="nil"/>
              <w:bottom w:val="single" w:sz="8" w:space="0" w:color="000000"/>
              <w:right w:val="single" w:sz="8" w:space="0" w:color="000000"/>
            </w:tcBorders>
            <w:shd w:val="clear" w:color="auto" w:fill="auto"/>
            <w:hideMark/>
          </w:tcPr>
          <w:p w14:paraId="2C19DE2E" w14:textId="77777777" w:rsidR="00E27B52" w:rsidRPr="00A253CD" w:rsidRDefault="00E27B52" w:rsidP="00815814">
            <w:pPr>
              <w:spacing w:after="0" w:line="240" w:lineRule="auto"/>
              <w:jc w:val="center"/>
              <w:rPr>
                <w:color w:val="000000"/>
                <w:sz w:val="22"/>
                <w:szCs w:val="22"/>
                <w:lang w:val="en-IN" w:eastAsia="en-IN" w:bidi="gu-IN"/>
              </w:rPr>
            </w:pPr>
            <w:r w:rsidRPr="00A253CD">
              <w:rPr>
                <w:color w:val="000000"/>
                <w:sz w:val="22"/>
                <w:szCs w:val="22"/>
                <w:lang w:eastAsia="en-IN" w:bidi="gu-IN"/>
              </w:rPr>
              <w:t>1.05</w:t>
            </w:r>
          </w:p>
        </w:tc>
        <w:tc>
          <w:tcPr>
            <w:tcW w:w="656" w:type="dxa"/>
            <w:tcBorders>
              <w:top w:val="nil"/>
              <w:left w:val="nil"/>
              <w:bottom w:val="single" w:sz="8" w:space="0" w:color="000000"/>
              <w:right w:val="single" w:sz="8" w:space="0" w:color="000000"/>
            </w:tcBorders>
            <w:shd w:val="clear" w:color="auto" w:fill="auto"/>
            <w:hideMark/>
          </w:tcPr>
          <w:p w14:paraId="776D60A7" w14:textId="77777777" w:rsidR="00E27B52" w:rsidRPr="00A253CD" w:rsidRDefault="00E27B52" w:rsidP="00815814">
            <w:pPr>
              <w:spacing w:after="0" w:line="240" w:lineRule="auto"/>
              <w:jc w:val="center"/>
              <w:rPr>
                <w:color w:val="000000"/>
                <w:sz w:val="22"/>
                <w:szCs w:val="22"/>
                <w:lang w:val="en-IN" w:eastAsia="en-IN" w:bidi="gu-IN"/>
              </w:rPr>
            </w:pPr>
            <w:r w:rsidRPr="00A253CD">
              <w:rPr>
                <w:color w:val="000000"/>
                <w:sz w:val="22"/>
                <w:szCs w:val="22"/>
                <w:lang w:eastAsia="en-IN" w:bidi="gu-IN"/>
              </w:rPr>
              <w:t>1.03</w:t>
            </w:r>
          </w:p>
        </w:tc>
      </w:tr>
    </w:tbl>
    <w:p w14:paraId="3DDA166B" w14:textId="77777777" w:rsidR="00E27B52" w:rsidRDefault="00E27B52" w:rsidP="00E27B52"/>
    <w:p w14:paraId="729ACF8C" w14:textId="77777777" w:rsidR="00E27B52" w:rsidRDefault="00E27B52" w:rsidP="00E27B52">
      <w:r>
        <w:t>The capacity of a company to satisfy its immediate needs without generating outside revenue will be much influenced by its liquidity ratios. Two useful measures of liquidity are the quick and current ratios.</w:t>
      </w:r>
    </w:p>
    <w:p w14:paraId="38193568" w14:textId="77777777" w:rsidR="00E27B52" w:rsidRDefault="00E27B52" w:rsidP="00E27B52">
      <w:r>
        <w:t>One obtains the current ratio by dividing current assets by current liabilities. This ratio shows whether a corporation may pay off its short-term debt from its current assets. A ratio larger than 1 indicates a positive short-term financial situation as it signifies that the corporation has more current assets than current liabilities (</w:t>
      </w:r>
      <w:proofErr w:type="spellStart"/>
      <w:r>
        <w:t>Kliestik</w:t>
      </w:r>
      <w:proofErr w:type="spellEnd"/>
      <w:r>
        <w:t xml:space="preserve"> </w:t>
      </w:r>
      <w:r>
        <w:rPr>
          <w:i/>
        </w:rPr>
        <w:t xml:space="preserve">et al. </w:t>
      </w:r>
      <w:r>
        <w:t>2020). From 2019 to 2023 Unilever's current ratio was somewhat constant, ranging from 0.76 to 0.78. This stability testifies to consistent management of its current assets and commitments. The ratio below 1 suggests that Unilever would find it difficult to fulfill its short-term needs alone with its current assets. Conversely, Procter and Gamble (P&amp;G), jumps from 1.04 in 2019 to 7.16 in 2023, displaying quite high and unstable values. Such high levels show an excess of current assets compared to obligations, which would point to either inefficient use of assets or even a cautious attitude to liquidity management (Wang, 2020).</w:t>
      </w:r>
    </w:p>
    <w:p w14:paraId="3A22A0E3" w14:textId="77777777" w:rsidR="00E27B52" w:rsidRDefault="00E27B52" w:rsidP="00E27B52">
      <w:r>
        <w:t xml:space="preserve">Sometimes referred to as the "acid-test ratio," the quick ratio is calculated by removing inventory from current assets then dividing by current liabilities. More precisely than the present ratio, </w:t>
      </w:r>
      <w:proofErr w:type="gramStart"/>
      <w:r>
        <w:t>this one measures</w:t>
      </w:r>
      <w:proofErr w:type="gramEnd"/>
      <w:r>
        <w:t xml:space="preserve"> a company's capacity to meet its short-term liabilities without depending on product sales. Unilever's Quick Ratio has somewhat dropped from 27.99% in 2019 to 24.70% in 2023. </w:t>
      </w:r>
      <w:r>
        <w:lastRenderedPageBreak/>
        <w:t>This suggests a little decrease in its capacity to pay off temporary debt without depressing sales. As values grow from 1.02 in 2019 to 7.08 in 2023 P&amp;G's fast ratio reflects the volatility seen in the present ratio. Given their quite high degree of liquid assets excluding inventories, these numbers either highlight inefficiencies in asset utilization or a somewhat conservative liquidity policy (Smith, 2022).</w:t>
      </w:r>
    </w:p>
    <w:p w14:paraId="5D82F097" w14:textId="77777777" w:rsidR="00E27B52" w:rsidRDefault="00E27B52" w:rsidP="00E27B52">
      <w:r>
        <w:t>For these two companies namely P&amp;G and Unilever, these ratios are very important. Unilever’s generally stable but still relatively small current ratio and quick ratio point to its ability to insistently fail at meeting its short-term needs without additional spending. It might create a cash flow problem; expenses such as bills, repairs, emergencies, or a recession. It is possible for Unilever to increase efficiency of working capital that, in turn, enhances present obligations and/or current assets (Osho, 2022). Unilever on the other hand needs to focus on fortifying its position as to liquidity in an effort to ensure it can meet all its short-term obligations as and when they arise while P&amp;G can in most part focus on leveraging on asset utilization to ensure that it has good returns from the assets used while at the same time ensuring that enough liquidity is available to meet short term obligations. Two companies need to adapt some of their strategies in order to increase the liquidity ratios in accordance with the increased general operating and financial goals.</w:t>
      </w:r>
    </w:p>
    <w:p w14:paraId="0354BFAE" w14:textId="0C7A1781" w:rsidR="00E27B52" w:rsidRDefault="00254DDC" w:rsidP="00E27B52">
      <w:pPr>
        <w:rPr>
          <w:b/>
          <w:i/>
        </w:rPr>
      </w:pPr>
      <w:bookmarkStart w:id="4" w:name="_Hlk174221374"/>
      <w:r>
        <w:rPr>
          <w:b/>
          <w:i/>
        </w:rPr>
        <w:t xml:space="preserve">3. </w:t>
      </w:r>
      <w:r w:rsidR="00E27B52">
        <w:rPr>
          <w:b/>
          <w:i/>
        </w:rPr>
        <w:t>Gearing Ratios</w:t>
      </w:r>
    </w:p>
    <w:tbl>
      <w:tblPr>
        <w:tblpPr w:leftFromText="180" w:rightFromText="180" w:vertAnchor="text" w:horzAnchor="margin" w:tblpXSpec="center" w:tblpY="137"/>
        <w:tblW w:w="11138" w:type="dxa"/>
        <w:tblLayout w:type="fixed"/>
        <w:tblLook w:val="04A0" w:firstRow="1" w:lastRow="0" w:firstColumn="1" w:lastColumn="0" w:noHBand="0" w:noVBand="1"/>
      </w:tblPr>
      <w:tblGrid>
        <w:gridCol w:w="642"/>
        <w:gridCol w:w="1326"/>
        <w:gridCol w:w="950"/>
        <w:gridCol w:w="923"/>
        <w:gridCol w:w="923"/>
        <w:gridCol w:w="923"/>
        <w:gridCol w:w="923"/>
        <w:gridCol w:w="923"/>
        <w:gridCol w:w="721"/>
        <w:gridCol w:w="721"/>
        <w:gridCol w:w="721"/>
        <w:gridCol w:w="721"/>
        <w:gridCol w:w="721"/>
      </w:tblGrid>
      <w:tr w:rsidR="00E27B52" w:rsidRPr="00A253CD" w14:paraId="6378AD20" w14:textId="77777777" w:rsidTr="00815814">
        <w:trPr>
          <w:trHeight w:val="276"/>
        </w:trPr>
        <w:tc>
          <w:tcPr>
            <w:tcW w:w="642" w:type="dxa"/>
            <w:vMerge w:val="restart"/>
            <w:tcBorders>
              <w:top w:val="single" w:sz="8" w:space="0" w:color="000000"/>
              <w:left w:val="single" w:sz="8" w:space="0" w:color="000000"/>
              <w:bottom w:val="single" w:sz="8" w:space="0" w:color="000000"/>
              <w:right w:val="single" w:sz="8" w:space="0" w:color="000000"/>
            </w:tcBorders>
            <w:shd w:val="clear" w:color="auto" w:fill="auto"/>
            <w:hideMark/>
          </w:tcPr>
          <w:bookmarkEnd w:id="4"/>
          <w:p w14:paraId="654A1C1F" w14:textId="77777777" w:rsidR="00E27B52" w:rsidRPr="00A253CD" w:rsidRDefault="00E27B52" w:rsidP="00815814">
            <w:pPr>
              <w:spacing w:after="0" w:line="240" w:lineRule="auto"/>
              <w:jc w:val="center"/>
              <w:rPr>
                <w:b/>
                <w:bCs/>
                <w:color w:val="000000"/>
                <w:sz w:val="22"/>
                <w:szCs w:val="22"/>
                <w:lang w:val="en-IN" w:eastAsia="en-IN" w:bidi="gu-IN"/>
              </w:rPr>
            </w:pPr>
            <w:r w:rsidRPr="00A253CD">
              <w:rPr>
                <w:b/>
                <w:bCs/>
                <w:color w:val="000000"/>
                <w:sz w:val="22"/>
                <w:szCs w:val="22"/>
                <w:lang w:eastAsia="en-IN" w:bidi="gu-IN"/>
              </w:rPr>
              <w:t>Category</w:t>
            </w:r>
          </w:p>
        </w:tc>
        <w:tc>
          <w:tcPr>
            <w:tcW w:w="1326" w:type="dxa"/>
            <w:vMerge w:val="restart"/>
            <w:tcBorders>
              <w:top w:val="single" w:sz="8" w:space="0" w:color="000000"/>
              <w:left w:val="single" w:sz="8" w:space="0" w:color="000000"/>
              <w:bottom w:val="single" w:sz="8" w:space="0" w:color="000000"/>
              <w:right w:val="single" w:sz="8" w:space="0" w:color="000000"/>
            </w:tcBorders>
            <w:shd w:val="clear" w:color="auto" w:fill="auto"/>
            <w:hideMark/>
          </w:tcPr>
          <w:p w14:paraId="6725CE05" w14:textId="77777777" w:rsidR="00E27B52" w:rsidRPr="00A253CD" w:rsidRDefault="00E27B52" w:rsidP="00815814">
            <w:pPr>
              <w:spacing w:after="0" w:line="240" w:lineRule="auto"/>
              <w:jc w:val="center"/>
              <w:rPr>
                <w:b/>
                <w:bCs/>
                <w:color w:val="000000"/>
                <w:sz w:val="22"/>
                <w:szCs w:val="22"/>
                <w:lang w:val="en-IN" w:eastAsia="en-IN" w:bidi="gu-IN"/>
              </w:rPr>
            </w:pPr>
            <w:r w:rsidRPr="00A253CD">
              <w:rPr>
                <w:b/>
                <w:bCs/>
                <w:color w:val="000000"/>
                <w:sz w:val="22"/>
                <w:szCs w:val="22"/>
                <w:lang w:eastAsia="en-IN" w:bidi="gu-IN"/>
              </w:rPr>
              <w:t>Ratio</w:t>
            </w:r>
          </w:p>
        </w:tc>
        <w:tc>
          <w:tcPr>
            <w:tcW w:w="950" w:type="dxa"/>
            <w:vMerge w:val="restart"/>
            <w:tcBorders>
              <w:top w:val="single" w:sz="8" w:space="0" w:color="000000"/>
              <w:left w:val="single" w:sz="8" w:space="0" w:color="000000"/>
              <w:bottom w:val="single" w:sz="8" w:space="0" w:color="000000"/>
              <w:right w:val="single" w:sz="8" w:space="0" w:color="000000"/>
            </w:tcBorders>
            <w:shd w:val="clear" w:color="auto" w:fill="auto"/>
            <w:hideMark/>
          </w:tcPr>
          <w:p w14:paraId="305D70DB" w14:textId="77777777" w:rsidR="00E27B52" w:rsidRPr="00A253CD" w:rsidRDefault="00E27B52" w:rsidP="00815814">
            <w:pPr>
              <w:spacing w:after="0" w:line="240" w:lineRule="auto"/>
              <w:jc w:val="center"/>
              <w:rPr>
                <w:b/>
                <w:bCs/>
                <w:color w:val="000000"/>
                <w:sz w:val="22"/>
                <w:szCs w:val="22"/>
                <w:lang w:val="en-IN" w:eastAsia="en-IN" w:bidi="gu-IN"/>
              </w:rPr>
            </w:pPr>
            <w:r w:rsidRPr="00A253CD">
              <w:rPr>
                <w:b/>
                <w:bCs/>
                <w:color w:val="000000"/>
                <w:sz w:val="22"/>
                <w:szCs w:val="22"/>
                <w:lang w:eastAsia="en-IN" w:bidi="gu-IN"/>
              </w:rPr>
              <w:t>Formula</w:t>
            </w:r>
          </w:p>
        </w:tc>
        <w:tc>
          <w:tcPr>
            <w:tcW w:w="4615" w:type="dxa"/>
            <w:gridSpan w:val="5"/>
            <w:tcBorders>
              <w:top w:val="single" w:sz="8" w:space="0" w:color="000000"/>
              <w:left w:val="nil"/>
              <w:bottom w:val="single" w:sz="8" w:space="0" w:color="000000"/>
              <w:right w:val="single" w:sz="8" w:space="0" w:color="000000"/>
            </w:tcBorders>
            <w:shd w:val="clear" w:color="auto" w:fill="auto"/>
            <w:hideMark/>
          </w:tcPr>
          <w:p w14:paraId="0BBF4FA3" w14:textId="77777777" w:rsidR="00E27B52" w:rsidRPr="00A253CD" w:rsidRDefault="00E27B52" w:rsidP="00815814">
            <w:pPr>
              <w:spacing w:after="0" w:line="240" w:lineRule="auto"/>
              <w:jc w:val="center"/>
              <w:rPr>
                <w:b/>
                <w:bCs/>
                <w:color w:val="000000"/>
                <w:sz w:val="22"/>
                <w:szCs w:val="22"/>
                <w:lang w:val="en-IN" w:eastAsia="en-IN" w:bidi="gu-IN"/>
              </w:rPr>
            </w:pPr>
            <w:r w:rsidRPr="00A253CD">
              <w:rPr>
                <w:b/>
                <w:bCs/>
                <w:color w:val="000000"/>
                <w:sz w:val="22"/>
                <w:szCs w:val="22"/>
                <w:lang w:eastAsia="en-IN" w:bidi="gu-IN"/>
              </w:rPr>
              <w:t>Unilever</w:t>
            </w:r>
          </w:p>
        </w:tc>
        <w:tc>
          <w:tcPr>
            <w:tcW w:w="3605" w:type="dxa"/>
            <w:gridSpan w:val="5"/>
            <w:tcBorders>
              <w:top w:val="single" w:sz="8" w:space="0" w:color="000000"/>
              <w:left w:val="nil"/>
              <w:bottom w:val="single" w:sz="8" w:space="0" w:color="000000"/>
              <w:right w:val="single" w:sz="8" w:space="0" w:color="000000"/>
            </w:tcBorders>
            <w:shd w:val="clear" w:color="auto" w:fill="auto"/>
            <w:hideMark/>
          </w:tcPr>
          <w:p w14:paraId="455EDE08" w14:textId="77777777" w:rsidR="00E27B52" w:rsidRPr="00A253CD" w:rsidRDefault="00E27B52" w:rsidP="00815814">
            <w:pPr>
              <w:spacing w:after="0" w:line="240" w:lineRule="auto"/>
              <w:jc w:val="center"/>
              <w:rPr>
                <w:b/>
                <w:bCs/>
                <w:color w:val="000000"/>
                <w:sz w:val="22"/>
                <w:szCs w:val="22"/>
                <w:lang w:val="en-IN" w:eastAsia="en-IN" w:bidi="gu-IN"/>
              </w:rPr>
            </w:pPr>
            <w:r w:rsidRPr="00A253CD">
              <w:rPr>
                <w:b/>
                <w:bCs/>
                <w:color w:val="000000"/>
                <w:sz w:val="22"/>
                <w:szCs w:val="22"/>
                <w:lang w:eastAsia="en-IN" w:bidi="gu-IN"/>
              </w:rPr>
              <w:t>Procter and Gamble</w:t>
            </w:r>
          </w:p>
        </w:tc>
      </w:tr>
      <w:tr w:rsidR="00E27B52" w:rsidRPr="00A253CD" w14:paraId="09A65728" w14:textId="77777777" w:rsidTr="00815814">
        <w:trPr>
          <w:trHeight w:val="276"/>
        </w:trPr>
        <w:tc>
          <w:tcPr>
            <w:tcW w:w="642" w:type="dxa"/>
            <w:vMerge/>
            <w:tcBorders>
              <w:top w:val="single" w:sz="8" w:space="0" w:color="000000"/>
              <w:left w:val="single" w:sz="8" w:space="0" w:color="000000"/>
              <w:bottom w:val="single" w:sz="8" w:space="0" w:color="000000"/>
              <w:right w:val="single" w:sz="8" w:space="0" w:color="000000"/>
            </w:tcBorders>
            <w:vAlign w:val="center"/>
            <w:hideMark/>
          </w:tcPr>
          <w:p w14:paraId="279684C3" w14:textId="77777777" w:rsidR="00E27B52" w:rsidRPr="00A253CD" w:rsidRDefault="00E27B52" w:rsidP="00815814">
            <w:pPr>
              <w:spacing w:after="0" w:line="240" w:lineRule="auto"/>
              <w:jc w:val="left"/>
              <w:rPr>
                <w:b/>
                <w:bCs/>
                <w:color w:val="000000"/>
                <w:sz w:val="22"/>
                <w:szCs w:val="22"/>
                <w:lang w:val="en-IN" w:eastAsia="en-IN" w:bidi="gu-IN"/>
              </w:rPr>
            </w:pPr>
          </w:p>
        </w:tc>
        <w:tc>
          <w:tcPr>
            <w:tcW w:w="1326" w:type="dxa"/>
            <w:vMerge/>
            <w:tcBorders>
              <w:top w:val="single" w:sz="8" w:space="0" w:color="000000"/>
              <w:left w:val="single" w:sz="8" w:space="0" w:color="000000"/>
              <w:bottom w:val="single" w:sz="8" w:space="0" w:color="000000"/>
              <w:right w:val="single" w:sz="8" w:space="0" w:color="000000"/>
            </w:tcBorders>
            <w:vAlign w:val="center"/>
            <w:hideMark/>
          </w:tcPr>
          <w:p w14:paraId="546FE20A" w14:textId="77777777" w:rsidR="00E27B52" w:rsidRPr="00A253CD" w:rsidRDefault="00E27B52" w:rsidP="00815814">
            <w:pPr>
              <w:spacing w:after="0" w:line="240" w:lineRule="auto"/>
              <w:jc w:val="left"/>
              <w:rPr>
                <w:b/>
                <w:bCs/>
                <w:color w:val="000000"/>
                <w:sz w:val="22"/>
                <w:szCs w:val="22"/>
                <w:lang w:val="en-IN" w:eastAsia="en-IN" w:bidi="gu-IN"/>
              </w:rPr>
            </w:pPr>
          </w:p>
        </w:tc>
        <w:tc>
          <w:tcPr>
            <w:tcW w:w="950" w:type="dxa"/>
            <w:vMerge/>
            <w:tcBorders>
              <w:top w:val="single" w:sz="8" w:space="0" w:color="000000"/>
              <w:left w:val="single" w:sz="8" w:space="0" w:color="000000"/>
              <w:bottom w:val="single" w:sz="8" w:space="0" w:color="000000"/>
              <w:right w:val="single" w:sz="8" w:space="0" w:color="000000"/>
            </w:tcBorders>
            <w:vAlign w:val="center"/>
            <w:hideMark/>
          </w:tcPr>
          <w:p w14:paraId="633F721F" w14:textId="77777777" w:rsidR="00E27B52" w:rsidRPr="00A253CD" w:rsidRDefault="00E27B52" w:rsidP="00815814">
            <w:pPr>
              <w:spacing w:after="0" w:line="240" w:lineRule="auto"/>
              <w:jc w:val="left"/>
              <w:rPr>
                <w:b/>
                <w:bCs/>
                <w:color w:val="000000"/>
                <w:sz w:val="22"/>
                <w:szCs w:val="22"/>
                <w:lang w:val="en-IN" w:eastAsia="en-IN" w:bidi="gu-IN"/>
              </w:rPr>
            </w:pPr>
          </w:p>
        </w:tc>
        <w:tc>
          <w:tcPr>
            <w:tcW w:w="923" w:type="dxa"/>
            <w:tcBorders>
              <w:top w:val="nil"/>
              <w:left w:val="nil"/>
              <w:bottom w:val="single" w:sz="8" w:space="0" w:color="000000"/>
              <w:right w:val="single" w:sz="8" w:space="0" w:color="000000"/>
            </w:tcBorders>
            <w:shd w:val="clear" w:color="auto" w:fill="auto"/>
            <w:hideMark/>
          </w:tcPr>
          <w:p w14:paraId="1409FCF6" w14:textId="77777777" w:rsidR="00E27B52" w:rsidRPr="00A253CD" w:rsidRDefault="00E27B52" w:rsidP="00815814">
            <w:pPr>
              <w:spacing w:after="0" w:line="240" w:lineRule="auto"/>
              <w:jc w:val="center"/>
              <w:rPr>
                <w:b/>
                <w:bCs/>
                <w:color w:val="000000"/>
                <w:sz w:val="22"/>
                <w:szCs w:val="22"/>
                <w:lang w:val="en-IN" w:eastAsia="en-IN" w:bidi="gu-IN"/>
              </w:rPr>
            </w:pPr>
            <w:r w:rsidRPr="00A253CD">
              <w:rPr>
                <w:b/>
                <w:bCs/>
                <w:color w:val="000000"/>
                <w:sz w:val="22"/>
                <w:szCs w:val="22"/>
                <w:lang w:eastAsia="en-IN" w:bidi="gu-IN"/>
              </w:rPr>
              <w:t>2023</w:t>
            </w:r>
          </w:p>
        </w:tc>
        <w:tc>
          <w:tcPr>
            <w:tcW w:w="923" w:type="dxa"/>
            <w:tcBorders>
              <w:top w:val="nil"/>
              <w:left w:val="nil"/>
              <w:bottom w:val="single" w:sz="8" w:space="0" w:color="000000"/>
              <w:right w:val="single" w:sz="8" w:space="0" w:color="000000"/>
            </w:tcBorders>
            <w:shd w:val="clear" w:color="auto" w:fill="auto"/>
            <w:hideMark/>
          </w:tcPr>
          <w:p w14:paraId="5E3A19D8" w14:textId="77777777" w:rsidR="00E27B52" w:rsidRPr="00A253CD" w:rsidRDefault="00E27B52" w:rsidP="00815814">
            <w:pPr>
              <w:spacing w:after="0" w:line="240" w:lineRule="auto"/>
              <w:jc w:val="center"/>
              <w:rPr>
                <w:b/>
                <w:bCs/>
                <w:color w:val="000000"/>
                <w:sz w:val="22"/>
                <w:szCs w:val="22"/>
                <w:lang w:val="en-IN" w:eastAsia="en-IN" w:bidi="gu-IN"/>
              </w:rPr>
            </w:pPr>
            <w:r w:rsidRPr="00A253CD">
              <w:rPr>
                <w:b/>
                <w:bCs/>
                <w:color w:val="000000"/>
                <w:sz w:val="22"/>
                <w:szCs w:val="22"/>
                <w:lang w:eastAsia="en-IN" w:bidi="gu-IN"/>
              </w:rPr>
              <w:t>2022</w:t>
            </w:r>
          </w:p>
        </w:tc>
        <w:tc>
          <w:tcPr>
            <w:tcW w:w="923" w:type="dxa"/>
            <w:tcBorders>
              <w:top w:val="nil"/>
              <w:left w:val="nil"/>
              <w:bottom w:val="single" w:sz="8" w:space="0" w:color="000000"/>
              <w:right w:val="single" w:sz="8" w:space="0" w:color="000000"/>
            </w:tcBorders>
            <w:shd w:val="clear" w:color="auto" w:fill="auto"/>
            <w:hideMark/>
          </w:tcPr>
          <w:p w14:paraId="75FE6150" w14:textId="77777777" w:rsidR="00E27B52" w:rsidRPr="00A253CD" w:rsidRDefault="00E27B52" w:rsidP="00815814">
            <w:pPr>
              <w:spacing w:after="0" w:line="240" w:lineRule="auto"/>
              <w:jc w:val="center"/>
              <w:rPr>
                <w:b/>
                <w:bCs/>
                <w:color w:val="000000"/>
                <w:sz w:val="22"/>
                <w:szCs w:val="22"/>
                <w:lang w:val="en-IN" w:eastAsia="en-IN" w:bidi="gu-IN"/>
              </w:rPr>
            </w:pPr>
            <w:r w:rsidRPr="00A253CD">
              <w:rPr>
                <w:b/>
                <w:bCs/>
                <w:color w:val="000000"/>
                <w:sz w:val="22"/>
                <w:szCs w:val="22"/>
                <w:lang w:eastAsia="en-IN" w:bidi="gu-IN"/>
              </w:rPr>
              <w:t>2021</w:t>
            </w:r>
          </w:p>
        </w:tc>
        <w:tc>
          <w:tcPr>
            <w:tcW w:w="923" w:type="dxa"/>
            <w:tcBorders>
              <w:top w:val="nil"/>
              <w:left w:val="nil"/>
              <w:bottom w:val="single" w:sz="8" w:space="0" w:color="000000"/>
              <w:right w:val="single" w:sz="8" w:space="0" w:color="000000"/>
            </w:tcBorders>
            <w:shd w:val="clear" w:color="auto" w:fill="auto"/>
            <w:hideMark/>
          </w:tcPr>
          <w:p w14:paraId="3AE81ED7" w14:textId="77777777" w:rsidR="00E27B52" w:rsidRPr="00A253CD" w:rsidRDefault="00E27B52" w:rsidP="00815814">
            <w:pPr>
              <w:spacing w:after="0" w:line="240" w:lineRule="auto"/>
              <w:jc w:val="center"/>
              <w:rPr>
                <w:b/>
                <w:bCs/>
                <w:color w:val="000000"/>
                <w:sz w:val="22"/>
                <w:szCs w:val="22"/>
                <w:lang w:val="en-IN" w:eastAsia="en-IN" w:bidi="gu-IN"/>
              </w:rPr>
            </w:pPr>
            <w:r w:rsidRPr="00A253CD">
              <w:rPr>
                <w:b/>
                <w:bCs/>
                <w:color w:val="000000"/>
                <w:sz w:val="22"/>
                <w:szCs w:val="22"/>
                <w:lang w:eastAsia="en-IN" w:bidi="gu-IN"/>
              </w:rPr>
              <w:t>2020</w:t>
            </w:r>
          </w:p>
        </w:tc>
        <w:tc>
          <w:tcPr>
            <w:tcW w:w="923" w:type="dxa"/>
            <w:tcBorders>
              <w:top w:val="nil"/>
              <w:left w:val="nil"/>
              <w:bottom w:val="single" w:sz="8" w:space="0" w:color="000000"/>
              <w:right w:val="single" w:sz="8" w:space="0" w:color="000000"/>
            </w:tcBorders>
            <w:shd w:val="clear" w:color="auto" w:fill="auto"/>
            <w:hideMark/>
          </w:tcPr>
          <w:p w14:paraId="75F403C8" w14:textId="77777777" w:rsidR="00E27B52" w:rsidRPr="00A253CD" w:rsidRDefault="00E27B52" w:rsidP="00815814">
            <w:pPr>
              <w:spacing w:after="0" w:line="240" w:lineRule="auto"/>
              <w:jc w:val="center"/>
              <w:rPr>
                <w:b/>
                <w:bCs/>
                <w:color w:val="000000"/>
                <w:sz w:val="22"/>
                <w:szCs w:val="22"/>
                <w:lang w:val="en-IN" w:eastAsia="en-IN" w:bidi="gu-IN"/>
              </w:rPr>
            </w:pPr>
            <w:r w:rsidRPr="00A253CD">
              <w:rPr>
                <w:b/>
                <w:bCs/>
                <w:color w:val="000000"/>
                <w:sz w:val="22"/>
                <w:szCs w:val="22"/>
                <w:lang w:eastAsia="en-IN" w:bidi="gu-IN"/>
              </w:rPr>
              <w:t>2019</w:t>
            </w:r>
          </w:p>
        </w:tc>
        <w:tc>
          <w:tcPr>
            <w:tcW w:w="721" w:type="dxa"/>
            <w:tcBorders>
              <w:top w:val="nil"/>
              <w:left w:val="nil"/>
              <w:bottom w:val="single" w:sz="8" w:space="0" w:color="000000"/>
              <w:right w:val="single" w:sz="8" w:space="0" w:color="000000"/>
            </w:tcBorders>
            <w:shd w:val="clear" w:color="auto" w:fill="auto"/>
            <w:hideMark/>
          </w:tcPr>
          <w:p w14:paraId="2D41FC27" w14:textId="77777777" w:rsidR="00E27B52" w:rsidRPr="00A253CD" w:rsidRDefault="00E27B52" w:rsidP="00815814">
            <w:pPr>
              <w:spacing w:after="0" w:line="240" w:lineRule="auto"/>
              <w:jc w:val="center"/>
              <w:rPr>
                <w:b/>
                <w:bCs/>
                <w:color w:val="000000"/>
                <w:sz w:val="22"/>
                <w:szCs w:val="22"/>
                <w:lang w:val="en-IN" w:eastAsia="en-IN" w:bidi="gu-IN"/>
              </w:rPr>
            </w:pPr>
            <w:r w:rsidRPr="00A253CD">
              <w:rPr>
                <w:b/>
                <w:bCs/>
                <w:color w:val="000000"/>
                <w:sz w:val="22"/>
                <w:szCs w:val="22"/>
                <w:lang w:eastAsia="en-IN" w:bidi="gu-IN"/>
              </w:rPr>
              <w:t>2023</w:t>
            </w:r>
          </w:p>
        </w:tc>
        <w:tc>
          <w:tcPr>
            <w:tcW w:w="721" w:type="dxa"/>
            <w:tcBorders>
              <w:top w:val="nil"/>
              <w:left w:val="nil"/>
              <w:bottom w:val="single" w:sz="8" w:space="0" w:color="000000"/>
              <w:right w:val="single" w:sz="8" w:space="0" w:color="000000"/>
            </w:tcBorders>
            <w:shd w:val="clear" w:color="auto" w:fill="auto"/>
            <w:hideMark/>
          </w:tcPr>
          <w:p w14:paraId="57733E9B" w14:textId="77777777" w:rsidR="00E27B52" w:rsidRPr="00A253CD" w:rsidRDefault="00E27B52" w:rsidP="00815814">
            <w:pPr>
              <w:spacing w:after="0" w:line="240" w:lineRule="auto"/>
              <w:jc w:val="center"/>
              <w:rPr>
                <w:b/>
                <w:bCs/>
                <w:color w:val="000000"/>
                <w:sz w:val="22"/>
                <w:szCs w:val="22"/>
                <w:lang w:val="en-IN" w:eastAsia="en-IN" w:bidi="gu-IN"/>
              </w:rPr>
            </w:pPr>
            <w:r w:rsidRPr="00A253CD">
              <w:rPr>
                <w:b/>
                <w:bCs/>
                <w:color w:val="000000"/>
                <w:sz w:val="22"/>
                <w:szCs w:val="22"/>
                <w:lang w:eastAsia="en-IN" w:bidi="gu-IN"/>
              </w:rPr>
              <w:t>2022</w:t>
            </w:r>
          </w:p>
        </w:tc>
        <w:tc>
          <w:tcPr>
            <w:tcW w:w="721" w:type="dxa"/>
            <w:tcBorders>
              <w:top w:val="nil"/>
              <w:left w:val="nil"/>
              <w:bottom w:val="single" w:sz="8" w:space="0" w:color="000000"/>
              <w:right w:val="single" w:sz="8" w:space="0" w:color="000000"/>
            </w:tcBorders>
            <w:shd w:val="clear" w:color="auto" w:fill="auto"/>
            <w:hideMark/>
          </w:tcPr>
          <w:p w14:paraId="7B35A35C" w14:textId="77777777" w:rsidR="00E27B52" w:rsidRPr="00A253CD" w:rsidRDefault="00E27B52" w:rsidP="00815814">
            <w:pPr>
              <w:spacing w:after="0" w:line="240" w:lineRule="auto"/>
              <w:jc w:val="center"/>
              <w:rPr>
                <w:b/>
                <w:bCs/>
                <w:color w:val="000000"/>
                <w:sz w:val="22"/>
                <w:szCs w:val="22"/>
                <w:lang w:val="en-IN" w:eastAsia="en-IN" w:bidi="gu-IN"/>
              </w:rPr>
            </w:pPr>
            <w:r w:rsidRPr="00A253CD">
              <w:rPr>
                <w:b/>
                <w:bCs/>
                <w:color w:val="000000"/>
                <w:sz w:val="22"/>
                <w:szCs w:val="22"/>
                <w:lang w:eastAsia="en-IN" w:bidi="gu-IN"/>
              </w:rPr>
              <w:t>2021</w:t>
            </w:r>
          </w:p>
        </w:tc>
        <w:tc>
          <w:tcPr>
            <w:tcW w:w="721" w:type="dxa"/>
            <w:tcBorders>
              <w:top w:val="nil"/>
              <w:left w:val="nil"/>
              <w:bottom w:val="single" w:sz="8" w:space="0" w:color="000000"/>
              <w:right w:val="single" w:sz="8" w:space="0" w:color="000000"/>
            </w:tcBorders>
            <w:shd w:val="clear" w:color="auto" w:fill="auto"/>
            <w:hideMark/>
          </w:tcPr>
          <w:p w14:paraId="53C90592" w14:textId="77777777" w:rsidR="00E27B52" w:rsidRPr="00A253CD" w:rsidRDefault="00E27B52" w:rsidP="00815814">
            <w:pPr>
              <w:spacing w:after="0" w:line="240" w:lineRule="auto"/>
              <w:jc w:val="center"/>
              <w:rPr>
                <w:b/>
                <w:bCs/>
                <w:color w:val="000000"/>
                <w:sz w:val="22"/>
                <w:szCs w:val="22"/>
                <w:lang w:val="en-IN" w:eastAsia="en-IN" w:bidi="gu-IN"/>
              </w:rPr>
            </w:pPr>
            <w:r w:rsidRPr="00A253CD">
              <w:rPr>
                <w:b/>
                <w:bCs/>
                <w:color w:val="000000"/>
                <w:sz w:val="22"/>
                <w:szCs w:val="22"/>
                <w:lang w:eastAsia="en-IN" w:bidi="gu-IN"/>
              </w:rPr>
              <w:t>2020</w:t>
            </w:r>
          </w:p>
        </w:tc>
        <w:tc>
          <w:tcPr>
            <w:tcW w:w="721" w:type="dxa"/>
            <w:tcBorders>
              <w:top w:val="nil"/>
              <w:left w:val="nil"/>
              <w:bottom w:val="single" w:sz="8" w:space="0" w:color="000000"/>
              <w:right w:val="single" w:sz="8" w:space="0" w:color="000000"/>
            </w:tcBorders>
            <w:shd w:val="clear" w:color="auto" w:fill="auto"/>
            <w:hideMark/>
          </w:tcPr>
          <w:p w14:paraId="61E78356" w14:textId="77777777" w:rsidR="00E27B52" w:rsidRPr="00A253CD" w:rsidRDefault="00E27B52" w:rsidP="00815814">
            <w:pPr>
              <w:spacing w:after="0" w:line="240" w:lineRule="auto"/>
              <w:jc w:val="center"/>
              <w:rPr>
                <w:b/>
                <w:bCs/>
                <w:color w:val="000000"/>
                <w:sz w:val="22"/>
                <w:szCs w:val="22"/>
                <w:lang w:val="en-IN" w:eastAsia="en-IN" w:bidi="gu-IN"/>
              </w:rPr>
            </w:pPr>
            <w:r w:rsidRPr="00A253CD">
              <w:rPr>
                <w:b/>
                <w:bCs/>
                <w:color w:val="000000"/>
                <w:sz w:val="22"/>
                <w:szCs w:val="22"/>
                <w:lang w:eastAsia="en-IN" w:bidi="gu-IN"/>
              </w:rPr>
              <w:t>2019</w:t>
            </w:r>
          </w:p>
        </w:tc>
      </w:tr>
      <w:tr w:rsidR="00E27B52" w:rsidRPr="00A253CD" w14:paraId="086B0488" w14:textId="77777777" w:rsidTr="00815814">
        <w:trPr>
          <w:trHeight w:val="1029"/>
        </w:trPr>
        <w:tc>
          <w:tcPr>
            <w:tcW w:w="642" w:type="dxa"/>
            <w:vMerge w:val="restart"/>
            <w:tcBorders>
              <w:top w:val="nil"/>
              <w:left w:val="single" w:sz="8" w:space="0" w:color="000000"/>
              <w:bottom w:val="single" w:sz="8" w:space="0" w:color="000000"/>
              <w:right w:val="single" w:sz="8" w:space="0" w:color="000000"/>
            </w:tcBorders>
            <w:shd w:val="clear" w:color="auto" w:fill="auto"/>
            <w:hideMark/>
          </w:tcPr>
          <w:p w14:paraId="4D6A55FF" w14:textId="77777777" w:rsidR="00E27B52" w:rsidRPr="00A253CD" w:rsidRDefault="00E27B52" w:rsidP="00815814">
            <w:pPr>
              <w:spacing w:after="0" w:line="240" w:lineRule="auto"/>
              <w:jc w:val="center"/>
              <w:rPr>
                <w:b/>
                <w:bCs/>
                <w:color w:val="000000"/>
                <w:sz w:val="22"/>
                <w:szCs w:val="22"/>
                <w:lang w:val="en-IN" w:eastAsia="en-IN" w:bidi="gu-IN"/>
              </w:rPr>
            </w:pPr>
            <w:r w:rsidRPr="00A253CD">
              <w:rPr>
                <w:b/>
                <w:bCs/>
                <w:color w:val="000000"/>
                <w:sz w:val="22"/>
                <w:szCs w:val="22"/>
                <w:lang w:eastAsia="en-IN" w:bidi="gu-IN"/>
              </w:rPr>
              <w:t>Gearing Ratios</w:t>
            </w:r>
          </w:p>
        </w:tc>
        <w:tc>
          <w:tcPr>
            <w:tcW w:w="1326" w:type="dxa"/>
            <w:tcBorders>
              <w:top w:val="nil"/>
              <w:left w:val="nil"/>
              <w:bottom w:val="single" w:sz="8" w:space="0" w:color="000000"/>
              <w:right w:val="single" w:sz="8" w:space="0" w:color="000000"/>
            </w:tcBorders>
            <w:shd w:val="clear" w:color="auto" w:fill="auto"/>
            <w:hideMark/>
          </w:tcPr>
          <w:p w14:paraId="037207E2" w14:textId="77777777" w:rsidR="00E27B52" w:rsidRPr="00A253CD" w:rsidRDefault="00E27B52" w:rsidP="00815814">
            <w:pPr>
              <w:spacing w:after="0" w:line="240" w:lineRule="auto"/>
              <w:jc w:val="center"/>
              <w:rPr>
                <w:color w:val="000000"/>
                <w:sz w:val="22"/>
                <w:szCs w:val="22"/>
                <w:lang w:val="en-IN" w:eastAsia="en-IN" w:bidi="gu-IN"/>
              </w:rPr>
            </w:pPr>
            <w:r w:rsidRPr="00A253CD">
              <w:rPr>
                <w:color w:val="000000"/>
                <w:sz w:val="22"/>
                <w:szCs w:val="22"/>
                <w:lang w:eastAsia="en-IN" w:bidi="gu-IN"/>
              </w:rPr>
              <w:t>1. Debt-to-Equity Ratio</w:t>
            </w:r>
          </w:p>
        </w:tc>
        <w:tc>
          <w:tcPr>
            <w:tcW w:w="950" w:type="dxa"/>
            <w:tcBorders>
              <w:top w:val="nil"/>
              <w:left w:val="nil"/>
              <w:bottom w:val="single" w:sz="8" w:space="0" w:color="000000"/>
              <w:right w:val="single" w:sz="8" w:space="0" w:color="000000"/>
            </w:tcBorders>
            <w:shd w:val="clear" w:color="auto" w:fill="auto"/>
            <w:hideMark/>
          </w:tcPr>
          <w:p w14:paraId="48A52053" w14:textId="77777777" w:rsidR="00E27B52" w:rsidRPr="00A253CD" w:rsidRDefault="00E27B52" w:rsidP="00815814">
            <w:pPr>
              <w:spacing w:after="0" w:line="240" w:lineRule="auto"/>
              <w:jc w:val="center"/>
              <w:rPr>
                <w:color w:val="000000"/>
                <w:sz w:val="22"/>
                <w:szCs w:val="22"/>
                <w:lang w:val="en-IN" w:eastAsia="en-IN" w:bidi="gu-IN"/>
              </w:rPr>
            </w:pPr>
            <w:r w:rsidRPr="00A253CD">
              <w:rPr>
                <w:color w:val="000000"/>
                <w:sz w:val="22"/>
                <w:szCs w:val="22"/>
                <w:lang w:eastAsia="en-IN" w:bidi="gu-IN"/>
              </w:rPr>
              <w:t>Total Debt / Total Equity</w:t>
            </w:r>
          </w:p>
        </w:tc>
        <w:tc>
          <w:tcPr>
            <w:tcW w:w="923" w:type="dxa"/>
            <w:tcBorders>
              <w:top w:val="nil"/>
              <w:left w:val="nil"/>
              <w:bottom w:val="single" w:sz="8" w:space="0" w:color="000000"/>
              <w:right w:val="single" w:sz="8" w:space="0" w:color="000000"/>
            </w:tcBorders>
            <w:shd w:val="clear" w:color="auto" w:fill="auto"/>
            <w:hideMark/>
          </w:tcPr>
          <w:p w14:paraId="01D5E4FA" w14:textId="77777777" w:rsidR="00E27B52" w:rsidRPr="00A253CD" w:rsidRDefault="00E27B52" w:rsidP="00815814">
            <w:pPr>
              <w:spacing w:after="0" w:line="240" w:lineRule="auto"/>
              <w:jc w:val="center"/>
              <w:rPr>
                <w:color w:val="000000"/>
                <w:sz w:val="22"/>
                <w:szCs w:val="22"/>
                <w:lang w:val="en-IN" w:eastAsia="en-IN" w:bidi="gu-IN"/>
              </w:rPr>
            </w:pPr>
            <w:r w:rsidRPr="00A253CD">
              <w:rPr>
                <w:color w:val="000000"/>
                <w:sz w:val="22"/>
                <w:szCs w:val="22"/>
                <w:lang w:eastAsia="en-IN" w:bidi="gu-IN"/>
              </w:rPr>
              <w:t>125.63%</w:t>
            </w:r>
          </w:p>
        </w:tc>
        <w:tc>
          <w:tcPr>
            <w:tcW w:w="923" w:type="dxa"/>
            <w:tcBorders>
              <w:top w:val="nil"/>
              <w:left w:val="nil"/>
              <w:bottom w:val="single" w:sz="8" w:space="0" w:color="000000"/>
              <w:right w:val="single" w:sz="8" w:space="0" w:color="000000"/>
            </w:tcBorders>
            <w:shd w:val="clear" w:color="auto" w:fill="auto"/>
            <w:hideMark/>
          </w:tcPr>
          <w:p w14:paraId="05BDEF9D" w14:textId="77777777" w:rsidR="00E27B52" w:rsidRPr="00A253CD" w:rsidRDefault="00E27B52" w:rsidP="00815814">
            <w:pPr>
              <w:spacing w:after="0" w:line="240" w:lineRule="auto"/>
              <w:jc w:val="center"/>
              <w:rPr>
                <w:color w:val="000000"/>
                <w:sz w:val="22"/>
                <w:szCs w:val="22"/>
                <w:lang w:val="en-IN" w:eastAsia="en-IN" w:bidi="gu-IN"/>
              </w:rPr>
            </w:pPr>
            <w:r w:rsidRPr="00A253CD">
              <w:rPr>
                <w:color w:val="000000"/>
                <w:sz w:val="22"/>
                <w:szCs w:val="22"/>
                <w:lang w:eastAsia="en-IN" w:bidi="gu-IN"/>
              </w:rPr>
              <w:t>120.81%</w:t>
            </w:r>
          </w:p>
        </w:tc>
        <w:tc>
          <w:tcPr>
            <w:tcW w:w="923" w:type="dxa"/>
            <w:tcBorders>
              <w:top w:val="nil"/>
              <w:left w:val="nil"/>
              <w:bottom w:val="single" w:sz="8" w:space="0" w:color="000000"/>
              <w:right w:val="single" w:sz="8" w:space="0" w:color="000000"/>
            </w:tcBorders>
            <w:shd w:val="clear" w:color="auto" w:fill="auto"/>
            <w:hideMark/>
          </w:tcPr>
          <w:p w14:paraId="629E14A1" w14:textId="77777777" w:rsidR="00E27B52" w:rsidRPr="00A253CD" w:rsidRDefault="00E27B52" w:rsidP="00815814">
            <w:pPr>
              <w:spacing w:after="0" w:line="240" w:lineRule="auto"/>
              <w:jc w:val="center"/>
              <w:rPr>
                <w:color w:val="000000"/>
                <w:sz w:val="22"/>
                <w:szCs w:val="22"/>
                <w:lang w:val="en-IN" w:eastAsia="en-IN" w:bidi="gu-IN"/>
              </w:rPr>
            </w:pPr>
            <w:r w:rsidRPr="00A253CD">
              <w:rPr>
                <w:color w:val="000000"/>
                <w:sz w:val="22"/>
                <w:szCs w:val="22"/>
                <w:lang w:eastAsia="en-IN" w:bidi="gu-IN"/>
              </w:rPr>
              <w:t>133.47%</w:t>
            </w:r>
          </w:p>
        </w:tc>
        <w:tc>
          <w:tcPr>
            <w:tcW w:w="923" w:type="dxa"/>
            <w:tcBorders>
              <w:top w:val="nil"/>
              <w:left w:val="nil"/>
              <w:bottom w:val="single" w:sz="8" w:space="0" w:color="000000"/>
              <w:right w:val="single" w:sz="8" w:space="0" w:color="000000"/>
            </w:tcBorders>
            <w:shd w:val="clear" w:color="auto" w:fill="auto"/>
            <w:hideMark/>
          </w:tcPr>
          <w:p w14:paraId="658A56F8" w14:textId="77777777" w:rsidR="00E27B52" w:rsidRPr="00A253CD" w:rsidRDefault="00E27B52" w:rsidP="00815814">
            <w:pPr>
              <w:spacing w:after="0" w:line="240" w:lineRule="auto"/>
              <w:jc w:val="center"/>
              <w:rPr>
                <w:color w:val="000000"/>
                <w:sz w:val="22"/>
                <w:szCs w:val="22"/>
                <w:lang w:val="en-IN" w:eastAsia="en-IN" w:bidi="gu-IN"/>
              </w:rPr>
            </w:pPr>
            <w:r w:rsidRPr="00A253CD">
              <w:rPr>
                <w:color w:val="000000"/>
                <w:sz w:val="22"/>
                <w:szCs w:val="22"/>
                <w:lang w:eastAsia="en-IN" w:bidi="gu-IN"/>
              </w:rPr>
              <w:t>149.85%</w:t>
            </w:r>
          </w:p>
        </w:tc>
        <w:tc>
          <w:tcPr>
            <w:tcW w:w="923" w:type="dxa"/>
            <w:tcBorders>
              <w:top w:val="nil"/>
              <w:left w:val="nil"/>
              <w:bottom w:val="single" w:sz="8" w:space="0" w:color="000000"/>
              <w:right w:val="single" w:sz="8" w:space="0" w:color="000000"/>
            </w:tcBorders>
            <w:shd w:val="clear" w:color="auto" w:fill="auto"/>
            <w:hideMark/>
          </w:tcPr>
          <w:p w14:paraId="073747A2" w14:textId="77777777" w:rsidR="00E27B52" w:rsidRPr="00A253CD" w:rsidRDefault="00E27B52" w:rsidP="00815814">
            <w:pPr>
              <w:spacing w:after="0" w:line="240" w:lineRule="auto"/>
              <w:jc w:val="center"/>
              <w:rPr>
                <w:color w:val="000000"/>
                <w:sz w:val="22"/>
                <w:szCs w:val="22"/>
                <w:lang w:val="en-IN" w:eastAsia="en-IN" w:bidi="gu-IN"/>
              </w:rPr>
            </w:pPr>
            <w:r w:rsidRPr="00A253CD">
              <w:rPr>
                <w:color w:val="000000"/>
                <w:sz w:val="22"/>
                <w:szCs w:val="22"/>
                <w:lang w:eastAsia="en-IN" w:bidi="gu-IN"/>
              </w:rPr>
              <w:t>182.86%</w:t>
            </w:r>
          </w:p>
        </w:tc>
        <w:tc>
          <w:tcPr>
            <w:tcW w:w="721" w:type="dxa"/>
            <w:tcBorders>
              <w:top w:val="nil"/>
              <w:left w:val="nil"/>
              <w:bottom w:val="single" w:sz="8" w:space="0" w:color="000000"/>
              <w:right w:val="single" w:sz="8" w:space="0" w:color="000000"/>
            </w:tcBorders>
            <w:shd w:val="clear" w:color="auto" w:fill="auto"/>
            <w:hideMark/>
          </w:tcPr>
          <w:p w14:paraId="6EC3B5AA" w14:textId="77777777" w:rsidR="00E27B52" w:rsidRPr="00A253CD" w:rsidRDefault="00E27B52" w:rsidP="00815814">
            <w:pPr>
              <w:spacing w:after="0" w:line="240" w:lineRule="auto"/>
              <w:jc w:val="center"/>
              <w:rPr>
                <w:color w:val="000000"/>
                <w:sz w:val="22"/>
                <w:szCs w:val="22"/>
                <w:lang w:val="en-IN" w:eastAsia="en-IN" w:bidi="gu-IN"/>
              </w:rPr>
            </w:pPr>
            <w:r w:rsidRPr="00A253CD">
              <w:rPr>
                <w:color w:val="000000"/>
                <w:sz w:val="22"/>
                <w:szCs w:val="22"/>
                <w:lang w:eastAsia="en-IN" w:bidi="gu-IN"/>
              </w:rPr>
              <w:t>6.79%</w:t>
            </w:r>
          </w:p>
        </w:tc>
        <w:tc>
          <w:tcPr>
            <w:tcW w:w="721" w:type="dxa"/>
            <w:tcBorders>
              <w:top w:val="nil"/>
              <w:left w:val="nil"/>
              <w:bottom w:val="single" w:sz="8" w:space="0" w:color="000000"/>
              <w:right w:val="single" w:sz="8" w:space="0" w:color="000000"/>
            </w:tcBorders>
            <w:shd w:val="clear" w:color="auto" w:fill="auto"/>
            <w:hideMark/>
          </w:tcPr>
          <w:p w14:paraId="651D3437" w14:textId="77777777" w:rsidR="00E27B52" w:rsidRPr="00A253CD" w:rsidRDefault="00E27B52" w:rsidP="00815814">
            <w:pPr>
              <w:spacing w:after="0" w:line="240" w:lineRule="auto"/>
              <w:jc w:val="center"/>
              <w:rPr>
                <w:color w:val="000000"/>
                <w:sz w:val="22"/>
                <w:szCs w:val="22"/>
                <w:lang w:val="en-IN" w:eastAsia="en-IN" w:bidi="gu-IN"/>
              </w:rPr>
            </w:pPr>
            <w:r w:rsidRPr="00A253CD">
              <w:rPr>
                <w:color w:val="000000"/>
                <w:sz w:val="22"/>
                <w:szCs w:val="22"/>
                <w:lang w:eastAsia="en-IN" w:bidi="gu-IN"/>
              </w:rPr>
              <w:t>2.58%</w:t>
            </w:r>
          </w:p>
        </w:tc>
        <w:tc>
          <w:tcPr>
            <w:tcW w:w="721" w:type="dxa"/>
            <w:tcBorders>
              <w:top w:val="nil"/>
              <w:left w:val="nil"/>
              <w:bottom w:val="single" w:sz="8" w:space="0" w:color="000000"/>
              <w:right w:val="single" w:sz="8" w:space="0" w:color="000000"/>
            </w:tcBorders>
            <w:shd w:val="clear" w:color="auto" w:fill="auto"/>
            <w:hideMark/>
          </w:tcPr>
          <w:p w14:paraId="2C690CC1" w14:textId="77777777" w:rsidR="00E27B52" w:rsidRPr="00A253CD" w:rsidRDefault="00E27B52" w:rsidP="00815814">
            <w:pPr>
              <w:spacing w:after="0" w:line="240" w:lineRule="auto"/>
              <w:jc w:val="center"/>
              <w:rPr>
                <w:color w:val="000000"/>
                <w:sz w:val="22"/>
                <w:szCs w:val="22"/>
                <w:lang w:val="en-IN" w:eastAsia="en-IN" w:bidi="gu-IN"/>
              </w:rPr>
            </w:pPr>
            <w:r w:rsidRPr="00A253CD">
              <w:rPr>
                <w:color w:val="000000"/>
                <w:sz w:val="22"/>
                <w:szCs w:val="22"/>
                <w:lang w:eastAsia="en-IN" w:bidi="gu-IN"/>
              </w:rPr>
              <w:t>5.70%</w:t>
            </w:r>
          </w:p>
        </w:tc>
        <w:tc>
          <w:tcPr>
            <w:tcW w:w="721" w:type="dxa"/>
            <w:tcBorders>
              <w:top w:val="nil"/>
              <w:left w:val="nil"/>
              <w:bottom w:val="single" w:sz="8" w:space="0" w:color="000000"/>
              <w:right w:val="single" w:sz="8" w:space="0" w:color="000000"/>
            </w:tcBorders>
            <w:shd w:val="clear" w:color="auto" w:fill="auto"/>
            <w:hideMark/>
          </w:tcPr>
          <w:p w14:paraId="551B1BBB" w14:textId="77777777" w:rsidR="00E27B52" w:rsidRPr="00A253CD" w:rsidRDefault="00E27B52" w:rsidP="00815814">
            <w:pPr>
              <w:spacing w:after="0" w:line="240" w:lineRule="auto"/>
              <w:jc w:val="center"/>
              <w:rPr>
                <w:color w:val="000000"/>
                <w:sz w:val="22"/>
                <w:szCs w:val="22"/>
                <w:lang w:val="en-IN" w:eastAsia="en-IN" w:bidi="gu-IN"/>
              </w:rPr>
            </w:pPr>
            <w:r w:rsidRPr="00A253CD">
              <w:rPr>
                <w:color w:val="000000"/>
                <w:sz w:val="22"/>
                <w:szCs w:val="22"/>
                <w:lang w:eastAsia="en-IN" w:bidi="gu-IN"/>
              </w:rPr>
              <w:t>0.91%</w:t>
            </w:r>
          </w:p>
        </w:tc>
        <w:tc>
          <w:tcPr>
            <w:tcW w:w="721" w:type="dxa"/>
            <w:tcBorders>
              <w:top w:val="nil"/>
              <w:left w:val="nil"/>
              <w:bottom w:val="single" w:sz="8" w:space="0" w:color="000000"/>
              <w:right w:val="single" w:sz="8" w:space="0" w:color="000000"/>
            </w:tcBorders>
            <w:shd w:val="clear" w:color="auto" w:fill="auto"/>
            <w:hideMark/>
          </w:tcPr>
          <w:p w14:paraId="0C03CA0D" w14:textId="77777777" w:rsidR="00E27B52" w:rsidRPr="00A253CD" w:rsidRDefault="00E27B52" w:rsidP="00815814">
            <w:pPr>
              <w:spacing w:after="0" w:line="240" w:lineRule="auto"/>
              <w:jc w:val="center"/>
              <w:rPr>
                <w:color w:val="000000"/>
                <w:sz w:val="22"/>
                <w:szCs w:val="22"/>
                <w:lang w:val="en-IN" w:eastAsia="en-IN" w:bidi="gu-IN"/>
              </w:rPr>
            </w:pPr>
            <w:r w:rsidRPr="00A253CD">
              <w:rPr>
                <w:color w:val="000000"/>
                <w:sz w:val="22"/>
                <w:szCs w:val="22"/>
                <w:lang w:eastAsia="en-IN" w:bidi="gu-IN"/>
              </w:rPr>
              <w:t>0.83%</w:t>
            </w:r>
          </w:p>
        </w:tc>
      </w:tr>
      <w:tr w:rsidR="00E27B52" w:rsidRPr="00A253CD" w14:paraId="3B939F28" w14:textId="77777777" w:rsidTr="00815814">
        <w:trPr>
          <w:trHeight w:val="1538"/>
        </w:trPr>
        <w:tc>
          <w:tcPr>
            <w:tcW w:w="642" w:type="dxa"/>
            <w:vMerge/>
            <w:tcBorders>
              <w:top w:val="nil"/>
              <w:left w:val="single" w:sz="8" w:space="0" w:color="000000"/>
              <w:bottom w:val="single" w:sz="8" w:space="0" w:color="000000"/>
              <w:right w:val="single" w:sz="8" w:space="0" w:color="000000"/>
            </w:tcBorders>
            <w:vAlign w:val="center"/>
            <w:hideMark/>
          </w:tcPr>
          <w:p w14:paraId="0C99848A" w14:textId="77777777" w:rsidR="00E27B52" w:rsidRPr="00A253CD" w:rsidRDefault="00E27B52" w:rsidP="00815814">
            <w:pPr>
              <w:spacing w:after="0" w:line="240" w:lineRule="auto"/>
              <w:jc w:val="left"/>
              <w:rPr>
                <w:b/>
                <w:bCs/>
                <w:color w:val="000000"/>
                <w:sz w:val="22"/>
                <w:szCs w:val="22"/>
                <w:lang w:val="en-IN" w:eastAsia="en-IN" w:bidi="gu-IN"/>
              </w:rPr>
            </w:pPr>
          </w:p>
        </w:tc>
        <w:tc>
          <w:tcPr>
            <w:tcW w:w="1326" w:type="dxa"/>
            <w:tcBorders>
              <w:top w:val="nil"/>
              <w:left w:val="nil"/>
              <w:bottom w:val="single" w:sz="8" w:space="0" w:color="000000"/>
              <w:right w:val="single" w:sz="8" w:space="0" w:color="000000"/>
            </w:tcBorders>
            <w:shd w:val="clear" w:color="auto" w:fill="auto"/>
            <w:hideMark/>
          </w:tcPr>
          <w:p w14:paraId="787E5F45" w14:textId="77777777" w:rsidR="00E27B52" w:rsidRPr="00A253CD" w:rsidRDefault="00E27B52" w:rsidP="00815814">
            <w:pPr>
              <w:spacing w:after="0" w:line="240" w:lineRule="auto"/>
              <w:jc w:val="center"/>
              <w:rPr>
                <w:color w:val="000000"/>
                <w:sz w:val="22"/>
                <w:szCs w:val="22"/>
                <w:lang w:val="en-IN" w:eastAsia="en-IN" w:bidi="gu-IN"/>
              </w:rPr>
            </w:pPr>
            <w:r w:rsidRPr="00A253CD">
              <w:rPr>
                <w:color w:val="000000"/>
                <w:sz w:val="22"/>
                <w:szCs w:val="22"/>
                <w:lang w:eastAsia="en-IN" w:bidi="gu-IN"/>
              </w:rPr>
              <w:t>2. Interest Coverage Ratio</w:t>
            </w:r>
          </w:p>
        </w:tc>
        <w:tc>
          <w:tcPr>
            <w:tcW w:w="950" w:type="dxa"/>
            <w:tcBorders>
              <w:top w:val="nil"/>
              <w:left w:val="nil"/>
              <w:bottom w:val="single" w:sz="8" w:space="0" w:color="000000"/>
              <w:right w:val="single" w:sz="8" w:space="0" w:color="000000"/>
            </w:tcBorders>
            <w:shd w:val="clear" w:color="auto" w:fill="auto"/>
            <w:hideMark/>
          </w:tcPr>
          <w:p w14:paraId="2319E2AA" w14:textId="77777777" w:rsidR="00E27B52" w:rsidRPr="00A253CD" w:rsidRDefault="00E27B52" w:rsidP="00815814">
            <w:pPr>
              <w:spacing w:after="0" w:line="240" w:lineRule="auto"/>
              <w:jc w:val="center"/>
              <w:rPr>
                <w:color w:val="000000"/>
                <w:sz w:val="22"/>
                <w:szCs w:val="22"/>
                <w:lang w:val="en-IN" w:eastAsia="en-IN" w:bidi="gu-IN"/>
              </w:rPr>
            </w:pPr>
            <w:r w:rsidRPr="00A253CD">
              <w:rPr>
                <w:color w:val="000000"/>
                <w:sz w:val="22"/>
                <w:szCs w:val="22"/>
                <w:lang w:eastAsia="en-IN" w:bidi="gu-IN"/>
              </w:rPr>
              <w:t>Earnings Before Interest and Taxes (EBIT) / Interest Expense</w:t>
            </w:r>
          </w:p>
        </w:tc>
        <w:tc>
          <w:tcPr>
            <w:tcW w:w="923" w:type="dxa"/>
            <w:tcBorders>
              <w:top w:val="nil"/>
              <w:left w:val="nil"/>
              <w:bottom w:val="single" w:sz="8" w:space="0" w:color="000000"/>
              <w:right w:val="single" w:sz="8" w:space="0" w:color="000000"/>
            </w:tcBorders>
            <w:shd w:val="clear" w:color="auto" w:fill="auto"/>
            <w:hideMark/>
          </w:tcPr>
          <w:p w14:paraId="33194C54" w14:textId="77777777" w:rsidR="00E27B52" w:rsidRPr="00A253CD" w:rsidRDefault="00E27B52" w:rsidP="00815814">
            <w:pPr>
              <w:spacing w:after="0" w:line="240" w:lineRule="auto"/>
              <w:jc w:val="center"/>
              <w:rPr>
                <w:color w:val="000000"/>
                <w:sz w:val="22"/>
                <w:szCs w:val="22"/>
                <w:lang w:val="en-IN" w:eastAsia="en-IN" w:bidi="gu-IN"/>
              </w:rPr>
            </w:pPr>
            <w:r w:rsidRPr="00A253CD">
              <w:rPr>
                <w:color w:val="000000"/>
                <w:sz w:val="22"/>
                <w:szCs w:val="22"/>
                <w:lang w:eastAsia="en-IN" w:bidi="gu-IN"/>
              </w:rPr>
              <w:t>9</w:t>
            </w:r>
          </w:p>
        </w:tc>
        <w:tc>
          <w:tcPr>
            <w:tcW w:w="923" w:type="dxa"/>
            <w:tcBorders>
              <w:top w:val="nil"/>
              <w:left w:val="nil"/>
              <w:bottom w:val="single" w:sz="8" w:space="0" w:color="000000"/>
              <w:right w:val="single" w:sz="8" w:space="0" w:color="000000"/>
            </w:tcBorders>
            <w:shd w:val="clear" w:color="auto" w:fill="auto"/>
            <w:hideMark/>
          </w:tcPr>
          <w:p w14:paraId="6C9211AC" w14:textId="77777777" w:rsidR="00E27B52" w:rsidRPr="00A253CD" w:rsidRDefault="00E27B52" w:rsidP="00815814">
            <w:pPr>
              <w:spacing w:after="0" w:line="240" w:lineRule="auto"/>
              <w:jc w:val="center"/>
              <w:rPr>
                <w:color w:val="000000"/>
                <w:sz w:val="22"/>
                <w:szCs w:val="22"/>
                <w:lang w:val="en-IN" w:eastAsia="en-IN" w:bidi="gu-IN"/>
              </w:rPr>
            </w:pPr>
            <w:r w:rsidRPr="00A253CD">
              <w:rPr>
                <w:color w:val="000000"/>
                <w:sz w:val="22"/>
                <w:szCs w:val="22"/>
                <w:lang w:eastAsia="en-IN" w:bidi="gu-IN"/>
              </w:rPr>
              <w:t>12.64</w:t>
            </w:r>
          </w:p>
        </w:tc>
        <w:tc>
          <w:tcPr>
            <w:tcW w:w="923" w:type="dxa"/>
            <w:tcBorders>
              <w:top w:val="nil"/>
              <w:left w:val="nil"/>
              <w:bottom w:val="single" w:sz="8" w:space="0" w:color="000000"/>
              <w:right w:val="single" w:sz="8" w:space="0" w:color="000000"/>
            </w:tcBorders>
            <w:shd w:val="clear" w:color="auto" w:fill="auto"/>
            <w:hideMark/>
          </w:tcPr>
          <w:p w14:paraId="3ABCE78D" w14:textId="77777777" w:rsidR="00E27B52" w:rsidRPr="00A253CD" w:rsidRDefault="00E27B52" w:rsidP="00815814">
            <w:pPr>
              <w:spacing w:after="0" w:line="240" w:lineRule="auto"/>
              <w:jc w:val="center"/>
              <w:rPr>
                <w:color w:val="000000"/>
                <w:sz w:val="22"/>
                <w:szCs w:val="22"/>
                <w:lang w:val="en-IN" w:eastAsia="en-IN" w:bidi="gu-IN"/>
              </w:rPr>
            </w:pPr>
            <w:r w:rsidRPr="00A253CD">
              <w:rPr>
                <w:color w:val="000000"/>
                <w:sz w:val="22"/>
                <w:szCs w:val="22"/>
                <w:lang w:eastAsia="en-IN" w:bidi="gu-IN"/>
              </w:rPr>
              <w:t>17.08</w:t>
            </w:r>
          </w:p>
        </w:tc>
        <w:tc>
          <w:tcPr>
            <w:tcW w:w="923" w:type="dxa"/>
            <w:tcBorders>
              <w:top w:val="nil"/>
              <w:left w:val="nil"/>
              <w:bottom w:val="single" w:sz="8" w:space="0" w:color="000000"/>
              <w:right w:val="single" w:sz="8" w:space="0" w:color="000000"/>
            </w:tcBorders>
            <w:shd w:val="clear" w:color="auto" w:fill="auto"/>
            <w:hideMark/>
          </w:tcPr>
          <w:p w14:paraId="7C0BCDA2" w14:textId="77777777" w:rsidR="00E27B52" w:rsidRPr="00A253CD" w:rsidRDefault="00E27B52" w:rsidP="00815814">
            <w:pPr>
              <w:spacing w:after="0" w:line="240" w:lineRule="auto"/>
              <w:jc w:val="center"/>
              <w:rPr>
                <w:color w:val="000000"/>
                <w:sz w:val="22"/>
                <w:szCs w:val="22"/>
                <w:lang w:val="en-IN" w:eastAsia="en-IN" w:bidi="gu-IN"/>
              </w:rPr>
            </w:pPr>
            <w:r w:rsidRPr="00A253CD">
              <w:rPr>
                <w:color w:val="000000"/>
                <w:sz w:val="22"/>
                <w:szCs w:val="22"/>
                <w:lang w:eastAsia="en-IN" w:bidi="gu-IN"/>
              </w:rPr>
              <w:t>10.84</w:t>
            </w:r>
          </w:p>
        </w:tc>
        <w:tc>
          <w:tcPr>
            <w:tcW w:w="923" w:type="dxa"/>
            <w:tcBorders>
              <w:top w:val="nil"/>
              <w:left w:val="nil"/>
              <w:bottom w:val="single" w:sz="8" w:space="0" w:color="000000"/>
              <w:right w:val="single" w:sz="8" w:space="0" w:color="000000"/>
            </w:tcBorders>
            <w:shd w:val="clear" w:color="auto" w:fill="auto"/>
            <w:hideMark/>
          </w:tcPr>
          <w:p w14:paraId="6BDCAFA4" w14:textId="77777777" w:rsidR="00E27B52" w:rsidRPr="00A253CD" w:rsidRDefault="00E27B52" w:rsidP="00815814">
            <w:pPr>
              <w:spacing w:after="0" w:line="240" w:lineRule="auto"/>
              <w:jc w:val="center"/>
              <w:rPr>
                <w:color w:val="000000"/>
                <w:sz w:val="22"/>
                <w:szCs w:val="22"/>
                <w:lang w:val="en-IN" w:eastAsia="en-IN" w:bidi="gu-IN"/>
              </w:rPr>
            </w:pPr>
            <w:r w:rsidRPr="00A253CD">
              <w:rPr>
                <w:color w:val="000000"/>
                <w:sz w:val="22"/>
                <w:szCs w:val="22"/>
                <w:lang w:eastAsia="en-IN" w:bidi="gu-IN"/>
              </w:rPr>
              <w:t>9.74</w:t>
            </w:r>
          </w:p>
        </w:tc>
        <w:tc>
          <w:tcPr>
            <w:tcW w:w="721" w:type="dxa"/>
            <w:tcBorders>
              <w:top w:val="nil"/>
              <w:left w:val="nil"/>
              <w:bottom w:val="single" w:sz="8" w:space="0" w:color="000000"/>
              <w:right w:val="single" w:sz="8" w:space="0" w:color="000000"/>
            </w:tcBorders>
            <w:shd w:val="clear" w:color="auto" w:fill="auto"/>
            <w:hideMark/>
          </w:tcPr>
          <w:p w14:paraId="0C4B2715" w14:textId="77777777" w:rsidR="00E27B52" w:rsidRPr="00A253CD" w:rsidRDefault="00E27B52" w:rsidP="00815814">
            <w:pPr>
              <w:spacing w:after="0" w:line="240" w:lineRule="auto"/>
              <w:jc w:val="center"/>
              <w:rPr>
                <w:color w:val="000000"/>
                <w:sz w:val="22"/>
                <w:szCs w:val="22"/>
                <w:lang w:val="en-IN" w:eastAsia="en-IN" w:bidi="gu-IN"/>
              </w:rPr>
            </w:pPr>
            <w:r w:rsidRPr="00A253CD">
              <w:rPr>
                <w:color w:val="000000"/>
                <w:sz w:val="22"/>
                <w:szCs w:val="22"/>
                <w:lang w:eastAsia="en-IN" w:bidi="gu-IN"/>
              </w:rPr>
              <w:t>0.26</w:t>
            </w:r>
          </w:p>
        </w:tc>
        <w:tc>
          <w:tcPr>
            <w:tcW w:w="721" w:type="dxa"/>
            <w:tcBorders>
              <w:top w:val="nil"/>
              <w:left w:val="nil"/>
              <w:bottom w:val="single" w:sz="8" w:space="0" w:color="000000"/>
              <w:right w:val="single" w:sz="8" w:space="0" w:color="000000"/>
            </w:tcBorders>
            <w:shd w:val="clear" w:color="auto" w:fill="auto"/>
            <w:hideMark/>
          </w:tcPr>
          <w:p w14:paraId="3A2717E3" w14:textId="77777777" w:rsidR="00E27B52" w:rsidRPr="00A253CD" w:rsidRDefault="00E27B52" w:rsidP="00815814">
            <w:pPr>
              <w:spacing w:after="0" w:line="240" w:lineRule="auto"/>
              <w:jc w:val="center"/>
              <w:rPr>
                <w:color w:val="000000"/>
                <w:sz w:val="22"/>
                <w:szCs w:val="22"/>
                <w:lang w:val="en-IN" w:eastAsia="en-IN" w:bidi="gu-IN"/>
              </w:rPr>
            </w:pPr>
            <w:r w:rsidRPr="00A253CD">
              <w:rPr>
                <w:color w:val="000000"/>
                <w:sz w:val="22"/>
                <w:szCs w:val="22"/>
                <w:lang w:eastAsia="en-IN" w:bidi="gu-IN"/>
              </w:rPr>
              <w:t>7.58</w:t>
            </w:r>
          </w:p>
        </w:tc>
        <w:tc>
          <w:tcPr>
            <w:tcW w:w="721" w:type="dxa"/>
            <w:tcBorders>
              <w:top w:val="nil"/>
              <w:left w:val="nil"/>
              <w:bottom w:val="single" w:sz="8" w:space="0" w:color="000000"/>
              <w:right w:val="single" w:sz="8" w:space="0" w:color="000000"/>
            </w:tcBorders>
            <w:shd w:val="clear" w:color="auto" w:fill="auto"/>
            <w:hideMark/>
          </w:tcPr>
          <w:p w14:paraId="08CC2F58" w14:textId="77777777" w:rsidR="00E27B52" w:rsidRPr="00A253CD" w:rsidRDefault="00E27B52" w:rsidP="00815814">
            <w:pPr>
              <w:spacing w:after="0" w:line="240" w:lineRule="auto"/>
              <w:jc w:val="center"/>
              <w:rPr>
                <w:color w:val="000000"/>
                <w:sz w:val="22"/>
                <w:szCs w:val="22"/>
                <w:lang w:val="en-IN" w:eastAsia="en-IN" w:bidi="gu-IN"/>
              </w:rPr>
            </w:pPr>
            <w:r w:rsidRPr="00A253CD">
              <w:rPr>
                <w:color w:val="000000"/>
                <w:sz w:val="22"/>
                <w:szCs w:val="22"/>
                <w:lang w:eastAsia="en-IN" w:bidi="gu-IN"/>
              </w:rPr>
              <w:t>8.24</w:t>
            </w:r>
          </w:p>
        </w:tc>
        <w:tc>
          <w:tcPr>
            <w:tcW w:w="721" w:type="dxa"/>
            <w:tcBorders>
              <w:top w:val="nil"/>
              <w:left w:val="nil"/>
              <w:bottom w:val="single" w:sz="8" w:space="0" w:color="000000"/>
              <w:right w:val="single" w:sz="8" w:space="0" w:color="000000"/>
            </w:tcBorders>
            <w:shd w:val="clear" w:color="auto" w:fill="auto"/>
            <w:hideMark/>
          </w:tcPr>
          <w:p w14:paraId="1C40E836" w14:textId="77777777" w:rsidR="00E27B52" w:rsidRPr="00A253CD" w:rsidRDefault="00E27B52" w:rsidP="00815814">
            <w:pPr>
              <w:spacing w:after="0" w:line="240" w:lineRule="auto"/>
              <w:jc w:val="center"/>
              <w:rPr>
                <w:color w:val="000000"/>
                <w:sz w:val="22"/>
                <w:szCs w:val="22"/>
                <w:lang w:val="en-IN" w:eastAsia="en-IN" w:bidi="gu-IN"/>
              </w:rPr>
            </w:pPr>
            <w:r w:rsidRPr="00A253CD">
              <w:rPr>
                <w:color w:val="000000"/>
                <w:sz w:val="22"/>
                <w:szCs w:val="22"/>
                <w:lang w:eastAsia="en-IN" w:bidi="gu-IN"/>
              </w:rPr>
              <w:t>10.51</w:t>
            </w:r>
          </w:p>
        </w:tc>
        <w:tc>
          <w:tcPr>
            <w:tcW w:w="721" w:type="dxa"/>
            <w:tcBorders>
              <w:top w:val="nil"/>
              <w:left w:val="nil"/>
              <w:bottom w:val="single" w:sz="8" w:space="0" w:color="000000"/>
              <w:right w:val="single" w:sz="8" w:space="0" w:color="000000"/>
            </w:tcBorders>
            <w:shd w:val="clear" w:color="auto" w:fill="auto"/>
            <w:hideMark/>
          </w:tcPr>
          <w:p w14:paraId="01191DA9" w14:textId="77777777" w:rsidR="00E27B52" w:rsidRPr="00A253CD" w:rsidRDefault="00E27B52" w:rsidP="00815814">
            <w:pPr>
              <w:spacing w:after="0" w:line="240" w:lineRule="auto"/>
              <w:jc w:val="center"/>
              <w:rPr>
                <w:color w:val="000000"/>
                <w:sz w:val="22"/>
                <w:szCs w:val="22"/>
                <w:lang w:val="en-IN" w:eastAsia="en-IN" w:bidi="gu-IN"/>
              </w:rPr>
            </w:pPr>
            <w:r w:rsidRPr="00A253CD">
              <w:rPr>
                <w:color w:val="000000"/>
                <w:sz w:val="22"/>
                <w:szCs w:val="22"/>
                <w:lang w:eastAsia="en-IN" w:bidi="gu-IN"/>
              </w:rPr>
              <w:t>8.32</w:t>
            </w:r>
          </w:p>
        </w:tc>
      </w:tr>
    </w:tbl>
    <w:p w14:paraId="294D954E" w14:textId="77777777" w:rsidR="00E27B52" w:rsidRDefault="00E27B52" w:rsidP="00E27B52"/>
    <w:p w14:paraId="20659320" w14:textId="77777777" w:rsidR="00E27B52" w:rsidRDefault="00E27B52" w:rsidP="00E27B52">
      <w:r>
        <w:lastRenderedPageBreak/>
        <w:t>Gearing ratios of a company show its financial leverage and debt capacity. The debt-to-equity ratio and the interest coverage ratio include two fundamental gearing ratios.</w:t>
      </w:r>
    </w:p>
    <w:p w14:paraId="73C9F888" w14:textId="77777777" w:rsidR="00E27B52" w:rsidRDefault="00E27B52" w:rsidP="00E27B52">
      <w:r>
        <w:t>Higher debt-to-equity ratios indicate more leverage, which implies the firm is borrowing more to operate, hence increasing profitability but also running more financial risk. Unilever's debt-to- equity ratio declined over five years from 182.86% in 2019 to 125.63% in 2020. Even this fall, Unilever has a high borrowing ratio. This downslope indicates either debt cancellation or equity increases meant to lower leverage (</w:t>
      </w:r>
      <w:proofErr w:type="spellStart"/>
      <w:r>
        <w:t>Knolle</w:t>
      </w:r>
      <w:proofErr w:type="spellEnd"/>
      <w:r>
        <w:t>, 2020). P&amp;G Low debt dependence shows P&amp;G is cautious about leverage and prefers equity financing with a low debt-to-Equity ratio ranging from 0.83% in 2019 to 6.79% in 2023.</w:t>
      </w:r>
    </w:p>
    <w:p w14:paraId="2650654E" w14:textId="77777777" w:rsidR="00E27B52" w:rsidRDefault="00E27B52" w:rsidP="00E27B52">
      <w:r>
        <w:t xml:space="preserve">Interest coverage ratio </w:t>
      </w:r>
      <w:proofErr w:type="spellStart"/>
      <w:r>
        <w:t>froms</w:t>
      </w:r>
      <w:proofErr w:type="spellEnd"/>
      <w:r>
        <w:t xml:space="preserve"> operational data guides one to determine a company's debt interest capacity. Better capability for interest-paying ability shown by higher ratios reduces financial risk. Unilever's Interest Coverage Ratio peaked in 2021 at 17.08 then fell to 9.00 in 2023. Rising interest rates or lower EBIT which indicates a less ability to pay interest may be the sources of this decline. Starting at 8.32 in 2019, P&amp;G's Interest Coverage Ratio peaked at 10.51 in 2020 then plummeted to an alarming 0.26 in 2023. This notable decline alludes to P&amp;G's sales insufficient to cover EBIT or debt's interest.</w:t>
      </w:r>
    </w:p>
    <w:p w14:paraId="754B2A63" w14:textId="77777777" w:rsidR="00E27B52" w:rsidRDefault="00E27B52" w:rsidP="00E27B52">
      <w:r>
        <w:t>In relation to the two firms namely Unilever and P&amp;G, these ratios are quite relevant. Nevertheless, analysis of the selected ratios such as the high debt-to-equity ratio revealed that debt is mostly reliant on which may increase financial risk especially during a period of an economic downturn at Unilever (</w:t>
      </w:r>
      <w:proofErr w:type="spellStart"/>
      <w:r>
        <w:t>Setyowati</w:t>
      </w:r>
      <w:proofErr w:type="spellEnd"/>
      <w:r>
        <w:t xml:space="preserve"> </w:t>
      </w:r>
      <w:r>
        <w:rPr>
          <w:i/>
        </w:rPr>
        <w:t xml:space="preserve">et al. </w:t>
      </w:r>
      <w:r>
        <w:t>2023). On the other hand, the declining trend suggests that measures are being taken to reduce debt or increase equity hence reducing the risk. A firm’s ability to pay-off its debts as and when due may be affected by variability in the profitability or interest obligations as represented in the variable interest coverage ratio could affect Unilever. So, if Unilever has aspirations of being able to certainly meet future debt obligations, it has to ensure that it closely monitors its debt level and strongly focuses on the ability to generate profit (</w:t>
      </w:r>
      <w:proofErr w:type="spellStart"/>
      <w:r>
        <w:t>Awalia</w:t>
      </w:r>
      <w:proofErr w:type="spellEnd"/>
      <w:r>
        <w:t xml:space="preserve"> </w:t>
      </w:r>
      <w:r>
        <w:rPr>
          <w:i/>
        </w:rPr>
        <w:t xml:space="preserve">et al. </w:t>
      </w:r>
      <w:r>
        <w:t>2023).</w:t>
      </w:r>
    </w:p>
    <w:p w14:paraId="5FA61BFD" w14:textId="77777777" w:rsidR="00E27B52" w:rsidRDefault="00E27B52" w:rsidP="00E27B52">
      <w:r>
        <w:t xml:space="preserve">Based on the firm's Debt to Equity Ratio, P&amp;G has a moderate plan with a strong equity base implying less of financial risk. What is more, the Interest Coverage Ratio has decreased rapidly to 0.26 in 2023, however, strongly calls into question P&amp;G’s debt paying capacity, hence the </w:t>
      </w:r>
      <w:r>
        <w:lastRenderedPageBreak/>
        <w:t>recommendation to either reduce its debts or improve the way it settles debts (RIBEIRO, 2021). This would indicate either tremendously substantial income reductions or recent increased use of debts. Either reducing its borrowing rates or raising its EBIT will also assist P&amp;G in coming out of the problem very fast.</w:t>
      </w:r>
    </w:p>
    <w:p w14:paraId="028C94DA" w14:textId="77777777" w:rsidR="00E27B52" w:rsidRDefault="00E27B52" w:rsidP="00E27B52">
      <w:r>
        <w:t>The current high but reducing debt- equivalence and fluctuating interest indemnification ratio of Unilever suggest in general a requirement for disciplined approach to both, leverage and earnings volatility. While high Levels of debt is not an issue for P&amp;G due to its low dependency on this form of financing (Zhang, 2022). The numbers suggest an urgent need to either raise the company’s margins and thus profitability or lower the amount of debt it has; a very low Interest Coverage Ratio supports this observation. Similarly, both businesses have to alter intentions through aiming at finding a middle ground for financial leverage and the assurance of enough income to cover interest liabilities in order to retain solvency and reduce risk.</w:t>
      </w:r>
    </w:p>
    <w:tbl>
      <w:tblPr>
        <w:tblpPr w:leftFromText="180" w:rightFromText="180" w:vertAnchor="text" w:horzAnchor="margin" w:tblpXSpec="center" w:tblpY="528"/>
        <w:tblW w:w="10846" w:type="dxa"/>
        <w:tblLayout w:type="fixed"/>
        <w:tblLook w:val="04A0" w:firstRow="1" w:lastRow="0" w:firstColumn="1" w:lastColumn="0" w:noHBand="0" w:noVBand="1"/>
      </w:tblPr>
      <w:tblGrid>
        <w:gridCol w:w="992"/>
        <w:gridCol w:w="993"/>
        <w:gridCol w:w="1417"/>
        <w:gridCol w:w="774"/>
        <w:gridCol w:w="656"/>
        <w:gridCol w:w="656"/>
        <w:gridCol w:w="656"/>
        <w:gridCol w:w="656"/>
        <w:gridCol w:w="1174"/>
        <w:gridCol w:w="718"/>
        <w:gridCol w:w="718"/>
        <w:gridCol w:w="718"/>
        <w:gridCol w:w="718"/>
      </w:tblGrid>
      <w:tr w:rsidR="00E27B52" w:rsidRPr="007F08CA" w14:paraId="3998F976" w14:textId="77777777" w:rsidTr="00815814">
        <w:trPr>
          <w:trHeight w:val="284"/>
        </w:trPr>
        <w:tc>
          <w:tcPr>
            <w:tcW w:w="992" w:type="dxa"/>
            <w:vMerge w:val="restart"/>
            <w:tcBorders>
              <w:top w:val="single" w:sz="8" w:space="0" w:color="000000"/>
              <w:left w:val="single" w:sz="8" w:space="0" w:color="000000"/>
              <w:bottom w:val="single" w:sz="8" w:space="0" w:color="000000"/>
              <w:right w:val="single" w:sz="8" w:space="0" w:color="000000"/>
            </w:tcBorders>
            <w:shd w:val="clear" w:color="auto" w:fill="auto"/>
            <w:hideMark/>
          </w:tcPr>
          <w:p w14:paraId="66371DCC" w14:textId="77777777" w:rsidR="00E27B52" w:rsidRPr="007F08CA" w:rsidRDefault="00E27B52" w:rsidP="00815814">
            <w:pPr>
              <w:spacing w:after="0" w:line="240" w:lineRule="auto"/>
              <w:jc w:val="center"/>
              <w:rPr>
                <w:b/>
                <w:bCs/>
                <w:color w:val="000000"/>
                <w:sz w:val="22"/>
                <w:szCs w:val="22"/>
                <w:lang w:val="en-IN" w:eastAsia="en-IN" w:bidi="gu-IN"/>
              </w:rPr>
            </w:pPr>
            <w:r w:rsidRPr="007F08CA">
              <w:rPr>
                <w:b/>
                <w:bCs/>
                <w:color w:val="000000"/>
                <w:sz w:val="22"/>
                <w:szCs w:val="22"/>
                <w:lang w:eastAsia="en-IN" w:bidi="gu-IN"/>
              </w:rPr>
              <w:t>Category</w:t>
            </w:r>
          </w:p>
        </w:tc>
        <w:tc>
          <w:tcPr>
            <w:tcW w:w="993" w:type="dxa"/>
            <w:vMerge w:val="restart"/>
            <w:tcBorders>
              <w:top w:val="single" w:sz="8" w:space="0" w:color="000000"/>
              <w:left w:val="single" w:sz="8" w:space="0" w:color="000000"/>
              <w:bottom w:val="single" w:sz="8" w:space="0" w:color="000000"/>
              <w:right w:val="single" w:sz="8" w:space="0" w:color="000000"/>
            </w:tcBorders>
            <w:shd w:val="clear" w:color="auto" w:fill="auto"/>
            <w:hideMark/>
          </w:tcPr>
          <w:p w14:paraId="6B7F1A90" w14:textId="77777777" w:rsidR="00E27B52" w:rsidRPr="007F08CA" w:rsidRDefault="00E27B52" w:rsidP="00815814">
            <w:pPr>
              <w:spacing w:after="0" w:line="240" w:lineRule="auto"/>
              <w:jc w:val="center"/>
              <w:rPr>
                <w:b/>
                <w:bCs/>
                <w:color w:val="000000"/>
                <w:sz w:val="22"/>
                <w:szCs w:val="22"/>
                <w:lang w:val="en-IN" w:eastAsia="en-IN" w:bidi="gu-IN"/>
              </w:rPr>
            </w:pPr>
            <w:r w:rsidRPr="007F08CA">
              <w:rPr>
                <w:b/>
                <w:bCs/>
                <w:color w:val="000000"/>
                <w:sz w:val="22"/>
                <w:szCs w:val="22"/>
                <w:lang w:eastAsia="en-IN" w:bidi="gu-IN"/>
              </w:rPr>
              <w:t>Ratio</w:t>
            </w:r>
          </w:p>
        </w:tc>
        <w:tc>
          <w:tcPr>
            <w:tcW w:w="1417" w:type="dxa"/>
            <w:vMerge w:val="restart"/>
            <w:tcBorders>
              <w:top w:val="single" w:sz="8" w:space="0" w:color="000000"/>
              <w:left w:val="single" w:sz="8" w:space="0" w:color="000000"/>
              <w:bottom w:val="single" w:sz="8" w:space="0" w:color="000000"/>
              <w:right w:val="single" w:sz="8" w:space="0" w:color="000000"/>
            </w:tcBorders>
            <w:shd w:val="clear" w:color="auto" w:fill="auto"/>
            <w:hideMark/>
          </w:tcPr>
          <w:p w14:paraId="062AF609" w14:textId="77777777" w:rsidR="00E27B52" w:rsidRPr="007F08CA" w:rsidRDefault="00E27B52" w:rsidP="00815814">
            <w:pPr>
              <w:spacing w:after="0" w:line="240" w:lineRule="auto"/>
              <w:jc w:val="center"/>
              <w:rPr>
                <w:b/>
                <w:bCs/>
                <w:color w:val="000000"/>
                <w:sz w:val="22"/>
                <w:szCs w:val="22"/>
                <w:lang w:val="en-IN" w:eastAsia="en-IN" w:bidi="gu-IN"/>
              </w:rPr>
            </w:pPr>
            <w:r w:rsidRPr="007F08CA">
              <w:rPr>
                <w:b/>
                <w:bCs/>
                <w:color w:val="000000"/>
                <w:sz w:val="22"/>
                <w:szCs w:val="22"/>
                <w:lang w:eastAsia="en-IN" w:bidi="gu-IN"/>
              </w:rPr>
              <w:t>Formula</w:t>
            </w:r>
          </w:p>
        </w:tc>
        <w:tc>
          <w:tcPr>
            <w:tcW w:w="3398" w:type="dxa"/>
            <w:gridSpan w:val="5"/>
            <w:tcBorders>
              <w:top w:val="single" w:sz="8" w:space="0" w:color="000000"/>
              <w:left w:val="nil"/>
              <w:bottom w:val="single" w:sz="8" w:space="0" w:color="000000"/>
              <w:right w:val="single" w:sz="8" w:space="0" w:color="000000"/>
            </w:tcBorders>
            <w:shd w:val="clear" w:color="auto" w:fill="auto"/>
            <w:hideMark/>
          </w:tcPr>
          <w:p w14:paraId="392D6427" w14:textId="77777777" w:rsidR="00E27B52" w:rsidRPr="007F08CA" w:rsidRDefault="00E27B52" w:rsidP="00815814">
            <w:pPr>
              <w:spacing w:after="0" w:line="240" w:lineRule="auto"/>
              <w:jc w:val="center"/>
              <w:rPr>
                <w:b/>
                <w:bCs/>
                <w:color w:val="000000"/>
                <w:sz w:val="22"/>
                <w:szCs w:val="22"/>
                <w:lang w:val="en-IN" w:eastAsia="en-IN" w:bidi="gu-IN"/>
              </w:rPr>
            </w:pPr>
            <w:r w:rsidRPr="007F08CA">
              <w:rPr>
                <w:b/>
                <w:bCs/>
                <w:color w:val="000000"/>
                <w:sz w:val="22"/>
                <w:szCs w:val="22"/>
                <w:lang w:eastAsia="en-IN" w:bidi="gu-IN"/>
              </w:rPr>
              <w:t>Unilever</w:t>
            </w:r>
          </w:p>
        </w:tc>
        <w:tc>
          <w:tcPr>
            <w:tcW w:w="4046" w:type="dxa"/>
            <w:gridSpan w:val="5"/>
            <w:tcBorders>
              <w:top w:val="single" w:sz="8" w:space="0" w:color="000000"/>
              <w:left w:val="nil"/>
              <w:bottom w:val="single" w:sz="8" w:space="0" w:color="000000"/>
              <w:right w:val="single" w:sz="8" w:space="0" w:color="000000"/>
            </w:tcBorders>
            <w:shd w:val="clear" w:color="auto" w:fill="auto"/>
            <w:hideMark/>
          </w:tcPr>
          <w:p w14:paraId="1D67FE71" w14:textId="77777777" w:rsidR="00E27B52" w:rsidRPr="007F08CA" w:rsidRDefault="00E27B52" w:rsidP="00815814">
            <w:pPr>
              <w:spacing w:after="0" w:line="240" w:lineRule="auto"/>
              <w:jc w:val="center"/>
              <w:rPr>
                <w:b/>
                <w:bCs/>
                <w:color w:val="000000"/>
                <w:sz w:val="22"/>
                <w:szCs w:val="22"/>
                <w:lang w:val="en-IN" w:eastAsia="en-IN" w:bidi="gu-IN"/>
              </w:rPr>
            </w:pPr>
            <w:r w:rsidRPr="007F08CA">
              <w:rPr>
                <w:b/>
                <w:bCs/>
                <w:color w:val="000000"/>
                <w:sz w:val="22"/>
                <w:szCs w:val="22"/>
                <w:lang w:eastAsia="en-IN" w:bidi="gu-IN"/>
              </w:rPr>
              <w:t>Procter and Gamble</w:t>
            </w:r>
          </w:p>
        </w:tc>
      </w:tr>
      <w:tr w:rsidR="00E27B52" w:rsidRPr="007F08CA" w14:paraId="53B5E707" w14:textId="77777777" w:rsidTr="00815814">
        <w:trPr>
          <w:trHeight w:val="284"/>
        </w:trPr>
        <w:tc>
          <w:tcPr>
            <w:tcW w:w="992" w:type="dxa"/>
            <w:vMerge/>
            <w:tcBorders>
              <w:top w:val="single" w:sz="8" w:space="0" w:color="000000"/>
              <w:left w:val="single" w:sz="8" w:space="0" w:color="000000"/>
              <w:bottom w:val="single" w:sz="8" w:space="0" w:color="000000"/>
              <w:right w:val="single" w:sz="8" w:space="0" w:color="000000"/>
            </w:tcBorders>
            <w:vAlign w:val="center"/>
            <w:hideMark/>
          </w:tcPr>
          <w:p w14:paraId="3CA6F77D" w14:textId="77777777" w:rsidR="00E27B52" w:rsidRPr="007F08CA" w:rsidRDefault="00E27B52" w:rsidP="00815814">
            <w:pPr>
              <w:spacing w:after="0" w:line="240" w:lineRule="auto"/>
              <w:jc w:val="left"/>
              <w:rPr>
                <w:b/>
                <w:bCs/>
                <w:color w:val="000000"/>
                <w:sz w:val="22"/>
                <w:szCs w:val="22"/>
                <w:lang w:val="en-IN" w:eastAsia="en-IN" w:bidi="gu-IN"/>
              </w:rPr>
            </w:pPr>
          </w:p>
        </w:tc>
        <w:tc>
          <w:tcPr>
            <w:tcW w:w="993" w:type="dxa"/>
            <w:vMerge/>
            <w:tcBorders>
              <w:top w:val="single" w:sz="8" w:space="0" w:color="000000"/>
              <w:left w:val="single" w:sz="8" w:space="0" w:color="000000"/>
              <w:bottom w:val="single" w:sz="8" w:space="0" w:color="000000"/>
              <w:right w:val="single" w:sz="8" w:space="0" w:color="000000"/>
            </w:tcBorders>
            <w:vAlign w:val="center"/>
            <w:hideMark/>
          </w:tcPr>
          <w:p w14:paraId="6C714528" w14:textId="77777777" w:rsidR="00E27B52" w:rsidRPr="007F08CA" w:rsidRDefault="00E27B52" w:rsidP="00815814">
            <w:pPr>
              <w:spacing w:after="0" w:line="240" w:lineRule="auto"/>
              <w:jc w:val="left"/>
              <w:rPr>
                <w:b/>
                <w:bCs/>
                <w:color w:val="000000"/>
                <w:sz w:val="22"/>
                <w:szCs w:val="22"/>
                <w:lang w:val="en-IN" w:eastAsia="en-IN" w:bidi="gu-IN"/>
              </w:rPr>
            </w:pPr>
          </w:p>
        </w:tc>
        <w:tc>
          <w:tcPr>
            <w:tcW w:w="1417" w:type="dxa"/>
            <w:vMerge/>
            <w:tcBorders>
              <w:top w:val="single" w:sz="8" w:space="0" w:color="000000"/>
              <w:left w:val="single" w:sz="8" w:space="0" w:color="000000"/>
              <w:bottom w:val="single" w:sz="8" w:space="0" w:color="000000"/>
              <w:right w:val="single" w:sz="8" w:space="0" w:color="000000"/>
            </w:tcBorders>
            <w:vAlign w:val="center"/>
            <w:hideMark/>
          </w:tcPr>
          <w:p w14:paraId="50770C10" w14:textId="77777777" w:rsidR="00E27B52" w:rsidRPr="007F08CA" w:rsidRDefault="00E27B52" w:rsidP="00815814">
            <w:pPr>
              <w:spacing w:after="0" w:line="240" w:lineRule="auto"/>
              <w:jc w:val="left"/>
              <w:rPr>
                <w:b/>
                <w:bCs/>
                <w:color w:val="000000"/>
                <w:sz w:val="22"/>
                <w:szCs w:val="22"/>
                <w:lang w:val="en-IN" w:eastAsia="en-IN" w:bidi="gu-IN"/>
              </w:rPr>
            </w:pPr>
          </w:p>
        </w:tc>
        <w:tc>
          <w:tcPr>
            <w:tcW w:w="774" w:type="dxa"/>
            <w:tcBorders>
              <w:top w:val="nil"/>
              <w:left w:val="nil"/>
              <w:bottom w:val="single" w:sz="8" w:space="0" w:color="000000"/>
              <w:right w:val="single" w:sz="8" w:space="0" w:color="000000"/>
            </w:tcBorders>
            <w:shd w:val="clear" w:color="auto" w:fill="auto"/>
            <w:hideMark/>
          </w:tcPr>
          <w:p w14:paraId="02169776" w14:textId="77777777" w:rsidR="00E27B52" w:rsidRPr="007F08CA" w:rsidRDefault="00E27B52" w:rsidP="00815814">
            <w:pPr>
              <w:spacing w:after="0" w:line="240" w:lineRule="auto"/>
              <w:jc w:val="center"/>
              <w:rPr>
                <w:b/>
                <w:bCs/>
                <w:color w:val="000000"/>
                <w:sz w:val="22"/>
                <w:szCs w:val="22"/>
                <w:lang w:val="en-IN" w:eastAsia="en-IN" w:bidi="gu-IN"/>
              </w:rPr>
            </w:pPr>
            <w:r w:rsidRPr="007F08CA">
              <w:rPr>
                <w:b/>
                <w:bCs/>
                <w:color w:val="000000"/>
                <w:sz w:val="22"/>
                <w:szCs w:val="22"/>
                <w:lang w:eastAsia="en-IN" w:bidi="gu-IN"/>
              </w:rPr>
              <w:t>2023</w:t>
            </w:r>
          </w:p>
        </w:tc>
        <w:tc>
          <w:tcPr>
            <w:tcW w:w="656" w:type="dxa"/>
            <w:tcBorders>
              <w:top w:val="nil"/>
              <w:left w:val="nil"/>
              <w:bottom w:val="single" w:sz="8" w:space="0" w:color="000000"/>
              <w:right w:val="single" w:sz="8" w:space="0" w:color="000000"/>
            </w:tcBorders>
            <w:shd w:val="clear" w:color="auto" w:fill="auto"/>
            <w:hideMark/>
          </w:tcPr>
          <w:p w14:paraId="37BD2E95" w14:textId="77777777" w:rsidR="00E27B52" w:rsidRPr="007F08CA" w:rsidRDefault="00E27B52" w:rsidP="00815814">
            <w:pPr>
              <w:spacing w:after="0" w:line="240" w:lineRule="auto"/>
              <w:jc w:val="center"/>
              <w:rPr>
                <w:b/>
                <w:bCs/>
                <w:color w:val="000000"/>
                <w:sz w:val="22"/>
                <w:szCs w:val="22"/>
                <w:lang w:val="en-IN" w:eastAsia="en-IN" w:bidi="gu-IN"/>
              </w:rPr>
            </w:pPr>
            <w:r w:rsidRPr="007F08CA">
              <w:rPr>
                <w:b/>
                <w:bCs/>
                <w:color w:val="000000"/>
                <w:sz w:val="22"/>
                <w:szCs w:val="22"/>
                <w:lang w:eastAsia="en-IN" w:bidi="gu-IN"/>
              </w:rPr>
              <w:t>2022</w:t>
            </w:r>
          </w:p>
        </w:tc>
        <w:tc>
          <w:tcPr>
            <w:tcW w:w="656" w:type="dxa"/>
            <w:tcBorders>
              <w:top w:val="nil"/>
              <w:left w:val="nil"/>
              <w:bottom w:val="single" w:sz="8" w:space="0" w:color="000000"/>
              <w:right w:val="single" w:sz="8" w:space="0" w:color="000000"/>
            </w:tcBorders>
            <w:shd w:val="clear" w:color="auto" w:fill="auto"/>
            <w:hideMark/>
          </w:tcPr>
          <w:p w14:paraId="6FB0E41E" w14:textId="77777777" w:rsidR="00E27B52" w:rsidRPr="007F08CA" w:rsidRDefault="00E27B52" w:rsidP="00815814">
            <w:pPr>
              <w:spacing w:after="0" w:line="240" w:lineRule="auto"/>
              <w:jc w:val="center"/>
              <w:rPr>
                <w:b/>
                <w:bCs/>
                <w:color w:val="000000"/>
                <w:sz w:val="22"/>
                <w:szCs w:val="22"/>
                <w:lang w:val="en-IN" w:eastAsia="en-IN" w:bidi="gu-IN"/>
              </w:rPr>
            </w:pPr>
            <w:r w:rsidRPr="007F08CA">
              <w:rPr>
                <w:b/>
                <w:bCs/>
                <w:color w:val="000000"/>
                <w:sz w:val="22"/>
                <w:szCs w:val="22"/>
                <w:lang w:eastAsia="en-IN" w:bidi="gu-IN"/>
              </w:rPr>
              <w:t>2021</w:t>
            </w:r>
          </w:p>
        </w:tc>
        <w:tc>
          <w:tcPr>
            <w:tcW w:w="656" w:type="dxa"/>
            <w:tcBorders>
              <w:top w:val="nil"/>
              <w:left w:val="nil"/>
              <w:bottom w:val="single" w:sz="8" w:space="0" w:color="000000"/>
              <w:right w:val="single" w:sz="8" w:space="0" w:color="000000"/>
            </w:tcBorders>
            <w:shd w:val="clear" w:color="auto" w:fill="auto"/>
            <w:hideMark/>
          </w:tcPr>
          <w:p w14:paraId="702C4982" w14:textId="77777777" w:rsidR="00E27B52" w:rsidRPr="007F08CA" w:rsidRDefault="00E27B52" w:rsidP="00815814">
            <w:pPr>
              <w:spacing w:after="0" w:line="240" w:lineRule="auto"/>
              <w:jc w:val="center"/>
              <w:rPr>
                <w:b/>
                <w:bCs/>
                <w:color w:val="000000"/>
                <w:sz w:val="22"/>
                <w:szCs w:val="22"/>
                <w:lang w:val="en-IN" w:eastAsia="en-IN" w:bidi="gu-IN"/>
              </w:rPr>
            </w:pPr>
            <w:r w:rsidRPr="007F08CA">
              <w:rPr>
                <w:b/>
                <w:bCs/>
                <w:color w:val="000000"/>
                <w:sz w:val="22"/>
                <w:szCs w:val="22"/>
                <w:lang w:eastAsia="en-IN" w:bidi="gu-IN"/>
              </w:rPr>
              <w:t>2020</w:t>
            </w:r>
          </w:p>
        </w:tc>
        <w:tc>
          <w:tcPr>
            <w:tcW w:w="656" w:type="dxa"/>
            <w:tcBorders>
              <w:top w:val="nil"/>
              <w:left w:val="nil"/>
              <w:bottom w:val="single" w:sz="8" w:space="0" w:color="000000"/>
              <w:right w:val="single" w:sz="8" w:space="0" w:color="000000"/>
            </w:tcBorders>
            <w:shd w:val="clear" w:color="auto" w:fill="auto"/>
            <w:hideMark/>
          </w:tcPr>
          <w:p w14:paraId="6E0CEEBE" w14:textId="77777777" w:rsidR="00E27B52" w:rsidRPr="007F08CA" w:rsidRDefault="00E27B52" w:rsidP="00815814">
            <w:pPr>
              <w:spacing w:after="0" w:line="240" w:lineRule="auto"/>
              <w:jc w:val="center"/>
              <w:rPr>
                <w:b/>
                <w:bCs/>
                <w:color w:val="000000"/>
                <w:sz w:val="22"/>
                <w:szCs w:val="22"/>
                <w:lang w:val="en-IN" w:eastAsia="en-IN" w:bidi="gu-IN"/>
              </w:rPr>
            </w:pPr>
            <w:r w:rsidRPr="007F08CA">
              <w:rPr>
                <w:b/>
                <w:bCs/>
                <w:color w:val="000000"/>
                <w:sz w:val="22"/>
                <w:szCs w:val="22"/>
                <w:lang w:eastAsia="en-IN" w:bidi="gu-IN"/>
              </w:rPr>
              <w:t>2019</w:t>
            </w:r>
          </w:p>
        </w:tc>
        <w:tc>
          <w:tcPr>
            <w:tcW w:w="1174" w:type="dxa"/>
            <w:tcBorders>
              <w:top w:val="nil"/>
              <w:left w:val="nil"/>
              <w:bottom w:val="single" w:sz="8" w:space="0" w:color="000000"/>
              <w:right w:val="single" w:sz="8" w:space="0" w:color="000000"/>
            </w:tcBorders>
            <w:shd w:val="clear" w:color="auto" w:fill="auto"/>
            <w:hideMark/>
          </w:tcPr>
          <w:p w14:paraId="012FEC3C" w14:textId="77777777" w:rsidR="00E27B52" w:rsidRPr="007F08CA" w:rsidRDefault="00E27B52" w:rsidP="00815814">
            <w:pPr>
              <w:spacing w:after="0" w:line="240" w:lineRule="auto"/>
              <w:jc w:val="center"/>
              <w:rPr>
                <w:b/>
                <w:bCs/>
                <w:color w:val="000000"/>
                <w:sz w:val="22"/>
                <w:szCs w:val="22"/>
                <w:lang w:val="en-IN" w:eastAsia="en-IN" w:bidi="gu-IN"/>
              </w:rPr>
            </w:pPr>
            <w:r w:rsidRPr="007F08CA">
              <w:rPr>
                <w:b/>
                <w:bCs/>
                <w:color w:val="000000"/>
                <w:sz w:val="22"/>
                <w:szCs w:val="22"/>
                <w:lang w:eastAsia="en-IN" w:bidi="gu-IN"/>
              </w:rPr>
              <w:t>2023</w:t>
            </w:r>
          </w:p>
        </w:tc>
        <w:tc>
          <w:tcPr>
            <w:tcW w:w="718" w:type="dxa"/>
            <w:tcBorders>
              <w:top w:val="nil"/>
              <w:left w:val="nil"/>
              <w:bottom w:val="single" w:sz="8" w:space="0" w:color="000000"/>
              <w:right w:val="single" w:sz="8" w:space="0" w:color="000000"/>
            </w:tcBorders>
            <w:shd w:val="clear" w:color="auto" w:fill="auto"/>
            <w:hideMark/>
          </w:tcPr>
          <w:p w14:paraId="26865AFE" w14:textId="77777777" w:rsidR="00E27B52" w:rsidRPr="007F08CA" w:rsidRDefault="00E27B52" w:rsidP="00815814">
            <w:pPr>
              <w:spacing w:after="0" w:line="240" w:lineRule="auto"/>
              <w:jc w:val="center"/>
              <w:rPr>
                <w:b/>
                <w:bCs/>
                <w:color w:val="000000"/>
                <w:sz w:val="22"/>
                <w:szCs w:val="22"/>
                <w:lang w:val="en-IN" w:eastAsia="en-IN" w:bidi="gu-IN"/>
              </w:rPr>
            </w:pPr>
            <w:r w:rsidRPr="007F08CA">
              <w:rPr>
                <w:b/>
                <w:bCs/>
                <w:color w:val="000000"/>
                <w:sz w:val="22"/>
                <w:szCs w:val="22"/>
                <w:lang w:eastAsia="en-IN" w:bidi="gu-IN"/>
              </w:rPr>
              <w:t>2022</w:t>
            </w:r>
          </w:p>
        </w:tc>
        <w:tc>
          <w:tcPr>
            <w:tcW w:w="718" w:type="dxa"/>
            <w:tcBorders>
              <w:top w:val="nil"/>
              <w:left w:val="nil"/>
              <w:bottom w:val="single" w:sz="8" w:space="0" w:color="000000"/>
              <w:right w:val="single" w:sz="8" w:space="0" w:color="000000"/>
            </w:tcBorders>
            <w:shd w:val="clear" w:color="auto" w:fill="auto"/>
            <w:hideMark/>
          </w:tcPr>
          <w:p w14:paraId="0B5D87A9" w14:textId="77777777" w:rsidR="00E27B52" w:rsidRPr="007F08CA" w:rsidRDefault="00E27B52" w:rsidP="00815814">
            <w:pPr>
              <w:spacing w:after="0" w:line="240" w:lineRule="auto"/>
              <w:jc w:val="center"/>
              <w:rPr>
                <w:b/>
                <w:bCs/>
                <w:color w:val="000000"/>
                <w:sz w:val="22"/>
                <w:szCs w:val="22"/>
                <w:lang w:val="en-IN" w:eastAsia="en-IN" w:bidi="gu-IN"/>
              </w:rPr>
            </w:pPr>
            <w:r w:rsidRPr="007F08CA">
              <w:rPr>
                <w:b/>
                <w:bCs/>
                <w:color w:val="000000"/>
                <w:sz w:val="22"/>
                <w:szCs w:val="22"/>
                <w:lang w:eastAsia="en-IN" w:bidi="gu-IN"/>
              </w:rPr>
              <w:t>2021</w:t>
            </w:r>
          </w:p>
        </w:tc>
        <w:tc>
          <w:tcPr>
            <w:tcW w:w="718" w:type="dxa"/>
            <w:tcBorders>
              <w:top w:val="nil"/>
              <w:left w:val="nil"/>
              <w:bottom w:val="single" w:sz="8" w:space="0" w:color="000000"/>
              <w:right w:val="single" w:sz="8" w:space="0" w:color="000000"/>
            </w:tcBorders>
            <w:shd w:val="clear" w:color="auto" w:fill="auto"/>
            <w:hideMark/>
          </w:tcPr>
          <w:p w14:paraId="1E2A2504" w14:textId="77777777" w:rsidR="00E27B52" w:rsidRPr="007F08CA" w:rsidRDefault="00E27B52" w:rsidP="00815814">
            <w:pPr>
              <w:spacing w:after="0" w:line="240" w:lineRule="auto"/>
              <w:jc w:val="center"/>
              <w:rPr>
                <w:b/>
                <w:bCs/>
                <w:color w:val="000000"/>
                <w:sz w:val="22"/>
                <w:szCs w:val="22"/>
                <w:lang w:val="en-IN" w:eastAsia="en-IN" w:bidi="gu-IN"/>
              </w:rPr>
            </w:pPr>
            <w:r w:rsidRPr="007F08CA">
              <w:rPr>
                <w:b/>
                <w:bCs/>
                <w:color w:val="000000"/>
                <w:sz w:val="22"/>
                <w:szCs w:val="22"/>
                <w:lang w:eastAsia="en-IN" w:bidi="gu-IN"/>
              </w:rPr>
              <w:t>2020</w:t>
            </w:r>
          </w:p>
        </w:tc>
        <w:tc>
          <w:tcPr>
            <w:tcW w:w="718" w:type="dxa"/>
            <w:tcBorders>
              <w:top w:val="nil"/>
              <w:left w:val="nil"/>
              <w:bottom w:val="single" w:sz="8" w:space="0" w:color="000000"/>
              <w:right w:val="single" w:sz="8" w:space="0" w:color="000000"/>
            </w:tcBorders>
            <w:shd w:val="clear" w:color="auto" w:fill="auto"/>
            <w:hideMark/>
          </w:tcPr>
          <w:p w14:paraId="51DAD8A4" w14:textId="77777777" w:rsidR="00E27B52" w:rsidRPr="007F08CA" w:rsidRDefault="00E27B52" w:rsidP="00815814">
            <w:pPr>
              <w:spacing w:after="0" w:line="240" w:lineRule="auto"/>
              <w:jc w:val="center"/>
              <w:rPr>
                <w:b/>
                <w:bCs/>
                <w:color w:val="000000"/>
                <w:sz w:val="22"/>
                <w:szCs w:val="22"/>
                <w:lang w:val="en-IN" w:eastAsia="en-IN" w:bidi="gu-IN"/>
              </w:rPr>
            </w:pPr>
            <w:r w:rsidRPr="007F08CA">
              <w:rPr>
                <w:b/>
                <w:bCs/>
                <w:color w:val="000000"/>
                <w:sz w:val="22"/>
                <w:szCs w:val="22"/>
                <w:lang w:eastAsia="en-IN" w:bidi="gu-IN"/>
              </w:rPr>
              <w:t>2019</w:t>
            </w:r>
          </w:p>
        </w:tc>
      </w:tr>
      <w:tr w:rsidR="00E27B52" w:rsidRPr="007F08CA" w14:paraId="67733F0E" w14:textId="77777777" w:rsidTr="00815814">
        <w:trPr>
          <w:trHeight w:val="1318"/>
        </w:trPr>
        <w:tc>
          <w:tcPr>
            <w:tcW w:w="992" w:type="dxa"/>
            <w:vMerge w:val="restart"/>
            <w:tcBorders>
              <w:top w:val="nil"/>
              <w:left w:val="single" w:sz="8" w:space="0" w:color="000000"/>
              <w:bottom w:val="single" w:sz="8" w:space="0" w:color="000000"/>
              <w:right w:val="single" w:sz="8" w:space="0" w:color="000000"/>
            </w:tcBorders>
            <w:shd w:val="clear" w:color="auto" w:fill="auto"/>
            <w:hideMark/>
          </w:tcPr>
          <w:p w14:paraId="046CD8CE" w14:textId="77777777" w:rsidR="00E27B52" w:rsidRPr="007F08CA" w:rsidRDefault="00E27B52" w:rsidP="00815814">
            <w:pPr>
              <w:spacing w:after="0" w:line="240" w:lineRule="auto"/>
              <w:jc w:val="center"/>
              <w:rPr>
                <w:b/>
                <w:bCs/>
                <w:color w:val="000000"/>
                <w:sz w:val="22"/>
                <w:szCs w:val="22"/>
                <w:lang w:val="en-IN" w:eastAsia="en-IN" w:bidi="gu-IN"/>
              </w:rPr>
            </w:pPr>
            <w:r w:rsidRPr="007F08CA">
              <w:rPr>
                <w:b/>
                <w:bCs/>
                <w:color w:val="000000"/>
                <w:sz w:val="22"/>
                <w:szCs w:val="22"/>
                <w:lang w:eastAsia="en-IN" w:bidi="gu-IN"/>
              </w:rPr>
              <w:t>Efficiency Ratios</w:t>
            </w:r>
          </w:p>
        </w:tc>
        <w:tc>
          <w:tcPr>
            <w:tcW w:w="993" w:type="dxa"/>
            <w:tcBorders>
              <w:top w:val="nil"/>
              <w:left w:val="nil"/>
              <w:bottom w:val="single" w:sz="8" w:space="0" w:color="000000"/>
              <w:right w:val="single" w:sz="8" w:space="0" w:color="000000"/>
            </w:tcBorders>
            <w:shd w:val="clear" w:color="auto" w:fill="auto"/>
            <w:hideMark/>
          </w:tcPr>
          <w:p w14:paraId="5EC60178" w14:textId="77777777" w:rsidR="00E27B52" w:rsidRPr="007F08CA" w:rsidRDefault="00E27B52" w:rsidP="00815814">
            <w:pPr>
              <w:spacing w:after="0" w:line="240" w:lineRule="auto"/>
              <w:jc w:val="center"/>
              <w:rPr>
                <w:color w:val="000000"/>
                <w:sz w:val="22"/>
                <w:szCs w:val="22"/>
                <w:lang w:val="en-IN" w:eastAsia="en-IN" w:bidi="gu-IN"/>
              </w:rPr>
            </w:pPr>
            <w:r w:rsidRPr="007F08CA">
              <w:rPr>
                <w:color w:val="000000"/>
                <w:sz w:val="22"/>
                <w:szCs w:val="22"/>
                <w:lang w:eastAsia="en-IN" w:bidi="gu-IN"/>
              </w:rPr>
              <w:t>1. Inventory Turnover Ratio</w:t>
            </w:r>
          </w:p>
        </w:tc>
        <w:tc>
          <w:tcPr>
            <w:tcW w:w="1417" w:type="dxa"/>
            <w:tcBorders>
              <w:top w:val="nil"/>
              <w:left w:val="nil"/>
              <w:bottom w:val="single" w:sz="8" w:space="0" w:color="000000"/>
              <w:right w:val="single" w:sz="8" w:space="0" w:color="000000"/>
            </w:tcBorders>
            <w:shd w:val="clear" w:color="auto" w:fill="auto"/>
            <w:hideMark/>
          </w:tcPr>
          <w:p w14:paraId="6D333FFE" w14:textId="77777777" w:rsidR="00E27B52" w:rsidRPr="007F08CA" w:rsidRDefault="00E27B52" w:rsidP="00815814">
            <w:pPr>
              <w:spacing w:after="0" w:line="240" w:lineRule="auto"/>
              <w:jc w:val="center"/>
              <w:rPr>
                <w:color w:val="000000"/>
                <w:sz w:val="22"/>
                <w:szCs w:val="22"/>
                <w:lang w:val="en-IN" w:eastAsia="en-IN" w:bidi="gu-IN"/>
              </w:rPr>
            </w:pPr>
            <w:r w:rsidRPr="007F08CA">
              <w:rPr>
                <w:color w:val="000000"/>
                <w:sz w:val="22"/>
                <w:szCs w:val="22"/>
                <w:lang w:eastAsia="en-IN" w:bidi="gu-IN"/>
              </w:rPr>
              <w:t>Cost of Goods Sold / Average Inventory</w:t>
            </w:r>
          </w:p>
        </w:tc>
        <w:tc>
          <w:tcPr>
            <w:tcW w:w="774" w:type="dxa"/>
            <w:tcBorders>
              <w:top w:val="nil"/>
              <w:left w:val="nil"/>
              <w:bottom w:val="single" w:sz="8" w:space="0" w:color="000000"/>
              <w:right w:val="single" w:sz="8" w:space="0" w:color="000000"/>
            </w:tcBorders>
            <w:shd w:val="clear" w:color="auto" w:fill="auto"/>
            <w:hideMark/>
          </w:tcPr>
          <w:p w14:paraId="622AE696" w14:textId="77777777" w:rsidR="00E27B52" w:rsidRPr="007F08CA" w:rsidRDefault="00E27B52" w:rsidP="00815814">
            <w:pPr>
              <w:spacing w:after="0" w:line="240" w:lineRule="auto"/>
              <w:jc w:val="center"/>
              <w:rPr>
                <w:color w:val="000000"/>
                <w:sz w:val="22"/>
                <w:szCs w:val="22"/>
                <w:lang w:val="en-IN" w:eastAsia="en-IN" w:bidi="gu-IN"/>
              </w:rPr>
            </w:pPr>
            <w:r w:rsidRPr="007F08CA">
              <w:rPr>
                <w:color w:val="000000"/>
                <w:sz w:val="22"/>
                <w:szCs w:val="22"/>
                <w:lang w:eastAsia="en-IN" w:bidi="gu-IN"/>
              </w:rPr>
              <w:t>6.73</w:t>
            </w:r>
          </w:p>
        </w:tc>
        <w:tc>
          <w:tcPr>
            <w:tcW w:w="656" w:type="dxa"/>
            <w:tcBorders>
              <w:top w:val="nil"/>
              <w:left w:val="nil"/>
              <w:bottom w:val="single" w:sz="8" w:space="0" w:color="000000"/>
              <w:right w:val="single" w:sz="8" w:space="0" w:color="000000"/>
            </w:tcBorders>
            <w:shd w:val="clear" w:color="auto" w:fill="auto"/>
            <w:hideMark/>
          </w:tcPr>
          <w:p w14:paraId="22DCF750" w14:textId="77777777" w:rsidR="00E27B52" w:rsidRPr="007F08CA" w:rsidRDefault="00E27B52" w:rsidP="00815814">
            <w:pPr>
              <w:spacing w:after="0" w:line="240" w:lineRule="auto"/>
              <w:jc w:val="center"/>
              <w:rPr>
                <w:color w:val="000000"/>
                <w:sz w:val="22"/>
                <w:szCs w:val="22"/>
                <w:lang w:val="en-IN" w:eastAsia="en-IN" w:bidi="gu-IN"/>
              </w:rPr>
            </w:pPr>
            <w:r w:rsidRPr="007F08CA">
              <w:rPr>
                <w:color w:val="000000"/>
                <w:sz w:val="22"/>
                <w:szCs w:val="22"/>
                <w:lang w:eastAsia="en-IN" w:bidi="gu-IN"/>
              </w:rPr>
              <w:t>6.05</w:t>
            </w:r>
          </w:p>
        </w:tc>
        <w:tc>
          <w:tcPr>
            <w:tcW w:w="656" w:type="dxa"/>
            <w:tcBorders>
              <w:top w:val="nil"/>
              <w:left w:val="nil"/>
              <w:bottom w:val="single" w:sz="8" w:space="0" w:color="000000"/>
              <w:right w:val="single" w:sz="8" w:space="0" w:color="000000"/>
            </w:tcBorders>
            <w:shd w:val="clear" w:color="auto" w:fill="auto"/>
            <w:hideMark/>
          </w:tcPr>
          <w:p w14:paraId="12088458" w14:textId="77777777" w:rsidR="00E27B52" w:rsidRPr="007F08CA" w:rsidRDefault="00E27B52" w:rsidP="00815814">
            <w:pPr>
              <w:spacing w:after="0" w:line="240" w:lineRule="auto"/>
              <w:jc w:val="center"/>
              <w:rPr>
                <w:color w:val="000000"/>
                <w:sz w:val="22"/>
                <w:szCs w:val="22"/>
                <w:lang w:val="en-IN" w:eastAsia="en-IN" w:bidi="gu-IN"/>
              </w:rPr>
            </w:pPr>
            <w:r w:rsidRPr="007F08CA">
              <w:rPr>
                <w:color w:val="000000"/>
                <w:sz w:val="22"/>
                <w:szCs w:val="22"/>
                <w:lang w:eastAsia="en-IN" w:bidi="gu-IN"/>
              </w:rPr>
              <w:t>6.46</w:t>
            </w:r>
          </w:p>
        </w:tc>
        <w:tc>
          <w:tcPr>
            <w:tcW w:w="656" w:type="dxa"/>
            <w:tcBorders>
              <w:top w:val="nil"/>
              <w:left w:val="nil"/>
              <w:bottom w:val="single" w:sz="8" w:space="0" w:color="000000"/>
              <w:right w:val="single" w:sz="8" w:space="0" w:color="000000"/>
            </w:tcBorders>
            <w:shd w:val="clear" w:color="auto" w:fill="auto"/>
            <w:hideMark/>
          </w:tcPr>
          <w:p w14:paraId="6BC9D3FF" w14:textId="77777777" w:rsidR="00E27B52" w:rsidRPr="007F08CA" w:rsidRDefault="00E27B52" w:rsidP="00815814">
            <w:pPr>
              <w:spacing w:after="0" w:line="240" w:lineRule="auto"/>
              <w:jc w:val="center"/>
              <w:rPr>
                <w:color w:val="000000"/>
                <w:sz w:val="22"/>
                <w:szCs w:val="22"/>
                <w:lang w:val="en-IN" w:eastAsia="en-IN" w:bidi="gu-IN"/>
              </w:rPr>
            </w:pPr>
            <w:r w:rsidRPr="007F08CA">
              <w:rPr>
                <w:color w:val="000000"/>
                <w:sz w:val="22"/>
                <w:szCs w:val="22"/>
                <w:lang w:eastAsia="en-IN" w:bidi="gu-IN"/>
              </w:rPr>
              <w:t>6.43</w:t>
            </w:r>
          </w:p>
        </w:tc>
        <w:tc>
          <w:tcPr>
            <w:tcW w:w="656" w:type="dxa"/>
            <w:tcBorders>
              <w:top w:val="nil"/>
              <w:left w:val="nil"/>
              <w:bottom w:val="single" w:sz="8" w:space="0" w:color="000000"/>
              <w:right w:val="single" w:sz="8" w:space="0" w:color="000000"/>
            </w:tcBorders>
            <w:shd w:val="clear" w:color="auto" w:fill="auto"/>
            <w:hideMark/>
          </w:tcPr>
          <w:p w14:paraId="38D6C809" w14:textId="77777777" w:rsidR="00E27B52" w:rsidRPr="007F08CA" w:rsidRDefault="00E27B52" w:rsidP="00815814">
            <w:pPr>
              <w:spacing w:after="0" w:line="240" w:lineRule="auto"/>
              <w:jc w:val="center"/>
              <w:rPr>
                <w:color w:val="000000"/>
                <w:sz w:val="22"/>
                <w:szCs w:val="22"/>
                <w:lang w:val="en-IN" w:eastAsia="en-IN" w:bidi="gu-IN"/>
              </w:rPr>
            </w:pPr>
            <w:r w:rsidRPr="007F08CA">
              <w:rPr>
                <w:color w:val="000000"/>
                <w:sz w:val="22"/>
                <w:szCs w:val="22"/>
                <w:lang w:eastAsia="en-IN" w:bidi="gu-IN"/>
              </w:rPr>
              <w:t>6.99</w:t>
            </w:r>
          </w:p>
        </w:tc>
        <w:tc>
          <w:tcPr>
            <w:tcW w:w="1174" w:type="dxa"/>
            <w:tcBorders>
              <w:top w:val="nil"/>
              <w:left w:val="nil"/>
              <w:bottom w:val="single" w:sz="8" w:space="0" w:color="000000"/>
              <w:right w:val="single" w:sz="8" w:space="0" w:color="000000"/>
            </w:tcBorders>
            <w:shd w:val="clear" w:color="auto" w:fill="auto"/>
            <w:hideMark/>
          </w:tcPr>
          <w:p w14:paraId="22C4D86A" w14:textId="77777777" w:rsidR="00E27B52" w:rsidRPr="007F08CA" w:rsidRDefault="00E27B52" w:rsidP="00815814">
            <w:pPr>
              <w:spacing w:after="0" w:line="240" w:lineRule="auto"/>
              <w:jc w:val="center"/>
              <w:rPr>
                <w:color w:val="000000"/>
                <w:sz w:val="22"/>
                <w:szCs w:val="22"/>
                <w:lang w:val="en-IN" w:eastAsia="en-IN" w:bidi="gu-IN"/>
              </w:rPr>
            </w:pPr>
            <w:r w:rsidRPr="007F08CA">
              <w:rPr>
                <w:color w:val="000000"/>
                <w:sz w:val="22"/>
                <w:szCs w:val="22"/>
                <w:lang w:eastAsia="en-IN" w:bidi="gu-IN"/>
              </w:rPr>
              <w:t>0.25</w:t>
            </w:r>
          </w:p>
        </w:tc>
        <w:tc>
          <w:tcPr>
            <w:tcW w:w="718" w:type="dxa"/>
            <w:tcBorders>
              <w:top w:val="nil"/>
              <w:left w:val="nil"/>
              <w:bottom w:val="single" w:sz="8" w:space="0" w:color="000000"/>
              <w:right w:val="single" w:sz="8" w:space="0" w:color="000000"/>
            </w:tcBorders>
            <w:shd w:val="clear" w:color="auto" w:fill="auto"/>
            <w:hideMark/>
          </w:tcPr>
          <w:p w14:paraId="74AF177F" w14:textId="77777777" w:rsidR="00E27B52" w:rsidRPr="007F08CA" w:rsidRDefault="00E27B52" w:rsidP="00815814">
            <w:pPr>
              <w:spacing w:after="0" w:line="240" w:lineRule="auto"/>
              <w:jc w:val="center"/>
              <w:rPr>
                <w:color w:val="000000"/>
                <w:sz w:val="22"/>
                <w:szCs w:val="22"/>
                <w:lang w:val="en-IN" w:eastAsia="en-IN" w:bidi="gu-IN"/>
              </w:rPr>
            </w:pPr>
            <w:r w:rsidRPr="007F08CA">
              <w:rPr>
                <w:color w:val="000000"/>
                <w:sz w:val="22"/>
                <w:szCs w:val="22"/>
                <w:lang w:eastAsia="en-IN" w:bidi="gu-IN"/>
              </w:rPr>
              <w:t>32.32</w:t>
            </w:r>
          </w:p>
        </w:tc>
        <w:tc>
          <w:tcPr>
            <w:tcW w:w="718" w:type="dxa"/>
            <w:tcBorders>
              <w:top w:val="nil"/>
              <w:left w:val="nil"/>
              <w:bottom w:val="single" w:sz="8" w:space="0" w:color="000000"/>
              <w:right w:val="single" w:sz="8" w:space="0" w:color="000000"/>
            </w:tcBorders>
            <w:shd w:val="clear" w:color="auto" w:fill="auto"/>
            <w:hideMark/>
          </w:tcPr>
          <w:p w14:paraId="7C255DCA" w14:textId="77777777" w:rsidR="00E27B52" w:rsidRPr="007F08CA" w:rsidRDefault="00E27B52" w:rsidP="00815814">
            <w:pPr>
              <w:spacing w:after="0" w:line="240" w:lineRule="auto"/>
              <w:jc w:val="center"/>
              <w:rPr>
                <w:color w:val="000000"/>
                <w:sz w:val="22"/>
                <w:szCs w:val="22"/>
                <w:lang w:val="en-IN" w:eastAsia="en-IN" w:bidi="gu-IN"/>
              </w:rPr>
            </w:pPr>
            <w:r w:rsidRPr="007F08CA">
              <w:rPr>
                <w:color w:val="000000"/>
                <w:sz w:val="22"/>
                <w:szCs w:val="22"/>
                <w:lang w:eastAsia="en-IN" w:bidi="gu-IN"/>
              </w:rPr>
              <w:t>60.02</w:t>
            </w:r>
          </w:p>
        </w:tc>
        <w:tc>
          <w:tcPr>
            <w:tcW w:w="718" w:type="dxa"/>
            <w:tcBorders>
              <w:top w:val="nil"/>
              <w:left w:val="nil"/>
              <w:bottom w:val="single" w:sz="8" w:space="0" w:color="000000"/>
              <w:right w:val="single" w:sz="8" w:space="0" w:color="000000"/>
            </w:tcBorders>
            <w:shd w:val="clear" w:color="auto" w:fill="auto"/>
            <w:hideMark/>
          </w:tcPr>
          <w:p w14:paraId="408C1BEC" w14:textId="77777777" w:rsidR="00E27B52" w:rsidRPr="007F08CA" w:rsidRDefault="00E27B52" w:rsidP="00815814">
            <w:pPr>
              <w:spacing w:after="0" w:line="240" w:lineRule="auto"/>
              <w:jc w:val="center"/>
              <w:rPr>
                <w:color w:val="000000"/>
                <w:sz w:val="22"/>
                <w:szCs w:val="22"/>
                <w:lang w:val="en-IN" w:eastAsia="en-IN" w:bidi="gu-IN"/>
              </w:rPr>
            </w:pPr>
            <w:r w:rsidRPr="007F08CA">
              <w:rPr>
                <w:color w:val="000000"/>
                <w:sz w:val="22"/>
                <w:szCs w:val="22"/>
                <w:lang w:eastAsia="en-IN" w:bidi="gu-IN"/>
              </w:rPr>
              <w:t>30.3</w:t>
            </w:r>
          </w:p>
        </w:tc>
        <w:tc>
          <w:tcPr>
            <w:tcW w:w="718" w:type="dxa"/>
            <w:tcBorders>
              <w:top w:val="nil"/>
              <w:left w:val="nil"/>
              <w:bottom w:val="single" w:sz="8" w:space="0" w:color="000000"/>
              <w:right w:val="single" w:sz="8" w:space="0" w:color="000000"/>
            </w:tcBorders>
            <w:shd w:val="clear" w:color="auto" w:fill="auto"/>
            <w:hideMark/>
          </w:tcPr>
          <w:p w14:paraId="5A180B38" w14:textId="77777777" w:rsidR="00E27B52" w:rsidRPr="007F08CA" w:rsidRDefault="00E27B52" w:rsidP="00815814">
            <w:pPr>
              <w:spacing w:after="0" w:line="240" w:lineRule="auto"/>
              <w:jc w:val="center"/>
              <w:rPr>
                <w:color w:val="000000"/>
                <w:sz w:val="22"/>
                <w:szCs w:val="22"/>
                <w:lang w:val="en-IN" w:eastAsia="en-IN" w:bidi="gu-IN"/>
              </w:rPr>
            </w:pPr>
            <w:r w:rsidRPr="007F08CA">
              <w:rPr>
                <w:color w:val="000000"/>
                <w:sz w:val="22"/>
                <w:szCs w:val="22"/>
                <w:lang w:eastAsia="en-IN" w:bidi="gu-IN"/>
              </w:rPr>
              <w:t>28.38</w:t>
            </w:r>
          </w:p>
        </w:tc>
      </w:tr>
      <w:tr w:rsidR="00E27B52" w:rsidRPr="007F08CA" w14:paraId="38F311B7" w14:textId="77777777" w:rsidTr="00815814">
        <w:trPr>
          <w:trHeight w:val="1840"/>
        </w:trPr>
        <w:tc>
          <w:tcPr>
            <w:tcW w:w="992" w:type="dxa"/>
            <w:vMerge/>
            <w:tcBorders>
              <w:top w:val="nil"/>
              <w:left w:val="single" w:sz="8" w:space="0" w:color="000000"/>
              <w:bottom w:val="single" w:sz="8" w:space="0" w:color="000000"/>
              <w:right w:val="single" w:sz="8" w:space="0" w:color="000000"/>
            </w:tcBorders>
            <w:vAlign w:val="center"/>
            <w:hideMark/>
          </w:tcPr>
          <w:p w14:paraId="4B46E283" w14:textId="77777777" w:rsidR="00E27B52" w:rsidRPr="007F08CA" w:rsidRDefault="00E27B52" w:rsidP="00815814">
            <w:pPr>
              <w:spacing w:after="0" w:line="240" w:lineRule="auto"/>
              <w:jc w:val="left"/>
              <w:rPr>
                <w:b/>
                <w:bCs/>
                <w:color w:val="000000"/>
                <w:sz w:val="22"/>
                <w:szCs w:val="22"/>
                <w:lang w:val="en-IN" w:eastAsia="en-IN" w:bidi="gu-IN"/>
              </w:rPr>
            </w:pPr>
          </w:p>
        </w:tc>
        <w:tc>
          <w:tcPr>
            <w:tcW w:w="993" w:type="dxa"/>
            <w:tcBorders>
              <w:top w:val="nil"/>
              <w:left w:val="nil"/>
              <w:bottom w:val="single" w:sz="8" w:space="0" w:color="000000"/>
              <w:right w:val="single" w:sz="8" w:space="0" w:color="000000"/>
            </w:tcBorders>
            <w:shd w:val="clear" w:color="auto" w:fill="auto"/>
            <w:hideMark/>
          </w:tcPr>
          <w:p w14:paraId="796CA10A" w14:textId="77777777" w:rsidR="00E27B52" w:rsidRPr="007F08CA" w:rsidRDefault="00E27B52" w:rsidP="00815814">
            <w:pPr>
              <w:spacing w:after="0" w:line="240" w:lineRule="auto"/>
              <w:jc w:val="center"/>
              <w:rPr>
                <w:color w:val="000000"/>
                <w:sz w:val="22"/>
                <w:szCs w:val="22"/>
                <w:lang w:val="en-IN" w:eastAsia="en-IN" w:bidi="gu-IN"/>
              </w:rPr>
            </w:pPr>
            <w:r w:rsidRPr="007F08CA">
              <w:rPr>
                <w:color w:val="000000"/>
                <w:sz w:val="22"/>
                <w:szCs w:val="22"/>
                <w:lang w:eastAsia="en-IN" w:bidi="gu-IN"/>
              </w:rPr>
              <w:t>2. Accounts Receivable Turnover Ratio</w:t>
            </w:r>
          </w:p>
        </w:tc>
        <w:tc>
          <w:tcPr>
            <w:tcW w:w="1417" w:type="dxa"/>
            <w:tcBorders>
              <w:top w:val="nil"/>
              <w:left w:val="nil"/>
              <w:bottom w:val="single" w:sz="8" w:space="0" w:color="000000"/>
              <w:right w:val="single" w:sz="8" w:space="0" w:color="000000"/>
            </w:tcBorders>
            <w:shd w:val="clear" w:color="auto" w:fill="auto"/>
            <w:hideMark/>
          </w:tcPr>
          <w:p w14:paraId="576AFA96" w14:textId="77777777" w:rsidR="00E27B52" w:rsidRPr="007F08CA" w:rsidRDefault="00E27B52" w:rsidP="00815814">
            <w:pPr>
              <w:spacing w:after="0" w:line="240" w:lineRule="auto"/>
              <w:jc w:val="center"/>
              <w:rPr>
                <w:color w:val="000000"/>
                <w:sz w:val="22"/>
                <w:szCs w:val="22"/>
                <w:lang w:val="en-IN" w:eastAsia="en-IN" w:bidi="gu-IN"/>
              </w:rPr>
            </w:pPr>
            <w:r w:rsidRPr="007F08CA">
              <w:rPr>
                <w:color w:val="000000"/>
                <w:sz w:val="22"/>
                <w:szCs w:val="22"/>
                <w:lang w:eastAsia="en-IN" w:bidi="gu-IN"/>
              </w:rPr>
              <w:t>Net Credit Sales / Average Accounts Receivable</w:t>
            </w:r>
          </w:p>
        </w:tc>
        <w:tc>
          <w:tcPr>
            <w:tcW w:w="774" w:type="dxa"/>
            <w:tcBorders>
              <w:top w:val="nil"/>
              <w:left w:val="nil"/>
              <w:bottom w:val="single" w:sz="8" w:space="0" w:color="000000"/>
              <w:right w:val="single" w:sz="8" w:space="0" w:color="000000"/>
            </w:tcBorders>
            <w:shd w:val="clear" w:color="auto" w:fill="auto"/>
            <w:hideMark/>
          </w:tcPr>
          <w:p w14:paraId="3E1C335F" w14:textId="77777777" w:rsidR="00E27B52" w:rsidRPr="007F08CA" w:rsidRDefault="00E27B52" w:rsidP="00815814">
            <w:pPr>
              <w:spacing w:after="0" w:line="240" w:lineRule="auto"/>
              <w:jc w:val="center"/>
              <w:rPr>
                <w:rFonts w:ascii="Calibri" w:hAnsi="Calibri" w:cs="Calibri"/>
                <w:color w:val="000000"/>
                <w:sz w:val="22"/>
                <w:szCs w:val="22"/>
                <w:lang w:val="en-IN" w:eastAsia="en-IN" w:bidi="gu-IN"/>
              </w:rPr>
            </w:pPr>
            <w:r w:rsidRPr="007F08CA">
              <w:rPr>
                <w:rFonts w:ascii="Calibri" w:hAnsi="Calibri" w:cs="Calibri"/>
                <w:color w:val="000000"/>
                <w:sz w:val="22"/>
                <w:szCs w:val="22"/>
                <w:lang w:eastAsia="en-IN" w:bidi="gu-IN"/>
              </w:rPr>
              <w:t>2.57</w:t>
            </w:r>
          </w:p>
        </w:tc>
        <w:tc>
          <w:tcPr>
            <w:tcW w:w="656" w:type="dxa"/>
            <w:tcBorders>
              <w:top w:val="nil"/>
              <w:left w:val="nil"/>
              <w:bottom w:val="single" w:sz="8" w:space="0" w:color="000000"/>
              <w:right w:val="single" w:sz="8" w:space="0" w:color="000000"/>
            </w:tcBorders>
            <w:shd w:val="clear" w:color="auto" w:fill="auto"/>
            <w:hideMark/>
          </w:tcPr>
          <w:p w14:paraId="5AEB860C" w14:textId="77777777" w:rsidR="00E27B52" w:rsidRPr="007F08CA" w:rsidRDefault="00E27B52" w:rsidP="00815814">
            <w:pPr>
              <w:spacing w:after="0" w:line="240" w:lineRule="auto"/>
              <w:jc w:val="center"/>
              <w:rPr>
                <w:rFonts w:ascii="Calibri" w:hAnsi="Calibri" w:cs="Calibri"/>
                <w:color w:val="000000"/>
                <w:sz w:val="22"/>
                <w:szCs w:val="22"/>
                <w:lang w:val="en-IN" w:eastAsia="en-IN" w:bidi="gu-IN"/>
              </w:rPr>
            </w:pPr>
            <w:r w:rsidRPr="007F08CA">
              <w:rPr>
                <w:rFonts w:ascii="Calibri" w:hAnsi="Calibri" w:cs="Calibri"/>
                <w:color w:val="000000"/>
                <w:sz w:val="22"/>
                <w:szCs w:val="22"/>
                <w:lang w:eastAsia="en-IN" w:bidi="gu-IN"/>
              </w:rPr>
              <w:t>2.44</w:t>
            </w:r>
          </w:p>
        </w:tc>
        <w:tc>
          <w:tcPr>
            <w:tcW w:w="656" w:type="dxa"/>
            <w:tcBorders>
              <w:top w:val="nil"/>
              <w:left w:val="nil"/>
              <w:bottom w:val="single" w:sz="8" w:space="0" w:color="000000"/>
              <w:right w:val="single" w:sz="8" w:space="0" w:color="000000"/>
            </w:tcBorders>
            <w:shd w:val="clear" w:color="auto" w:fill="auto"/>
            <w:hideMark/>
          </w:tcPr>
          <w:p w14:paraId="18825F97" w14:textId="77777777" w:rsidR="00E27B52" w:rsidRPr="007F08CA" w:rsidRDefault="00E27B52" w:rsidP="00815814">
            <w:pPr>
              <w:spacing w:after="0" w:line="240" w:lineRule="auto"/>
              <w:jc w:val="center"/>
              <w:rPr>
                <w:rFonts w:ascii="Calibri" w:hAnsi="Calibri" w:cs="Calibri"/>
                <w:color w:val="000000"/>
                <w:sz w:val="22"/>
                <w:szCs w:val="22"/>
                <w:lang w:val="en-IN" w:eastAsia="en-IN" w:bidi="gu-IN"/>
              </w:rPr>
            </w:pPr>
            <w:r w:rsidRPr="007F08CA">
              <w:rPr>
                <w:rFonts w:ascii="Calibri" w:hAnsi="Calibri" w:cs="Calibri"/>
                <w:color w:val="000000"/>
                <w:sz w:val="22"/>
                <w:szCs w:val="22"/>
                <w:lang w:eastAsia="en-IN" w:bidi="gu-IN"/>
              </w:rPr>
              <w:t>2.48</w:t>
            </w:r>
          </w:p>
        </w:tc>
        <w:tc>
          <w:tcPr>
            <w:tcW w:w="656" w:type="dxa"/>
            <w:tcBorders>
              <w:top w:val="nil"/>
              <w:left w:val="nil"/>
              <w:bottom w:val="single" w:sz="8" w:space="0" w:color="000000"/>
              <w:right w:val="single" w:sz="8" w:space="0" w:color="000000"/>
            </w:tcBorders>
            <w:shd w:val="clear" w:color="auto" w:fill="auto"/>
            <w:hideMark/>
          </w:tcPr>
          <w:p w14:paraId="5C99E68A" w14:textId="77777777" w:rsidR="00E27B52" w:rsidRPr="007F08CA" w:rsidRDefault="00E27B52" w:rsidP="00815814">
            <w:pPr>
              <w:spacing w:after="0" w:line="240" w:lineRule="auto"/>
              <w:jc w:val="center"/>
              <w:rPr>
                <w:rFonts w:ascii="Calibri" w:hAnsi="Calibri" w:cs="Calibri"/>
                <w:color w:val="000000"/>
                <w:sz w:val="22"/>
                <w:szCs w:val="22"/>
                <w:lang w:val="en-IN" w:eastAsia="en-IN" w:bidi="gu-IN"/>
              </w:rPr>
            </w:pPr>
            <w:r w:rsidRPr="007F08CA">
              <w:rPr>
                <w:rFonts w:ascii="Calibri" w:hAnsi="Calibri" w:cs="Calibri"/>
                <w:color w:val="000000"/>
                <w:sz w:val="22"/>
                <w:szCs w:val="22"/>
                <w:lang w:eastAsia="en-IN" w:bidi="gu-IN"/>
              </w:rPr>
              <w:t>2.44</w:t>
            </w:r>
          </w:p>
        </w:tc>
        <w:tc>
          <w:tcPr>
            <w:tcW w:w="656" w:type="dxa"/>
            <w:tcBorders>
              <w:top w:val="nil"/>
              <w:left w:val="nil"/>
              <w:bottom w:val="single" w:sz="8" w:space="0" w:color="000000"/>
              <w:right w:val="single" w:sz="8" w:space="0" w:color="000000"/>
            </w:tcBorders>
            <w:shd w:val="clear" w:color="auto" w:fill="auto"/>
            <w:hideMark/>
          </w:tcPr>
          <w:p w14:paraId="172E2F4D" w14:textId="77777777" w:rsidR="00E27B52" w:rsidRPr="007F08CA" w:rsidRDefault="00E27B52" w:rsidP="00815814">
            <w:pPr>
              <w:spacing w:after="0" w:line="240" w:lineRule="auto"/>
              <w:jc w:val="center"/>
              <w:rPr>
                <w:rFonts w:ascii="Calibri" w:hAnsi="Calibri" w:cs="Calibri"/>
                <w:color w:val="000000"/>
                <w:sz w:val="22"/>
                <w:szCs w:val="22"/>
                <w:lang w:val="en-IN" w:eastAsia="en-IN" w:bidi="gu-IN"/>
              </w:rPr>
            </w:pPr>
            <w:r w:rsidRPr="007F08CA">
              <w:rPr>
                <w:rFonts w:ascii="Calibri" w:hAnsi="Calibri" w:cs="Calibri"/>
                <w:color w:val="000000"/>
                <w:sz w:val="22"/>
                <w:szCs w:val="22"/>
                <w:lang w:eastAsia="en-IN" w:bidi="gu-IN"/>
              </w:rPr>
              <w:t>1.87</w:t>
            </w:r>
          </w:p>
        </w:tc>
        <w:tc>
          <w:tcPr>
            <w:tcW w:w="1174" w:type="dxa"/>
            <w:tcBorders>
              <w:top w:val="nil"/>
              <w:left w:val="nil"/>
              <w:bottom w:val="single" w:sz="8" w:space="0" w:color="000000"/>
              <w:right w:val="single" w:sz="8" w:space="0" w:color="000000"/>
            </w:tcBorders>
            <w:shd w:val="clear" w:color="auto" w:fill="auto"/>
            <w:hideMark/>
          </w:tcPr>
          <w:p w14:paraId="61D9576A" w14:textId="77777777" w:rsidR="00E27B52" w:rsidRPr="007F08CA" w:rsidRDefault="00E27B52" w:rsidP="00815814">
            <w:pPr>
              <w:spacing w:after="0" w:line="240" w:lineRule="auto"/>
              <w:jc w:val="center"/>
              <w:rPr>
                <w:rFonts w:ascii="Calibri" w:hAnsi="Calibri" w:cs="Calibri"/>
                <w:color w:val="000000"/>
                <w:sz w:val="22"/>
                <w:szCs w:val="22"/>
                <w:lang w:val="en-IN" w:eastAsia="en-IN" w:bidi="gu-IN"/>
              </w:rPr>
            </w:pPr>
            <w:r w:rsidRPr="007F08CA">
              <w:rPr>
                <w:rFonts w:ascii="Calibri" w:hAnsi="Calibri" w:cs="Calibri"/>
                <w:color w:val="000000"/>
                <w:sz w:val="22"/>
                <w:szCs w:val="22"/>
                <w:lang w:eastAsia="en-IN" w:bidi="gu-IN"/>
              </w:rPr>
              <w:t>17.19</w:t>
            </w:r>
          </w:p>
        </w:tc>
        <w:tc>
          <w:tcPr>
            <w:tcW w:w="718" w:type="dxa"/>
            <w:tcBorders>
              <w:top w:val="nil"/>
              <w:left w:val="nil"/>
              <w:bottom w:val="single" w:sz="8" w:space="0" w:color="000000"/>
              <w:right w:val="single" w:sz="8" w:space="0" w:color="000000"/>
            </w:tcBorders>
            <w:shd w:val="clear" w:color="auto" w:fill="auto"/>
            <w:hideMark/>
          </w:tcPr>
          <w:p w14:paraId="69FB716B" w14:textId="77777777" w:rsidR="00E27B52" w:rsidRPr="007F08CA" w:rsidRDefault="00E27B52" w:rsidP="00815814">
            <w:pPr>
              <w:spacing w:after="0" w:line="240" w:lineRule="auto"/>
              <w:jc w:val="center"/>
              <w:rPr>
                <w:rFonts w:ascii="Calibri" w:hAnsi="Calibri" w:cs="Calibri"/>
                <w:color w:val="000000"/>
                <w:sz w:val="22"/>
                <w:szCs w:val="22"/>
                <w:lang w:val="en-IN" w:eastAsia="en-IN" w:bidi="gu-IN"/>
              </w:rPr>
            </w:pPr>
            <w:r w:rsidRPr="007F08CA">
              <w:rPr>
                <w:rFonts w:ascii="Calibri" w:hAnsi="Calibri" w:cs="Calibri"/>
                <w:color w:val="000000"/>
                <w:sz w:val="22"/>
                <w:szCs w:val="22"/>
                <w:lang w:eastAsia="en-IN" w:bidi="gu-IN"/>
              </w:rPr>
              <w:t>631.5</w:t>
            </w:r>
          </w:p>
        </w:tc>
        <w:tc>
          <w:tcPr>
            <w:tcW w:w="718" w:type="dxa"/>
            <w:tcBorders>
              <w:top w:val="nil"/>
              <w:left w:val="nil"/>
              <w:bottom w:val="single" w:sz="8" w:space="0" w:color="000000"/>
              <w:right w:val="single" w:sz="8" w:space="0" w:color="000000"/>
            </w:tcBorders>
            <w:shd w:val="clear" w:color="auto" w:fill="auto"/>
            <w:hideMark/>
          </w:tcPr>
          <w:p w14:paraId="6E3B15FF" w14:textId="77777777" w:rsidR="00E27B52" w:rsidRPr="007F08CA" w:rsidRDefault="00E27B52" w:rsidP="00815814">
            <w:pPr>
              <w:spacing w:after="0" w:line="240" w:lineRule="auto"/>
              <w:jc w:val="center"/>
              <w:rPr>
                <w:rFonts w:ascii="Calibri" w:hAnsi="Calibri" w:cs="Calibri"/>
                <w:color w:val="000000"/>
                <w:sz w:val="22"/>
                <w:szCs w:val="22"/>
                <w:lang w:val="en-IN" w:eastAsia="en-IN" w:bidi="gu-IN"/>
              </w:rPr>
            </w:pPr>
            <w:r w:rsidRPr="007F08CA">
              <w:rPr>
                <w:rFonts w:ascii="Calibri" w:hAnsi="Calibri" w:cs="Calibri"/>
                <w:color w:val="000000"/>
                <w:sz w:val="22"/>
                <w:szCs w:val="22"/>
                <w:lang w:eastAsia="en-IN" w:bidi="gu-IN"/>
              </w:rPr>
              <w:t>13.36</w:t>
            </w:r>
          </w:p>
        </w:tc>
        <w:tc>
          <w:tcPr>
            <w:tcW w:w="718" w:type="dxa"/>
            <w:tcBorders>
              <w:top w:val="nil"/>
              <w:left w:val="nil"/>
              <w:bottom w:val="single" w:sz="8" w:space="0" w:color="000000"/>
              <w:right w:val="single" w:sz="8" w:space="0" w:color="000000"/>
            </w:tcBorders>
            <w:shd w:val="clear" w:color="auto" w:fill="auto"/>
            <w:hideMark/>
          </w:tcPr>
          <w:p w14:paraId="6BC7C8B3" w14:textId="77777777" w:rsidR="00E27B52" w:rsidRPr="007F08CA" w:rsidRDefault="00E27B52" w:rsidP="00815814">
            <w:pPr>
              <w:spacing w:after="0" w:line="240" w:lineRule="auto"/>
              <w:jc w:val="center"/>
              <w:rPr>
                <w:rFonts w:ascii="Calibri" w:hAnsi="Calibri" w:cs="Calibri"/>
                <w:color w:val="000000"/>
                <w:sz w:val="22"/>
                <w:szCs w:val="22"/>
                <w:lang w:val="en-IN" w:eastAsia="en-IN" w:bidi="gu-IN"/>
              </w:rPr>
            </w:pPr>
            <w:r w:rsidRPr="007F08CA">
              <w:rPr>
                <w:rFonts w:ascii="Calibri" w:hAnsi="Calibri" w:cs="Calibri"/>
                <w:color w:val="000000"/>
                <w:sz w:val="22"/>
                <w:szCs w:val="22"/>
                <w:lang w:eastAsia="en-IN" w:bidi="gu-IN"/>
              </w:rPr>
              <w:t>13.96</w:t>
            </w:r>
          </w:p>
        </w:tc>
        <w:tc>
          <w:tcPr>
            <w:tcW w:w="718" w:type="dxa"/>
            <w:tcBorders>
              <w:top w:val="nil"/>
              <w:left w:val="nil"/>
              <w:bottom w:val="single" w:sz="8" w:space="0" w:color="000000"/>
              <w:right w:val="single" w:sz="8" w:space="0" w:color="000000"/>
            </w:tcBorders>
            <w:shd w:val="clear" w:color="auto" w:fill="auto"/>
            <w:hideMark/>
          </w:tcPr>
          <w:p w14:paraId="6A6B7EF9" w14:textId="77777777" w:rsidR="00E27B52" w:rsidRPr="007F08CA" w:rsidRDefault="00E27B52" w:rsidP="00815814">
            <w:pPr>
              <w:spacing w:after="0" w:line="240" w:lineRule="auto"/>
              <w:jc w:val="center"/>
              <w:rPr>
                <w:rFonts w:ascii="Calibri" w:hAnsi="Calibri" w:cs="Calibri"/>
                <w:color w:val="000000"/>
                <w:sz w:val="22"/>
                <w:szCs w:val="22"/>
                <w:lang w:val="en-IN" w:eastAsia="en-IN" w:bidi="gu-IN"/>
              </w:rPr>
            </w:pPr>
            <w:r w:rsidRPr="007F08CA">
              <w:rPr>
                <w:rFonts w:ascii="Calibri" w:hAnsi="Calibri" w:cs="Calibri"/>
                <w:color w:val="000000"/>
                <w:sz w:val="22"/>
                <w:szCs w:val="22"/>
                <w:lang w:eastAsia="en-IN" w:bidi="gu-IN"/>
              </w:rPr>
              <w:t>16.35</w:t>
            </w:r>
          </w:p>
        </w:tc>
      </w:tr>
    </w:tbl>
    <w:p w14:paraId="5FFB6B9A" w14:textId="130F7CA1" w:rsidR="00E27B52" w:rsidRDefault="00254DDC" w:rsidP="00E27B52">
      <w:pPr>
        <w:rPr>
          <w:b/>
          <w:i/>
        </w:rPr>
      </w:pPr>
      <w:bookmarkStart w:id="5" w:name="_Hlk174221391"/>
      <w:r>
        <w:rPr>
          <w:b/>
          <w:i/>
        </w:rPr>
        <w:t xml:space="preserve">4. </w:t>
      </w:r>
      <w:r w:rsidR="00E27B52">
        <w:rPr>
          <w:b/>
          <w:i/>
        </w:rPr>
        <w:t>Efficiency Ratios</w:t>
      </w:r>
    </w:p>
    <w:bookmarkEnd w:id="5"/>
    <w:p w14:paraId="4B5BCFC8" w14:textId="77777777" w:rsidR="00E27B52" w:rsidRDefault="00E27B52" w:rsidP="00E27B52">
      <w:pPr>
        <w:rPr>
          <w:b/>
          <w:i/>
        </w:rPr>
      </w:pPr>
    </w:p>
    <w:p w14:paraId="1C3F0785" w14:textId="77777777" w:rsidR="00E27B52" w:rsidRDefault="00E27B52" w:rsidP="00E27B52"/>
    <w:p w14:paraId="39104751" w14:textId="77777777" w:rsidR="00E27B52" w:rsidRDefault="00E27B52" w:rsidP="00E27B52">
      <w:r>
        <w:t>Efficiency ratios let one assess how well a company makes use of its resources to generate sales and regulate operations. The accounts receivable turnover ratio and the inventory turnover ratio are two rather significant efficiency ratios that help one to grasp credit sales performance and inventory management.</w:t>
      </w:r>
    </w:p>
    <w:p w14:paraId="408CCBA3" w14:textId="77777777" w:rsidR="00E27B52" w:rsidRDefault="00E27B52" w:rsidP="00E27B52">
      <w:r>
        <w:lastRenderedPageBreak/>
        <w:t>Inventory turnover ratio depicts a company's inventory frequency replacing sales frequency over time. Strong inventory management, demonstrated by a larger share, helps the organization turn assets into profits (</w:t>
      </w:r>
      <w:proofErr w:type="spellStart"/>
      <w:r>
        <w:t>Panigrahi</w:t>
      </w:r>
      <w:proofErr w:type="spellEnd"/>
      <w:r>
        <w:t xml:space="preserve"> </w:t>
      </w:r>
      <w:r>
        <w:rPr>
          <w:i/>
        </w:rPr>
        <w:t>et al.</w:t>
      </w:r>
      <w:r>
        <w:t xml:space="preserve"> 2021). From 2019 to 2023, Unilever's Inventory Turnover Ratio was 6.43–6.99. From 6.99 in 2019 to 6.73 in 2023, the little decline suggests weaker sales or higher inventory levels, slowing inventory turnover. Procter and Gamble (P&amp;G) has extreme volatility, with a 2023 ratio of 0.25, down from 32.32 in 2022 and 60.02 in 2021. Given the large decline in 2023, which may suggest overstocking or decreasing sales, such volatility may signify huge sales volume or inventory management adjustments.</w:t>
      </w:r>
    </w:p>
    <w:p w14:paraId="746D048D" w14:textId="77777777" w:rsidR="00E27B52" w:rsidRDefault="00E27B52" w:rsidP="00E27B52">
      <w:r>
        <w:t xml:space="preserve">Net credit sales divided by average AR yields a </w:t>
      </w:r>
      <w:proofErr w:type="spellStart"/>
      <w:r>
        <w:t>turn over</w:t>
      </w:r>
      <w:proofErr w:type="spellEnd"/>
      <w:r>
        <w:t xml:space="preserve"> ratio. This ratio measures credit sales-based company revenue gathering effectiveness. More percentage points mean better credit management and faster receivables collection. Unilever's accounts receivable turnover ratio increased from 1.87 in 2019 to 2.57 in 2023, indicating improved receivable collection. P&amp;G maintains good values, but its ratio drops to 17.19 in 2023 from 6.31 in 2022. Extreme volatility in credit sales or accounts receivable management in 2022 may indicate speedy collection or a substantial fall in receivables.</w:t>
      </w:r>
    </w:p>
    <w:p w14:paraId="15549B59" w14:textId="77777777" w:rsidR="00E27B52" w:rsidRDefault="00E27B52" w:rsidP="00E27B52">
      <w:r>
        <w:t>Ratios of kind have a big impact on P&amp;G and Unilever. Unilever's consistent but rather declining Inventory Turnover Ratio guides on the need of better inventory control to avoid overstocking and ensure efficient sales (Malik, 2023). The better accounts receivable turnover ratio indicates increased efficiency in collecting receivables, which may assist to increase cash flow and reduce bad debt risk. Unilever should focus on maintaining good inventory levels and continuous improvement of receivables management if it wants to raise overall operational efficiency.</w:t>
      </w:r>
    </w:p>
    <w:p w14:paraId="69D85E33" w14:textId="77777777" w:rsidR="00E27B52" w:rsidRDefault="00E27B52" w:rsidP="00E27B52">
      <w:r>
        <w:t>The major changes in both ratios jeopardize operational stability and efficiency for P&amp;G. The abrupt drop in the Inventory Turnover Ratio to 0.25 in 2023 indicates declining sales or most likely overstocking, which would tie down capital and increase storage costs. Variations in the accounts receivable turnover % indicate variations in credit sales management and collection efficiency, therefore influencing cash flow stability. P&amp;G has to overcome these issues by reducing inventory levels, simplifying sales methods, and improving receivables management if it is to assure improved operations and financial stability (Rosario, 2022).</w:t>
      </w:r>
    </w:p>
    <w:p w14:paraId="2CA2C590" w14:textId="77777777" w:rsidR="00E27B52" w:rsidRDefault="00E27B52" w:rsidP="00E27B52">
      <w:r>
        <w:lastRenderedPageBreak/>
        <w:t>Unilever's very consistent efficiency ratios highlight the requirement of continuous inventory management and receivables collection to preserve and improve operational performance. The obvious fluctuations at P&amp;G lead to serious issues with inventory control and credit sales management, which need deliberate steps to balance and improve efficacy. Both companies have to modify their operating strategies to maximize asset utilization and ensure effective management of inventory and receivables, thus improving the total financial performance and efficiency.</w:t>
      </w:r>
    </w:p>
    <w:p w14:paraId="7B81E287" w14:textId="312AD5AB" w:rsidR="00E27B52" w:rsidRDefault="00254DDC" w:rsidP="00E27B52">
      <w:pPr>
        <w:rPr>
          <w:b/>
          <w:i/>
        </w:rPr>
      </w:pPr>
      <w:bookmarkStart w:id="6" w:name="_Hlk174221401"/>
      <w:r>
        <w:rPr>
          <w:b/>
          <w:i/>
        </w:rPr>
        <w:t xml:space="preserve">5. </w:t>
      </w:r>
      <w:r w:rsidR="00E27B52">
        <w:rPr>
          <w:b/>
          <w:i/>
        </w:rPr>
        <w:t>Recommendations</w:t>
      </w:r>
    </w:p>
    <w:p w14:paraId="40DC3E3E" w14:textId="28854EAA" w:rsidR="00E27B52" w:rsidRDefault="00254DDC" w:rsidP="00E27B52">
      <w:bookmarkStart w:id="7" w:name="_Hlk174221412"/>
      <w:bookmarkEnd w:id="6"/>
      <w:r>
        <w:rPr>
          <w:b/>
          <w:u w:val="single"/>
        </w:rPr>
        <w:t xml:space="preserve">5.1 </w:t>
      </w:r>
      <w:r w:rsidR="00E27B52">
        <w:rPr>
          <w:b/>
          <w:u w:val="single"/>
        </w:rPr>
        <w:t>Inventory Management:</w:t>
      </w:r>
      <w:r w:rsidR="00E27B52">
        <w:t xml:space="preserve"> </w:t>
      </w:r>
      <w:bookmarkEnd w:id="7"/>
      <w:r w:rsidR="00E27B52">
        <w:t xml:space="preserve">This ratio depicts that Unilever’s Inventory Turnover Ratio is somewhat low, this might indicate over inventory or slow turnover. </w:t>
      </w:r>
      <w:proofErr w:type="gramStart"/>
      <w:r w:rsidR="00E27B52">
        <w:t>Therefore</w:t>
      </w:r>
      <w:proofErr w:type="gramEnd"/>
      <w:r w:rsidR="00E27B52">
        <w:t xml:space="preserve"> the organization should adopt and upgrade its inventory management systems and adopt Just in time (JIT) inventory of lean solution inventories. They can also assist in controlling the amounts of excess inventory, decreasing holding costs, and simply making sure that available inventory is what is more popular in the market today (</w:t>
      </w:r>
      <w:proofErr w:type="spellStart"/>
      <w:r w:rsidR="00E27B52">
        <w:t>Karani</w:t>
      </w:r>
      <w:proofErr w:type="spellEnd"/>
      <w:r w:rsidR="00E27B52">
        <w:t>, 2022).</w:t>
      </w:r>
    </w:p>
    <w:p w14:paraId="5C4CAB43" w14:textId="5C65648C" w:rsidR="00E27B52" w:rsidRDefault="00254DDC" w:rsidP="00E27B52">
      <w:bookmarkStart w:id="8" w:name="_Hlk174221422"/>
      <w:r>
        <w:rPr>
          <w:b/>
          <w:u w:val="single"/>
        </w:rPr>
        <w:t xml:space="preserve">5.2 </w:t>
      </w:r>
      <w:r w:rsidR="00E27B52">
        <w:rPr>
          <w:b/>
          <w:u w:val="single"/>
        </w:rPr>
        <w:t>Receivables Collection:</w:t>
      </w:r>
      <w:r w:rsidR="00E27B52">
        <w:t xml:space="preserve"> </w:t>
      </w:r>
      <w:bookmarkEnd w:id="8"/>
      <w:r w:rsidR="00E27B52">
        <w:t>The aspect of improving in Account Receivable Turnover Ratio of Unilever shows a better picture gradually. Although the mentioned approaches help enhance students’ performance significantly, there is still potential for improvement. The strategic apex of this company needs to strengthen credit policies and may include the recommendations of strict credit authorization and rebates for early payments. Another way to control the average collection period is through the use of enhanced receivables management software since it has the capability to enhance the physical collection process.</w:t>
      </w:r>
    </w:p>
    <w:p w14:paraId="045301E9" w14:textId="42D297DF" w:rsidR="00E27B52" w:rsidRDefault="00254DDC" w:rsidP="00E27B52">
      <w:bookmarkStart w:id="9" w:name="_Hlk174221434"/>
      <w:r>
        <w:rPr>
          <w:b/>
          <w:u w:val="single"/>
        </w:rPr>
        <w:t xml:space="preserve">5.3 </w:t>
      </w:r>
      <w:r w:rsidR="00E27B52">
        <w:rPr>
          <w:b/>
          <w:u w:val="single"/>
        </w:rPr>
        <w:t>Debt Management:</w:t>
      </w:r>
      <w:r w:rsidR="00E27B52">
        <w:t xml:space="preserve"> </w:t>
      </w:r>
      <w:bookmarkEnd w:id="9"/>
      <w:r w:rsidR="00E27B52">
        <w:t xml:space="preserve">Unilever also has a high Debt-to-Equity Ratio which implies a lot of debt financing is used and this can be very dangerous especially when the economic conditions are unfavorable. Leverage also has to be managed by either refinancing high-interest, by issuing more equity or by using retained earnings to pay down the debt. This will cut down on the interest expenses thus reducing the firms’ financial risk (Barnes </w:t>
      </w:r>
      <w:r w:rsidR="00E27B52">
        <w:rPr>
          <w:i/>
        </w:rPr>
        <w:t>et al.</w:t>
      </w:r>
      <w:r w:rsidR="00E27B52">
        <w:t xml:space="preserve"> 2020).</w:t>
      </w:r>
    </w:p>
    <w:p w14:paraId="7F7CEF94" w14:textId="6D6A4760" w:rsidR="00E27B52" w:rsidRDefault="00254DDC" w:rsidP="00E27B52">
      <w:bookmarkStart w:id="10" w:name="_Hlk174221446"/>
      <w:r>
        <w:rPr>
          <w:b/>
          <w:u w:val="single"/>
        </w:rPr>
        <w:t xml:space="preserve">5.5 </w:t>
      </w:r>
      <w:r w:rsidR="00E27B52">
        <w:rPr>
          <w:b/>
          <w:u w:val="single"/>
        </w:rPr>
        <w:t>Cost Efficiency:</w:t>
      </w:r>
      <w:bookmarkEnd w:id="10"/>
      <w:r w:rsidR="00E27B52">
        <w:t xml:space="preserve"> The only way that would make Unilever more profitable according to the current situation is if the firm is to reduce costs. This is a process that requires the firm to look for ways of improving its supply chain management, avoid wastage and enhance the efficiency of energy use in all its production centers. Hence, implementing sustainable practices does not only </w:t>
      </w:r>
      <w:r w:rsidR="00E27B52">
        <w:lastRenderedPageBreak/>
        <w:t>save cost but also increase the company’s reputation and conformity to the international sustainability standards.</w:t>
      </w:r>
    </w:p>
    <w:p w14:paraId="76FFF9D9" w14:textId="345EC71E" w:rsidR="00E27B52" w:rsidRDefault="00254DDC" w:rsidP="00E27B52">
      <w:bookmarkStart w:id="11" w:name="_Hlk174221460"/>
      <w:r>
        <w:rPr>
          <w:b/>
          <w:u w:val="single"/>
        </w:rPr>
        <w:t xml:space="preserve">5.6 </w:t>
      </w:r>
      <w:r w:rsidR="00E27B52">
        <w:rPr>
          <w:b/>
          <w:u w:val="single"/>
        </w:rPr>
        <w:t>Innovation and Market Expansion:</w:t>
      </w:r>
      <w:bookmarkEnd w:id="11"/>
      <w:r w:rsidR="00E27B52">
        <w:t xml:space="preserve"> The funding of research activities for the purpose of developing new goods and services and enhancing the current ones can work as a growth stimulator. It is also noteworthy that the expansion of goods and services, including innovation in new unexplored markets, also generates new income. Another internal factor that may influence Unilever is to adopt the use of big data analytics in predicting consumers’ behavior so as to align their products (Reza, 2020).</w:t>
      </w:r>
    </w:p>
    <w:p w14:paraId="5520E80D" w14:textId="77777777" w:rsidR="00E27B52" w:rsidRDefault="00E27B52" w:rsidP="00E27B52">
      <w:r>
        <w:t>Unilever, a multinational company, finds it complex and advantageous to apply changes in the financial and operational activities. To increase operative and financial efficiency, strengthening working capital management is crucial for Unilever, in particular, it needs to regulate further inventory management, reconsider receivables collection policy, and reduce the company’s debt-to-equity ratio. Operational efficiency and revenue enhancement and increased emphasis on innovative and new market development can be useful for a company’s growth and for showing a good level of profitability. Thus, the implementation of these strategic initiatives will be the key to the enhancement of the company’s financial stability and to retaining competitive advantage and solid long-term growth rates. These efforts will help Unilever to effectively be able to manage future uncertainties in the market and hence continue delivering value to its shareholders and customers.</w:t>
      </w:r>
    </w:p>
    <w:p w14:paraId="6A731C0D" w14:textId="77777777" w:rsidR="00E27B52" w:rsidRDefault="00E27B52" w:rsidP="00E27B52">
      <w:pPr>
        <w:pStyle w:val="Heading1"/>
      </w:pPr>
      <w:bookmarkStart w:id="12" w:name="_c4xoehm5j9ml" w:colFirst="0" w:colLast="0"/>
      <w:bookmarkEnd w:id="12"/>
      <w:r>
        <w:t xml:space="preserve">Part C). Investment appraisal </w:t>
      </w:r>
    </w:p>
    <w:p w14:paraId="5D081D0D" w14:textId="77777777" w:rsidR="00E27B52" w:rsidRDefault="00E27B52" w:rsidP="00E27B52">
      <w:r>
        <w:t xml:space="preserve">Unilever is a leading international consumer goods company with its main location in both the Netherlands and London and the corporation is always seeking further acquisitions to maintain sustained and steady competitiveness. Regarding the calculative criteria there are a number of them that are used in </w:t>
      </w:r>
      <w:proofErr w:type="spellStart"/>
      <w:r>
        <w:t>recognising</w:t>
      </w:r>
      <w:proofErr w:type="spellEnd"/>
      <w:r>
        <w:t xml:space="preserve"> the viable projects, these are Payback period (PBP), accounting rate of return (ARR) and Net present value </w:t>
      </w:r>
      <w:proofErr w:type="gramStart"/>
      <w:r>
        <w:t>( NPV</w:t>
      </w:r>
      <w:proofErr w:type="gramEnd"/>
      <w:r>
        <w:t>). These methods provide data on the potential of investment and the revenues received from investments and aid in making managerial decisions. This assessment has to do with two non-intersecting projects, A and B, and the positions of PBP, ARR, and NPV (</w:t>
      </w:r>
      <w:proofErr w:type="spellStart"/>
      <w:r>
        <w:t>Sinaga</w:t>
      </w:r>
      <w:proofErr w:type="spellEnd"/>
      <w:r>
        <w:t xml:space="preserve"> </w:t>
      </w:r>
      <w:r>
        <w:rPr>
          <w:i/>
        </w:rPr>
        <w:t>et al.</w:t>
      </w:r>
      <w:r>
        <w:t xml:space="preserve"> 2020). The high importance of the selection of financial tools for the appraisal is stressed due to the fact that the appraisal is not only based on the performance numbers </w:t>
      </w:r>
      <w:r>
        <w:lastRenderedPageBreak/>
        <w:t>but also considers the advantages and limitations of these tools and secondary data. Further, it also brings in the factors that are closely associated with non-financial attributes that help in proper assessment of investment propositions.</w:t>
      </w:r>
    </w:p>
    <w:p w14:paraId="1B4F5F01" w14:textId="10BF2E1A" w:rsidR="00E27B52" w:rsidRDefault="00B964FF" w:rsidP="00B964FF">
      <w:bookmarkStart w:id="13" w:name="_Hlk174222128"/>
      <w:r w:rsidRPr="00B964FF">
        <w:rPr>
          <w:b/>
          <w:i/>
        </w:rPr>
        <w:t>1.</w:t>
      </w:r>
      <w:r>
        <w:rPr>
          <w:b/>
          <w:i/>
        </w:rPr>
        <w:t xml:space="preserve"> </w:t>
      </w:r>
      <w:r w:rsidR="00E27B52" w:rsidRPr="00B964FF">
        <w:rPr>
          <w:b/>
          <w:i/>
        </w:rPr>
        <w:t>Payback Period</w:t>
      </w:r>
    </w:p>
    <w:tbl>
      <w:tblPr>
        <w:tblW w:w="9360" w:type="dxa"/>
        <w:tblBorders>
          <w:top w:val="nil"/>
          <w:left w:val="nil"/>
          <w:bottom w:val="nil"/>
          <w:right w:val="nil"/>
          <w:insideH w:val="nil"/>
          <w:insideV w:val="nil"/>
        </w:tblBorders>
        <w:tblLayout w:type="fixed"/>
        <w:tblLook w:val="0600" w:firstRow="0" w:lastRow="0" w:firstColumn="0" w:lastColumn="0" w:noHBand="1" w:noVBand="1"/>
      </w:tblPr>
      <w:tblGrid>
        <w:gridCol w:w="581"/>
        <w:gridCol w:w="2021"/>
        <w:gridCol w:w="2083"/>
        <w:gridCol w:w="2592"/>
        <w:gridCol w:w="2083"/>
      </w:tblGrid>
      <w:tr w:rsidR="00E27B52" w14:paraId="46622929" w14:textId="77777777" w:rsidTr="00815814">
        <w:trPr>
          <w:trHeight w:val="300"/>
        </w:trPr>
        <w:tc>
          <w:tcPr>
            <w:tcW w:w="9357" w:type="dxa"/>
            <w:gridSpan w:val="5"/>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vAlign w:val="bottom"/>
          </w:tcPr>
          <w:bookmarkEnd w:id="13"/>
          <w:p w14:paraId="4EFC76B0" w14:textId="77777777" w:rsidR="00E27B52" w:rsidRDefault="00E27B52" w:rsidP="00815814">
            <w:pPr>
              <w:spacing w:before="240" w:after="0"/>
              <w:jc w:val="center"/>
              <w:rPr>
                <w:b/>
              </w:rPr>
            </w:pPr>
            <w:r>
              <w:rPr>
                <w:b/>
              </w:rPr>
              <w:t>Payback Period</w:t>
            </w:r>
          </w:p>
        </w:tc>
      </w:tr>
      <w:tr w:rsidR="00E27B52" w14:paraId="37EA2E84" w14:textId="77777777" w:rsidTr="00815814">
        <w:trPr>
          <w:trHeight w:val="300"/>
        </w:trPr>
        <w:tc>
          <w:tcPr>
            <w:tcW w:w="582" w:type="dxa"/>
            <w:tcBorders>
              <w:top w:val="nil"/>
              <w:left w:val="single" w:sz="5" w:space="0" w:color="000000"/>
              <w:bottom w:val="single" w:sz="5" w:space="0" w:color="000000"/>
              <w:right w:val="single" w:sz="5" w:space="0" w:color="000000"/>
            </w:tcBorders>
            <w:shd w:val="clear" w:color="auto" w:fill="auto"/>
            <w:tcMar>
              <w:top w:w="0" w:type="dxa"/>
              <w:left w:w="100" w:type="dxa"/>
              <w:bottom w:w="0" w:type="dxa"/>
              <w:right w:w="100" w:type="dxa"/>
            </w:tcMar>
            <w:vAlign w:val="bottom"/>
          </w:tcPr>
          <w:p w14:paraId="3ED1E0F6" w14:textId="77777777" w:rsidR="00E27B52" w:rsidRDefault="00E27B52" w:rsidP="00815814">
            <w:pPr>
              <w:spacing w:before="240" w:after="0"/>
              <w:rPr>
                <w:b/>
              </w:rPr>
            </w:pPr>
            <w:r>
              <w:rPr>
                <w:b/>
              </w:rPr>
              <w:t>Year</w:t>
            </w:r>
          </w:p>
        </w:tc>
        <w:tc>
          <w:tcPr>
            <w:tcW w:w="2020"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14B019C2" w14:textId="77777777" w:rsidR="00E27B52" w:rsidRDefault="00E27B52" w:rsidP="00815814">
            <w:pPr>
              <w:spacing w:before="240" w:after="0"/>
              <w:rPr>
                <w:b/>
              </w:rPr>
            </w:pPr>
            <w:r>
              <w:rPr>
                <w:b/>
              </w:rPr>
              <w:t>Projected Cash Flow A</w:t>
            </w:r>
          </w:p>
        </w:tc>
        <w:tc>
          <w:tcPr>
            <w:tcW w:w="2082"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42D8D987" w14:textId="77777777" w:rsidR="00E27B52" w:rsidRDefault="00E27B52" w:rsidP="00815814">
            <w:pPr>
              <w:spacing w:before="240" w:after="0"/>
              <w:rPr>
                <w:b/>
              </w:rPr>
            </w:pPr>
            <w:r>
              <w:rPr>
                <w:b/>
              </w:rPr>
              <w:t>Cumulative Cash Flow</w:t>
            </w:r>
          </w:p>
        </w:tc>
        <w:tc>
          <w:tcPr>
            <w:tcW w:w="2591"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141DF6C6" w14:textId="77777777" w:rsidR="00E27B52" w:rsidRDefault="00E27B52" w:rsidP="00815814">
            <w:pPr>
              <w:spacing w:before="240" w:after="0"/>
              <w:rPr>
                <w:b/>
              </w:rPr>
            </w:pPr>
            <w:r>
              <w:rPr>
                <w:b/>
              </w:rPr>
              <w:t>Projected Cash Flow B</w:t>
            </w:r>
          </w:p>
        </w:tc>
        <w:tc>
          <w:tcPr>
            <w:tcW w:w="2082"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5C90BE87" w14:textId="77777777" w:rsidR="00E27B52" w:rsidRDefault="00E27B52" w:rsidP="00815814">
            <w:pPr>
              <w:spacing w:before="240" w:after="0"/>
              <w:rPr>
                <w:b/>
              </w:rPr>
            </w:pPr>
            <w:r>
              <w:rPr>
                <w:b/>
              </w:rPr>
              <w:t>Cumulative Cash Flow</w:t>
            </w:r>
          </w:p>
        </w:tc>
      </w:tr>
      <w:tr w:rsidR="00E27B52" w14:paraId="5E30D0A7" w14:textId="77777777" w:rsidTr="00815814">
        <w:trPr>
          <w:trHeight w:val="300"/>
        </w:trPr>
        <w:tc>
          <w:tcPr>
            <w:tcW w:w="582" w:type="dxa"/>
            <w:tcBorders>
              <w:top w:val="nil"/>
              <w:left w:val="single" w:sz="5" w:space="0" w:color="000000"/>
              <w:bottom w:val="single" w:sz="5" w:space="0" w:color="000000"/>
              <w:right w:val="single" w:sz="5" w:space="0" w:color="000000"/>
            </w:tcBorders>
            <w:shd w:val="clear" w:color="auto" w:fill="auto"/>
            <w:tcMar>
              <w:top w:w="0" w:type="dxa"/>
              <w:left w:w="100" w:type="dxa"/>
              <w:bottom w:w="0" w:type="dxa"/>
              <w:right w:w="100" w:type="dxa"/>
            </w:tcMar>
            <w:vAlign w:val="bottom"/>
          </w:tcPr>
          <w:p w14:paraId="2E073FE4" w14:textId="77777777" w:rsidR="00E27B52" w:rsidRDefault="00E27B52" w:rsidP="00815814">
            <w:pPr>
              <w:spacing w:before="240" w:after="0"/>
              <w:jc w:val="right"/>
            </w:pPr>
            <w:r>
              <w:t>0</w:t>
            </w:r>
          </w:p>
        </w:tc>
        <w:tc>
          <w:tcPr>
            <w:tcW w:w="2020"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672AE1AC" w14:textId="77777777" w:rsidR="00E27B52" w:rsidRDefault="00E27B52" w:rsidP="00815814">
            <w:pPr>
              <w:spacing w:before="240" w:after="0"/>
            </w:pPr>
            <w:r>
              <w:t>-£ 80.00</w:t>
            </w:r>
          </w:p>
        </w:tc>
        <w:tc>
          <w:tcPr>
            <w:tcW w:w="2082"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73206723" w14:textId="77777777" w:rsidR="00E27B52" w:rsidRDefault="00E27B52" w:rsidP="00815814">
            <w:pPr>
              <w:spacing w:before="240" w:after="0"/>
            </w:pPr>
            <w:r>
              <w:t>-£80.00</w:t>
            </w:r>
          </w:p>
        </w:tc>
        <w:tc>
          <w:tcPr>
            <w:tcW w:w="2591"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3D2199E2" w14:textId="77777777" w:rsidR="00E27B52" w:rsidRDefault="00E27B52" w:rsidP="00815814">
            <w:pPr>
              <w:spacing w:before="240" w:after="0"/>
            </w:pPr>
            <w:r>
              <w:t xml:space="preserve">-£     </w:t>
            </w:r>
            <w:r>
              <w:tab/>
              <w:t>75.00</w:t>
            </w:r>
          </w:p>
        </w:tc>
        <w:tc>
          <w:tcPr>
            <w:tcW w:w="2082"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4D1949CB" w14:textId="77777777" w:rsidR="00E27B52" w:rsidRDefault="00E27B52" w:rsidP="00815814">
            <w:pPr>
              <w:spacing w:before="240" w:after="0"/>
            </w:pPr>
            <w:r>
              <w:t>-£75.00</w:t>
            </w:r>
          </w:p>
        </w:tc>
      </w:tr>
      <w:tr w:rsidR="00E27B52" w14:paraId="3CAF7D7B" w14:textId="77777777" w:rsidTr="00815814">
        <w:trPr>
          <w:trHeight w:val="300"/>
        </w:trPr>
        <w:tc>
          <w:tcPr>
            <w:tcW w:w="582" w:type="dxa"/>
            <w:tcBorders>
              <w:top w:val="nil"/>
              <w:left w:val="single" w:sz="5" w:space="0" w:color="000000"/>
              <w:bottom w:val="single" w:sz="5" w:space="0" w:color="000000"/>
              <w:right w:val="single" w:sz="5" w:space="0" w:color="000000"/>
            </w:tcBorders>
            <w:shd w:val="clear" w:color="auto" w:fill="auto"/>
            <w:tcMar>
              <w:top w:w="0" w:type="dxa"/>
              <w:left w:w="100" w:type="dxa"/>
              <w:bottom w:w="0" w:type="dxa"/>
              <w:right w:w="100" w:type="dxa"/>
            </w:tcMar>
            <w:vAlign w:val="bottom"/>
          </w:tcPr>
          <w:p w14:paraId="11C183B1" w14:textId="77777777" w:rsidR="00E27B52" w:rsidRDefault="00E27B52" w:rsidP="00815814">
            <w:pPr>
              <w:spacing w:before="240" w:after="0"/>
              <w:jc w:val="right"/>
            </w:pPr>
            <w:r>
              <w:t>1</w:t>
            </w:r>
          </w:p>
        </w:tc>
        <w:tc>
          <w:tcPr>
            <w:tcW w:w="2020"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47E5DBCA" w14:textId="77777777" w:rsidR="00E27B52" w:rsidRDefault="00E27B52" w:rsidP="00815814">
            <w:pPr>
              <w:spacing w:before="240" w:after="0"/>
            </w:pPr>
            <w:r>
              <w:t xml:space="preserve"> £ 25.00</w:t>
            </w:r>
          </w:p>
        </w:tc>
        <w:tc>
          <w:tcPr>
            <w:tcW w:w="2082"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582DC0F4" w14:textId="77777777" w:rsidR="00E27B52" w:rsidRDefault="00E27B52" w:rsidP="00815814">
            <w:pPr>
              <w:spacing w:before="240" w:after="0"/>
            </w:pPr>
            <w:r>
              <w:t>-£55.00</w:t>
            </w:r>
          </w:p>
        </w:tc>
        <w:tc>
          <w:tcPr>
            <w:tcW w:w="2591"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6E50320B" w14:textId="77777777" w:rsidR="00E27B52" w:rsidRDefault="00E27B52" w:rsidP="00815814">
            <w:pPr>
              <w:spacing w:before="240" w:after="0"/>
            </w:pPr>
            <w:r>
              <w:t xml:space="preserve"> £      </w:t>
            </w:r>
            <w:r>
              <w:tab/>
              <w:t>50.00</w:t>
            </w:r>
          </w:p>
        </w:tc>
        <w:tc>
          <w:tcPr>
            <w:tcW w:w="2082"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159CD54C" w14:textId="77777777" w:rsidR="00E27B52" w:rsidRDefault="00E27B52" w:rsidP="00815814">
            <w:pPr>
              <w:spacing w:before="240" w:after="0"/>
            </w:pPr>
            <w:r>
              <w:t>-£25.00</w:t>
            </w:r>
          </w:p>
        </w:tc>
      </w:tr>
      <w:tr w:rsidR="00E27B52" w14:paraId="33CBAD84" w14:textId="77777777" w:rsidTr="00815814">
        <w:trPr>
          <w:trHeight w:val="300"/>
        </w:trPr>
        <w:tc>
          <w:tcPr>
            <w:tcW w:w="582" w:type="dxa"/>
            <w:tcBorders>
              <w:top w:val="nil"/>
              <w:left w:val="single" w:sz="5" w:space="0" w:color="000000"/>
              <w:bottom w:val="single" w:sz="5" w:space="0" w:color="000000"/>
              <w:right w:val="single" w:sz="5" w:space="0" w:color="000000"/>
            </w:tcBorders>
            <w:shd w:val="clear" w:color="auto" w:fill="auto"/>
            <w:tcMar>
              <w:top w:w="0" w:type="dxa"/>
              <w:left w:w="100" w:type="dxa"/>
              <w:bottom w:w="0" w:type="dxa"/>
              <w:right w:w="100" w:type="dxa"/>
            </w:tcMar>
            <w:vAlign w:val="bottom"/>
          </w:tcPr>
          <w:p w14:paraId="336DAC5B" w14:textId="77777777" w:rsidR="00E27B52" w:rsidRDefault="00E27B52" w:rsidP="00815814">
            <w:pPr>
              <w:spacing w:before="240" w:after="0"/>
              <w:jc w:val="right"/>
            </w:pPr>
            <w:r>
              <w:t>2</w:t>
            </w:r>
          </w:p>
        </w:tc>
        <w:tc>
          <w:tcPr>
            <w:tcW w:w="2020"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1179DC47" w14:textId="77777777" w:rsidR="00E27B52" w:rsidRDefault="00E27B52" w:rsidP="00815814">
            <w:pPr>
              <w:spacing w:before="240" w:after="0"/>
            </w:pPr>
            <w:r>
              <w:t xml:space="preserve"> £ 25.00</w:t>
            </w:r>
          </w:p>
        </w:tc>
        <w:tc>
          <w:tcPr>
            <w:tcW w:w="2082"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0B0452A2" w14:textId="77777777" w:rsidR="00E27B52" w:rsidRDefault="00E27B52" w:rsidP="00815814">
            <w:pPr>
              <w:spacing w:before="240" w:after="0"/>
            </w:pPr>
            <w:r>
              <w:t>-£30.00</w:t>
            </w:r>
          </w:p>
        </w:tc>
        <w:tc>
          <w:tcPr>
            <w:tcW w:w="2591"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3FE2C53A" w14:textId="77777777" w:rsidR="00E27B52" w:rsidRDefault="00E27B52" w:rsidP="00815814">
            <w:pPr>
              <w:spacing w:before="240" w:after="0"/>
            </w:pPr>
            <w:r>
              <w:t xml:space="preserve"> £      </w:t>
            </w:r>
            <w:r>
              <w:tab/>
              <w:t>20.00</w:t>
            </w:r>
          </w:p>
        </w:tc>
        <w:tc>
          <w:tcPr>
            <w:tcW w:w="2082"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79B51AA2" w14:textId="77777777" w:rsidR="00E27B52" w:rsidRDefault="00E27B52" w:rsidP="00815814">
            <w:pPr>
              <w:spacing w:before="240" w:after="0"/>
            </w:pPr>
            <w:r>
              <w:t>-</w:t>
            </w:r>
            <w:proofErr w:type="gramStart"/>
            <w:r>
              <w:t>£  5</w:t>
            </w:r>
            <w:proofErr w:type="gramEnd"/>
            <w:r>
              <w:t>.00</w:t>
            </w:r>
          </w:p>
        </w:tc>
      </w:tr>
      <w:tr w:rsidR="00E27B52" w14:paraId="4B4425BC" w14:textId="77777777" w:rsidTr="00815814">
        <w:trPr>
          <w:trHeight w:val="300"/>
        </w:trPr>
        <w:tc>
          <w:tcPr>
            <w:tcW w:w="582" w:type="dxa"/>
            <w:tcBorders>
              <w:top w:val="nil"/>
              <w:left w:val="single" w:sz="5" w:space="0" w:color="000000"/>
              <w:bottom w:val="single" w:sz="5" w:space="0" w:color="000000"/>
              <w:right w:val="single" w:sz="5" w:space="0" w:color="000000"/>
            </w:tcBorders>
            <w:shd w:val="clear" w:color="auto" w:fill="auto"/>
            <w:tcMar>
              <w:top w:w="0" w:type="dxa"/>
              <w:left w:w="100" w:type="dxa"/>
              <w:bottom w:w="0" w:type="dxa"/>
              <w:right w:w="100" w:type="dxa"/>
            </w:tcMar>
            <w:vAlign w:val="bottom"/>
          </w:tcPr>
          <w:p w14:paraId="27CC73C0" w14:textId="77777777" w:rsidR="00E27B52" w:rsidRDefault="00E27B52" w:rsidP="00815814">
            <w:pPr>
              <w:spacing w:before="240" w:after="0"/>
              <w:jc w:val="right"/>
            </w:pPr>
            <w:r>
              <w:t>3</w:t>
            </w:r>
          </w:p>
        </w:tc>
        <w:tc>
          <w:tcPr>
            <w:tcW w:w="2020"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69815B93" w14:textId="77777777" w:rsidR="00E27B52" w:rsidRDefault="00E27B52" w:rsidP="00815814">
            <w:pPr>
              <w:spacing w:before="240" w:after="0"/>
            </w:pPr>
            <w:r>
              <w:t xml:space="preserve"> £ 20.00</w:t>
            </w:r>
          </w:p>
        </w:tc>
        <w:tc>
          <w:tcPr>
            <w:tcW w:w="2082"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22A2F38A" w14:textId="77777777" w:rsidR="00E27B52" w:rsidRDefault="00E27B52" w:rsidP="00815814">
            <w:pPr>
              <w:spacing w:before="240" w:after="0"/>
            </w:pPr>
            <w:r>
              <w:t>-£10.00</w:t>
            </w:r>
          </w:p>
        </w:tc>
        <w:tc>
          <w:tcPr>
            <w:tcW w:w="2591"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6065C681" w14:textId="77777777" w:rsidR="00E27B52" w:rsidRDefault="00E27B52" w:rsidP="00815814">
            <w:pPr>
              <w:spacing w:before="240" w:after="0"/>
            </w:pPr>
            <w:r>
              <w:t xml:space="preserve"> £      </w:t>
            </w:r>
            <w:r>
              <w:tab/>
              <w:t>20.00</w:t>
            </w:r>
          </w:p>
        </w:tc>
        <w:tc>
          <w:tcPr>
            <w:tcW w:w="2082"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3B7D26BE" w14:textId="77777777" w:rsidR="00E27B52" w:rsidRDefault="00E27B52" w:rsidP="00815814">
            <w:pPr>
              <w:spacing w:before="240" w:after="0"/>
            </w:pPr>
            <w:r>
              <w:t xml:space="preserve"> £15.00</w:t>
            </w:r>
          </w:p>
        </w:tc>
      </w:tr>
      <w:tr w:rsidR="00E27B52" w14:paraId="4F4397F1" w14:textId="77777777" w:rsidTr="00815814">
        <w:trPr>
          <w:trHeight w:val="300"/>
        </w:trPr>
        <w:tc>
          <w:tcPr>
            <w:tcW w:w="582" w:type="dxa"/>
            <w:tcBorders>
              <w:top w:val="nil"/>
              <w:left w:val="single" w:sz="5" w:space="0" w:color="000000"/>
              <w:bottom w:val="single" w:sz="5" w:space="0" w:color="000000"/>
              <w:right w:val="single" w:sz="5" w:space="0" w:color="000000"/>
            </w:tcBorders>
            <w:shd w:val="clear" w:color="auto" w:fill="auto"/>
            <w:tcMar>
              <w:top w:w="0" w:type="dxa"/>
              <w:left w:w="100" w:type="dxa"/>
              <w:bottom w:w="0" w:type="dxa"/>
              <w:right w:w="100" w:type="dxa"/>
            </w:tcMar>
            <w:vAlign w:val="bottom"/>
          </w:tcPr>
          <w:p w14:paraId="1068678E" w14:textId="77777777" w:rsidR="00E27B52" w:rsidRDefault="00E27B52" w:rsidP="00815814">
            <w:pPr>
              <w:spacing w:before="240" w:after="0"/>
              <w:jc w:val="right"/>
            </w:pPr>
            <w:r>
              <w:t>4</w:t>
            </w:r>
          </w:p>
        </w:tc>
        <w:tc>
          <w:tcPr>
            <w:tcW w:w="2020"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1059664A" w14:textId="77777777" w:rsidR="00E27B52" w:rsidRDefault="00E27B52" w:rsidP="00815814">
            <w:pPr>
              <w:spacing w:before="240" w:after="0"/>
            </w:pPr>
            <w:r>
              <w:t xml:space="preserve"> £ 55.00</w:t>
            </w:r>
          </w:p>
        </w:tc>
        <w:tc>
          <w:tcPr>
            <w:tcW w:w="2082"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50B5E518" w14:textId="77777777" w:rsidR="00E27B52" w:rsidRDefault="00E27B52" w:rsidP="00815814">
            <w:pPr>
              <w:spacing w:before="240" w:after="0"/>
            </w:pPr>
            <w:r>
              <w:t xml:space="preserve"> £45.00</w:t>
            </w:r>
          </w:p>
        </w:tc>
        <w:tc>
          <w:tcPr>
            <w:tcW w:w="2591"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6D22BD1B" w14:textId="77777777" w:rsidR="00E27B52" w:rsidRDefault="00E27B52" w:rsidP="00815814">
            <w:pPr>
              <w:spacing w:before="240" w:after="0"/>
            </w:pPr>
            <w:r>
              <w:t xml:space="preserve"> £      </w:t>
            </w:r>
            <w:r>
              <w:tab/>
              <w:t>20.00</w:t>
            </w:r>
          </w:p>
        </w:tc>
        <w:tc>
          <w:tcPr>
            <w:tcW w:w="2082"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68BDAA85" w14:textId="77777777" w:rsidR="00E27B52" w:rsidRDefault="00E27B52" w:rsidP="00815814">
            <w:pPr>
              <w:spacing w:before="240" w:after="0"/>
            </w:pPr>
            <w:r>
              <w:t xml:space="preserve"> </w:t>
            </w:r>
            <w:proofErr w:type="gramStart"/>
            <w:r>
              <w:t>£  5</w:t>
            </w:r>
            <w:proofErr w:type="gramEnd"/>
            <w:r>
              <w:t>.00</w:t>
            </w:r>
          </w:p>
        </w:tc>
      </w:tr>
      <w:tr w:rsidR="00E27B52" w14:paraId="5F4EBCB6" w14:textId="77777777" w:rsidTr="00815814">
        <w:trPr>
          <w:trHeight w:val="300"/>
        </w:trPr>
        <w:tc>
          <w:tcPr>
            <w:tcW w:w="2602" w:type="dxa"/>
            <w:gridSpan w:val="2"/>
            <w:vMerge w:val="restart"/>
            <w:tcBorders>
              <w:top w:val="nil"/>
              <w:left w:val="single" w:sz="5" w:space="0" w:color="000000"/>
              <w:bottom w:val="single" w:sz="5" w:space="0" w:color="000000"/>
              <w:right w:val="single" w:sz="5" w:space="0" w:color="000000"/>
            </w:tcBorders>
            <w:shd w:val="clear" w:color="auto" w:fill="auto"/>
            <w:tcMar>
              <w:top w:w="0" w:type="dxa"/>
              <w:left w:w="100" w:type="dxa"/>
              <w:bottom w:w="0" w:type="dxa"/>
              <w:right w:w="100" w:type="dxa"/>
            </w:tcMar>
          </w:tcPr>
          <w:p w14:paraId="6F28DA68" w14:textId="77777777" w:rsidR="00E27B52" w:rsidRDefault="00E27B52" w:rsidP="00815814">
            <w:pPr>
              <w:spacing w:before="240" w:after="0"/>
              <w:jc w:val="center"/>
              <w:rPr>
                <w:b/>
              </w:rPr>
            </w:pPr>
            <w:r>
              <w:rPr>
                <w:b/>
              </w:rPr>
              <w:t>Payback Period of Project A</w:t>
            </w:r>
          </w:p>
        </w:tc>
        <w:tc>
          <w:tcPr>
            <w:tcW w:w="2082"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0D4FAA2A" w14:textId="77777777" w:rsidR="00E27B52" w:rsidRDefault="00E27B52" w:rsidP="00815814">
            <w:pPr>
              <w:spacing w:before="240" w:after="0"/>
            </w:pPr>
            <w:r>
              <w:t xml:space="preserve">  </w:t>
            </w:r>
            <w:r>
              <w:tab/>
              <w:t>4.82</w:t>
            </w:r>
          </w:p>
        </w:tc>
        <w:tc>
          <w:tcPr>
            <w:tcW w:w="2591" w:type="dxa"/>
            <w:vMerge w:val="restart"/>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14:paraId="443FD3C4" w14:textId="77777777" w:rsidR="00E27B52" w:rsidRDefault="00E27B52" w:rsidP="00815814">
            <w:pPr>
              <w:spacing w:before="240" w:after="0"/>
              <w:jc w:val="center"/>
              <w:rPr>
                <w:b/>
              </w:rPr>
            </w:pPr>
            <w:r>
              <w:rPr>
                <w:b/>
              </w:rPr>
              <w:t>Payback Period of Project B</w:t>
            </w:r>
          </w:p>
        </w:tc>
        <w:tc>
          <w:tcPr>
            <w:tcW w:w="2082"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5FABDD1E" w14:textId="77777777" w:rsidR="00E27B52" w:rsidRDefault="00E27B52" w:rsidP="00815814">
            <w:pPr>
              <w:spacing w:before="240" w:after="0"/>
            </w:pPr>
            <w:r>
              <w:t xml:space="preserve">  </w:t>
            </w:r>
            <w:r>
              <w:tab/>
              <w:t>3.50</w:t>
            </w:r>
          </w:p>
        </w:tc>
      </w:tr>
      <w:tr w:rsidR="00E27B52" w14:paraId="13329360" w14:textId="77777777" w:rsidTr="00815814">
        <w:trPr>
          <w:trHeight w:val="300"/>
        </w:trPr>
        <w:tc>
          <w:tcPr>
            <w:tcW w:w="2602" w:type="dxa"/>
            <w:gridSpan w:val="2"/>
            <w:vMerge/>
            <w:tcBorders>
              <w:top w:val="nil"/>
              <w:left w:val="single" w:sz="5" w:space="0" w:color="000000"/>
              <w:bottom w:val="single" w:sz="5" w:space="0" w:color="000000"/>
            </w:tcBorders>
            <w:shd w:val="clear" w:color="auto" w:fill="auto"/>
            <w:tcMar>
              <w:top w:w="100" w:type="dxa"/>
              <w:left w:w="100" w:type="dxa"/>
              <w:bottom w:w="100" w:type="dxa"/>
              <w:right w:w="100" w:type="dxa"/>
            </w:tcMar>
          </w:tcPr>
          <w:p w14:paraId="6AAA72C6" w14:textId="77777777" w:rsidR="00E27B52" w:rsidRDefault="00E27B52" w:rsidP="00815814"/>
        </w:tc>
        <w:tc>
          <w:tcPr>
            <w:tcW w:w="2082"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2801FBE9" w14:textId="77777777" w:rsidR="00E27B52" w:rsidRDefault="00E27B52" w:rsidP="00815814">
            <w:pPr>
              <w:spacing w:before="240" w:after="0"/>
            </w:pPr>
            <w:r>
              <w:t>4 years 10 months</w:t>
            </w:r>
          </w:p>
        </w:tc>
        <w:tc>
          <w:tcPr>
            <w:tcW w:w="2591" w:type="dxa"/>
            <w:vMerge/>
            <w:tcBorders>
              <w:top w:val="nil"/>
              <w:left w:val="nil"/>
              <w:bottom w:val="single" w:sz="5" w:space="0" w:color="000000"/>
              <w:right w:val="single" w:sz="5" w:space="0" w:color="000000"/>
            </w:tcBorders>
            <w:shd w:val="clear" w:color="auto" w:fill="auto"/>
            <w:tcMar>
              <w:top w:w="100" w:type="dxa"/>
              <w:left w:w="100" w:type="dxa"/>
              <w:bottom w:w="100" w:type="dxa"/>
              <w:right w:w="100" w:type="dxa"/>
            </w:tcMar>
          </w:tcPr>
          <w:p w14:paraId="6F29D549" w14:textId="77777777" w:rsidR="00E27B52" w:rsidRDefault="00E27B52" w:rsidP="00815814"/>
        </w:tc>
        <w:tc>
          <w:tcPr>
            <w:tcW w:w="2082"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32E841D7" w14:textId="77777777" w:rsidR="00E27B52" w:rsidRDefault="00E27B52" w:rsidP="00815814">
            <w:pPr>
              <w:spacing w:before="240" w:after="0"/>
            </w:pPr>
            <w:r>
              <w:t>3 years 6 months</w:t>
            </w:r>
          </w:p>
        </w:tc>
      </w:tr>
    </w:tbl>
    <w:p w14:paraId="164C7B2E" w14:textId="77777777" w:rsidR="00E27B52" w:rsidRDefault="00E27B52" w:rsidP="00E27B52"/>
    <w:p w14:paraId="0F1E5B1F" w14:textId="77777777" w:rsidR="00E27B52" w:rsidRDefault="00E27B52" w:rsidP="00E27B52">
      <w:r>
        <w:t>Project A is calculated to have a Payback Period (PBP) of 4 years and 10 months, while Project B, on the other hand, has a PBP of about 3 years and 6 months. As a rule, a short PBP is preferable as the return of the initial investment occurs faster, and the subject’s exposure to risks and uncertainties associated with its business is limited. Thus, by this aspect of PBP, Project B seems more favorable.</w:t>
      </w:r>
    </w:p>
    <w:p w14:paraId="1A9A6BB6" w14:textId="77777777" w:rsidR="00E27B52" w:rsidRDefault="00E27B52" w:rsidP="00E27B52">
      <w:r>
        <w:t xml:space="preserve">In this respect, several limitations should be noted for the PBP method. It neglects the time factor implying that it gives the same value to money today as it does to money that is to be received in the future hence under estimating cash flows in the future. Also, PBP fails to consider any cash </w:t>
      </w:r>
      <w:r>
        <w:lastRenderedPageBreak/>
        <w:t>flow, which is generated after the payback period, thus excluding the overall profit of the project (</w:t>
      </w:r>
      <w:proofErr w:type="spellStart"/>
      <w:r>
        <w:t>Sinaga</w:t>
      </w:r>
      <w:proofErr w:type="spellEnd"/>
      <w:r>
        <w:t xml:space="preserve"> </w:t>
      </w:r>
      <w:r>
        <w:rPr>
          <w:i/>
        </w:rPr>
        <w:t xml:space="preserve">et al. </w:t>
      </w:r>
      <w:r>
        <w:t>2023). In this case, project A brings a large cash inflow in year four of £55m, thus this is not brought out clearly by the PBP measure.</w:t>
      </w:r>
    </w:p>
    <w:p w14:paraId="3122E87B" w14:textId="77777777" w:rsidR="00E27B52" w:rsidRDefault="00E27B52" w:rsidP="00E27B52">
      <w:r>
        <w:t>Consequently, non-surprisingly, Project B seems more lucrative based on PBP because of a shorter payback period, although PBP is insufficient for such an evaluation only. There are other procedures like NPV and ARR, which factor profitability and time value of money into its evaluation, which is very important in making sound investment decisions.</w:t>
      </w:r>
    </w:p>
    <w:p w14:paraId="233D757A" w14:textId="359387F9" w:rsidR="00E27B52" w:rsidRDefault="00B964FF" w:rsidP="00E27B52">
      <w:bookmarkStart w:id="14" w:name="_Hlk174222166"/>
      <w:r>
        <w:rPr>
          <w:b/>
          <w:i/>
        </w:rPr>
        <w:t xml:space="preserve">2. </w:t>
      </w:r>
      <w:r w:rsidR="00E27B52">
        <w:rPr>
          <w:b/>
          <w:i/>
        </w:rPr>
        <w:t>Accounting Rate of Return</w:t>
      </w:r>
    </w:p>
    <w:tbl>
      <w:tblPr>
        <w:tblW w:w="9360" w:type="dxa"/>
        <w:tblBorders>
          <w:top w:val="nil"/>
          <w:left w:val="nil"/>
          <w:bottom w:val="nil"/>
          <w:right w:val="nil"/>
          <w:insideH w:val="nil"/>
          <w:insideV w:val="nil"/>
        </w:tblBorders>
        <w:tblLayout w:type="fixed"/>
        <w:tblLook w:val="0600" w:firstRow="0" w:lastRow="0" w:firstColumn="0" w:lastColumn="0" w:noHBand="1" w:noVBand="1"/>
      </w:tblPr>
      <w:tblGrid>
        <w:gridCol w:w="2597"/>
        <w:gridCol w:w="3505"/>
        <w:gridCol w:w="3258"/>
      </w:tblGrid>
      <w:tr w:rsidR="00E27B52" w14:paraId="658CA18E" w14:textId="77777777" w:rsidTr="00815814">
        <w:trPr>
          <w:trHeight w:val="300"/>
        </w:trPr>
        <w:tc>
          <w:tcPr>
            <w:tcW w:w="9358" w:type="dxa"/>
            <w:gridSpan w:val="3"/>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vAlign w:val="bottom"/>
          </w:tcPr>
          <w:bookmarkEnd w:id="14"/>
          <w:p w14:paraId="07D0850B" w14:textId="77777777" w:rsidR="00E27B52" w:rsidRDefault="00E27B52" w:rsidP="00815814">
            <w:pPr>
              <w:spacing w:before="240" w:after="0"/>
              <w:jc w:val="center"/>
              <w:rPr>
                <w:b/>
              </w:rPr>
            </w:pPr>
            <w:r>
              <w:rPr>
                <w:b/>
              </w:rPr>
              <w:t>Accounting Rate of Return</w:t>
            </w:r>
          </w:p>
        </w:tc>
      </w:tr>
      <w:tr w:rsidR="00E27B52" w14:paraId="6F9E0D92" w14:textId="77777777" w:rsidTr="00815814">
        <w:trPr>
          <w:trHeight w:val="300"/>
        </w:trPr>
        <w:tc>
          <w:tcPr>
            <w:tcW w:w="2597" w:type="dxa"/>
            <w:tcBorders>
              <w:top w:val="nil"/>
              <w:left w:val="single" w:sz="5" w:space="0" w:color="000000"/>
              <w:bottom w:val="single" w:sz="5" w:space="0" w:color="000000"/>
              <w:right w:val="single" w:sz="5" w:space="0" w:color="000000"/>
            </w:tcBorders>
            <w:shd w:val="clear" w:color="auto" w:fill="auto"/>
            <w:tcMar>
              <w:top w:w="0" w:type="dxa"/>
              <w:left w:w="100" w:type="dxa"/>
              <w:bottom w:w="0" w:type="dxa"/>
              <w:right w:w="100" w:type="dxa"/>
            </w:tcMar>
            <w:vAlign w:val="bottom"/>
          </w:tcPr>
          <w:p w14:paraId="5F1EA504" w14:textId="77777777" w:rsidR="00E27B52" w:rsidRDefault="00E27B52" w:rsidP="00815814">
            <w:pPr>
              <w:spacing w:before="240" w:after="0"/>
              <w:rPr>
                <w:b/>
              </w:rPr>
            </w:pPr>
            <w:r>
              <w:rPr>
                <w:b/>
              </w:rPr>
              <w:t>Year</w:t>
            </w:r>
          </w:p>
        </w:tc>
        <w:tc>
          <w:tcPr>
            <w:tcW w:w="3504"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35AD81E4" w14:textId="77777777" w:rsidR="00E27B52" w:rsidRDefault="00E27B52" w:rsidP="00815814">
            <w:pPr>
              <w:spacing w:before="240" w:after="0"/>
              <w:rPr>
                <w:b/>
              </w:rPr>
            </w:pPr>
            <w:r>
              <w:rPr>
                <w:b/>
              </w:rPr>
              <w:t>Projected Cash Flow A</w:t>
            </w:r>
          </w:p>
        </w:tc>
        <w:tc>
          <w:tcPr>
            <w:tcW w:w="3257"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5C5CCFD5" w14:textId="77777777" w:rsidR="00E27B52" w:rsidRDefault="00E27B52" w:rsidP="00815814">
            <w:pPr>
              <w:spacing w:before="240" w:after="0"/>
              <w:rPr>
                <w:b/>
              </w:rPr>
            </w:pPr>
            <w:r>
              <w:rPr>
                <w:b/>
              </w:rPr>
              <w:t>Projected Cash Flow B</w:t>
            </w:r>
          </w:p>
        </w:tc>
      </w:tr>
      <w:tr w:rsidR="00E27B52" w14:paraId="0180AA7A" w14:textId="77777777" w:rsidTr="00815814">
        <w:trPr>
          <w:trHeight w:val="300"/>
        </w:trPr>
        <w:tc>
          <w:tcPr>
            <w:tcW w:w="2597" w:type="dxa"/>
            <w:tcBorders>
              <w:top w:val="nil"/>
              <w:left w:val="single" w:sz="5" w:space="0" w:color="000000"/>
              <w:bottom w:val="single" w:sz="5" w:space="0" w:color="000000"/>
              <w:right w:val="single" w:sz="5" w:space="0" w:color="000000"/>
            </w:tcBorders>
            <w:shd w:val="clear" w:color="auto" w:fill="auto"/>
            <w:tcMar>
              <w:top w:w="0" w:type="dxa"/>
              <w:left w:w="100" w:type="dxa"/>
              <w:bottom w:w="0" w:type="dxa"/>
              <w:right w:w="100" w:type="dxa"/>
            </w:tcMar>
            <w:vAlign w:val="bottom"/>
          </w:tcPr>
          <w:p w14:paraId="1D7B8929" w14:textId="77777777" w:rsidR="00E27B52" w:rsidRDefault="00E27B52" w:rsidP="00815814">
            <w:pPr>
              <w:spacing w:before="240" w:after="0"/>
              <w:jc w:val="right"/>
            </w:pPr>
            <w:r>
              <w:t>0</w:t>
            </w:r>
          </w:p>
        </w:tc>
        <w:tc>
          <w:tcPr>
            <w:tcW w:w="3504"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2749ABC2" w14:textId="77777777" w:rsidR="00E27B52" w:rsidRDefault="00E27B52" w:rsidP="00815814">
            <w:pPr>
              <w:spacing w:before="240" w:after="0"/>
            </w:pPr>
            <w:r>
              <w:t>-£                          80.00</w:t>
            </w:r>
          </w:p>
        </w:tc>
        <w:tc>
          <w:tcPr>
            <w:tcW w:w="3257"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504EFE5A" w14:textId="77777777" w:rsidR="00E27B52" w:rsidRDefault="00E27B52" w:rsidP="00815814">
            <w:pPr>
              <w:spacing w:before="240" w:after="0"/>
            </w:pPr>
            <w:r>
              <w:t xml:space="preserve">-£         </w:t>
            </w:r>
            <w:r>
              <w:tab/>
              <w:t xml:space="preserve">              75.00</w:t>
            </w:r>
          </w:p>
        </w:tc>
      </w:tr>
      <w:tr w:rsidR="00E27B52" w14:paraId="19838065" w14:textId="77777777" w:rsidTr="00815814">
        <w:trPr>
          <w:trHeight w:val="300"/>
        </w:trPr>
        <w:tc>
          <w:tcPr>
            <w:tcW w:w="2597" w:type="dxa"/>
            <w:tcBorders>
              <w:top w:val="nil"/>
              <w:left w:val="single" w:sz="5" w:space="0" w:color="000000"/>
              <w:bottom w:val="single" w:sz="5" w:space="0" w:color="000000"/>
              <w:right w:val="single" w:sz="5" w:space="0" w:color="000000"/>
            </w:tcBorders>
            <w:shd w:val="clear" w:color="auto" w:fill="auto"/>
            <w:tcMar>
              <w:top w:w="0" w:type="dxa"/>
              <w:left w:w="100" w:type="dxa"/>
              <w:bottom w:w="0" w:type="dxa"/>
              <w:right w:w="100" w:type="dxa"/>
            </w:tcMar>
            <w:vAlign w:val="bottom"/>
          </w:tcPr>
          <w:p w14:paraId="4018AD63" w14:textId="77777777" w:rsidR="00E27B52" w:rsidRDefault="00E27B52" w:rsidP="00815814">
            <w:pPr>
              <w:spacing w:before="240" w:after="0"/>
              <w:jc w:val="right"/>
            </w:pPr>
            <w:r>
              <w:t>1</w:t>
            </w:r>
          </w:p>
        </w:tc>
        <w:tc>
          <w:tcPr>
            <w:tcW w:w="3504"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0DC0891C" w14:textId="77777777" w:rsidR="00E27B52" w:rsidRDefault="00E27B52" w:rsidP="00815814">
            <w:pPr>
              <w:spacing w:before="240" w:after="0"/>
            </w:pPr>
            <w:r>
              <w:t xml:space="preserve"> £                      </w:t>
            </w:r>
            <w:r>
              <w:tab/>
              <w:t>25.00</w:t>
            </w:r>
          </w:p>
        </w:tc>
        <w:tc>
          <w:tcPr>
            <w:tcW w:w="3257"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2E58A375" w14:textId="77777777" w:rsidR="00E27B52" w:rsidRDefault="00E27B52" w:rsidP="00815814">
            <w:pPr>
              <w:spacing w:before="240" w:after="0"/>
            </w:pPr>
            <w:r>
              <w:t xml:space="preserve"> £                       </w:t>
            </w:r>
            <w:r>
              <w:tab/>
              <w:t>50.00</w:t>
            </w:r>
          </w:p>
        </w:tc>
      </w:tr>
      <w:tr w:rsidR="00E27B52" w14:paraId="5F3EC1AA" w14:textId="77777777" w:rsidTr="00815814">
        <w:trPr>
          <w:trHeight w:val="300"/>
        </w:trPr>
        <w:tc>
          <w:tcPr>
            <w:tcW w:w="2597" w:type="dxa"/>
            <w:tcBorders>
              <w:top w:val="nil"/>
              <w:left w:val="single" w:sz="5" w:space="0" w:color="000000"/>
              <w:bottom w:val="single" w:sz="5" w:space="0" w:color="000000"/>
              <w:right w:val="single" w:sz="5" w:space="0" w:color="000000"/>
            </w:tcBorders>
            <w:shd w:val="clear" w:color="auto" w:fill="auto"/>
            <w:tcMar>
              <w:top w:w="0" w:type="dxa"/>
              <w:left w:w="100" w:type="dxa"/>
              <w:bottom w:w="0" w:type="dxa"/>
              <w:right w:w="100" w:type="dxa"/>
            </w:tcMar>
            <w:vAlign w:val="bottom"/>
          </w:tcPr>
          <w:p w14:paraId="64E161B4" w14:textId="77777777" w:rsidR="00E27B52" w:rsidRDefault="00E27B52" w:rsidP="00815814">
            <w:pPr>
              <w:spacing w:before="240" w:after="0"/>
              <w:jc w:val="right"/>
            </w:pPr>
            <w:r>
              <w:t>2</w:t>
            </w:r>
          </w:p>
        </w:tc>
        <w:tc>
          <w:tcPr>
            <w:tcW w:w="3504"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356E2D61" w14:textId="77777777" w:rsidR="00E27B52" w:rsidRDefault="00E27B52" w:rsidP="00815814">
            <w:pPr>
              <w:spacing w:before="240" w:after="0"/>
            </w:pPr>
            <w:r>
              <w:t xml:space="preserve"> £                      </w:t>
            </w:r>
            <w:r>
              <w:tab/>
              <w:t>25.00</w:t>
            </w:r>
          </w:p>
        </w:tc>
        <w:tc>
          <w:tcPr>
            <w:tcW w:w="3257"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5ECFA6CC" w14:textId="77777777" w:rsidR="00E27B52" w:rsidRDefault="00E27B52" w:rsidP="00815814">
            <w:pPr>
              <w:spacing w:before="240" w:after="0"/>
            </w:pPr>
            <w:r>
              <w:t xml:space="preserve"> £                       </w:t>
            </w:r>
            <w:r>
              <w:tab/>
              <w:t>20.00</w:t>
            </w:r>
          </w:p>
        </w:tc>
      </w:tr>
      <w:tr w:rsidR="00E27B52" w14:paraId="49F18A17" w14:textId="77777777" w:rsidTr="00815814">
        <w:trPr>
          <w:trHeight w:val="300"/>
        </w:trPr>
        <w:tc>
          <w:tcPr>
            <w:tcW w:w="2597" w:type="dxa"/>
            <w:tcBorders>
              <w:top w:val="nil"/>
              <w:left w:val="single" w:sz="5" w:space="0" w:color="000000"/>
              <w:bottom w:val="single" w:sz="5" w:space="0" w:color="000000"/>
              <w:right w:val="single" w:sz="5" w:space="0" w:color="000000"/>
            </w:tcBorders>
            <w:shd w:val="clear" w:color="auto" w:fill="auto"/>
            <w:tcMar>
              <w:top w:w="0" w:type="dxa"/>
              <w:left w:w="100" w:type="dxa"/>
              <w:bottom w:w="0" w:type="dxa"/>
              <w:right w:w="100" w:type="dxa"/>
            </w:tcMar>
            <w:vAlign w:val="bottom"/>
          </w:tcPr>
          <w:p w14:paraId="059883A2" w14:textId="77777777" w:rsidR="00E27B52" w:rsidRDefault="00E27B52" w:rsidP="00815814">
            <w:pPr>
              <w:spacing w:before="240" w:after="0"/>
              <w:jc w:val="right"/>
            </w:pPr>
            <w:r>
              <w:t>3</w:t>
            </w:r>
          </w:p>
        </w:tc>
        <w:tc>
          <w:tcPr>
            <w:tcW w:w="3504"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46FE8E68" w14:textId="77777777" w:rsidR="00E27B52" w:rsidRDefault="00E27B52" w:rsidP="00815814">
            <w:pPr>
              <w:spacing w:before="240" w:after="0"/>
            </w:pPr>
            <w:r>
              <w:t xml:space="preserve"> £                      </w:t>
            </w:r>
            <w:r>
              <w:tab/>
              <w:t>20.00</w:t>
            </w:r>
          </w:p>
        </w:tc>
        <w:tc>
          <w:tcPr>
            <w:tcW w:w="3257"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2EA9FA3C" w14:textId="77777777" w:rsidR="00E27B52" w:rsidRDefault="00E27B52" w:rsidP="00815814">
            <w:pPr>
              <w:spacing w:before="240" w:after="0"/>
            </w:pPr>
            <w:r>
              <w:t xml:space="preserve"> £                       </w:t>
            </w:r>
            <w:r>
              <w:tab/>
              <w:t>20.00</w:t>
            </w:r>
          </w:p>
        </w:tc>
      </w:tr>
      <w:tr w:rsidR="00E27B52" w14:paraId="213E336D" w14:textId="77777777" w:rsidTr="00815814">
        <w:trPr>
          <w:trHeight w:val="300"/>
        </w:trPr>
        <w:tc>
          <w:tcPr>
            <w:tcW w:w="2597" w:type="dxa"/>
            <w:tcBorders>
              <w:top w:val="nil"/>
              <w:left w:val="single" w:sz="5" w:space="0" w:color="000000"/>
              <w:bottom w:val="single" w:sz="5" w:space="0" w:color="000000"/>
              <w:right w:val="single" w:sz="5" w:space="0" w:color="000000"/>
            </w:tcBorders>
            <w:shd w:val="clear" w:color="auto" w:fill="auto"/>
            <w:tcMar>
              <w:top w:w="0" w:type="dxa"/>
              <w:left w:w="100" w:type="dxa"/>
              <w:bottom w:w="0" w:type="dxa"/>
              <w:right w:w="100" w:type="dxa"/>
            </w:tcMar>
            <w:vAlign w:val="bottom"/>
          </w:tcPr>
          <w:p w14:paraId="524B7A55" w14:textId="77777777" w:rsidR="00E27B52" w:rsidRDefault="00E27B52" w:rsidP="00815814">
            <w:pPr>
              <w:spacing w:before="240" w:after="0"/>
              <w:jc w:val="right"/>
            </w:pPr>
            <w:r>
              <w:t>4</w:t>
            </w:r>
          </w:p>
        </w:tc>
        <w:tc>
          <w:tcPr>
            <w:tcW w:w="3504"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34A0F0E3" w14:textId="77777777" w:rsidR="00E27B52" w:rsidRDefault="00E27B52" w:rsidP="00815814">
            <w:pPr>
              <w:spacing w:before="240" w:after="0"/>
            </w:pPr>
            <w:r>
              <w:t xml:space="preserve"> £    </w:t>
            </w:r>
            <w:r>
              <w:tab/>
              <w:t xml:space="preserve">                  55.00</w:t>
            </w:r>
          </w:p>
        </w:tc>
        <w:tc>
          <w:tcPr>
            <w:tcW w:w="3257"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1D45FE6C" w14:textId="77777777" w:rsidR="00E27B52" w:rsidRDefault="00E27B52" w:rsidP="00815814">
            <w:pPr>
              <w:spacing w:before="240" w:after="0"/>
            </w:pPr>
            <w:r>
              <w:t xml:space="preserve"> £                       </w:t>
            </w:r>
            <w:r>
              <w:tab/>
              <w:t>20.00</w:t>
            </w:r>
          </w:p>
        </w:tc>
      </w:tr>
      <w:tr w:rsidR="00E27B52" w14:paraId="7C0D130C" w14:textId="77777777" w:rsidTr="00815814">
        <w:trPr>
          <w:trHeight w:val="300"/>
        </w:trPr>
        <w:tc>
          <w:tcPr>
            <w:tcW w:w="2597" w:type="dxa"/>
            <w:tcBorders>
              <w:top w:val="nil"/>
              <w:left w:val="single" w:sz="5" w:space="0" w:color="000000"/>
              <w:bottom w:val="single" w:sz="5" w:space="0" w:color="000000"/>
              <w:right w:val="single" w:sz="5" w:space="0" w:color="000000"/>
            </w:tcBorders>
            <w:shd w:val="clear" w:color="auto" w:fill="auto"/>
            <w:tcMar>
              <w:top w:w="0" w:type="dxa"/>
              <w:left w:w="100" w:type="dxa"/>
              <w:bottom w:w="0" w:type="dxa"/>
              <w:right w:w="100" w:type="dxa"/>
            </w:tcMar>
            <w:vAlign w:val="bottom"/>
          </w:tcPr>
          <w:p w14:paraId="6A47AD4B" w14:textId="77777777" w:rsidR="00E27B52" w:rsidRDefault="00E27B52" w:rsidP="00815814">
            <w:pPr>
              <w:spacing w:before="240" w:after="0"/>
            </w:pPr>
            <w:r>
              <w:t>Total Profit</w:t>
            </w:r>
          </w:p>
        </w:tc>
        <w:tc>
          <w:tcPr>
            <w:tcW w:w="3504"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5AD00823" w14:textId="77777777" w:rsidR="00E27B52" w:rsidRDefault="00E27B52" w:rsidP="00815814">
            <w:pPr>
              <w:spacing w:before="240" w:after="0"/>
            </w:pPr>
            <w:r>
              <w:t xml:space="preserve"> £                    </w:t>
            </w:r>
            <w:r>
              <w:tab/>
              <w:t>125.00</w:t>
            </w:r>
          </w:p>
        </w:tc>
        <w:tc>
          <w:tcPr>
            <w:tcW w:w="3257"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79D50426" w14:textId="77777777" w:rsidR="00E27B52" w:rsidRDefault="00E27B52" w:rsidP="00815814">
            <w:pPr>
              <w:spacing w:before="240" w:after="0"/>
            </w:pPr>
            <w:r>
              <w:t xml:space="preserve"> £                     </w:t>
            </w:r>
            <w:r>
              <w:tab/>
              <w:t>110.00</w:t>
            </w:r>
          </w:p>
        </w:tc>
      </w:tr>
      <w:tr w:rsidR="00E27B52" w14:paraId="0A855646" w14:textId="77777777" w:rsidTr="00815814">
        <w:trPr>
          <w:trHeight w:val="300"/>
        </w:trPr>
        <w:tc>
          <w:tcPr>
            <w:tcW w:w="2597" w:type="dxa"/>
            <w:tcBorders>
              <w:top w:val="nil"/>
              <w:left w:val="single" w:sz="5" w:space="0" w:color="000000"/>
              <w:bottom w:val="single" w:sz="5" w:space="0" w:color="000000"/>
              <w:right w:val="single" w:sz="5" w:space="0" w:color="000000"/>
            </w:tcBorders>
            <w:shd w:val="clear" w:color="auto" w:fill="auto"/>
            <w:tcMar>
              <w:top w:w="0" w:type="dxa"/>
              <w:left w:w="100" w:type="dxa"/>
              <w:bottom w:w="0" w:type="dxa"/>
              <w:right w:w="100" w:type="dxa"/>
            </w:tcMar>
            <w:vAlign w:val="bottom"/>
          </w:tcPr>
          <w:p w14:paraId="1CA0AD45" w14:textId="77777777" w:rsidR="00E27B52" w:rsidRDefault="00E27B52" w:rsidP="00815814">
            <w:pPr>
              <w:spacing w:before="240" w:after="0"/>
            </w:pPr>
            <w:r>
              <w:t>Average Annual Profit</w:t>
            </w:r>
          </w:p>
        </w:tc>
        <w:tc>
          <w:tcPr>
            <w:tcW w:w="3504"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5B23F7EC" w14:textId="77777777" w:rsidR="00E27B52" w:rsidRDefault="00E27B52" w:rsidP="00815814">
            <w:pPr>
              <w:spacing w:before="240" w:after="0"/>
            </w:pPr>
            <w:r>
              <w:t xml:space="preserve"> £                      </w:t>
            </w:r>
            <w:r>
              <w:tab/>
              <w:t>31.25</w:t>
            </w:r>
          </w:p>
        </w:tc>
        <w:tc>
          <w:tcPr>
            <w:tcW w:w="3257"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0DEAF9FF" w14:textId="77777777" w:rsidR="00E27B52" w:rsidRDefault="00E27B52" w:rsidP="00815814">
            <w:pPr>
              <w:spacing w:before="240" w:after="0"/>
            </w:pPr>
            <w:r>
              <w:t xml:space="preserve"> £                       </w:t>
            </w:r>
            <w:r>
              <w:tab/>
              <w:t>27.50</w:t>
            </w:r>
          </w:p>
        </w:tc>
      </w:tr>
      <w:tr w:rsidR="00E27B52" w14:paraId="304177F8" w14:textId="77777777" w:rsidTr="00815814">
        <w:trPr>
          <w:trHeight w:val="570"/>
        </w:trPr>
        <w:tc>
          <w:tcPr>
            <w:tcW w:w="2597" w:type="dxa"/>
            <w:vMerge w:val="restart"/>
            <w:tcBorders>
              <w:top w:val="nil"/>
              <w:left w:val="single" w:sz="5" w:space="0" w:color="000000"/>
              <w:bottom w:val="single" w:sz="5" w:space="0" w:color="000000"/>
              <w:right w:val="single" w:sz="5" w:space="0" w:color="000000"/>
            </w:tcBorders>
            <w:shd w:val="clear" w:color="auto" w:fill="auto"/>
            <w:tcMar>
              <w:top w:w="0" w:type="dxa"/>
              <w:left w:w="100" w:type="dxa"/>
              <w:bottom w:w="0" w:type="dxa"/>
              <w:right w:w="100" w:type="dxa"/>
            </w:tcMar>
          </w:tcPr>
          <w:p w14:paraId="384B7C78" w14:textId="77777777" w:rsidR="00E27B52" w:rsidRDefault="00E27B52" w:rsidP="00815814">
            <w:pPr>
              <w:spacing w:before="240" w:after="0"/>
            </w:pPr>
            <w:r>
              <w:t>Accounting</w:t>
            </w:r>
          </w:p>
          <w:p w14:paraId="42F2D48C" w14:textId="77777777" w:rsidR="00E27B52" w:rsidRDefault="00E27B52" w:rsidP="00815814">
            <w:pPr>
              <w:spacing w:before="240" w:after="0"/>
            </w:pPr>
            <w:r>
              <w:t>Rate of Return</w:t>
            </w:r>
          </w:p>
        </w:tc>
        <w:tc>
          <w:tcPr>
            <w:tcW w:w="3504"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78D0C73D" w14:textId="77777777" w:rsidR="00E27B52" w:rsidRDefault="00E27B52" w:rsidP="00815814">
            <w:pPr>
              <w:spacing w:before="240" w:after="0"/>
              <w:jc w:val="right"/>
            </w:pPr>
            <w:r>
              <w:t>0.39</w:t>
            </w:r>
          </w:p>
        </w:tc>
        <w:tc>
          <w:tcPr>
            <w:tcW w:w="3257"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7C785AD4" w14:textId="77777777" w:rsidR="00E27B52" w:rsidRDefault="00E27B52" w:rsidP="00815814">
            <w:pPr>
              <w:spacing w:before="240" w:after="0"/>
              <w:jc w:val="right"/>
            </w:pPr>
            <w:r>
              <w:t>0.37</w:t>
            </w:r>
          </w:p>
        </w:tc>
      </w:tr>
      <w:tr w:rsidR="00E27B52" w14:paraId="6552E54F" w14:textId="77777777" w:rsidTr="00815814">
        <w:trPr>
          <w:trHeight w:val="300"/>
        </w:trPr>
        <w:tc>
          <w:tcPr>
            <w:tcW w:w="2597" w:type="dxa"/>
            <w:vMerge/>
            <w:tcBorders>
              <w:top w:val="nil"/>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5AA42FCC" w14:textId="77777777" w:rsidR="00E27B52" w:rsidRDefault="00E27B52" w:rsidP="00815814"/>
        </w:tc>
        <w:tc>
          <w:tcPr>
            <w:tcW w:w="3504"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67CA829E" w14:textId="77777777" w:rsidR="00E27B52" w:rsidRDefault="00E27B52" w:rsidP="00815814">
            <w:pPr>
              <w:spacing w:before="240" w:after="0"/>
              <w:jc w:val="right"/>
            </w:pPr>
            <w:r>
              <w:t>39.06%</w:t>
            </w:r>
          </w:p>
        </w:tc>
        <w:tc>
          <w:tcPr>
            <w:tcW w:w="3257"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5F01DB9C" w14:textId="77777777" w:rsidR="00E27B52" w:rsidRDefault="00E27B52" w:rsidP="00815814">
            <w:pPr>
              <w:spacing w:before="240" w:after="0"/>
              <w:jc w:val="right"/>
            </w:pPr>
            <w:r>
              <w:t>36.67%</w:t>
            </w:r>
          </w:p>
        </w:tc>
      </w:tr>
    </w:tbl>
    <w:p w14:paraId="3833E848" w14:textId="77777777" w:rsidR="00E27B52" w:rsidRDefault="00E27B52" w:rsidP="00E27B52"/>
    <w:p w14:paraId="3A62F12A" w14:textId="77777777" w:rsidR="00E27B52" w:rsidRDefault="00E27B52" w:rsidP="00E27B52">
      <w:r>
        <w:t xml:space="preserve">Dividing the average yearly profit by the original outlay produces the accounting rate of return (ARR). Project A generates an average yearly profit of £31.25m and an ARR of 39.06% turning </w:t>
      </w:r>
      <w:r>
        <w:lastRenderedPageBreak/>
        <w:t xml:space="preserve">£125m completely. With an average yearly profit of £27.5 million and an ARR of 36.67%, Project B makes a total profit of £110 million. With regard to its starting capital, Project A demonstrates greater return as its ARR is higher than Project B's. Project A attracts more people in terms of profitability considering a bigger % return on investment. </w:t>
      </w:r>
    </w:p>
    <w:p w14:paraId="00CABE64" w14:textId="77777777" w:rsidR="00E27B52" w:rsidRDefault="00E27B52" w:rsidP="00E27B52">
      <w:r>
        <w:t xml:space="preserve">ARR offers a simple profitability metric but has limits as well. Most critically for correct financial evaluations (Vipond, 2023). It ignores the time value of money or the timing of cash flows are also </w:t>
      </w:r>
      <w:proofErr w:type="gramStart"/>
      <w:r>
        <w:t>overlooks</w:t>
      </w:r>
      <w:proofErr w:type="gramEnd"/>
      <w:r>
        <w:t xml:space="preserve"> liquidity issues by concentrating only on accounting gains instead of cash flows. Among other things, Net Present Value (NPV) considers time value of money and offers a </w:t>
      </w:r>
      <w:proofErr w:type="gramStart"/>
      <w:r>
        <w:t>more full</w:t>
      </w:r>
      <w:proofErr w:type="gramEnd"/>
      <w:r>
        <w:t xml:space="preserve"> picture of the financial performance of the projects, therefore affecting your decision of investment.</w:t>
      </w:r>
    </w:p>
    <w:p w14:paraId="7CF6A58B" w14:textId="44C5EB83" w:rsidR="00E27B52" w:rsidRDefault="00B964FF" w:rsidP="00E27B52">
      <w:bookmarkStart w:id="15" w:name="_Hlk174222195"/>
      <w:r>
        <w:rPr>
          <w:b/>
          <w:i/>
        </w:rPr>
        <w:t xml:space="preserve">3. </w:t>
      </w:r>
      <w:r w:rsidR="00E27B52">
        <w:rPr>
          <w:b/>
          <w:i/>
        </w:rPr>
        <w:t>Net Present Value</w:t>
      </w:r>
    </w:p>
    <w:tbl>
      <w:tblPr>
        <w:tblW w:w="9045" w:type="dxa"/>
        <w:jc w:val="center"/>
        <w:tblBorders>
          <w:top w:val="nil"/>
          <w:left w:val="nil"/>
          <w:bottom w:val="nil"/>
          <w:right w:val="nil"/>
          <w:insideH w:val="nil"/>
          <w:insideV w:val="nil"/>
        </w:tblBorders>
        <w:tblLayout w:type="fixed"/>
        <w:tblLook w:val="0600" w:firstRow="0" w:lastRow="0" w:firstColumn="0" w:lastColumn="0" w:noHBand="1" w:noVBand="1"/>
      </w:tblPr>
      <w:tblGrid>
        <w:gridCol w:w="2025"/>
        <w:gridCol w:w="2925"/>
        <w:gridCol w:w="4095"/>
      </w:tblGrid>
      <w:tr w:rsidR="00E27B52" w14:paraId="48C4AAF5" w14:textId="77777777" w:rsidTr="00815814">
        <w:trPr>
          <w:trHeight w:val="300"/>
          <w:jc w:val="center"/>
        </w:trPr>
        <w:tc>
          <w:tcPr>
            <w:tcW w:w="9045" w:type="dxa"/>
            <w:gridSpan w:val="3"/>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vAlign w:val="bottom"/>
          </w:tcPr>
          <w:bookmarkEnd w:id="15"/>
          <w:p w14:paraId="1D39AD93" w14:textId="77777777" w:rsidR="00E27B52" w:rsidRDefault="00E27B52" w:rsidP="00815814">
            <w:pPr>
              <w:spacing w:before="240" w:after="0"/>
              <w:jc w:val="center"/>
              <w:rPr>
                <w:b/>
              </w:rPr>
            </w:pPr>
            <w:r>
              <w:rPr>
                <w:b/>
              </w:rPr>
              <w:t>Net Present Value</w:t>
            </w:r>
          </w:p>
        </w:tc>
      </w:tr>
      <w:tr w:rsidR="00E27B52" w14:paraId="1E73AE0B" w14:textId="77777777" w:rsidTr="00815814">
        <w:trPr>
          <w:trHeight w:val="300"/>
          <w:jc w:val="center"/>
        </w:trPr>
        <w:tc>
          <w:tcPr>
            <w:tcW w:w="2025" w:type="dxa"/>
            <w:tcBorders>
              <w:top w:val="nil"/>
              <w:left w:val="single" w:sz="5" w:space="0" w:color="000000"/>
              <w:bottom w:val="single" w:sz="5" w:space="0" w:color="000000"/>
              <w:right w:val="single" w:sz="5" w:space="0" w:color="000000"/>
            </w:tcBorders>
            <w:shd w:val="clear" w:color="auto" w:fill="auto"/>
            <w:tcMar>
              <w:top w:w="0" w:type="dxa"/>
              <w:left w:w="100" w:type="dxa"/>
              <w:bottom w:w="0" w:type="dxa"/>
              <w:right w:w="100" w:type="dxa"/>
            </w:tcMar>
            <w:vAlign w:val="bottom"/>
          </w:tcPr>
          <w:p w14:paraId="3BDF4894" w14:textId="77777777" w:rsidR="00E27B52" w:rsidRDefault="00E27B52" w:rsidP="00815814">
            <w:pPr>
              <w:spacing w:before="240" w:after="0"/>
              <w:rPr>
                <w:b/>
              </w:rPr>
            </w:pPr>
            <w:r>
              <w:rPr>
                <w:b/>
              </w:rPr>
              <w:t>Year</w:t>
            </w:r>
          </w:p>
        </w:tc>
        <w:tc>
          <w:tcPr>
            <w:tcW w:w="292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7FF02BDB" w14:textId="77777777" w:rsidR="00E27B52" w:rsidRDefault="00E27B52" w:rsidP="00815814">
            <w:pPr>
              <w:spacing w:before="240" w:after="0"/>
              <w:rPr>
                <w:b/>
              </w:rPr>
            </w:pPr>
            <w:r>
              <w:rPr>
                <w:b/>
              </w:rPr>
              <w:t>Projected Cash Flow A</w:t>
            </w:r>
          </w:p>
        </w:tc>
        <w:tc>
          <w:tcPr>
            <w:tcW w:w="409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3BCF6573" w14:textId="77777777" w:rsidR="00E27B52" w:rsidRDefault="00E27B52" w:rsidP="00815814">
            <w:pPr>
              <w:spacing w:before="240" w:after="0"/>
              <w:rPr>
                <w:b/>
              </w:rPr>
            </w:pPr>
            <w:r>
              <w:rPr>
                <w:b/>
              </w:rPr>
              <w:t>Projected Cash Flow B</w:t>
            </w:r>
          </w:p>
        </w:tc>
      </w:tr>
      <w:tr w:rsidR="00E27B52" w14:paraId="066F16AA" w14:textId="77777777" w:rsidTr="00815814">
        <w:trPr>
          <w:trHeight w:val="300"/>
          <w:jc w:val="center"/>
        </w:trPr>
        <w:tc>
          <w:tcPr>
            <w:tcW w:w="2025" w:type="dxa"/>
            <w:tcBorders>
              <w:top w:val="nil"/>
              <w:left w:val="single" w:sz="5" w:space="0" w:color="000000"/>
              <w:bottom w:val="single" w:sz="5" w:space="0" w:color="000000"/>
              <w:right w:val="single" w:sz="5" w:space="0" w:color="000000"/>
            </w:tcBorders>
            <w:shd w:val="clear" w:color="auto" w:fill="auto"/>
            <w:tcMar>
              <w:top w:w="0" w:type="dxa"/>
              <w:left w:w="100" w:type="dxa"/>
              <w:bottom w:w="0" w:type="dxa"/>
              <w:right w:w="100" w:type="dxa"/>
            </w:tcMar>
            <w:vAlign w:val="bottom"/>
          </w:tcPr>
          <w:p w14:paraId="56E8977D" w14:textId="77777777" w:rsidR="00E27B52" w:rsidRDefault="00E27B52" w:rsidP="00815814">
            <w:pPr>
              <w:spacing w:before="240" w:after="0"/>
              <w:jc w:val="right"/>
            </w:pPr>
            <w:r>
              <w:t>0</w:t>
            </w:r>
          </w:p>
        </w:tc>
        <w:tc>
          <w:tcPr>
            <w:tcW w:w="292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340878CB" w14:textId="77777777" w:rsidR="00E27B52" w:rsidRDefault="00E27B52" w:rsidP="00815814">
            <w:pPr>
              <w:spacing w:before="240" w:after="0"/>
            </w:pPr>
            <w:r>
              <w:t>-£                          80.00</w:t>
            </w:r>
          </w:p>
        </w:tc>
        <w:tc>
          <w:tcPr>
            <w:tcW w:w="409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440ECA2E" w14:textId="77777777" w:rsidR="00E27B52" w:rsidRDefault="00E27B52" w:rsidP="00815814">
            <w:pPr>
              <w:spacing w:before="240" w:after="0"/>
            </w:pPr>
            <w:r>
              <w:t>-£                           75.00</w:t>
            </w:r>
          </w:p>
        </w:tc>
      </w:tr>
      <w:tr w:rsidR="00E27B52" w14:paraId="3C5A6FFA" w14:textId="77777777" w:rsidTr="00815814">
        <w:trPr>
          <w:trHeight w:val="300"/>
          <w:jc w:val="center"/>
        </w:trPr>
        <w:tc>
          <w:tcPr>
            <w:tcW w:w="2025" w:type="dxa"/>
            <w:tcBorders>
              <w:top w:val="nil"/>
              <w:left w:val="single" w:sz="5" w:space="0" w:color="000000"/>
              <w:bottom w:val="single" w:sz="5" w:space="0" w:color="000000"/>
              <w:right w:val="single" w:sz="5" w:space="0" w:color="000000"/>
            </w:tcBorders>
            <w:shd w:val="clear" w:color="auto" w:fill="auto"/>
            <w:tcMar>
              <w:top w:w="0" w:type="dxa"/>
              <w:left w:w="100" w:type="dxa"/>
              <w:bottom w:w="0" w:type="dxa"/>
              <w:right w:w="100" w:type="dxa"/>
            </w:tcMar>
            <w:vAlign w:val="bottom"/>
          </w:tcPr>
          <w:p w14:paraId="6EC523F7" w14:textId="77777777" w:rsidR="00E27B52" w:rsidRDefault="00E27B52" w:rsidP="00815814">
            <w:pPr>
              <w:spacing w:before="240" w:after="0"/>
              <w:jc w:val="right"/>
            </w:pPr>
            <w:r>
              <w:t>1</w:t>
            </w:r>
          </w:p>
        </w:tc>
        <w:tc>
          <w:tcPr>
            <w:tcW w:w="292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1C019B04" w14:textId="77777777" w:rsidR="00E27B52" w:rsidRDefault="00E27B52" w:rsidP="00815814">
            <w:pPr>
              <w:spacing w:before="240" w:after="0"/>
            </w:pPr>
            <w:r>
              <w:t xml:space="preserve"> £                      </w:t>
            </w:r>
            <w:r>
              <w:tab/>
              <w:t>25.00</w:t>
            </w:r>
          </w:p>
        </w:tc>
        <w:tc>
          <w:tcPr>
            <w:tcW w:w="409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04A4ABAB" w14:textId="77777777" w:rsidR="00E27B52" w:rsidRDefault="00E27B52" w:rsidP="00815814">
            <w:pPr>
              <w:spacing w:before="240" w:after="0"/>
            </w:pPr>
            <w:r>
              <w:t xml:space="preserve"> £                       </w:t>
            </w:r>
            <w:r>
              <w:tab/>
              <w:t>50.00</w:t>
            </w:r>
          </w:p>
        </w:tc>
      </w:tr>
      <w:tr w:rsidR="00E27B52" w14:paraId="59EFBA6F" w14:textId="77777777" w:rsidTr="00815814">
        <w:trPr>
          <w:trHeight w:val="300"/>
          <w:jc w:val="center"/>
        </w:trPr>
        <w:tc>
          <w:tcPr>
            <w:tcW w:w="2025" w:type="dxa"/>
            <w:tcBorders>
              <w:top w:val="nil"/>
              <w:left w:val="single" w:sz="5" w:space="0" w:color="000000"/>
              <w:bottom w:val="single" w:sz="5" w:space="0" w:color="000000"/>
              <w:right w:val="single" w:sz="5" w:space="0" w:color="000000"/>
            </w:tcBorders>
            <w:shd w:val="clear" w:color="auto" w:fill="auto"/>
            <w:tcMar>
              <w:top w:w="0" w:type="dxa"/>
              <w:left w:w="100" w:type="dxa"/>
              <w:bottom w:w="0" w:type="dxa"/>
              <w:right w:w="100" w:type="dxa"/>
            </w:tcMar>
            <w:vAlign w:val="bottom"/>
          </w:tcPr>
          <w:p w14:paraId="74868DC7" w14:textId="77777777" w:rsidR="00E27B52" w:rsidRDefault="00E27B52" w:rsidP="00815814">
            <w:pPr>
              <w:spacing w:before="240" w:after="0"/>
              <w:jc w:val="right"/>
            </w:pPr>
            <w:r>
              <w:t>2</w:t>
            </w:r>
          </w:p>
        </w:tc>
        <w:tc>
          <w:tcPr>
            <w:tcW w:w="292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68FA01D4" w14:textId="77777777" w:rsidR="00E27B52" w:rsidRDefault="00E27B52" w:rsidP="00815814">
            <w:pPr>
              <w:spacing w:before="240" w:after="0"/>
            </w:pPr>
            <w:r>
              <w:t xml:space="preserve"> £                      </w:t>
            </w:r>
            <w:r>
              <w:tab/>
              <w:t>25.00</w:t>
            </w:r>
          </w:p>
        </w:tc>
        <w:tc>
          <w:tcPr>
            <w:tcW w:w="409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5A2509A4" w14:textId="77777777" w:rsidR="00E27B52" w:rsidRDefault="00E27B52" w:rsidP="00815814">
            <w:pPr>
              <w:spacing w:before="240" w:after="0"/>
            </w:pPr>
            <w:r>
              <w:t xml:space="preserve"> £                       </w:t>
            </w:r>
            <w:r>
              <w:tab/>
              <w:t>20.00</w:t>
            </w:r>
          </w:p>
        </w:tc>
      </w:tr>
      <w:tr w:rsidR="00E27B52" w14:paraId="4DE80989" w14:textId="77777777" w:rsidTr="00815814">
        <w:trPr>
          <w:trHeight w:val="300"/>
          <w:jc w:val="center"/>
        </w:trPr>
        <w:tc>
          <w:tcPr>
            <w:tcW w:w="2025" w:type="dxa"/>
            <w:tcBorders>
              <w:top w:val="nil"/>
              <w:left w:val="single" w:sz="5" w:space="0" w:color="000000"/>
              <w:bottom w:val="single" w:sz="5" w:space="0" w:color="000000"/>
              <w:right w:val="single" w:sz="5" w:space="0" w:color="000000"/>
            </w:tcBorders>
            <w:shd w:val="clear" w:color="auto" w:fill="auto"/>
            <w:tcMar>
              <w:top w:w="0" w:type="dxa"/>
              <w:left w:w="100" w:type="dxa"/>
              <w:bottom w:w="0" w:type="dxa"/>
              <w:right w:w="100" w:type="dxa"/>
            </w:tcMar>
            <w:vAlign w:val="bottom"/>
          </w:tcPr>
          <w:p w14:paraId="5CD016B4" w14:textId="77777777" w:rsidR="00E27B52" w:rsidRDefault="00E27B52" w:rsidP="00815814">
            <w:pPr>
              <w:spacing w:before="240" w:after="0"/>
              <w:jc w:val="right"/>
            </w:pPr>
            <w:r>
              <w:t>3</w:t>
            </w:r>
          </w:p>
        </w:tc>
        <w:tc>
          <w:tcPr>
            <w:tcW w:w="292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3603E430" w14:textId="77777777" w:rsidR="00E27B52" w:rsidRDefault="00E27B52" w:rsidP="00815814">
            <w:pPr>
              <w:spacing w:before="240" w:after="0"/>
            </w:pPr>
            <w:r>
              <w:t xml:space="preserve"> £                      </w:t>
            </w:r>
            <w:r>
              <w:tab/>
              <w:t>20.00</w:t>
            </w:r>
          </w:p>
        </w:tc>
        <w:tc>
          <w:tcPr>
            <w:tcW w:w="409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4E55D563" w14:textId="77777777" w:rsidR="00E27B52" w:rsidRDefault="00E27B52" w:rsidP="00815814">
            <w:pPr>
              <w:spacing w:before="240" w:after="0"/>
            </w:pPr>
            <w:r>
              <w:t xml:space="preserve"> £                       </w:t>
            </w:r>
            <w:r>
              <w:tab/>
              <w:t>20.00</w:t>
            </w:r>
          </w:p>
        </w:tc>
      </w:tr>
      <w:tr w:rsidR="00E27B52" w14:paraId="675B4E15" w14:textId="77777777" w:rsidTr="00815814">
        <w:trPr>
          <w:trHeight w:val="300"/>
          <w:jc w:val="center"/>
        </w:trPr>
        <w:tc>
          <w:tcPr>
            <w:tcW w:w="2025" w:type="dxa"/>
            <w:tcBorders>
              <w:top w:val="nil"/>
              <w:left w:val="single" w:sz="5" w:space="0" w:color="000000"/>
              <w:bottom w:val="single" w:sz="5" w:space="0" w:color="000000"/>
              <w:right w:val="single" w:sz="5" w:space="0" w:color="000000"/>
            </w:tcBorders>
            <w:shd w:val="clear" w:color="auto" w:fill="auto"/>
            <w:tcMar>
              <w:top w:w="0" w:type="dxa"/>
              <w:left w:w="100" w:type="dxa"/>
              <w:bottom w:w="0" w:type="dxa"/>
              <w:right w:w="100" w:type="dxa"/>
            </w:tcMar>
            <w:vAlign w:val="bottom"/>
          </w:tcPr>
          <w:p w14:paraId="59C2AD0D" w14:textId="77777777" w:rsidR="00E27B52" w:rsidRDefault="00E27B52" w:rsidP="00815814">
            <w:pPr>
              <w:spacing w:before="240" w:after="0"/>
              <w:jc w:val="right"/>
            </w:pPr>
            <w:r>
              <w:t>4</w:t>
            </w:r>
          </w:p>
        </w:tc>
        <w:tc>
          <w:tcPr>
            <w:tcW w:w="292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1C75B539" w14:textId="77777777" w:rsidR="00E27B52" w:rsidRDefault="00E27B52" w:rsidP="00815814">
            <w:pPr>
              <w:spacing w:before="240" w:after="0"/>
            </w:pPr>
            <w:r>
              <w:t xml:space="preserve"> £                      </w:t>
            </w:r>
            <w:r>
              <w:tab/>
              <w:t>55.00</w:t>
            </w:r>
          </w:p>
        </w:tc>
        <w:tc>
          <w:tcPr>
            <w:tcW w:w="409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6AB61BF4" w14:textId="77777777" w:rsidR="00E27B52" w:rsidRDefault="00E27B52" w:rsidP="00815814">
            <w:pPr>
              <w:spacing w:before="240" w:after="0"/>
            </w:pPr>
            <w:r>
              <w:t xml:space="preserve"> £                       </w:t>
            </w:r>
            <w:r>
              <w:tab/>
              <w:t>20.00</w:t>
            </w:r>
          </w:p>
        </w:tc>
      </w:tr>
      <w:tr w:rsidR="00E27B52" w14:paraId="49961397" w14:textId="77777777" w:rsidTr="00815814">
        <w:trPr>
          <w:trHeight w:val="300"/>
          <w:jc w:val="center"/>
        </w:trPr>
        <w:tc>
          <w:tcPr>
            <w:tcW w:w="2025" w:type="dxa"/>
            <w:tcBorders>
              <w:top w:val="nil"/>
              <w:left w:val="single" w:sz="5" w:space="0" w:color="000000"/>
              <w:bottom w:val="single" w:sz="5" w:space="0" w:color="000000"/>
              <w:right w:val="single" w:sz="5" w:space="0" w:color="000000"/>
            </w:tcBorders>
            <w:shd w:val="clear" w:color="auto" w:fill="auto"/>
            <w:tcMar>
              <w:top w:w="0" w:type="dxa"/>
              <w:left w:w="100" w:type="dxa"/>
              <w:bottom w:w="0" w:type="dxa"/>
              <w:right w:w="100" w:type="dxa"/>
            </w:tcMar>
            <w:vAlign w:val="bottom"/>
          </w:tcPr>
          <w:p w14:paraId="34CF71CB" w14:textId="77777777" w:rsidR="00E27B52" w:rsidRDefault="00E27B52" w:rsidP="00815814">
            <w:pPr>
              <w:spacing w:before="240" w:after="0"/>
            </w:pPr>
            <w:r>
              <w:t>NPV</w:t>
            </w:r>
          </w:p>
        </w:tc>
        <w:tc>
          <w:tcPr>
            <w:tcW w:w="292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154D3D62" w14:textId="77777777" w:rsidR="00E27B52" w:rsidRDefault="00E27B52" w:rsidP="00815814">
            <w:pPr>
              <w:spacing w:before="240" w:after="0"/>
            </w:pPr>
            <w:r>
              <w:t xml:space="preserve"> £                      </w:t>
            </w:r>
            <w:r>
              <w:tab/>
              <w:t>15.10</w:t>
            </w:r>
          </w:p>
        </w:tc>
        <w:tc>
          <w:tcPr>
            <w:tcW w:w="4095"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vAlign w:val="bottom"/>
          </w:tcPr>
          <w:p w14:paraId="4F389AC3" w14:textId="77777777" w:rsidR="00E27B52" w:rsidRDefault="00E27B52" w:rsidP="00815814">
            <w:pPr>
              <w:spacing w:before="240" w:after="0"/>
            </w:pPr>
            <w:r>
              <w:t xml:space="preserve"> £                   </w:t>
            </w:r>
            <w:r>
              <w:tab/>
              <w:t xml:space="preserve">    14.65</w:t>
            </w:r>
          </w:p>
        </w:tc>
      </w:tr>
    </w:tbl>
    <w:p w14:paraId="1D7A5F26" w14:textId="77777777" w:rsidR="00E27B52" w:rsidRDefault="00E27B52" w:rsidP="00E27B52"/>
    <w:p w14:paraId="7AA0FFBB" w14:textId="77777777" w:rsidR="00E27B52" w:rsidRDefault="00E27B52" w:rsidP="00E27B52">
      <w:r>
        <w:t>Project A's NPV is £15.10 million and Project B's NPV is £14.65 million. Discount future cash flows using the company's cost of capital to get NPV; then, removing the original investment produces</w:t>
      </w:r>
    </w:p>
    <w:p w14:paraId="0D7F9B5A" w14:textId="77777777" w:rsidR="00E27B52" w:rsidRDefault="00E27B52" w:rsidP="00E27B52">
      <w:r>
        <w:t xml:space="preserve">Projects with good NPVs should provide value beyond their original outlay. Factoring the time value of money, Project A does, however, have a significantly greater NPV than Project B, </w:t>
      </w:r>
      <w:r>
        <w:lastRenderedPageBreak/>
        <w:t>indicating it provides a rather better return. Project A, with its greater NPV, should raise shareholder wealth more than Project B.</w:t>
      </w:r>
    </w:p>
    <w:p w14:paraId="73778D41" w14:textId="77777777" w:rsidR="00E27B52" w:rsidRDefault="00E27B52" w:rsidP="00E27B52">
      <w:r>
        <w:t xml:space="preserve">The NPV approach is well-known for respect of the time value of money and rigorous evaluation of cash flows across the project life (Espinoza </w:t>
      </w:r>
      <w:r>
        <w:rPr>
          <w:i/>
        </w:rPr>
        <w:t xml:space="preserve">et al. </w:t>
      </w:r>
      <w:r>
        <w:t>2020). Though NPV has benefits, it depends on the discount rate and requires precise cash flow estimates. Project A is the best one depending only on NPV. Still, a total investment selection depends on including non-financial elements in addition to additional financial criteria like ARR and PBP.</w:t>
      </w:r>
    </w:p>
    <w:p w14:paraId="4C72F458" w14:textId="754FAF8C" w:rsidR="00E27B52" w:rsidRDefault="00B964FF" w:rsidP="00E27B52">
      <w:bookmarkStart w:id="16" w:name="_Hlk174222215"/>
      <w:r>
        <w:rPr>
          <w:b/>
          <w:i/>
        </w:rPr>
        <w:t xml:space="preserve">4. </w:t>
      </w:r>
      <w:r w:rsidR="00E27B52">
        <w:rPr>
          <w:b/>
          <w:i/>
        </w:rPr>
        <w:t>Comparison</w:t>
      </w:r>
    </w:p>
    <w:tbl>
      <w:tblPr>
        <w:tblW w:w="9300" w:type="dxa"/>
        <w:tblBorders>
          <w:top w:val="nil"/>
          <w:left w:val="nil"/>
          <w:bottom w:val="nil"/>
          <w:right w:val="nil"/>
          <w:insideH w:val="nil"/>
          <w:insideV w:val="nil"/>
        </w:tblBorders>
        <w:tblLayout w:type="fixed"/>
        <w:tblLook w:val="0600" w:firstRow="0" w:lastRow="0" w:firstColumn="0" w:lastColumn="0" w:noHBand="1" w:noVBand="1"/>
      </w:tblPr>
      <w:tblGrid>
        <w:gridCol w:w="1515"/>
        <w:gridCol w:w="2535"/>
        <w:gridCol w:w="2370"/>
        <w:gridCol w:w="2880"/>
      </w:tblGrid>
      <w:tr w:rsidR="00E27B52" w14:paraId="78B9D319" w14:textId="77777777" w:rsidTr="00815814">
        <w:trPr>
          <w:trHeight w:val="855"/>
        </w:trPr>
        <w:tc>
          <w:tcPr>
            <w:tcW w:w="1515"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bookmarkEnd w:id="16"/>
          <w:p w14:paraId="7114A603" w14:textId="77777777" w:rsidR="00E27B52" w:rsidRDefault="00E27B52" w:rsidP="00815814">
            <w:pPr>
              <w:spacing w:before="240" w:after="0"/>
              <w:jc w:val="center"/>
              <w:rPr>
                <w:b/>
              </w:rPr>
            </w:pPr>
            <w:r>
              <w:rPr>
                <w:b/>
              </w:rPr>
              <w:t>Technique</w:t>
            </w:r>
          </w:p>
        </w:tc>
        <w:tc>
          <w:tcPr>
            <w:tcW w:w="253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4031BD52" w14:textId="77777777" w:rsidR="00E27B52" w:rsidRDefault="00E27B52" w:rsidP="00815814">
            <w:pPr>
              <w:spacing w:before="240" w:after="0"/>
              <w:jc w:val="center"/>
              <w:rPr>
                <w:b/>
              </w:rPr>
            </w:pPr>
            <w:r>
              <w:rPr>
                <w:b/>
              </w:rPr>
              <w:t>Advantages</w:t>
            </w:r>
          </w:p>
        </w:tc>
        <w:tc>
          <w:tcPr>
            <w:tcW w:w="237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4F38D2EC" w14:textId="77777777" w:rsidR="00E27B52" w:rsidRDefault="00E27B52" w:rsidP="00815814">
            <w:pPr>
              <w:spacing w:before="240" w:after="0"/>
              <w:jc w:val="center"/>
              <w:rPr>
                <w:b/>
              </w:rPr>
            </w:pPr>
            <w:r>
              <w:rPr>
                <w:b/>
              </w:rPr>
              <w:t>Shortcomings</w:t>
            </w:r>
          </w:p>
        </w:tc>
        <w:tc>
          <w:tcPr>
            <w:tcW w:w="288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5200834C" w14:textId="77777777" w:rsidR="00E27B52" w:rsidRDefault="00E27B52" w:rsidP="00815814">
            <w:pPr>
              <w:spacing w:before="240" w:after="0"/>
              <w:jc w:val="center"/>
              <w:rPr>
                <w:b/>
              </w:rPr>
            </w:pPr>
            <w:r>
              <w:rPr>
                <w:b/>
              </w:rPr>
              <w:t>Considerations for Non-Financial Factors</w:t>
            </w:r>
          </w:p>
        </w:tc>
      </w:tr>
      <w:tr w:rsidR="00E27B52" w14:paraId="1B636328" w14:textId="77777777" w:rsidTr="00815814">
        <w:trPr>
          <w:trHeight w:val="2535"/>
        </w:trPr>
        <w:tc>
          <w:tcPr>
            <w:tcW w:w="151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BE453C8" w14:textId="77777777" w:rsidR="00E27B52" w:rsidRDefault="00E27B52" w:rsidP="00815814">
            <w:pPr>
              <w:spacing w:before="240" w:after="0"/>
              <w:rPr>
                <w:b/>
              </w:rPr>
            </w:pPr>
            <w:r>
              <w:rPr>
                <w:b/>
              </w:rPr>
              <w:t>Payback Period (PBP)</w:t>
            </w:r>
          </w:p>
        </w:tc>
        <w:tc>
          <w:tcPr>
            <w:tcW w:w="2535" w:type="dxa"/>
            <w:tcBorders>
              <w:top w:val="nil"/>
              <w:left w:val="nil"/>
              <w:bottom w:val="single" w:sz="5" w:space="0" w:color="000000"/>
              <w:right w:val="single" w:sz="5" w:space="0" w:color="000000"/>
            </w:tcBorders>
            <w:tcMar>
              <w:top w:w="0" w:type="dxa"/>
              <w:left w:w="100" w:type="dxa"/>
              <w:bottom w:w="0" w:type="dxa"/>
              <w:right w:w="100" w:type="dxa"/>
            </w:tcMar>
          </w:tcPr>
          <w:p w14:paraId="516ED022" w14:textId="77777777" w:rsidR="00E27B52" w:rsidRDefault="00E27B52" w:rsidP="00815814">
            <w:pPr>
              <w:spacing w:before="240" w:after="0"/>
            </w:pPr>
            <w:r>
              <w:rPr>
                <w:b/>
              </w:rPr>
              <w:t>Simple to Understand:</w:t>
            </w:r>
            <w:r>
              <w:t xml:space="preserve"> PBP is straightforward and easy to calculate, making it accessible for quick decision-making (</w:t>
            </w:r>
            <w:proofErr w:type="spellStart"/>
            <w:r>
              <w:t>Cevikcan</w:t>
            </w:r>
            <w:proofErr w:type="spellEnd"/>
            <w:r>
              <w:t xml:space="preserve"> and </w:t>
            </w:r>
            <w:proofErr w:type="spellStart"/>
            <w:r>
              <w:t>Kose</w:t>
            </w:r>
            <w:proofErr w:type="spellEnd"/>
            <w:r>
              <w:t>, 2021).</w:t>
            </w:r>
          </w:p>
        </w:tc>
        <w:tc>
          <w:tcPr>
            <w:tcW w:w="2370" w:type="dxa"/>
            <w:tcBorders>
              <w:top w:val="nil"/>
              <w:left w:val="nil"/>
              <w:bottom w:val="single" w:sz="5" w:space="0" w:color="000000"/>
              <w:right w:val="single" w:sz="5" w:space="0" w:color="000000"/>
            </w:tcBorders>
            <w:tcMar>
              <w:top w:w="0" w:type="dxa"/>
              <w:left w:w="100" w:type="dxa"/>
              <w:bottom w:w="0" w:type="dxa"/>
              <w:right w:w="100" w:type="dxa"/>
            </w:tcMar>
          </w:tcPr>
          <w:p w14:paraId="23339633" w14:textId="77777777" w:rsidR="00E27B52" w:rsidRDefault="00E27B52" w:rsidP="00815814">
            <w:pPr>
              <w:spacing w:before="240" w:after="0"/>
            </w:pPr>
            <w:r>
              <w:rPr>
                <w:b/>
              </w:rPr>
              <w:t>Ignores Time Value of Money:</w:t>
            </w:r>
            <w:r>
              <w:t xml:space="preserve"> Does not consider the timing or discounting of cash flows, potentially leading to inaccurate investment evaluations over longer periods.</w:t>
            </w:r>
          </w:p>
        </w:tc>
        <w:tc>
          <w:tcPr>
            <w:tcW w:w="2880" w:type="dxa"/>
            <w:tcBorders>
              <w:top w:val="nil"/>
              <w:left w:val="nil"/>
              <w:bottom w:val="single" w:sz="5" w:space="0" w:color="000000"/>
              <w:right w:val="single" w:sz="5" w:space="0" w:color="000000"/>
            </w:tcBorders>
            <w:tcMar>
              <w:top w:w="0" w:type="dxa"/>
              <w:left w:w="100" w:type="dxa"/>
              <w:bottom w:w="0" w:type="dxa"/>
              <w:right w:w="100" w:type="dxa"/>
            </w:tcMar>
          </w:tcPr>
          <w:p w14:paraId="0D15E0F2" w14:textId="77777777" w:rsidR="00E27B52" w:rsidRDefault="00E27B52" w:rsidP="00815814">
            <w:pPr>
              <w:spacing w:before="240" w:after="0"/>
            </w:pPr>
            <w:r>
              <w:rPr>
                <w:b/>
              </w:rPr>
              <w:t>Risk and Liquidity:</w:t>
            </w:r>
            <w:r>
              <w:t xml:space="preserve"> Helps gauge liquidity and risk exposure by indicating how quickly initial investment can be recovered.</w:t>
            </w:r>
          </w:p>
        </w:tc>
      </w:tr>
      <w:tr w:rsidR="00E27B52" w14:paraId="5D3334C3" w14:textId="77777777" w:rsidTr="00815814">
        <w:trPr>
          <w:trHeight w:val="2535"/>
        </w:trPr>
        <w:tc>
          <w:tcPr>
            <w:tcW w:w="151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EDFB4B2" w14:textId="77777777" w:rsidR="00E27B52" w:rsidRDefault="00E27B52" w:rsidP="00815814"/>
        </w:tc>
        <w:tc>
          <w:tcPr>
            <w:tcW w:w="2535" w:type="dxa"/>
            <w:tcBorders>
              <w:top w:val="nil"/>
              <w:left w:val="nil"/>
              <w:bottom w:val="single" w:sz="5" w:space="0" w:color="000000"/>
              <w:right w:val="single" w:sz="5" w:space="0" w:color="000000"/>
            </w:tcBorders>
            <w:tcMar>
              <w:top w:w="0" w:type="dxa"/>
              <w:left w:w="100" w:type="dxa"/>
              <w:bottom w:w="0" w:type="dxa"/>
              <w:right w:w="100" w:type="dxa"/>
            </w:tcMar>
          </w:tcPr>
          <w:p w14:paraId="7723EF38" w14:textId="77777777" w:rsidR="00E27B52" w:rsidRDefault="00E27B52" w:rsidP="00815814">
            <w:pPr>
              <w:spacing w:before="240" w:after="0"/>
            </w:pPr>
            <w:r>
              <w:rPr>
                <w:b/>
              </w:rPr>
              <w:t>Focuses on Liquidity:</w:t>
            </w:r>
            <w:r>
              <w:t xml:space="preserve"> Provides insights into how soon the project will recoup its initial investment, which is crucial for short-term liquidity planning.</w:t>
            </w:r>
          </w:p>
        </w:tc>
        <w:tc>
          <w:tcPr>
            <w:tcW w:w="2370" w:type="dxa"/>
            <w:tcBorders>
              <w:top w:val="nil"/>
              <w:left w:val="nil"/>
              <w:bottom w:val="single" w:sz="5" w:space="0" w:color="000000"/>
              <w:right w:val="single" w:sz="5" w:space="0" w:color="000000"/>
            </w:tcBorders>
            <w:tcMar>
              <w:top w:w="0" w:type="dxa"/>
              <w:left w:w="100" w:type="dxa"/>
              <w:bottom w:w="0" w:type="dxa"/>
              <w:right w:w="100" w:type="dxa"/>
            </w:tcMar>
          </w:tcPr>
          <w:p w14:paraId="389D4063" w14:textId="77777777" w:rsidR="00E27B52" w:rsidRDefault="00E27B52" w:rsidP="00815814">
            <w:pPr>
              <w:spacing w:before="240" w:after="0"/>
            </w:pPr>
            <w:r>
              <w:rPr>
                <w:b/>
              </w:rPr>
              <w:t>No Consideration of Cash Flows Beyond Payback Period:</w:t>
            </w:r>
            <w:r>
              <w:t xml:space="preserve"> Ignores cash flows beyond the payback period, missing out on long-term profitability assessments (</w:t>
            </w:r>
            <w:proofErr w:type="spellStart"/>
            <w:r>
              <w:t>Chizmar</w:t>
            </w:r>
            <w:proofErr w:type="spellEnd"/>
            <w:r>
              <w:t xml:space="preserve"> </w:t>
            </w:r>
            <w:r>
              <w:rPr>
                <w:i/>
              </w:rPr>
              <w:t xml:space="preserve">et al. </w:t>
            </w:r>
            <w:r>
              <w:t>2020).</w:t>
            </w:r>
          </w:p>
        </w:tc>
        <w:tc>
          <w:tcPr>
            <w:tcW w:w="2880" w:type="dxa"/>
            <w:tcBorders>
              <w:top w:val="nil"/>
              <w:left w:val="nil"/>
              <w:bottom w:val="single" w:sz="5" w:space="0" w:color="000000"/>
              <w:right w:val="single" w:sz="5" w:space="0" w:color="000000"/>
            </w:tcBorders>
            <w:tcMar>
              <w:top w:w="0" w:type="dxa"/>
              <w:left w:w="100" w:type="dxa"/>
              <w:bottom w:w="0" w:type="dxa"/>
              <w:right w:w="100" w:type="dxa"/>
            </w:tcMar>
          </w:tcPr>
          <w:p w14:paraId="03BBF85A" w14:textId="77777777" w:rsidR="00E27B52" w:rsidRDefault="00E27B52" w:rsidP="00815814">
            <w:pPr>
              <w:spacing w:before="240" w:after="0"/>
            </w:pPr>
            <w:r>
              <w:rPr>
                <w:b/>
              </w:rPr>
              <w:t>Strategic Alignment:</w:t>
            </w:r>
            <w:r>
              <w:t xml:space="preserve"> Aligns with strategic goals and operational needs of the organization, particularly in terms of cash flow management.</w:t>
            </w:r>
          </w:p>
        </w:tc>
      </w:tr>
      <w:tr w:rsidR="00E27B52" w14:paraId="49487C0C" w14:textId="77777777" w:rsidTr="00815814">
        <w:trPr>
          <w:trHeight w:val="1980"/>
        </w:trPr>
        <w:tc>
          <w:tcPr>
            <w:tcW w:w="151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07C1328" w14:textId="77777777" w:rsidR="00E27B52" w:rsidRDefault="00E27B52" w:rsidP="00815814"/>
        </w:tc>
        <w:tc>
          <w:tcPr>
            <w:tcW w:w="2535" w:type="dxa"/>
            <w:tcBorders>
              <w:top w:val="nil"/>
              <w:left w:val="nil"/>
              <w:bottom w:val="single" w:sz="5" w:space="0" w:color="000000"/>
              <w:right w:val="single" w:sz="5" w:space="0" w:color="000000"/>
            </w:tcBorders>
            <w:tcMar>
              <w:top w:w="0" w:type="dxa"/>
              <w:left w:w="100" w:type="dxa"/>
              <w:bottom w:w="0" w:type="dxa"/>
              <w:right w:w="100" w:type="dxa"/>
            </w:tcMar>
          </w:tcPr>
          <w:p w14:paraId="02F791BE" w14:textId="77777777" w:rsidR="00E27B52" w:rsidRDefault="00E27B52" w:rsidP="00815814"/>
        </w:tc>
        <w:tc>
          <w:tcPr>
            <w:tcW w:w="2370" w:type="dxa"/>
            <w:tcBorders>
              <w:top w:val="nil"/>
              <w:left w:val="nil"/>
              <w:bottom w:val="single" w:sz="5" w:space="0" w:color="000000"/>
              <w:right w:val="single" w:sz="5" w:space="0" w:color="000000"/>
            </w:tcBorders>
            <w:tcMar>
              <w:top w:w="0" w:type="dxa"/>
              <w:left w:w="100" w:type="dxa"/>
              <w:bottom w:w="0" w:type="dxa"/>
              <w:right w:w="100" w:type="dxa"/>
            </w:tcMar>
          </w:tcPr>
          <w:p w14:paraId="6E9EDFF1" w14:textId="77777777" w:rsidR="00E27B52" w:rsidRDefault="00E27B52" w:rsidP="00815814"/>
        </w:tc>
        <w:tc>
          <w:tcPr>
            <w:tcW w:w="2880" w:type="dxa"/>
            <w:tcBorders>
              <w:top w:val="nil"/>
              <w:left w:val="nil"/>
              <w:bottom w:val="single" w:sz="5" w:space="0" w:color="000000"/>
              <w:right w:val="single" w:sz="5" w:space="0" w:color="000000"/>
            </w:tcBorders>
            <w:tcMar>
              <w:top w:w="0" w:type="dxa"/>
              <w:left w:w="100" w:type="dxa"/>
              <w:bottom w:w="0" w:type="dxa"/>
              <w:right w:w="100" w:type="dxa"/>
            </w:tcMar>
          </w:tcPr>
          <w:p w14:paraId="60020A0D" w14:textId="77777777" w:rsidR="00E27B52" w:rsidRDefault="00E27B52" w:rsidP="00815814">
            <w:pPr>
              <w:spacing w:before="240" w:after="0"/>
            </w:pPr>
            <w:r>
              <w:rPr>
                <w:b/>
              </w:rPr>
              <w:t>Stakeholder Impact:</w:t>
            </w:r>
            <w:r>
              <w:t xml:space="preserve"> Considers the broader impacts on stakeholders such as employees, community, and environment (</w:t>
            </w:r>
            <w:proofErr w:type="spellStart"/>
            <w:r>
              <w:t>Imteaz</w:t>
            </w:r>
            <w:proofErr w:type="spellEnd"/>
            <w:r>
              <w:t xml:space="preserve"> </w:t>
            </w:r>
            <w:r>
              <w:rPr>
                <w:i/>
              </w:rPr>
              <w:t xml:space="preserve">et al. </w:t>
            </w:r>
            <w:r>
              <w:t>2021).</w:t>
            </w:r>
          </w:p>
        </w:tc>
      </w:tr>
      <w:tr w:rsidR="00E27B52" w14:paraId="72A9855D" w14:textId="77777777" w:rsidTr="00815814">
        <w:trPr>
          <w:trHeight w:val="2250"/>
        </w:trPr>
        <w:tc>
          <w:tcPr>
            <w:tcW w:w="151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CCBC4B4" w14:textId="77777777" w:rsidR="00E27B52" w:rsidRDefault="00E27B52" w:rsidP="00815814">
            <w:pPr>
              <w:spacing w:before="240" w:after="0"/>
              <w:rPr>
                <w:b/>
              </w:rPr>
            </w:pPr>
            <w:r>
              <w:rPr>
                <w:b/>
              </w:rPr>
              <w:t>Accounting Rate of Return (ARR)</w:t>
            </w:r>
          </w:p>
        </w:tc>
        <w:tc>
          <w:tcPr>
            <w:tcW w:w="2535" w:type="dxa"/>
            <w:tcBorders>
              <w:top w:val="nil"/>
              <w:left w:val="nil"/>
              <w:bottom w:val="single" w:sz="5" w:space="0" w:color="000000"/>
              <w:right w:val="single" w:sz="5" w:space="0" w:color="000000"/>
            </w:tcBorders>
            <w:tcMar>
              <w:top w:w="0" w:type="dxa"/>
              <w:left w:w="100" w:type="dxa"/>
              <w:bottom w:w="0" w:type="dxa"/>
              <w:right w:w="100" w:type="dxa"/>
            </w:tcMar>
          </w:tcPr>
          <w:p w14:paraId="30462042" w14:textId="77777777" w:rsidR="00E27B52" w:rsidRDefault="00E27B52" w:rsidP="00815814">
            <w:pPr>
              <w:spacing w:before="240" w:after="0"/>
            </w:pPr>
            <w:r>
              <w:rPr>
                <w:b/>
              </w:rPr>
              <w:t>Focuses on Accounting Profit:</w:t>
            </w:r>
            <w:r>
              <w:t xml:space="preserve"> Measures profitability based on accounting profits, providing a clear indication of returns relative to accounting metrics.</w:t>
            </w:r>
          </w:p>
        </w:tc>
        <w:tc>
          <w:tcPr>
            <w:tcW w:w="2370" w:type="dxa"/>
            <w:tcBorders>
              <w:top w:val="nil"/>
              <w:left w:val="nil"/>
              <w:bottom w:val="single" w:sz="5" w:space="0" w:color="000000"/>
              <w:right w:val="single" w:sz="5" w:space="0" w:color="000000"/>
            </w:tcBorders>
            <w:tcMar>
              <w:top w:w="0" w:type="dxa"/>
              <w:left w:w="100" w:type="dxa"/>
              <w:bottom w:w="0" w:type="dxa"/>
              <w:right w:w="100" w:type="dxa"/>
            </w:tcMar>
          </w:tcPr>
          <w:p w14:paraId="0D5048FD" w14:textId="77777777" w:rsidR="00E27B52" w:rsidRDefault="00E27B52" w:rsidP="00815814">
            <w:pPr>
              <w:spacing w:before="240" w:after="0"/>
            </w:pPr>
            <w:r>
              <w:rPr>
                <w:b/>
              </w:rPr>
              <w:t>Ignores Time Value of Money:</w:t>
            </w:r>
            <w:r>
              <w:t xml:space="preserve"> Similar to PBP, ARR does not account for the time value of money, potentially leading to distorted long-term investment decisions (</w:t>
            </w:r>
            <w:proofErr w:type="spellStart"/>
            <w:r>
              <w:t>Siziba</w:t>
            </w:r>
            <w:proofErr w:type="spellEnd"/>
            <w:r>
              <w:t xml:space="preserve"> and Hall, 2021).</w:t>
            </w:r>
          </w:p>
        </w:tc>
        <w:tc>
          <w:tcPr>
            <w:tcW w:w="2880" w:type="dxa"/>
            <w:tcBorders>
              <w:top w:val="nil"/>
              <w:left w:val="nil"/>
              <w:bottom w:val="single" w:sz="5" w:space="0" w:color="000000"/>
              <w:right w:val="single" w:sz="5" w:space="0" w:color="000000"/>
            </w:tcBorders>
            <w:tcMar>
              <w:top w:w="0" w:type="dxa"/>
              <w:left w:w="100" w:type="dxa"/>
              <w:bottom w:w="0" w:type="dxa"/>
              <w:right w:w="100" w:type="dxa"/>
            </w:tcMar>
          </w:tcPr>
          <w:p w14:paraId="5C0CD08C" w14:textId="77777777" w:rsidR="00E27B52" w:rsidRDefault="00E27B52" w:rsidP="00815814">
            <w:pPr>
              <w:spacing w:before="240" w:after="0"/>
            </w:pPr>
            <w:r>
              <w:rPr>
                <w:b/>
              </w:rPr>
              <w:t>Ethical and Social Considerations:</w:t>
            </w:r>
            <w:r>
              <w:t xml:space="preserve"> Evaluates projects in terms of their ethical implications and social responsibility.</w:t>
            </w:r>
          </w:p>
        </w:tc>
      </w:tr>
      <w:tr w:rsidR="00E27B52" w14:paraId="11D4A060" w14:textId="77777777" w:rsidTr="00815814">
        <w:trPr>
          <w:trHeight w:val="2535"/>
        </w:trPr>
        <w:tc>
          <w:tcPr>
            <w:tcW w:w="151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C6E4050" w14:textId="77777777" w:rsidR="00E27B52" w:rsidRDefault="00E27B52" w:rsidP="00815814"/>
        </w:tc>
        <w:tc>
          <w:tcPr>
            <w:tcW w:w="2535" w:type="dxa"/>
            <w:tcBorders>
              <w:top w:val="nil"/>
              <w:left w:val="nil"/>
              <w:bottom w:val="single" w:sz="5" w:space="0" w:color="000000"/>
              <w:right w:val="single" w:sz="5" w:space="0" w:color="000000"/>
            </w:tcBorders>
            <w:tcMar>
              <w:top w:w="0" w:type="dxa"/>
              <w:left w:w="100" w:type="dxa"/>
              <w:bottom w:w="0" w:type="dxa"/>
              <w:right w:w="100" w:type="dxa"/>
            </w:tcMar>
          </w:tcPr>
          <w:p w14:paraId="5CA61CE5" w14:textId="77777777" w:rsidR="00E27B52" w:rsidRDefault="00E27B52" w:rsidP="00815814">
            <w:pPr>
              <w:spacing w:before="240" w:after="0"/>
            </w:pPr>
            <w:r>
              <w:rPr>
                <w:b/>
              </w:rPr>
              <w:t>Simple Calculation:</w:t>
            </w:r>
            <w:r>
              <w:t xml:space="preserve"> Like PBP, ARR is easy to calculate and interpret, making it accessible for initial screening of projects (</w:t>
            </w:r>
            <w:proofErr w:type="spellStart"/>
            <w:r>
              <w:t>Ragazzini</w:t>
            </w:r>
            <w:proofErr w:type="spellEnd"/>
            <w:r>
              <w:t>, 2021).</w:t>
            </w:r>
          </w:p>
        </w:tc>
        <w:tc>
          <w:tcPr>
            <w:tcW w:w="2370" w:type="dxa"/>
            <w:tcBorders>
              <w:top w:val="nil"/>
              <w:left w:val="nil"/>
              <w:bottom w:val="single" w:sz="5" w:space="0" w:color="000000"/>
              <w:right w:val="single" w:sz="5" w:space="0" w:color="000000"/>
            </w:tcBorders>
            <w:tcMar>
              <w:top w:w="0" w:type="dxa"/>
              <w:left w:w="100" w:type="dxa"/>
              <w:bottom w:w="0" w:type="dxa"/>
              <w:right w:w="100" w:type="dxa"/>
            </w:tcMar>
          </w:tcPr>
          <w:p w14:paraId="6BAF6351" w14:textId="77777777" w:rsidR="00E27B52" w:rsidRDefault="00E27B52" w:rsidP="00815814">
            <w:pPr>
              <w:spacing w:before="240" w:after="0"/>
            </w:pPr>
            <w:r>
              <w:rPr>
                <w:b/>
              </w:rPr>
              <w:t>Depends on Accounting Measures:</w:t>
            </w:r>
            <w:r>
              <w:t xml:space="preserve"> Relies solely on accounting figures, which may not reflect actual cash flows or economic profitability accurately.</w:t>
            </w:r>
          </w:p>
        </w:tc>
        <w:tc>
          <w:tcPr>
            <w:tcW w:w="2880" w:type="dxa"/>
            <w:tcBorders>
              <w:top w:val="nil"/>
              <w:left w:val="nil"/>
              <w:bottom w:val="single" w:sz="5" w:space="0" w:color="000000"/>
              <w:right w:val="single" w:sz="5" w:space="0" w:color="000000"/>
            </w:tcBorders>
            <w:tcMar>
              <w:top w:w="0" w:type="dxa"/>
              <w:left w:w="100" w:type="dxa"/>
              <w:bottom w:w="0" w:type="dxa"/>
              <w:right w:w="100" w:type="dxa"/>
            </w:tcMar>
          </w:tcPr>
          <w:p w14:paraId="42820A5E" w14:textId="77777777" w:rsidR="00E27B52" w:rsidRDefault="00E27B52" w:rsidP="00815814">
            <w:pPr>
              <w:spacing w:before="240" w:after="0"/>
            </w:pPr>
            <w:r>
              <w:rPr>
                <w:b/>
              </w:rPr>
              <w:t>Legal Compliance:</w:t>
            </w:r>
            <w:r>
              <w:t xml:space="preserve"> Considers legal compliance and regulatory requirements associated with the project.</w:t>
            </w:r>
          </w:p>
        </w:tc>
      </w:tr>
      <w:tr w:rsidR="00E27B52" w14:paraId="3E051644" w14:textId="77777777" w:rsidTr="00815814">
        <w:trPr>
          <w:trHeight w:val="1140"/>
        </w:trPr>
        <w:tc>
          <w:tcPr>
            <w:tcW w:w="151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5194FC1" w14:textId="77777777" w:rsidR="00E27B52" w:rsidRDefault="00E27B52" w:rsidP="00815814"/>
        </w:tc>
        <w:tc>
          <w:tcPr>
            <w:tcW w:w="2535" w:type="dxa"/>
            <w:tcBorders>
              <w:top w:val="nil"/>
              <w:left w:val="nil"/>
              <w:bottom w:val="single" w:sz="5" w:space="0" w:color="000000"/>
              <w:right w:val="single" w:sz="5" w:space="0" w:color="000000"/>
            </w:tcBorders>
            <w:tcMar>
              <w:top w:w="0" w:type="dxa"/>
              <w:left w:w="100" w:type="dxa"/>
              <w:bottom w:w="0" w:type="dxa"/>
              <w:right w:w="100" w:type="dxa"/>
            </w:tcMar>
          </w:tcPr>
          <w:p w14:paraId="57156086" w14:textId="77777777" w:rsidR="00E27B52" w:rsidRDefault="00E27B52" w:rsidP="00815814"/>
        </w:tc>
        <w:tc>
          <w:tcPr>
            <w:tcW w:w="2370" w:type="dxa"/>
            <w:tcBorders>
              <w:top w:val="nil"/>
              <w:left w:val="nil"/>
              <w:bottom w:val="single" w:sz="5" w:space="0" w:color="000000"/>
              <w:right w:val="single" w:sz="5" w:space="0" w:color="000000"/>
            </w:tcBorders>
            <w:tcMar>
              <w:top w:w="0" w:type="dxa"/>
              <w:left w:w="100" w:type="dxa"/>
              <w:bottom w:w="0" w:type="dxa"/>
              <w:right w:w="100" w:type="dxa"/>
            </w:tcMar>
          </w:tcPr>
          <w:p w14:paraId="6A24E478" w14:textId="77777777" w:rsidR="00E27B52" w:rsidRDefault="00E27B52" w:rsidP="00815814"/>
        </w:tc>
        <w:tc>
          <w:tcPr>
            <w:tcW w:w="2880" w:type="dxa"/>
            <w:tcBorders>
              <w:top w:val="nil"/>
              <w:left w:val="nil"/>
              <w:bottom w:val="single" w:sz="5" w:space="0" w:color="000000"/>
              <w:right w:val="single" w:sz="5" w:space="0" w:color="000000"/>
            </w:tcBorders>
            <w:tcMar>
              <w:top w:w="0" w:type="dxa"/>
              <w:left w:w="100" w:type="dxa"/>
              <w:bottom w:w="0" w:type="dxa"/>
              <w:right w:w="100" w:type="dxa"/>
            </w:tcMar>
          </w:tcPr>
          <w:p w14:paraId="245DD019" w14:textId="77777777" w:rsidR="00E27B52" w:rsidRDefault="00E27B52" w:rsidP="00815814">
            <w:pPr>
              <w:spacing w:before="240" w:after="0"/>
            </w:pPr>
            <w:r>
              <w:rPr>
                <w:b/>
              </w:rPr>
              <w:t>Cultural Fit:</w:t>
            </w:r>
            <w:r>
              <w:t xml:space="preserve"> Assesses alignment with </w:t>
            </w:r>
            <w:r>
              <w:lastRenderedPageBreak/>
              <w:t>organizational culture and values.</w:t>
            </w:r>
          </w:p>
        </w:tc>
      </w:tr>
      <w:tr w:rsidR="00E27B52" w14:paraId="632113C9" w14:textId="77777777" w:rsidTr="00815814">
        <w:trPr>
          <w:trHeight w:val="2250"/>
        </w:trPr>
        <w:tc>
          <w:tcPr>
            <w:tcW w:w="151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433F79B" w14:textId="77777777" w:rsidR="00E27B52" w:rsidRDefault="00E27B52" w:rsidP="00815814">
            <w:pPr>
              <w:spacing w:before="240" w:after="0"/>
              <w:rPr>
                <w:b/>
              </w:rPr>
            </w:pPr>
            <w:r>
              <w:rPr>
                <w:b/>
              </w:rPr>
              <w:lastRenderedPageBreak/>
              <w:t>Net Present Value (NPV)</w:t>
            </w:r>
          </w:p>
        </w:tc>
        <w:tc>
          <w:tcPr>
            <w:tcW w:w="2535" w:type="dxa"/>
            <w:tcBorders>
              <w:top w:val="nil"/>
              <w:left w:val="nil"/>
              <w:bottom w:val="single" w:sz="5" w:space="0" w:color="000000"/>
              <w:right w:val="single" w:sz="5" w:space="0" w:color="000000"/>
            </w:tcBorders>
            <w:tcMar>
              <w:top w:w="0" w:type="dxa"/>
              <w:left w:w="100" w:type="dxa"/>
              <w:bottom w:w="0" w:type="dxa"/>
              <w:right w:w="100" w:type="dxa"/>
            </w:tcMar>
          </w:tcPr>
          <w:p w14:paraId="38AEEB65" w14:textId="77777777" w:rsidR="00E27B52" w:rsidRDefault="00E27B52" w:rsidP="00815814">
            <w:pPr>
              <w:spacing w:before="240" w:after="0"/>
            </w:pPr>
            <w:r>
              <w:rPr>
                <w:b/>
              </w:rPr>
              <w:t>Considers Time Value of Money:</w:t>
            </w:r>
            <w:r>
              <w:t xml:space="preserve"> Incorporates the time value of money by discounting future cash flows, providing a more accurate measure of profitability.</w:t>
            </w:r>
          </w:p>
        </w:tc>
        <w:tc>
          <w:tcPr>
            <w:tcW w:w="2370" w:type="dxa"/>
            <w:tcBorders>
              <w:top w:val="nil"/>
              <w:left w:val="nil"/>
              <w:bottom w:val="single" w:sz="5" w:space="0" w:color="000000"/>
              <w:right w:val="single" w:sz="5" w:space="0" w:color="000000"/>
            </w:tcBorders>
            <w:tcMar>
              <w:top w:w="0" w:type="dxa"/>
              <w:left w:w="100" w:type="dxa"/>
              <w:bottom w:w="0" w:type="dxa"/>
              <w:right w:w="100" w:type="dxa"/>
            </w:tcMar>
          </w:tcPr>
          <w:p w14:paraId="298965B9" w14:textId="77777777" w:rsidR="00E27B52" w:rsidRDefault="00E27B52" w:rsidP="00815814">
            <w:pPr>
              <w:spacing w:before="240" w:after="0"/>
            </w:pPr>
            <w:r>
              <w:rPr>
                <w:b/>
              </w:rPr>
              <w:t>Complex Calculation:</w:t>
            </w:r>
            <w:r>
              <w:t xml:space="preserve"> NPV requires accurate estimation of discount rates and future cash flows, which can be challenging and subjective (</w:t>
            </w:r>
            <w:proofErr w:type="spellStart"/>
            <w:proofErr w:type="gramStart"/>
            <w:r>
              <w:t>Hommel</w:t>
            </w:r>
            <w:proofErr w:type="spellEnd"/>
            <w:r>
              <w:t xml:space="preserve">  </w:t>
            </w:r>
            <w:r>
              <w:rPr>
                <w:i/>
              </w:rPr>
              <w:t>et al.</w:t>
            </w:r>
            <w:proofErr w:type="gramEnd"/>
            <w:r>
              <w:rPr>
                <w:i/>
              </w:rPr>
              <w:t xml:space="preserve"> </w:t>
            </w:r>
            <w:r>
              <w:t>2023).</w:t>
            </w:r>
          </w:p>
        </w:tc>
        <w:tc>
          <w:tcPr>
            <w:tcW w:w="2880" w:type="dxa"/>
            <w:tcBorders>
              <w:top w:val="nil"/>
              <w:left w:val="nil"/>
              <w:bottom w:val="single" w:sz="5" w:space="0" w:color="000000"/>
              <w:right w:val="single" w:sz="5" w:space="0" w:color="000000"/>
            </w:tcBorders>
            <w:tcMar>
              <w:top w:w="0" w:type="dxa"/>
              <w:left w:w="100" w:type="dxa"/>
              <w:bottom w:w="0" w:type="dxa"/>
              <w:right w:w="100" w:type="dxa"/>
            </w:tcMar>
          </w:tcPr>
          <w:p w14:paraId="1710307E" w14:textId="77777777" w:rsidR="00E27B52" w:rsidRDefault="00E27B52" w:rsidP="00815814">
            <w:pPr>
              <w:spacing w:before="240" w:after="0"/>
            </w:pPr>
            <w:r>
              <w:rPr>
                <w:b/>
              </w:rPr>
              <w:t>Environmental Impact:</w:t>
            </w:r>
            <w:r>
              <w:t xml:space="preserve"> Evaluates environmental impact and sustainability aspects of the project.</w:t>
            </w:r>
          </w:p>
        </w:tc>
      </w:tr>
      <w:tr w:rsidR="00E27B52" w14:paraId="11C7851B" w14:textId="77777777" w:rsidTr="00815814">
        <w:trPr>
          <w:trHeight w:val="2250"/>
        </w:trPr>
        <w:tc>
          <w:tcPr>
            <w:tcW w:w="151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700E0D6" w14:textId="77777777" w:rsidR="00E27B52" w:rsidRDefault="00E27B52" w:rsidP="00815814"/>
        </w:tc>
        <w:tc>
          <w:tcPr>
            <w:tcW w:w="2535" w:type="dxa"/>
            <w:tcBorders>
              <w:top w:val="nil"/>
              <w:left w:val="nil"/>
              <w:bottom w:val="single" w:sz="5" w:space="0" w:color="000000"/>
              <w:right w:val="single" w:sz="5" w:space="0" w:color="000000"/>
            </w:tcBorders>
            <w:tcMar>
              <w:top w:w="0" w:type="dxa"/>
              <w:left w:w="100" w:type="dxa"/>
              <w:bottom w:w="0" w:type="dxa"/>
              <w:right w:w="100" w:type="dxa"/>
            </w:tcMar>
          </w:tcPr>
          <w:p w14:paraId="47BE2AEA" w14:textId="77777777" w:rsidR="00E27B52" w:rsidRDefault="00E27B52" w:rsidP="00815814">
            <w:pPr>
              <w:spacing w:before="240" w:after="0"/>
            </w:pPr>
            <w:r>
              <w:rPr>
                <w:b/>
              </w:rPr>
              <w:t>Comprehensive:</w:t>
            </w:r>
            <w:r>
              <w:t xml:space="preserve"> Provides a holistic view of project profitability over its entire life, accounting for all cash flows, both positive and negative.</w:t>
            </w:r>
          </w:p>
        </w:tc>
        <w:tc>
          <w:tcPr>
            <w:tcW w:w="2370" w:type="dxa"/>
            <w:tcBorders>
              <w:top w:val="nil"/>
              <w:left w:val="nil"/>
              <w:bottom w:val="single" w:sz="5" w:space="0" w:color="000000"/>
              <w:right w:val="single" w:sz="5" w:space="0" w:color="000000"/>
            </w:tcBorders>
            <w:tcMar>
              <w:top w:w="0" w:type="dxa"/>
              <w:left w:w="100" w:type="dxa"/>
              <w:bottom w:w="0" w:type="dxa"/>
              <w:right w:w="100" w:type="dxa"/>
            </w:tcMar>
          </w:tcPr>
          <w:p w14:paraId="65811D2F" w14:textId="77777777" w:rsidR="00E27B52" w:rsidRDefault="00E27B52" w:rsidP="00815814">
            <w:pPr>
              <w:spacing w:before="240" w:after="0"/>
            </w:pPr>
            <w:r>
              <w:rPr>
                <w:b/>
              </w:rPr>
              <w:t>Assumes Reinvestment of Cash Flows:</w:t>
            </w:r>
            <w:r>
              <w:t xml:space="preserve"> Assumes reinvestment at the discount rate, which may not always be feasible or realistic.</w:t>
            </w:r>
          </w:p>
        </w:tc>
        <w:tc>
          <w:tcPr>
            <w:tcW w:w="2880" w:type="dxa"/>
            <w:tcBorders>
              <w:top w:val="nil"/>
              <w:left w:val="nil"/>
              <w:bottom w:val="single" w:sz="5" w:space="0" w:color="000000"/>
              <w:right w:val="single" w:sz="5" w:space="0" w:color="000000"/>
            </w:tcBorders>
            <w:tcMar>
              <w:top w:w="0" w:type="dxa"/>
              <w:left w:w="100" w:type="dxa"/>
              <w:bottom w:w="0" w:type="dxa"/>
              <w:right w:w="100" w:type="dxa"/>
            </w:tcMar>
          </w:tcPr>
          <w:p w14:paraId="25498D89" w14:textId="77777777" w:rsidR="00E27B52" w:rsidRDefault="00E27B52" w:rsidP="00815814">
            <w:pPr>
              <w:spacing w:before="240" w:after="0"/>
            </w:pPr>
            <w:r>
              <w:rPr>
                <w:b/>
              </w:rPr>
              <w:t>Political Factors:</w:t>
            </w:r>
            <w:r>
              <w:t xml:space="preserve"> Considers political stability and regulatory environment affecting the project.</w:t>
            </w:r>
          </w:p>
        </w:tc>
      </w:tr>
      <w:tr w:rsidR="00E27B52" w14:paraId="70168525" w14:textId="77777777" w:rsidTr="00815814">
        <w:trPr>
          <w:trHeight w:val="1410"/>
        </w:trPr>
        <w:tc>
          <w:tcPr>
            <w:tcW w:w="151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E4A2976" w14:textId="77777777" w:rsidR="00E27B52" w:rsidRDefault="00E27B52" w:rsidP="00815814"/>
        </w:tc>
        <w:tc>
          <w:tcPr>
            <w:tcW w:w="2535" w:type="dxa"/>
            <w:tcBorders>
              <w:top w:val="nil"/>
              <w:left w:val="nil"/>
              <w:bottom w:val="single" w:sz="5" w:space="0" w:color="000000"/>
              <w:right w:val="single" w:sz="5" w:space="0" w:color="000000"/>
            </w:tcBorders>
            <w:tcMar>
              <w:top w:w="0" w:type="dxa"/>
              <w:left w:w="100" w:type="dxa"/>
              <w:bottom w:w="0" w:type="dxa"/>
              <w:right w:w="100" w:type="dxa"/>
            </w:tcMar>
          </w:tcPr>
          <w:p w14:paraId="6E2566BC" w14:textId="77777777" w:rsidR="00E27B52" w:rsidRDefault="00E27B52" w:rsidP="00815814"/>
        </w:tc>
        <w:tc>
          <w:tcPr>
            <w:tcW w:w="2370" w:type="dxa"/>
            <w:tcBorders>
              <w:top w:val="nil"/>
              <w:left w:val="nil"/>
              <w:bottom w:val="single" w:sz="5" w:space="0" w:color="000000"/>
              <w:right w:val="single" w:sz="5" w:space="0" w:color="000000"/>
            </w:tcBorders>
            <w:tcMar>
              <w:top w:w="0" w:type="dxa"/>
              <w:left w:w="100" w:type="dxa"/>
              <w:bottom w:w="0" w:type="dxa"/>
              <w:right w:w="100" w:type="dxa"/>
            </w:tcMar>
          </w:tcPr>
          <w:p w14:paraId="2BE33674" w14:textId="77777777" w:rsidR="00E27B52" w:rsidRDefault="00E27B52" w:rsidP="00815814"/>
        </w:tc>
        <w:tc>
          <w:tcPr>
            <w:tcW w:w="2880" w:type="dxa"/>
            <w:tcBorders>
              <w:top w:val="nil"/>
              <w:left w:val="nil"/>
              <w:bottom w:val="single" w:sz="5" w:space="0" w:color="000000"/>
              <w:right w:val="single" w:sz="5" w:space="0" w:color="000000"/>
            </w:tcBorders>
            <w:tcMar>
              <w:top w:w="0" w:type="dxa"/>
              <w:left w:w="100" w:type="dxa"/>
              <w:bottom w:w="0" w:type="dxa"/>
              <w:right w:w="100" w:type="dxa"/>
            </w:tcMar>
          </w:tcPr>
          <w:p w14:paraId="46ACD93B" w14:textId="77777777" w:rsidR="00E27B52" w:rsidRDefault="00E27B52" w:rsidP="00815814">
            <w:pPr>
              <w:spacing w:before="240" w:after="0"/>
            </w:pPr>
            <w:r>
              <w:rPr>
                <w:b/>
              </w:rPr>
              <w:t>Reputation and Brand:</w:t>
            </w:r>
            <w:r>
              <w:t xml:space="preserve"> Evaluates potential impacts on brand reputation and public perception.</w:t>
            </w:r>
          </w:p>
        </w:tc>
      </w:tr>
    </w:tbl>
    <w:p w14:paraId="2AFEDF0B" w14:textId="77777777" w:rsidR="00E27B52" w:rsidRDefault="00E27B52" w:rsidP="00E27B52"/>
    <w:p w14:paraId="0EBF738E" w14:textId="77777777" w:rsidR="00E27B52" w:rsidRDefault="00E27B52" w:rsidP="00E27B52">
      <w:r>
        <w:t xml:space="preserve">There are a number of strengths and weaknesses of PBP, ARR, and NPV individually, however, all 3 methods are beneficial to capital project evaluation. PBP and ARR show the liquidity and accounting profitability but reflect the difficulties in making good investment decisions. Nevertheless, NPV incurs more versatility than APV because it incorporates time value of money into the project evaluation and offers a full-view projection of its profitability. Some important </w:t>
      </w:r>
      <w:r>
        <w:lastRenderedPageBreak/>
        <w:t>factors for a complete choice are risk management, strategy alignment, ethical implication, environment impact and relationship with the stakeholders apart from the financial data. Integrated evaluation of performance that involves both the financial and the non-financial items benefits the development and growth of the long-term value for the organization.</w:t>
      </w:r>
      <w:r>
        <w:br w:type="page"/>
      </w:r>
    </w:p>
    <w:p w14:paraId="61C0B7CB" w14:textId="77777777" w:rsidR="00E27B52" w:rsidRDefault="00E27B52" w:rsidP="00E27B52">
      <w:pPr>
        <w:pStyle w:val="Heading1"/>
      </w:pPr>
      <w:bookmarkStart w:id="17" w:name="_ohvmoonyydxb" w:colFirst="0" w:colLast="0"/>
      <w:bookmarkEnd w:id="17"/>
      <w:r>
        <w:lastRenderedPageBreak/>
        <w:t>Reference List</w:t>
      </w:r>
    </w:p>
    <w:p w14:paraId="3957E334" w14:textId="77777777" w:rsidR="00E27B52" w:rsidRDefault="00E27B52" w:rsidP="00E27B52">
      <w:pPr>
        <w:rPr>
          <w:color w:val="222222"/>
          <w:highlight w:val="white"/>
        </w:rPr>
      </w:pPr>
      <w:proofErr w:type="spellStart"/>
      <w:r>
        <w:rPr>
          <w:color w:val="222222"/>
          <w:highlight w:val="white"/>
        </w:rPr>
        <w:t>Annadur</w:t>
      </w:r>
      <w:proofErr w:type="spellEnd"/>
      <w:r>
        <w:rPr>
          <w:color w:val="222222"/>
          <w:highlight w:val="white"/>
        </w:rPr>
        <w:t xml:space="preserve">, Y. K., and Jain, P. (2023). Understanding sustainable futures of packaging through the eyes of brands. In </w:t>
      </w:r>
      <w:r>
        <w:rPr>
          <w:i/>
          <w:color w:val="222222"/>
          <w:highlight w:val="white"/>
        </w:rPr>
        <w:t>AIP Conference Proceedings</w:t>
      </w:r>
      <w:r>
        <w:rPr>
          <w:color w:val="222222"/>
          <w:highlight w:val="white"/>
        </w:rPr>
        <w:t xml:space="preserve"> (Vol. 2773, No. 1). AIP Publishing.</w:t>
      </w:r>
    </w:p>
    <w:p w14:paraId="7BB4106A" w14:textId="77777777" w:rsidR="00E27B52" w:rsidRDefault="00E27B52" w:rsidP="00E27B52">
      <w:pPr>
        <w:rPr>
          <w:color w:val="222222"/>
          <w:highlight w:val="white"/>
        </w:rPr>
      </w:pPr>
      <w:proofErr w:type="spellStart"/>
      <w:r>
        <w:rPr>
          <w:color w:val="222222"/>
          <w:highlight w:val="white"/>
        </w:rPr>
        <w:t>Awalia</w:t>
      </w:r>
      <w:proofErr w:type="spellEnd"/>
      <w:r>
        <w:rPr>
          <w:color w:val="222222"/>
          <w:highlight w:val="white"/>
        </w:rPr>
        <w:t>, N., Akbar, A., and Amin, A. M. (2023). THE INFLUENCE OF CURRENT RATIO, DEBT TO ASSET RATIO AND TOTAL ASSET TURNOVER ON PROFIT CHANGES AT PT. UNILEVER TBK PERIOD 2014-2021.</w:t>
      </w:r>
      <w:r>
        <w:rPr>
          <w:i/>
          <w:color w:val="222222"/>
          <w:highlight w:val="white"/>
        </w:rPr>
        <w:t xml:space="preserve"> JOURNAL OF MANAGEMENT, ACCOUNTING, GENERAL FINANCE AND INTERNATIONAL ECONOMIC ISSUES,</w:t>
      </w:r>
      <w:r>
        <w:rPr>
          <w:color w:val="222222"/>
          <w:highlight w:val="white"/>
        </w:rPr>
        <w:t xml:space="preserve"> 2(2), 503-510.</w:t>
      </w:r>
    </w:p>
    <w:p w14:paraId="45E69A22" w14:textId="77777777" w:rsidR="00E27B52" w:rsidRDefault="00E27B52" w:rsidP="00E27B52">
      <w:pPr>
        <w:rPr>
          <w:color w:val="222222"/>
          <w:highlight w:val="white"/>
        </w:rPr>
      </w:pPr>
      <w:proofErr w:type="spellStart"/>
      <w:r>
        <w:rPr>
          <w:color w:val="222222"/>
          <w:highlight w:val="white"/>
        </w:rPr>
        <w:t>Baragiola</w:t>
      </w:r>
      <w:proofErr w:type="spellEnd"/>
      <w:r>
        <w:rPr>
          <w:color w:val="222222"/>
          <w:highlight w:val="white"/>
        </w:rPr>
        <w:t>, G., and Mauri, M. (2021). SDGs and the private sector: Unilever and P&amp;G case studies.</w:t>
      </w:r>
    </w:p>
    <w:p w14:paraId="3AB3EC49" w14:textId="77777777" w:rsidR="00E27B52" w:rsidRDefault="00E27B52" w:rsidP="00E27B52">
      <w:pPr>
        <w:rPr>
          <w:color w:val="222222"/>
          <w:highlight w:val="white"/>
        </w:rPr>
      </w:pPr>
      <w:r>
        <w:rPr>
          <w:color w:val="222222"/>
          <w:highlight w:val="white"/>
        </w:rPr>
        <w:t xml:space="preserve">Barnes, C. J., </w:t>
      </w:r>
      <w:proofErr w:type="spellStart"/>
      <w:r>
        <w:rPr>
          <w:color w:val="222222"/>
          <w:highlight w:val="white"/>
        </w:rPr>
        <w:t>Nikbakht</w:t>
      </w:r>
      <w:proofErr w:type="spellEnd"/>
      <w:r>
        <w:rPr>
          <w:color w:val="222222"/>
          <w:highlight w:val="white"/>
        </w:rPr>
        <w:t xml:space="preserve">, E., and Spieler, A. C. (2020). Ownership Structure and Stock Classes. </w:t>
      </w:r>
      <w:r>
        <w:rPr>
          <w:i/>
          <w:color w:val="222222"/>
          <w:highlight w:val="white"/>
        </w:rPr>
        <w:t>Equity Markets, Valuation, and Analysis</w:t>
      </w:r>
      <w:r>
        <w:rPr>
          <w:color w:val="222222"/>
          <w:highlight w:val="white"/>
        </w:rPr>
        <w:t>.</w:t>
      </w:r>
    </w:p>
    <w:p w14:paraId="237C6F82" w14:textId="77777777" w:rsidR="00E27B52" w:rsidRDefault="00E27B52" w:rsidP="00E27B52">
      <w:pPr>
        <w:rPr>
          <w:color w:val="222222"/>
          <w:highlight w:val="white"/>
        </w:rPr>
      </w:pPr>
      <w:r>
        <w:rPr>
          <w:color w:val="222222"/>
          <w:highlight w:val="white"/>
        </w:rPr>
        <w:t xml:space="preserve">c. Implementation of inventory control management and repeat purchase in right goods </w:t>
      </w:r>
      <w:proofErr w:type="spellStart"/>
      <w:r>
        <w:rPr>
          <w:color w:val="222222"/>
          <w:highlight w:val="white"/>
        </w:rPr>
        <w:t>philippines</w:t>
      </w:r>
      <w:proofErr w:type="spellEnd"/>
      <w:r>
        <w:rPr>
          <w:color w:val="222222"/>
          <w:highlight w:val="white"/>
        </w:rPr>
        <w:t xml:space="preserve"> incorporated: Inputs to policy reformulation. </w:t>
      </w:r>
      <w:r>
        <w:rPr>
          <w:i/>
          <w:color w:val="222222"/>
          <w:highlight w:val="white"/>
        </w:rPr>
        <w:t>World Wide Journal of Multidisciplinary Research and Development</w:t>
      </w:r>
      <w:r>
        <w:rPr>
          <w:color w:val="222222"/>
          <w:highlight w:val="white"/>
        </w:rPr>
        <w:t xml:space="preserve">, </w:t>
      </w:r>
      <w:r>
        <w:rPr>
          <w:i/>
          <w:color w:val="222222"/>
          <w:highlight w:val="white"/>
        </w:rPr>
        <w:t>8</w:t>
      </w:r>
      <w:r>
        <w:rPr>
          <w:color w:val="222222"/>
          <w:highlight w:val="white"/>
        </w:rPr>
        <w:t>(06), 20-30.</w:t>
      </w:r>
    </w:p>
    <w:p w14:paraId="77CE9089" w14:textId="77777777" w:rsidR="00E27B52" w:rsidRDefault="00E27B52" w:rsidP="00E27B52">
      <w:pPr>
        <w:rPr>
          <w:color w:val="222222"/>
          <w:highlight w:val="white"/>
        </w:rPr>
      </w:pPr>
      <w:proofErr w:type="spellStart"/>
      <w:r>
        <w:rPr>
          <w:color w:val="222222"/>
          <w:highlight w:val="white"/>
        </w:rPr>
        <w:t>Cevikcan</w:t>
      </w:r>
      <w:proofErr w:type="spellEnd"/>
      <w:r>
        <w:rPr>
          <w:color w:val="222222"/>
          <w:highlight w:val="white"/>
        </w:rPr>
        <w:t xml:space="preserve">, E., and </w:t>
      </w:r>
      <w:proofErr w:type="spellStart"/>
      <w:r>
        <w:rPr>
          <w:color w:val="222222"/>
          <w:highlight w:val="white"/>
        </w:rPr>
        <w:t>Kose</w:t>
      </w:r>
      <w:proofErr w:type="spellEnd"/>
      <w:r>
        <w:rPr>
          <w:color w:val="222222"/>
          <w:highlight w:val="white"/>
        </w:rPr>
        <w:t xml:space="preserve">, Y. (2021). Optimization of profitability and liquidity for residential projects under debt and equity financing. </w:t>
      </w:r>
      <w:r>
        <w:rPr>
          <w:i/>
          <w:color w:val="222222"/>
          <w:highlight w:val="white"/>
        </w:rPr>
        <w:t>Built Environment Project and Asset Management</w:t>
      </w:r>
      <w:r>
        <w:rPr>
          <w:color w:val="222222"/>
          <w:highlight w:val="white"/>
        </w:rPr>
        <w:t xml:space="preserve">, </w:t>
      </w:r>
      <w:r>
        <w:rPr>
          <w:i/>
          <w:color w:val="222222"/>
          <w:highlight w:val="white"/>
        </w:rPr>
        <w:t>11</w:t>
      </w:r>
      <w:r>
        <w:rPr>
          <w:color w:val="222222"/>
          <w:highlight w:val="white"/>
        </w:rPr>
        <w:t>(2), 369-391.</w:t>
      </w:r>
    </w:p>
    <w:p w14:paraId="4A8BCE75" w14:textId="77777777" w:rsidR="00E27B52" w:rsidRDefault="00E27B52" w:rsidP="00E27B52">
      <w:pPr>
        <w:rPr>
          <w:color w:val="222222"/>
          <w:highlight w:val="white"/>
        </w:rPr>
      </w:pPr>
      <w:r>
        <w:rPr>
          <w:color w:val="222222"/>
          <w:highlight w:val="white"/>
        </w:rPr>
        <w:t xml:space="preserve">Chandra, R., and </w:t>
      </w:r>
      <w:proofErr w:type="spellStart"/>
      <w:r>
        <w:rPr>
          <w:color w:val="222222"/>
          <w:highlight w:val="white"/>
        </w:rPr>
        <w:t>Jatmika</w:t>
      </w:r>
      <w:proofErr w:type="spellEnd"/>
      <w:r>
        <w:rPr>
          <w:color w:val="222222"/>
          <w:highlight w:val="white"/>
        </w:rPr>
        <w:t xml:space="preserve">, S. (2022). Unilever </w:t>
      </w:r>
      <w:proofErr w:type="spellStart"/>
      <w:r>
        <w:rPr>
          <w:color w:val="222222"/>
          <w:highlight w:val="white"/>
        </w:rPr>
        <w:t>Unilever</w:t>
      </w:r>
      <w:proofErr w:type="spellEnd"/>
      <w:r>
        <w:rPr>
          <w:color w:val="222222"/>
          <w:highlight w:val="white"/>
        </w:rPr>
        <w:t xml:space="preserve"> Surabaya Corporate Social Responsibility (</w:t>
      </w:r>
      <w:proofErr w:type="spellStart"/>
      <w:r>
        <w:rPr>
          <w:color w:val="222222"/>
          <w:highlight w:val="white"/>
        </w:rPr>
        <w:t>Csr</w:t>
      </w:r>
      <w:proofErr w:type="spellEnd"/>
      <w:r>
        <w:rPr>
          <w:color w:val="222222"/>
          <w:highlight w:val="white"/>
        </w:rPr>
        <w:t xml:space="preserve">) Policy in Maintaining Environmental Sustainability in Surabaya in 2014-2020. In </w:t>
      </w:r>
      <w:r>
        <w:rPr>
          <w:i/>
          <w:color w:val="222222"/>
          <w:highlight w:val="white"/>
        </w:rPr>
        <w:t>International Conference on Public Organization (ICONPO 2021)</w:t>
      </w:r>
      <w:r>
        <w:rPr>
          <w:color w:val="222222"/>
          <w:highlight w:val="white"/>
        </w:rPr>
        <w:t xml:space="preserve"> (pp. 444-452). Atlantis Press.</w:t>
      </w:r>
    </w:p>
    <w:p w14:paraId="707C2D8D" w14:textId="77777777" w:rsidR="00E27B52" w:rsidRDefault="00E27B52" w:rsidP="00E27B52">
      <w:pPr>
        <w:rPr>
          <w:color w:val="222222"/>
          <w:highlight w:val="white"/>
        </w:rPr>
      </w:pPr>
      <w:proofErr w:type="spellStart"/>
      <w:r>
        <w:rPr>
          <w:color w:val="222222"/>
          <w:highlight w:val="white"/>
        </w:rPr>
        <w:t>Chizmar</w:t>
      </w:r>
      <w:proofErr w:type="spellEnd"/>
      <w:r>
        <w:rPr>
          <w:color w:val="222222"/>
          <w:highlight w:val="white"/>
        </w:rPr>
        <w:t xml:space="preserve">, S., Castillo, M., Pizarro, D., Vasquez, H., Bernal, W., Rivera, R., and </w:t>
      </w:r>
      <w:proofErr w:type="spellStart"/>
      <w:r>
        <w:rPr>
          <w:color w:val="222222"/>
          <w:highlight w:val="white"/>
        </w:rPr>
        <w:t>Cubbage</w:t>
      </w:r>
      <w:proofErr w:type="spellEnd"/>
      <w:r>
        <w:rPr>
          <w:color w:val="222222"/>
          <w:highlight w:val="white"/>
        </w:rPr>
        <w:t xml:space="preserve">, F. (2020). A discounted cash flow and capital budgeting analysis of </w:t>
      </w:r>
      <w:proofErr w:type="spellStart"/>
      <w:r>
        <w:rPr>
          <w:color w:val="222222"/>
          <w:highlight w:val="white"/>
        </w:rPr>
        <w:t>silvopastoral</w:t>
      </w:r>
      <w:proofErr w:type="spellEnd"/>
      <w:r>
        <w:rPr>
          <w:color w:val="222222"/>
          <w:highlight w:val="white"/>
        </w:rPr>
        <w:t xml:space="preserve"> systems in the Amazonas region of Peru. </w:t>
      </w:r>
      <w:r>
        <w:rPr>
          <w:i/>
          <w:color w:val="222222"/>
          <w:highlight w:val="white"/>
        </w:rPr>
        <w:t>Land</w:t>
      </w:r>
      <w:r>
        <w:rPr>
          <w:color w:val="222222"/>
          <w:highlight w:val="white"/>
        </w:rPr>
        <w:t xml:space="preserve">, </w:t>
      </w:r>
      <w:r>
        <w:rPr>
          <w:i/>
          <w:color w:val="222222"/>
          <w:highlight w:val="white"/>
        </w:rPr>
        <w:t>9</w:t>
      </w:r>
      <w:r>
        <w:rPr>
          <w:color w:val="222222"/>
          <w:highlight w:val="white"/>
        </w:rPr>
        <w:t>(10), 353.</w:t>
      </w:r>
    </w:p>
    <w:p w14:paraId="66EC6C43" w14:textId="77777777" w:rsidR="00E27B52" w:rsidRDefault="00E27B52" w:rsidP="00E27B52">
      <w:pPr>
        <w:rPr>
          <w:color w:val="222222"/>
          <w:highlight w:val="white"/>
        </w:rPr>
      </w:pPr>
      <w:r>
        <w:rPr>
          <w:color w:val="222222"/>
          <w:highlight w:val="white"/>
        </w:rPr>
        <w:t xml:space="preserve">Espinoza, D., </w:t>
      </w:r>
      <w:proofErr w:type="spellStart"/>
      <w:r>
        <w:rPr>
          <w:color w:val="222222"/>
          <w:highlight w:val="white"/>
        </w:rPr>
        <w:t>Rojo</w:t>
      </w:r>
      <w:proofErr w:type="spellEnd"/>
      <w:r>
        <w:rPr>
          <w:color w:val="222222"/>
          <w:highlight w:val="white"/>
        </w:rPr>
        <w:t xml:space="preserve">, J., Cifuentes, A., and Morris, J. (2020). DNPV: a valuation methodology for infrastructure and Capital investments consistent with prospect theory. </w:t>
      </w:r>
      <w:r>
        <w:rPr>
          <w:i/>
          <w:color w:val="222222"/>
          <w:highlight w:val="white"/>
        </w:rPr>
        <w:t>Construction management and economics</w:t>
      </w:r>
      <w:r>
        <w:rPr>
          <w:color w:val="222222"/>
          <w:highlight w:val="white"/>
        </w:rPr>
        <w:t xml:space="preserve">, </w:t>
      </w:r>
      <w:r>
        <w:rPr>
          <w:i/>
          <w:color w:val="222222"/>
          <w:highlight w:val="white"/>
        </w:rPr>
        <w:t>38</w:t>
      </w:r>
      <w:r>
        <w:rPr>
          <w:color w:val="222222"/>
          <w:highlight w:val="white"/>
        </w:rPr>
        <w:t>(3), 259-274.</w:t>
      </w:r>
    </w:p>
    <w:p w14:paraId="170231DD" w14:textId="77777777" w:rsidR="00E27B52" w:rsidRDefault="00E27B52" w:rsidP="00E27B52">
      <w:pPr>
        <w:rPr>
          <w:color w:val="222222"/>
          <w:highlight w:val="white"/>
        </w:rPr>
      </w:pPr>
      <w:proofErr w:type="spellStart"/>
      <w:r>
        <w:rPr>
          <w:color w:val="222222"/>
          <w:highlight w:val="white"/>
        </w:rPr>
        <w:lastRenderedPageBreak/>
        <w:t>Hommel</w:t>
      </w:r>
      <w:proofErr w:type="spellEnd"/>
      <w:r>
        <w:rPr>
          <w:color w:val="222222"/>
          <w:highlight w:val="white"/>
        </w:rPr>
        <w:t xml:space="preserve">, N., </w:t>
      </w:r>
      <w:proofErr w:type="spellStart"/>
      <w:r>
        <w:rPr>
          <w:color w:val="222222"/>
          <w:highlight w:val="white"/>
        </w:rPr>
        <w:t>Landier</w:t>
      </w:r>
      <w:proofErr w:type="spellEnd"/>
      <w:r>
        <w:rPr>
          <w:color w:val="222222"/>
          <w:highlight w:val="white"/>
        </w:rPr>
        <w:t xml:space="preserve">, A., and </w:t>
      </w:r>
      <w:proofErr w:type="spellStart"/>
      <w:r>
        <w:rPr>
          <w:color w:val="222222"/>
          <w:highlight w:val="white"/>
        </w:rPr>
        <w:t>Thesmar</w:t>
      </w:r>
      <w:proofErr w:type="spellEnd"/>
      <w:r>
        <w:rPr>
          <w:color w:val="222222"/>
          <w:highlight w:val="white"/>
        </w:rPr>
        <w:t xml:space="preserve">, D. (2023). </w:t>
      </w:r>
      <w:r>
        <w:rPr>
          <w:i/>
          <w:color w:val="222222"/>
          <w:highlight w:val="white"/>
        </w:rPr>
        <w:t>Corporate valuation: An empirical comparison of discounting methods</w:t>
      </w:r>
      <w:r>
        <w:rPr>
          <w:color w:val="222222"/>
          <w:highlight w:val="white"/>
        </w:rPr>
        <w:t xml:space="preserve"> (No. w30898). National Bureau of Economic Research.</w:t>
      </w:r>
    </w:p>
    <w:p w14:paraId="4A3FB7DD" w14:textId="77777777" w:rsidR="00E27B52" w:rsidRDefault="00E27B52" w:rsidP="00E27B52">
      <w:pPr>
        <w:rPr>
          <w:color w:val="222222"/>
          <w:highlight w:val="white"/>
        </w:rPr>
      </w:pPr>
      <w:r>
        <w:rPr>
          <w:color w:val="222222"/>
          <w:highlight w:val="white"/>
        </w:rPr>
        <w:t xml:space="preserve">Hossain, M. I., </w:t>
      </w:r>
      <w:proofErr w:type="spellStart"/>
      <w:r>
        <w:rPr>
          <w:color w:val="222222"/>
          <w:highlight w:val="white"/>
        </w:rPr>
        <w:t>Akter</w:t>
      </w:r>
      <w:proofErr w:type="spellEnd"/>
      <w:r>
        <w:rPr>
          <w:color w:val="222222"/>
          <w:highlight w:val="white"/>
        </w:rPr>
        <w:t xml:space="preserve">, N., and </w:t>
      </w:r>
      <w:proofErr w:type="spellStart"/>
      <w:r>
        <w:rPr>
          <w:color w:val="222222"/>
          <w:highlight w:val="white"/>
        </w:rPr>
        <w:t>Muzareba</w:t>
      </w:r>
      <w:proofErr w:type="spellEnd"/>
      <w:r>
        <w:rPr>
          <w:color w:val="222222"/>
          <w:highlight w:val="white"/>
        </w:rPr>
        <w:t xml:space="preserve">, A. M. (2024). Marketing Management Planning. In </w:t>
      </w:r>
      <w:r>
        <w:rPr>
          <w:i/>
          <w:color w:val="222222"/>
          <w:highlight w:val="white"/>
        </w:rPr>
        <w:t>Marketing in a Transition Economy: New Realities, Challenges, and Prospects</w:t>
      </w:r>
      <w:r>
        <w:rPr>
          <w:color w:val="222222"/>
          <w:highlight w:val="white"/>
        </w:rPr>
        <w:t xml:space="preserve"> (pp. 37-73). Singapore: Springer Nature Singapore.</w:t>
      </w:r>
    </w:p>
    <w:p w14:paraId="097D6531" w14:textId="77777777" w:rsidR="00E27B52" w:rsidRDefault="00E27B52" w:rsidP="00E27B52">
      <w:pPr>
        <w:rPr>
          <w:color w:val="222222"/>
          <w:highlight w:val="white"/>
        </w:rPr>
      </w:pPr>
      <w:proofErr w:type="spellStart"/>
      <w:r>
        <w:rPr>
          <w:color w:val="222222"/>
          <w:highlight w:val="white"/>
        </w:rPr>
        <w:t>Imteaz</w:t>
      </w:r>
      <w:proofErr w:type="spellEnd"/>
      <w:r>
        <w:rPr>
          <w:color w:val="222222"/>
          <w:highlight w:val="white"/>
        </w:rPr>
        <w:t xml:space="preserve">, M. A., </w:t>
      </w:r>
      <w:proofErr w:type="spellStart"/>
      <w:r>
        <w:rPr>
          <w:color w:val="222222"/>
          <w:highlight w:val="white"/>
        </w:rPr>
        <w:t>Bayatvarkeshi</w:t>
      </w:r>
      <w:proofErr w:type="spellEnd"/>
      <w:r>
        <w:rPr>
          <w:color w:val="222222"/>
          <w:highlight w:val="white"/>
        </w:rPr>
        <w:t xml:space="preserve">, M., and Karim, M. R. (2021). Developing </w:t>
      </w:r>
      <w:proofErr w:type="spellStart"/>
      <w:r>
        <w:rPr>
          <w:color w:val="222222"/>
          <w:highlight w:val="white"/>
        </w:rPr>
        <w:t>generalised</w:t>
      </w:r>
      <w:proofErr w:type="spellEnd"/>
      <w:r>
        <w:rPr>
          <w:color w:val="222222"/>
          <w:highlight w:val="white"/>
        </w:rPr>
        <w:t xml:space="preserve"> equation for the calculation of payback period for rainwater harvesting systems. </w:t>
      </w:r>
      <w:r>
        <w:rPr>
          <w:i/>
          <w:color w:val="222222"/>
          <w:highlight w:val="white"/>
        </w:rPr>
        <w:t>Sustainability</w:t>
      </w:r>
      <w:r>
        <w:rPr>
          <w:color w:val="222222"/>
          <w:highlight w:val="white"/>
        </w:rPr>
        <w:t xml:space="preserve">, </w:t>
      </w:r>
      <w:r>
        <w:rPr>
          <w:i/>
          <w:color w:val="222222"/>
          <w:highlight w:val="white"/>
        </w:rPr>
        <w:t>13</w:t>
      </w:r>
      <w:r>
        <w:rPr>
          <w:color w:val="222222"/>
          <w:highlight w:val="white"/>
        </w:rPr>
        <w:t>(8), 4266.</w:t>
      </w:r>
    </w:p>
    <w:p w14:paraId="2A9FBC5A" w14:textId="77777777" w:rsidR="00E27B52" w:rsidRDefault="00E27B52" w:rsidP="00E27B52">
      <w:pPr>
        <w:rPr>
          <w:color w:val="222222"/>
          <w:highlight w:val="white"/>
        </w:rPr>
      </w:pPr>
      <w:proofErr w:type="spellStart"/>
      <w:r>
        <w:rPr>
          <w:color w:val="222222"/>
          <w:highlight w:val="white"/>
        </w:rPr>
        <w:t>Karani</w:t>
      </w:r>
      <w:proofErr w:type="spellEnd"/>
      <w:r>
        <w:rPr>
          <w:color w:val="222222"/>
          <w:highlight w:val="white"/>
        </w:rPr>
        <w:t xml:space="preserve">, A. M. (2022). </w:t>
      </w:r>
      <w:r>
        <w:rPr>
          <w:i/>
          <w:color w:val="222222"/>
          <w:highlight w:val="white"/>
        </w:rPr>
        <w:t>Effect of supply chain strategies on the performance of manufacturing firms in Kenya</w:t>
      </w:r>
      <w:r>
        <w:rPr>
          <w:color w:val="222222"/>
          <w:highlight w:val="white"/>
        </w:rPr>
        <w:t xml:space="preserve"> (Doctoral dissertation, JKUAT-COHRED).</w:t>
      </w:r>
    </w:p>
    <w:p w14:paraId="4D09A156" w14:textId="77777777" w:rsidR="00E27B52" w:rsidRDefault="00E27B52" w:rsidP="00E27B52">
      <w:pPr>
        <w:rPr>
          <w:color w:val="222222"/>
          <w:highlight w:val="white"/>
        </w:rPr>
      </w:pPr>
      <w:proofErr w:type="spellStart"/>
      <w:r>
        <w:rPr>
          <w:color w:val="222222"/>
          <w:highlight w:val="white"/>
        </w:rPr>
        <w:t>Kliestik</w:t>
      </w:r>
      <w:proofErr w:type="spellEnd"/>
      <w:r>
        <w:rPr>
          <w:color w:val="222222"/>
          <w:highlight w:val="white"/>
        </w:rPr>
        <w:t xml:space="preserve">, T., </w:t>
      </w:r>
      <w:proofErr w:type="spellStart"/>
      <w:r>
        <w:rPr>
          <w:color w:val="222222"/>
          <w:highlight w:val="white"/>
        </w:rPr>
        <w:t>Valaskova</w:t>
      </w:r>
      <w:proofErr w:type="spellEnd"/>
      <w:r>
        <w:rPr>
          <w:color w:val="222222"/>
          <w:highlight w:val="white"/>
        </w:rPr>
        <w:t xml:space="preserve">, K., </w:t>
      </w:r>
      <w:proofErr w:type="spellStart"/>
      <w:r>
        <w:rPr>
          <w:color w:val="222222"/>
          <w:highlight w:val="white"/>
        </w:rPr>
        <w:t>Lazaroiu</w:t>
      </w:r>
      <w:proofErr w:type="spellEnd"/>
      <w:r>
        <w:rPr>
          <w:color w:val="222222"/>
          <w:highlight w:val="white"/>
        </w:rPr>
        <w:t xml:space="preserve">, G., </w:t>
      </w:r>
      <w:proofErr w:type="spellStart"/>
      <w:r>
        <w:rPr>
          <w:color w:val="222222"/>
          <w:highlight w:val="white"/>
        </w:rPr>
        <w:t>Kovacova</w:t>
      </w:r>
      <w:proofErr w:type="spellEnd"/>
      <w:r>
        <w:rPr>
          <w:color w:val="222222"/>
          <w:highlight w:val="white"/>
        </w:rPr>
        <w:t xml:space="preserve">, M., and </w:t>
      </w:r>
      <w:proofErr w:type="spellStart"/>
      <w:r>
        <w:rPr>
          <w:color w:val="222222"/>
          <w:highlight w:val="white"/>
        </w:rPr>
        <w:t>Vrbka</w:t>
      </w:r>
      <w:proofErr w:type="spellEnd"/>
      <w:r>
        <w:rPr>
          <w:color w:val="222222"/>
          <w:highlight w:val="white"/>
        </w:rPr>
        <w:t xml:space="preserve">, J. (2020). Remaining financially healthy and competitive: The role of financial predictors. </w:t>
      </w:r>
      <w:r>
        <w:rPr>
          <w:i/>
          <w:color w:val="222222"/>
          <w:highlight w:val="white"/>
        </w:rPr>
        <w:t>Journal of Competitiveness</w:t>
      </w:r>
      <w:r>
        <w:rPr>
          <w:color w:val="222222"/>
          <w:highlight w:val="white"/>
        </w:rPr>
        <w:t>, (1).</w:t>
      </w:r>
    </w:p>
    <w:p w14:paraId="057F3584" w14:textId="77777777" w:rsidR="00E27B52" w:rsidRDefault="00E27B52" w:rsidP="00E27B52">
      <w:pPr>
        <w:rPr>
          <w:color w:val="222222"/>
          <w:highlight w:val="white"/>
        </w:rPr>
      </w:pPr>
      <w:proofErr w:type="spellStart"/>
      <w:r>
        <w:rPr>
          <w:color w:val="222222"/>
          <w:highlight w:val="white"/>
        </w:rPr>
        <w:t>Knolle</w:t>
      </w:r>
      <w:proofErr w:type="spellEnd"/>
      <w:r>
        <w:rPr>
          <w:color w:val="222222"/>
          <w:highlight w:val="white"/>
        </w:rPr>
        <w:t>, J. (2020). Prosperity in a Low Interest Environment.</w:t>
      </w:r>
    </w:p>
    <w:p w14:paraId="7C34B130" w14:textId="77777777" w:rsidR="00E27B52" w:rsidRDefault="00E27B52" w:rsidP="00E27B52">
      <w:pPr>
        <w:rPr>
          <w:color w:val="222222"/>
          <w:highlight w:val="white"/>
        </w:rPr>
      </w:pPr>
      <w:r>
        <w:rPr>
          <w:color w:val="222222"/>
          <w:highlight w:val="white"/>
        </w:rPr>
        <w:t>Lindgren, A. (2024). Capital funding in an environmentally aware market A comparative study of Sustainability Linked Loans and Green Bonds.</w:t>
      </w:r>
    </w:p>
    <w:p w14:paraId="0C7E6D09" w14:textId="77777777" w:rsidR="00E27B52" w:rsidRDefault="00E27B52" w:rsidP="00E27B52">
      <w:pPr>
        <w:rPr>
          <w:color w:val="222222"/>
          <w:highlight w:val="white"/>
        </w:rPr>
      </w:pPr>
      <w:proofErr w:type="spellStart"/>
      <w:r>
        <w:rPr>
          <w:color w:val="222222"/>
          <w:highlight w:val="white"/>
        </w:rPr>
        <w:t>Liozu</w:t>
      </w:r>
      <w:proofErr w:type="spellEnd"/>
      <w:r>
        <w:rPr>
          <w:color w:val="222222"/>
          <w:highlight w:val="white"/>
        </w:rPr>
        <w:t xml:space="preserve">, S., and </w:t>
      </w:r>
      <w:proofErr w:type="spellStart"/>
      <w:r>
        <w:rPr>
          <w:color w:val="222222"/>
          <w:highlight w:val="white"/>
        </w:rPr>
        <w:t>Hinterhuber</w:t>
      </w:r>
      <w:proofErr w:type="spellEnd"/>
      <w:r>
        <w:rPr>
          <w:color w:val="222222"/>
          <w:highlight w:val="white"/>
        </w:rPr>
        <w:t xml:space="preserve">, A. (2022). Pricing as a driver of profitable growth: An agenda for CEOs and senior executives. </w:t>
      </w:r>
      <w:r>
        <w:rPr>
          <w:i/>
          <w:color w:val="222222"/>
          <w:highlight w:val="white"/>
        </w:rPr>
        <w:t>Business Horizons</w:t>
      </w:r>
      <w:r>
        <w:rPr>
          <w:color w:val="222222"/>
          <w:highlight w:val="white"/>
        </w:rPr>
        <w:t xml:space="preserve">, </w:t>
      </w:r>
      <w:r>
        <w:rPr>
          <w:i/>
          <w:color w:val="222222"/>
          <w:highlight w:val="white"/>
        </w:rPr>
        <w:t>65</w:t>
      </w:r>
      <w:r>
        <w:rPr>
          <w:color w:val="222222"/>
          <w:highlight w:val="white"/>
        </w:rPr>
        <w:t>(4), 457-467.</w:t>
      </w:r>
    </w:p>
    <w:p w14:paraId="6929A9A4" w14:textId="77777777" w:rsidR="00E27B52" w:rsidRDefault="00E27B52" w:rsidP="00E27B52">
      <w:pPr>
        <w:rPr>
          <w:color w:val="222222"/>
          <w:highlight w:val="white"/>
        </w:rPr>
      </w:pPr>
      <w:r>
        <w:rPr>
          <w:color w:val="222222"/>
          <w:highlight w:val="white"/>
        </w:rPr>
        <w:t>Malik, H. Z. (2023). Post-Covid improvisation in supply chain management process.</w:t>
      </w:r>
    </w:p>
    <w:p w14:paraId="7E5DDB55" w14:textId="77777777" w:rsidR="00E27B52" w:rsidRDefault="00E27B52" w:rsidP="00E27B52">
      <w:pPr>
        <w:rPr>
          <w:color w:val="222222"/>
          <w:highlight w:val="white"/>
        </w:rPr>
      </w:pPr>
      <w:r>
        <w:rPr>
          <w:color w:val="222222"/>
          <w:highlight w:val="white"/>
        </w:rPr>
        <w:t xml:space="preserve">Martin, R. L. (2022). </w:t>
      </w:r>
      <w:r>
        <w:rPr>
          <w:i/>
          <w:color w:val="222222"/>
          <w:highlight w:val="white"/>
        </w:rPr>
        <w:t>A new way to think: your guide to superior management effectiveness</w:t>
      </w:r>
      <w:r>
        <w:rPr>
          <w:color w:val="222222"/>
          <w:highlight w:val="white"/>
        </w:rPr>
        <w:t>. Harvard Business Press.</w:t>
      </w:r>
    </w:p>
    <w:p w14:paraId="71B43527" w14:textId="77777777" w:rsidR="00E27B52" w:rsidRDefault="00E27B52" w:rsidP="00E27B52">
      <w:pPr>
        <w:rPr>
          <w:color w:val="222222"/>
          <w:highlight w:val="white"/>
        </w:rPr>
      </w:pPr>
      <w:r>
        <w:rPr>
          <w:color w:val="222222"/>
          <w:highlight w:val="white"/>
        </w:rPr>
        <w:t>Martins, F. (2021). FACING MIXED PERFORMANCE FROM EMERGING MARKETS EXPOSURE WITH ACQUISITIONS AND PORTFOLIO RESHAPING.</w:t>
      </w:r>
    </w:p>
    <w:p w14:paraId="2967FAF3" w14:textId="77777777" w:rsidR="00E27B52" w:rsidRDefault="00E27B52" w:rsidP="00E27B52">
      <w:pPr>
        <w:rPr>
          <w:color w:val="222222"/>
          <w:highlight w:val="white"/>
        </w:rPr>
      </w:pPr>
      <w:r>
        <w:rPr>
          <w:color w:val="222222"/>
          <w:highlight w:val="white"/>
        </w:rPr>
        <w:t>Osho, O. J. (2022). THE INFLUENCE OF COMPENSATION MANAGEMENT ON EMPLOYEES’WORK PERFORMANCE (A STUDY OF UNILEVER NIGERIA PLC).</w:t>
      </w:r>
    </w:p>
    <w:p w14:paraId="151317C5" w14:textId="77777777" w:rsidR="00E27B52" w:rsidRDefault="00E27B52" w:rsidP="00E27B52">
      <w:pPr>
        <w:rPr>
          <w:color w:val="222222"/>
          <w:highlight w:val="white"/>
        </w:rPr>
      </w:pPr>
      <w:proofErr w:type="spellStart"/>
      <w:r>
        <w:rPr>
          <w:color w:val="222222"/>
          <w:highlight w:val="white"/>
        </w:rPr>
        <w:lastRenderedPageBreak/>
        <w:t>Panigrahi</w:t>
      </w:r>
      <w:proofErr w:type="spellEnd"/>
      <w:r>
        <w:rPr>
          <w:color w:val="222222"/>
          <w:highlight w:val="white"/>
        </w:rPr>
        <w:t xml:space="preserve">, R. R., Jena, D., Tandon, D., </w:t>
      </w:r>
      <w:proofErr w:type="spellStart"/>
      <w:r>
        <w:rPr>
          <w:color w:val="222222"/>
          <w:highlight w:val="white"/>
        </w:rPr>
        <w:t>Meher</w:t>
      </w:r>
      <w:proofErr w:type="spellEnd"/>
      <w:r>
        <w:rPr>
          <w:color w:val="222222"/>
          <w:highlight w:val="white"/>
        </w:rPr>
        <w:t xml:space="preserve">, J. R., Mishra, P. C., and Sahoo, A. (2021). Inventory management and performance of manufacturing firms. </w:t>
      </w:r>
      <w:r>
        <w:rPr>
          <w:i/>
          <w:color w:val="222222"/>
          <w:highlight w:val="white"/>
        </w:rPr>
        <w:t>International Journal of Value Chain Management</w:t>
      </w:r>
      <w:r>
        <w:rPr>
          <w:color w:val="222222"/>
          <w:highlight w:val="white"/>
        </w:rPr>
        <w:t xml:space="preserve">, </w:t>
      </w:r>
      <w:r>
        <w:rPr>
          <w:i/>
          <w:color w:val="222222"/>
          <w:highlight w:val="white"/>
        </w:rPr>
        <w:t>12</w:t>
      </w:r>
      <w:r>
        <w:rPr>
          <w:color w:val="222222"/>
          <w:highlight w:val="white"/>
        </w:rPr>
        <w:t>(2), 149-170.</w:t>
      </w:r>
    </w:p>
    <w:p w14:paraId="18838BBA" w14:textId="77777777" w:rsidR="00E27B52" w:rsidRDefault="00E27B52" w:rsidP="00E27B52">
      <w:pPr>
        <w:spacing w:after="0"/>
        <w:rPr>
          <w:color w:val="222222"/>
          <w:highlight w:val="white"/>
        </w:rPr>
      </w:pPr>
      <w:r>
        <w:rPr>
          <w:color w:val="222222"/>
          <w:highlight w:val="white"/>
        </w:rPr>
        <w:t xml:space="preserve">Plc, U. (2024, May 23). Liquid I.V. powers growth with partnerships, innovation and global expansion. </w:t>
      </w:r>
      <w:r>
        <w:rPr>
          <w:i/>
          <w:color w:val="222222"/>
          <w:highlight w:val="white"/>
        </w:rPr>
        <w:t>Unilever</w:t>
      </w:r>
      <w:r>
        <w:rPr>
          <w:color w:val="222222"/>
          <w:highlight w:val="white"/>
        </w:rPr>
        <w:t xml:space="preserve">. </w:t>
      </w:r>
      <w:hyperlink r:id="rId6" w:anchor=":~:text=Unilever%20acquired%20the%20brand%20in,has%20ambitions%20to%20get%20bigger">
        <w:r>
          <w:rPr>
            <w:color w:val="1155CC"/>
            <w:highlight w:val="white"/>
            <w:u w:val="single"/>
          </w:rPr>
          <w:t>https://www.unilever.com/news/news-search/2024/liquid-iv-powers-growth-with-partnerships-innovation-and-global-expansion/#:~:text=Unilever%20acquired%20the%20brand%20in,has%20ambitions%20to%20get%20bigger</w:t>
        </w:r>
      </w:hyperlink>
      <w:r>
        <w:rPr>
          <w:color w:val="222222"/>
          <w:highlight w:val="white"/>
        </w:rPr>
        <w:t xml:space="preserve">. </w:t>
      </w:r>
    </w:p>
    <w:p w14:paraId="09942A07" w14:textId="77777777" w:rsidR="00E27B52" w:rsidRDefault="00E27B52" w:rsidP="00E27B52">
      <w:pPr>
        <w:rPr>
          <w:color w:val="222222"/>
          <w:highlight w:val="white"/>
        </w:rPr>
      </w:pPr>
      <w:proofErr w:type="spellStart"/>
      <w:r>
        <w:rPr>
          <w:color w:val="222222"/>
          <w:highlight w:val="white"/>
        </w:rPr>
        <w:t>Ragazzini</w:t>
      </w:r>
      <w:proofErr w:type="spellEnd"/>
      <w:r>
        <w:rPr>
          <w:color w:val="222222"/>
          <w:highlight w:val="white"/>
        </w:rPr>
        <w:t xml:space="preserve">, A. (2021). </w:t>
      </w:r>
      <w:r>
        <w:rPr>
          <w:i/>
          <w:color w:val="222222"/>
          <w:highlight w:val="white"/>
        </w:rPr>
        <w:t>R&amp;D Project Selection Problem: An analysis and application of AHP and PROMETHEE</w:t>
      </w:r>
      <w:r>
        <w:rPr>
          <w:color w:val="222222"/>
          <w:highlight w:val="white"/>
        </w:rPr>
        <w:t xml:space="preserve"> (Doctoral dissertation, </w:t>
      </w:r>
      <w:proofErr w:type="spellStart"/>
      <w:r>
        <w:rPr>
          <w:color w:val="222222"/>
          <w:highlight w:val="white"/>
        </w:rPr>
        <w:t>Politecnico</w:t>
      </w:r>
      <w:proofErr w:type="spellEnd"/>
      <w:r>
        <w:rPr>
          <w:color w:val="222222"/>
          <w:highlight w:val="white"/>
        </w:rPr>
        <w:t xml:space="preserve"> di Torino).</w:t>
      </w:r>
    </w:p>
    <w:p w14:paraId="141CFEA6" w14:textId="77777777" w:rsidR="00E27B52" w:rsidRDefault="00E27B52" w:rsidP="00E27B52">
      <w:pPr>
        <w:rPr>
          <w:color w:val="222222"/>
          <w:highlight w:val="white"/>
        </w:rPr>
      </w:pPr>
      <w:r>
        <w:rPr>
          <w:color w:val="222222"/>
          <w:highlight w:val="white"/>
        </w:rPr>
        <w:t xml:space="preserve">Reza, M. H. (2020). Marketing strategy and sustainable plan of Unilever. </w:t>
      </w:r>
      <w:r>
        <w:rPr>
          <w:i/>
          <w:color w:val="222222"/>
          <w:highlight w:val="white"/>
        </w:rPr>
        <w:t>International Journal of Scientific Research and Engineering Development</w:t>
      </w:r>
      <w:r>
        <w:rPr>
          <w:color w:val="222222"/>
          <w:highlight w:val="white"/>
        </w:rPr>
        <w:t xml:space="preserve">, </w:t>
      </w:r>
      <w:r>
        <w:rPr>
          <w:i/>
          <w:color w:val="222222"/>
          <w:highlight w:val="white"/>
        </w:rPr>
        <w:t>3</w:t>
      </w:r>
      <w:r>
        <w:rPr>
          <w:color w:val="222222"/>
          <w:highlight w:val="white"/>
        </w:rPr>
        <w:t>(4), 680-692.</w:t>
      </w:r>
    </w:p>
    <w:p w14:paraId="3761F14F" w14:textId="77777777" w:rsidR="00E27B52" w:rsidRDefault="00E27B52" w:rsidP="00E27B52">
      <w:pPr>
        <w:rPr>
          <w:color w:val="222222"/>
          <w:highlight w:val="white"/>
        </w:rPr>
      </w:pPr>
      <w:r>
        <w:rPr>
          <w:color w:val="222222"/>
          <w:highlight w:val="white"/>
        </w:rPr>
        <w:t>RIBEIRO, B. S. (2021). SUSTAINING A TOP POSITION IN THE BEAUTY MARKET–L’ORÉAL THRIVES IN A TREND BASED INDUSTRY.</w:t>
      </w:r>
    </w:p>
    <w:p w14:paraId="437336B8" w14:textId="77777777" w:rsidR="00E27B52" w:rsidRDefault="00E27B52" w:rsidP="00E27B52">
      <w:pPr>
        <w:rPr>
          <w:color w:val="222222"/>
          <w:highlight w:val="white"/>
        </w:rPr>
      </w:pPr>
      <w:proofErr w:type="spellStart"/>
      <w:r>
        <w:rPr>
          <w:color w:val="222222"/>
          <w:highlight w:val="white"/>
        </w:rPr>
        <w:t>Setyowati</w:t>
      </w:r>
      <w:proofErr w:type="spellEnd"/>
      <w:r>
        <w:rPr>
          <w:color w:val="222222"/>
          <w:highlight w:val="white"/>
        </w:rPr>
        <w:t xml:space="preserve">, R., </w:t>
      </w:r>
      <w:proofErr w:type="spellStart"/>
      <w:r>
        <w:rPr>
          <w:color w:val="222222"/>
          <w:highlight w:val="white"/>
        </w:rPr>
        <w:t>Rivani</w:t>
      </w:r>
      <w:proofErr w:type="spellEnd"/>
      <w:r>
        <w:rPr>
          <w:color w:val="222222"/>
          <w:highlight w:val="white"/>
        </w:rPr>
        <w:t xml:space="preserve">, V. A., AM, Y. B., and </w:t>
      </w:r>
      <w:proofErr w:type="spellStart"/>
      <w:r>
        <w:rPr>
          <w:color w:val="222222"/>
          <w:highlight w:val="white"/>
        </w:rPr>
        <w:t>Pandin</w:t>
      </w:r>
      <w:proofErr w:type="spellEnd"/>
      <w:r>
        <w:rPr>
          <w:color w:val="222222"/>
          <w:highlight w:val="white"/>
        </w:rPr>
        <w:t xml:space="preserve">, M. Y. R. (2023). The role of Asset Management, Cost Control, and receivables management policies in improving the Financial Resilience of PT Unilever. </w:t>
      </w:r>
      <w:proofErr w:type="spellStart"/>
      <w:r>
        <w:rPr>
          <w:i/>
          <w:color w:val="222222"/>
          <w:highlight w:val="white"/>
        </w:rPr>
        <w:t>Manajemen</w:t>
      </w:r>
      <w:proofErr w:type="spellEnd"/>
      <w:r>
        <w:rPr>
          <w:i/>
          <w:color w:val="222222"/>
          <w:highlight w:val="white"/>
        </w:rPr>
        <w:t xml:space="preserve"> </w:t>
      </w:r>
      <w:proofErr w:type="spellStart"/>
      <w:r>
        <w:rPr>
          <w:i/>
          <w:color w:val="222222"/>
          <w:highlight w:val="white"/>
        </w:rPr>
        <w:t>Kreatif</w:t>
      </w:r>
      <w:proofErr w:type="spellEnd"/>
      <w:r>
        <w:rPr>
          <w:i/>
          <w:color w:val="222222"/>
          <w:highlight w:val="white"/>
        </w:rPr>
        <w:t xml:space="preserve"> </w:t>
      </w:r>
      <w:proofErr w:type="spellStart"/>
      <w:r>
        <w:rPr>
          <w:i/>
          <w:color w:val="222222"/>
          <w:highlight w:val="white"/>
        </w:rPr>
        <w:t>Jurnal</w:t>
      </w:r>
      <w:proofErr w:type="spellEnd"/>
      <w:r>
        <w:rPr>
          <w:color w:val="222222"/>
          <w:highlight w:val="white"/>
        </w:rPr>
        <w:t xml:space="preserve">, </w:t>
      </w:r>
      <w:r>
        <w:rPr>
          <w:i/>
          <w:color w:val="222222"/>
          <w:highlight w:val="white"/>
        </w:rPr>
        <w:t>1</w:t>
      </w:r>
      <w:r>
        <w:rPr>
          <w:color w:val="222222"/>
          <w:highlight w:val="white"/>
        </w:rPr>
        <w:t>(3), 107-123.</w:t>
      </w:r>
    </w:p>
    <w:p w14:paraId="36071493" w14:textId="77777777" w:rsidR="00E27B52" w:rsidRDefault="00E27B52" w:rsidP="00E27B52">
      <w:pPr>
        <w:rPr>
          <w:color w:val="222222"/>
          <w:highlight w:val="white"/>
        </w:rPr>
      </w:pPr>
      <w:proofErr w:type="spellStart"/>
      <w:r>
        <w:rPr>
          <w:color w:val="222222"/>
          <w:highlight w:val="white"/>
        </w:rPr>
        <w:t>Sinaga</w:t>
      </w:r>
      <w:proofErr w:type="spellEnd"/>
      <w:r>
        <w:rPr>
          <w:color w:val="222222"/>
          <w:highlight w:val="white"/>
        </w:rPr>
        <w:t xml:space="preserve">, A. S., Sari, M. M., </w:t>
      </w:r>
      <w:proofErr w:type="spellStart"/>
      <w:r>
        <w:rPr>
          <w:color w:val="222222"/>
          <w:highlight w:val="white"/>
        </w:rPr>
        <w:t>Hutasuhut</w:t>
      </w:r>
      <w:proofErr w:type="spellEnd"/>
      <w:r>
        <w:rPr>
          <w:color w:val="222222"/>
          <w:highlight w:val="white"/>
        </w:rPr>
        <w:t xml:space="preserve">, A. A., </w:t>
      </w:r>
      <w:proofErr w:type="spellStart"/>
      <w:r>
        <w:rPr>
          <w:color w:val="222222"/>
          <w:highlight w:val="white"/>
        </w:rPr>
        <w:t>Zahara</w:t>
      </w:r>
      <w:proofErr w:type="spellEnd"/>
      <w:r>
        <w:rPr>
          <w:color w:val="222222"/>
          <w:highlight w:val="white"/>
        </w:rPr>
        <w:t xml:space="preserve">, S. T., Amanda, A., </w:t>
      </w:r>
      <w:proofErr w:type="spellStart"/>
      <w:r>
        <w:rPr>
          <w:color w:val="222222"/>
          <w:highlight w:val="white"/>
        </w:rPr>
        <w:t>Fitri</w:t>
      </w:r>
      <w:proofErr w:type="spellEnd"/>
      <w:r>
        <w:rPr>
          <w:color w:val="222222"/>
          <w:highlight w:val="white"/>
        </w:rPr>
        <w:t xml:space="preserve">, A., and </w:t>
      </w:r>
      <w:proofErr w:type="spellStart"/>
      <w:r>
        <w:rPr>
          <w:color w:val="222222"/>
          <w:highlight w:val="white"/>
        </w:rPr>
        <w:t>Caesario</w:t>
      </w:r>
      <w:proofErr w:type="spellEnd"/>
      <w:r>
        <w:rPr>
          <w:color w:val="222222"/>
          <w:highlight w:val="white"/>
        </w:rPr>
        <w:t xml:space="preserve">, M. A. (2023). Comparison of capital budgeting methods: NPV, IRR, PAYBACK PERIOD. </w:t>
      </w:r>
      <w:r>
        <w:rPr>
          <w:i/>
          <w:color w:val="222222"/>
          <w:highlight w:val="white"/>
        </w:rPr>
        <w:t>World Journal of Advanced Research and Reviews</w:t>
      </w:r>
      <w:r>
        <w:rPr>
          <w:color w:val="222222"/>
          <w:highlight w:val="white"/>
        </w:rPr>
        <w:t xml:space="preserve">, </w:t>
      </w:r>
      <w:r>
        <w:rPr>
          <w:i/>
          <w:color w:val="222222"/>
          <w:highlight w:val="white"/>
        </w:rPr>
        <w:t>19</w:t>
      </w:r>
      <w:r>
        <w:rPr>
          <w:color w:val="222222"/>
          <w:highlight w:val="white"/>
        </w:rPr>
        <w:t>(2), 1078-1081.</w:t>
      </w:r>
    </w:p>
    <w:p w14:paraId="48AD1C2D" w14:textId="77777777" w:rsidR="00E27B52" w:rsidRDefault="00E27B52" w:rsidP="00E27B52">
      <w:pPr>
        <w:rPr>
          <w:color w:val="222222"/>
          <w:highlight w:val="white"/>
        </w:rPr>
      </w:pPr>
      <w:proofErr w:type="spellStart"/>
      <w:r>
        <w:rPr>
          <w:color w:val="222222"/>
          <w:highlight w:val="white"/>
        </w:rPr>
        <w:t>Siziba</w:t>
      </w:r>
      <w:proofErr w:type="spellEnd"/>
      <w:r>
        <w:rPr>
          <w:color w:val="222222"/>
          <w:highlight w:val="white"/>
        </w:rPr>
        <w:t xml:space="preserve">, S., and Hall, J. H. (2021). The evolution of the application of capital budgeting techniques in enterprises. </w:t>
      </w:r>
      <w:r>
        <w:rPr>
          <w:i/>
          <w:color w:val="222222"/>
          <w:highlight w:val="white"/>
        </w:rPr>
        <w:t>Global finance journal</w:t>
      </w:r>
      <w:r>
        <w:rPr>
          <w:color w:val="222222"/>
          <w:highlight w:val="white"/>
        </w:rPr>
        <w:t xml:space="preserve">, </w:t>
      </w:r>
      <w:r>
        <w:rPr>
          <w:i/>
          <w:color w:val="222222"/>
          <w:highlight w:val="white"/>
        </w:rPr>
        <w:t>47</w:t>
      </w:r>
      <w:r>
        <w:rPr>
          <w:color w:val="222222"/>
          <w:highlight w:val="white"/>
        </w:rPr>
        <w:t>, 100504.</w:t>
      </w:r>
    </w:p>
    <w:p w14:paraId="341EBCD8" w14:textId="77777777" w:rsidR="00E27B52" w:rsidRDefault="00E27B52" w:rsidP="00E27B52">
      <w:pPr>
        <w:rPr>
          <w:color w:val="222222"/>
          <w:highlight w:val="white"/>
        </w:rPr>
      </w:pPr>
      <w:r>
        <w:rPr>
          <w:color w:val="222222"/>
          <w:highlight w:val="white"/>
        </w:rPr>
        <w:t>Smith, A. M. (2022). An empirical study of the effects of regulatory systems on the collection of late payment of commercial debts owed to micro and small businesses in the UK.</w:t>
      </w:r>
    </w:p>
    <w:p w14:paraId="1A3F83C9" w14:textId="77777777" w:rsidR="00E27B52" w:rsidRDefault="00E27B52" w:rsidP="00E27B52">
      <w:pPr>
        <w:rPr>
          <w:color w:val="222222"/>
          <w:highlight w:val="white"/>
        </w:rPr>
      </w:pPr>
      <w:r>
        <w:rPr>
          <w:color w:val="222222"/>
          <w:highlight w:val="white"/>
        </w:rPr>
        <w:t xml:space="preserve">Stanford, N. (2022). </w:t>
      </w:r>
      <w:r>
        <w:rPr>
          <w:i/>
          <w:color w:val="222222"/>
          <w:highlight w:val="white"/>
        </w:rPr>
        <w:t xml:space="preserve">Designing </w:t>
      </w:r>
      <w:proofErr w:type="spellStart"/>
      <w:r>
        <w:rPr>
          <w:i/>
          <w:color w:val="222222"/>
          <w:highlight w:val="white"/>
        </w:rPr>
        <w:t>Organisations</w:t>
      </w:r>
      <w:proofErr w:type="spellEnd"/>
      <w:r>
        <w:rPr>
          <w:i/>
          <w:color w:val="222222"/>
          <w:highlight w:val="white"/>
        </w:rPr>
        <w:t>: Why it matters and ways to do it well</w:t>
      </w:r>
      <w:r>
        <w:rPr>
          <w:color w:val="222222"/>
          <w:highlight w:val="white"/>
        </w:rPr>
        <w:t xml:space="preserve">. Profile Books. </w:t>
      </w:r>
    </w:p>
    <w:p w14:paraId="11AF7D48" w14:textId="77777777" w:rsidR="00E27B52" w:rsidRDefault="00E27B52" w:rsidP="00E27B52">
      <w:pPr>
        <w:spacing w:after="0"/>
        <w:rPr>
          <w:color w:val="222222"/>
          <w:highlight w:val="white"/>
        </w:rPr>
      </w:pPr>
      <w:r>
        <w:rPr>
          <w:color w:val="222222"/>
          <w:highlight w:val="white"/>
        </w:rPr>
        <w:lastRenderedPageBreak/>
        <w:t xml:space="preserve">Vipond, T. (2023, December 4). </w:t>
      </w:r>
      <w:r>
        <w:rPr>
          <w:i/>
          <w:color w:val="222222"/>
          <w:highlight w:val="white"/>
        </w:rPr>
        <w:t>ARR - Accounting Rate of Return</w:t>
      </w:r>
      <w:r>
        <w:rPr>
          <w:color w:val="222222"/>
          <w:highlight w:val="white"/>
        </w:rPr>
        <w:t xml:space="preserve">. Corporate Finance Institute. </w:t>
      </w:r>
      <w:hyperlink r:id="rId7">
        <w:r>
          <w:rPr>
            <w:color w:val="1155CC"/>
            <w:highlight w:val="white"/>
            <w:u w:val="single"/>
          </w:rPr>
          <w:t>https://corporatefinanceinstitute.com/resources/accounting/arr-accounting-rate-of-return/</w:t>
        </w:r>
      </w:hyperlink>
      <w:r>
        <w:rPr>
          <w:color w:val="222222"/>
          <w:highlight w:val="white"/>
        </w:rPr>
        <w:t xml:space="preserve"> </w:t>
      </w:r>
    </w:p>
    <w:p w14:paraId="1465DCAB" w14:textId="77777777" w:rsidR="00E27B52" w:rsidRDefault="00E27B52" w:rsidP="00E27B52">
      <w:pPr>
        <w:rPr>
          <w:color w:val="222222"/>
          <w:highlight w:val="white"/>
        </w:rPr>
      </w:pPr>
      <w:r>
        <w:rPr>
          <w:color w:val="222222"/>
          <w:highlight w:val="white"/>
        </w:rPr>
        <w:t>Wang, Z. (2020). Financial and strategic analysis of FMCG industry--Taking P and G as an example.</w:t>
      </w:r>
    </w:p>
    <w:p w14:paraId="22CF57BA" w14:textId="77777777" w:rsidR="00E27B52" w:rsidRDefault="00E27B52" w:rsidP="00E27B52">
      <w:pPr>
        <w:rPr>
          <w:color w:val="222222"/>
          <w:highlight w:val="white"/>
        </w:rPr>
      </w:pPr>
      <w:r>
        <w:rPr>
          <w:color w:val="222222"/>
          <w:highlight w:val="white"/>
        </w:rPr>
        <w:t xml:space="preserve">Zhang, Z. (2022). Stocks Analysis in Consumer Staples Sector: Case of Johnson and Johnson, Procter and Gamble and Coca-Cola. </w:t>
      </w:r>
      <w:r>
        <w:rPr>
          <w:i/>
          <w:color w:val="222222"/>
          <w:highlight w:val="white"/>
        </w:rPr>
        <w:t>Highlights in Business, Economics and Management</w:t>
      </w:r>
      <w:r>
        <w:rPr>
          <w:color w:val="222222"/>
          <w:highlight w:val="white"/>
        </w:rPr>
        <w:t xml:space="preserve">, </w:t>
      </w:r>
      <w:r>
        <w:rPr>
          <w:i/>
          <w:color w:val="222222"/>
          <w:highlight w:val="white"/>
        </w:rPr>
        <w:t>4</w:t>
      </w:r>
      <w:r>
        <w:rPr>
          <w:color w:val="222222"/>
          <w:highlight w:val="white"/>
        </w:rPr>
        <w:t>, 205-209.</w:t>
      </w:r>
    </w:p>
    <w:p w14:paraId="0765389D" w14:textId="77777777" w:rsidR="00E27B52" w:rsidRDefault="00E27B52" w:rsidP="00E27B52">
      <w:pPr>
        <w:rPr>
          <w:color w:val="222222"/>
          <w:highlight w:val="white"/>
        </w:rPr>
        <w:sectPr w:rsidR="00E27B52" w:rsidSect="00C43A3D">
          <w:pgSz w:w="12240" w:h="15840"/>
          <w:pgMar w:top="1440" w:right="1440" w:bottom="1440" w:left="1440" w:header="720" w:footer="720" w:gutter="0"/>
          <w:pgNumType w:start="1"/>
          <w:cols w:space="720"/>
        </w:sectPr>
      </w:pPr>
    </w:p>
    <w:p w14:paraId="5139A1CC" w14:textId="39F20DCA" w:rsidR="00E27B52" w:rsidRPr="00E27B52" w:rsidRDefault="00E27B52" w:rsidP="00E27B52">
      <w:pPr>
        <w:pStyle w:val="Heading1"/>
        <w:rPr>
          <w:highlight w:val="white"/>
          <w:u w:val="single"/>
        </w:rPr>
      </w:pPr>
      <w:r w:rsidRPr="00E27B52">
        <w:rPr>
          <w:highlight w:val="white"/>
          <w:u w:val="single"/>
        </w:rPr>
        <w:lastRenderedPageBreak/>
        <w:t>Appendix</w:t>
      </w:r>
    </w:p>
    <w:p w14:paraId="1607D2C1" w14:textId="631C2482" w:rsidR="00E27B52" w:rsidRDefault="00E27B52" w:rsidP="00E27B52">
      <w:pPr>
        <w:rPr>
          <w:highlight w:val="white"/>
        </w:rPr>
      </w:pPr>
    </w:p>
    <w:p w14:paraId="49B16D30" w14:textId="77777777" w:rsidR="00E27B52" w:rsidRPr="00E27B52" w:rsidRDefault="00E27B52" w:rsidP="00E27B52">
      <w:pPr>
        <w:rPr>
          <w:highlight w:val="white"/>
        </w:rPr>
      </w:pPr>
    </w:p>
    <w:p w14:paraId="2B00E2E1" w14:textId="77777777" w:rsidR="00E27B52" w:rsidRDefault="00E27B52" w:rsidP="004816D3">
      <w:pPr>
        <w:jc w:val="center"/>
        <w:rPr>
          <w:color w:val="222222"/>
          <w:highlight w:val="white"/>
        </w:rPr>
      </w:pPr>
      <w:r>
        <w:rPr>
          <w:noProof/>
          <w:lang w:val="en-IN" w:eastAsia="en-IN" w:bidi="gu-IN"/>
        </w:rPr>
        <w:drawing>
          <wp:inline distT="0" distB="0" distL="0" distR="0" wp14:anchorId="5C0CAE6C" wp14:editId="42416DC0">
            <wp:extent cx="6600825" cy="5657461"/>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627855" cy="5680628"/>
                    </a:xfrm>
                    <a:prstGeom prst="rect">
                      <a:avLst/>
                    </a:prstGeom>
                    <a:noFill/>
                  </pic:spPr>
                </pic:pic>
              </a:graphicData>
            </a:graphic>
          </wp:inline>
        </w:drawing>
      </w:r>
    </w:p>
    <w:p w14:paraId="22250B6E" w14:textId="77777777" w:rsidR="00E27B52" w:rsidRDefault="00E27B52" w:rsidP="00E27B52">
      <w:pPr>
        <w:widowControl w:val="0"/>
        <w:tabs>
          <w:tab w:val="right" w:leader="dot" w:pos="9360"/>
        </w:tabs>
        <w:spacing w:before="60" w:after="0"/>
        <w:jc w:val="left"/>
        <w:rPr>
          <w:noProof/>
          <w:color w:val="000000"/>
        </w:rPr>
      </w:pPr>
    </w:p>
    <w:p w14:paraId="79ECB017" w14:textId="77777777" w:rsidR="00E27B52" w:rsidRDefault="00E27B52" w:rsidP="00E27B52">
      <w:pPr>
        <w:jc w:val="center"/>
      </w:pPr>
    </w:p>
    <w:sectPr w:rsidR="00E27B5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DB00CD"/>
    <w:multiLevelType w:val="hybridMultilevel"/>
    <w:tmpl w:val="5726DD54"/>
    <w:lvl w:ilvl="0" w:tplc="94A4F818">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661626F"/>
    <w:multiLevelType w:val="hybridMultilevel"/>
    <w:tmpl w:val="E0383F1A"/>
    <w:lvl w:ilvl="0" w:tplc="4CA272C2">
      <w:start w:val="1"/>
      <w:numFmt w:val="decimal"/>
      <w:lvlText w:val="%1."/>
      <w:lvlJc w:val="left"/>
      <w:pPr>
        <w:ind w:left="720" w:hanging="360"/>
      </w:pPr>
      <w:rPr>
        <w:rFonts w:hint="default"/>
        <w:b/>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EDF7DE4"/>
    <w:multiLevelType w:val="hybridMultilevel"/>
    <w:tmpl w:val="91A4EBBA"/>
    <w:lvl w:ilvl="0" w:tplc="4E6AB746">
      <w:start w:val="1"/>
      <w:numFmt w:val="decimal"/>
      <w:lvlText w:val="%1."/>
      <w:lvlJc w:val="left"/>
      <w:pPr>
        <w:ind w:left="720" w:hanging="360"/>
      </w:pPr>
      <w:rPr>
        <w:rFonts w:hint="default"/>
        <w:b/>
        <w: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7B52"/>
    <w:rsid w:val="000A2846"/>
    <w:rsid w:val="000F5CAD"/>
    <w:rsid w:val="00254DDC"/>
    <w:rsid w:val="004069B6"/>
    <w:rsid w:val="00420767"/>
    <w:rsid w:val="004816D3"/>
    <w:rsid w:val="0053206A"/>
    <w:rsid w:val="0061216D"/>
    <w:rsid w:val="007B16DB"/>
    <w:rsid w:val="008B4B1C"/>
    <w:rsid w:val="00A40154"/>
    <w:rsid w:val="00B206CF"/>
    <w:rsid w:val="00B964FF"/>
    <w:rsid w:val="00C676A3"/>
    <w:rsid w:val="00CB0C0F"/>
    <w:rsid w:val="00CC5051"/>
    <w:rsid w:val="00E27B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002A53"/>
  <w15:chartTrackingRefBased/>
  <w15:docId w15:val="{C77FA9B9-57DB-44E6-953B-38BB717115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E27B52"/>
    <w:pPr>
      <w:spacing w:after="200" w:line="360" w:lineRule="auto"/>
      <w:jc w:val="both"/>
    </w:pPr>
    <w:rPr>
      <w:rFonts w:ascii="Times New Roman" w:eastAsia="Times New Roman" w:hAnsi="Times New Roman" w:cs="Times New Roman"/>
      <w:kern w:val="0"/>
      <w:sz w:val="24"/>
      <w:szCs w:val="24"/>
      <w:lang w:val="en"/>
      <w14:ligatures w14:val="none"/>
    </w:rPr>
  </w:style>
  <w:style w:type="paragraph" w:styleId="Heading1">
    <w:name w:val="heading 1"/>
    <w:basedOn w:val="Normal"/>
    <w:next w:val="Normal"/>
    <w:link w:val="Heading1Char"/>
    <w:rsid w:val="00E27B52"/>
    <w:pPr>
      <w:keepNext/>
      <w:keepLines/>
      <w:outlineLvl w:val="0"/>
    </w:pPr>
    <w:rPr>
      <w:b/>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27B52"/>
    <w:rPr>
      <w:rFonts w:ascii="Times New Roman" w:eastAsia="Times New Roman" w:hAnsi="Times New Roman" w:cs="Times New Roman"/>
      <w:b/>
      <w:kern w:val="0"/>
      <w:sz w:val="28"/>
      <w:szCs w:val="28"/>
      <w:lang w:val="en"/>
      <w14:ligatures w14:val="none"/>
    </w:rPr>
  </w:style>
  <w:style w:type="paragraph" w:styleId="ListParagraph">
    <w:name w:val="List Paragraph"/>
    <w:basedOn w:val="Normal"/>
    <w:uiPriority w:val="34"/>
    <w:qFormat/>
    <w:rsid w:val="007B16D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settings" Target="settings.xml"/><Relationship Id="rId7" Type="http://schemas.openxmlformats.org/officeDocument/2006/relationships/hyperlink" Target="https://corporatefinanceinstitute.com/resources/accounting/arr-accounting-rate-of-retur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unilever.com/news/news-search/2024/liquid-iv-powers-growth-with-partnerships-innovation-and-global-expansion/"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TotalTime>
  <Pages>25</Pages>
  <Words>5983</Words>
  <Characters>34105</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Naitik Hareshbhai Bokha</dc:creator>
  <cp:keywords/>
  <dc:description/>
  <cp:lastModifiedBy>Parth Kishorbhai VAGHANI</cp:lastModifiedBy>
  <cp:revision>9</cp:revision>
  <dcterms:created xsi:type="dcterms:W3CDTF">2024-08-10T13:59:00Z</dcterms:created>
  <dcterms:modified xsi:type="dcterms:W3CDTF">2024-08-10T17:32:00Z</dcterms:modified>
</cp:coreProperties>
</file>