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ackground w:color="ffffff"/>
  <w:body>
    <w:p w14:paraId="73FF7EBD">
      <w:pPr>
        <w:pStyle w:val="style0"/>
        <w:jc w:val="center"/>
        <w:rPr>
          <w:b/>
          <w:bCs/>
          <w:sz w:val="40"/>
          <w:szCs w:val="40"/>
        </w:rPr>
      </w:pPr>
    </w:p>
    <w:p w14:paraId="73FF7EBE">
      <w:pPr>
        <w:pStyle w:val="style0"/>
        <w:jc w:val="center"/>
        <w:rPr>
          <w:b/>
          <w:bCs/>
          <w:sz w:val="40"/>
          <w:szCs w:val="40"/>
        </w:rPr>
      </w:pPr>
    </w:p>
    <w:p w14:paraId="73FF7EBF">
      <w:pPr>
        <w:pStyle w:val="style0"/>
        <w:jc w:val="center"/>
        <w:rPr>
          <w:b/>
          <w:bCs/>
          <w:sz w:val="40"/>
          <w:szCs w:val="40"/>
        </w:rPr>
      </w:pPr>
      <w:r>
        <w:rPr>
          <w:b/>
          <w:bCs/>
          <w:noProof/>
          <w:sz w:val="40"/>
          <w:szCs w:val="40"/>
        </w:rPr>
        <w:drawing>
          <wp:inline distL="0" distT="0" distB="0" distR="0">
            <wp:extent cx="1924050" cy="704850"/>
            <wp:effectExtent l="0" t="0" r="0" b="0"/>
            <wp:docPr id="1027" name="image1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7.png"/>
                    <pic:cNvPicPr/>
                  </pic:nvPicPr>
                  <pic:blipFill>
                    <a:blip r:embed="rId2" cstate="print"/>
                    <a:srcRect l="0" t="0" r="0" b="0"/>
                    <a:stretch/>
                  </pic:blipFill>
                  <pic:spPr>
                    <a:xfrm rot="0">
                      <a:off x="0" y="0"/>
                      <a:ext cx="1924050" cy="704850"/>
                    </a:xfrm>
                    <a:prstGeom prst="rect"/>
                    <a:ln cmpd="sng" cap="flat" w="9525">
                      <a:solidFill>
                        <a:srgbClr val="000000"/>
                      </a:solidFill>
                      <a:prstDash val="solid"/>
                      <a:round/>
                      <a:headEnd/>
                      <a:tailEnd/>
                    </a:ln>
                  </pic:spPr>
                </pic:pic>
              </a:graphicData>
            </a:graphic>
          </wp:inline>
        </w:drawing>
      </w:r>
    </w:p>
    <w:p w14:paraId="73FF7EC0">
      <w:pPr>
        <w:pStyle w:val="style0"/>
        <w:jc w:val="center"/>
        <w:rPr>
          <w:b/>
          <w:bCs/>
          <w:sz w:val="40"/>
          <w:szCs w:val="40"/>
        </w:rPr>
      </w:pPr>
    </w:p>
    <w:p w14:paraId="73FF7EC1">
      <w:pPr>
        <w:pStyle w:val="style0"/>
        <w:jc w:val="center"/>
        <w:rPr>
          <w:b/>
          <w:bCs/>
          <w:sz w:val="32"/>
          <w:szCs w:val="32"/>
        </w:rPr>
      </w:pPr>
      <w:r>
        <w:rPr>
          <w:b/>
          <w:bCs/>
          <w:sz w:val="32"/>
          <w:szCs w:val="32"/>
        </w:rPr>
        <w:t xml:space="preserve">Programme: Master of Business Administration Module: International Business Concepts </w:t>
      </w:r>
    </w:p>
    <w:p w14:paraId="73FF7EC2">
      <w:pPr>
        <w:pStyle w:val="style0"/>
        <w:jc w:val="center"/>
        <w:rPr>
          <w:b/>
          <w:bCs/>
          <w:sz w:val="32"/>
          <w:szCs w:val="32"/>
        </w:rPr>
      </w:pPr>
      <w:r>
        <w:rPr>
          <w:b/>
          <w:bCs/>
          <w:sz w:val="32"/>
          <w:szCs w:val="32"/>
        </w:rPr>
        <w:t>Module code: LCMB7034</w:t>
      </w:r>
    </w:p>
    <w:p w14:paraId="73FF7EC3">
      <w:pPr>
        <w:pStyle w:val="style0"/>
        <w:jc w:val="center"/>
        <w:rPr>
          <w:b/>
          <w:bCs/>
          <w:sz w:val="32"/>
          <w:szCs w:val="32"/>
        </w:rPr>
      </w:pPr>
    </w:p>
    <w:p w14:paraId="73FF7EC4">
      <w:pPr>
        <w:pStyle w:val="style0"/>
        <w:jc w:val="center"/>
        <w:rPr>
          <w:b/>
          <w:bCs/>
          <w:sz w:val="32"/>
          <w:szCs w:val="32"/>
        </w:rPr>
      </w:pPr>
      <w:r>
        <w:rPr>
          <w:b/>
          <w:bCs/>
          <w:sz w:val="32"/>
          <w:szCs w:val="32"/>
        </w:rPr>
        <w:t>Company :</w:t>
      </w:r>
      <w:r>
        <w:rPr>
          <w:b/>
          <w:bCs/>
          <w:sz w:val="32"/>
          <w:szCs w:val="32"/>
        </w:rPr>
        <w:t>  Tesla</w:t>
      </w:r>
      <w:r>
        <w:rPr>
          <w:b/>
          <w:bCs/>
          <w:sz w:val="32"/>
          <w:szCs w:val="32"/>
        </w:rPr>
        <w:br/>
      </w:r>
      <w:r>
        <w:rPr>
          <w:b/>
          <w:bCs/>
          <w:sz w:val="32"/>
          <w:szCs w:val="32"/>
        </w:rPr>
        <w:t>Country :</w:t>
      </w:r>
      <w:r>
        <w:rPr>
          <w:b/>
          <w:bCs/>
          <w:sz w:val="32"/>
          <w:szCs w:val="32"/>
        </w:rPr>
        <w:t> Indonesia</w:t>
      </w:r>
    </w:p>
    <w:p w14:paraId="6CAD7087">
      <w:pPr>
        <w:pStyle w:val="style0"/>
        <w:jc w:val="center"/>
        <w:rPr>
          <w:b/>
          <w:bCs/>
          <w:sz w:val="32"/>
          <w:szCs w:val="32"/>
        </w:rPr>
      </w:pPr>
      <w:r>
        <w:rPr>
          <w:b/>
          <w:bCs/>
          <w:sz w:val="32"/>
          <w:szCs w:val="32"/>
          <w:lang w:val="en-US"/>
        </w:rPr>
        <w:t>Lecture name : Gladius kulothungan</w:t>
      </w:r>
    </w:p>
    <w:p w14:paraId="73FF7EC5">
      <w:pPr>
        <w:pStyle w:val="style0"/>
        <w:jc w:val="center"/>
        <w:rPr>
          <w:b/>
          <w:bCs/>
          <w:sz w:val="40"/>
          <w:szCs w:val="40"/>
        </w:rPr>
      </w:pPr>
    </w:p>
    <w:p w14:paraId="73FF7EC6">
      <w:pPr>
        <w:pStyle w:val="style0"/>
        <w:jc w:val="center"/>
        <w:rPr>
          <w:b/>
          <w:bCs/>
          <w:sz w:val="40"/>
          <w:szCs w:val="40"/>
        </w:rPr>
      </w:pPr>
    </w:p>
    <w:p w14:paraId="73FF7EC7">
      <w:pPr>
        <w:pStyle w:val="style0"/>
        <w:jc w:val="center"/>
        <w:rPr>
          <w:b/>
          <w:bCs/>
          <w:sz w:val="32"/>
          <w:szCs w:val="32"/>
        </w:rPr>
      </w:pPr>
      <w:r>
        <w:rPr>
          <w:b/>
          <w:bCs/>
          <w:sz w:val="32"/>
          <w:szCs w:val="32"/>
        </w:rPr>
        <w:t>Student Name:</w:t>
      </w:r>
      <w:r>
        <w:rPr>
          <w:b/>
          <w:bCs/>
          <w:sz w:val="32"/>
          <w:szCs w:val="32"/>
          <w:lang w:val="en-US"/>
        </w:rPr>
        <w:t xml:space="preserve"> Vaishali Modhwadiya </w:t>
      </w:r>
    </w:p>
    <w:p w14:paraId="73FF7EC8">
      <w:pPr>
        <w:pStyle w:val="style0"/>
        <w:jc w:val="center"/>
        <w:rPr>
          <w:b/>
          <w:bCs/>
          <w:sz w:val="32"/>
          <w:szCs w:val="32"/>
        </w:rPr>
      </w:pPr>
      <w:r>
        <w:rPr>
          <w:b/>
          <w:bCs/>
          <w:sz w:val="32"/>
          <w:szCs w:val="32"/>
        </w:rPr>
        <w:t>Student ID:</w:t>
      </w:r>
      <w:r>
        <w:rPr>
          <w:b/>
          <w:bCs/>
          <w:sz w:val="32"/>
          <w:szCs w:val="32"/>
          <w:lang w:val="en-US"/>
        </w:rPr>
        <w:t xml:space="preserve"> 2527761</w:t>
      </w:r>
    </w:p>
    <w:p w14:paraId="73FF7EC9">
      <w:pPr>
        <w:pStyle w:val="style0"/>
        <w:jc w:val="center"/>
        <w:rPr>
          <w:b/>
          <w:bCs/>
          <w:sz w:val="28"/>
          <w:szCs w:val="28"/>
        </w:rPr>
      </w:pPr>
      <w:r>
        <w:rPr>
          <w:b/>
          <w:bCs/>
          <w:sz w:val="28"/>
          <w:szCs w:val="28"/>
        </w:rPr>
        <w:t xml:space="preserve">Table of content </w:t>
      </w:r>
    </w:p>
    <w:p w14:paraId="1CB7FF11">
      <w:pPr>
        <w:pStyle w:val="style19"/>
        <w:tabs>
          <w:tab w:val="right" w:leader="none" w:pos="9350"/>
        </w:tabs>
        <w:rPr>
          <w:noProof/>
        </w:rPr>
      </w:pPr>
      <w:r>
        <w:rPr/>
        <w:fldChar w:fldCharType="begin"/>
      </w:r>
      <w:r>
        <w:instrText xml:space="preserve"> TOC \h \u \z \t "Heading 1,1,Heading 2,2,Heading 3,3,Heading 4,4,Heading 5,5,Heading 6,6,"</w:instrText>
      </w:r>
      <w:r>
        <w:rPr/>
        <w:fldChar w:fldCharType="separate"/>
      </w:r>
      <w:r>
        <w:rPr/>
        <w:fldChar w:fldCharType="begin"/>
      </w:r>
      <w:r>
        <w:instrText xml:space="preserve"> HYPERLINK \l "_Toc236417278" </w:instrText>
      </w:r>
      <w:r>
        <w:rPr/>
        <w:fldChar w:fldCharType="separate"/>
      </w:r>
      <w:r>
        <w:rPr>
          <w:rStyle w:val="style85"/>
          <w:noProof/>
        </w:rPr>
        <w:t>Section 1: International Market Entry Analysis</w:t>
      </w:r>
      <w:r>
        <w:rPr>
          <w:noProof/>
          <w:webHidden/>
        </w:rPr>
        <w:tab/>
      </w:r>
      <w:r>
        <w:rPr>
          <w:noProof/>
          <w:webHidden/>
        </w:rPr>
        <w:fldChar w:fldCharType="begin"/>
      </w:r>
      <w:r>
        <w:rPr>
          <w:noProof/>
          <w:webHidden/>
        </w:rPr>
        <w:instrText xml:space="preserve"> PAGEREF _Toc236417278 \h </w:instrText>
      </w:r>
      <w:r>
        <w:rPr>
          <w:noProof/>
          <w:webHidden/>
        </w:rPr>
        <w:fldChar w:fldCharType="separate"/>
      </w:r>
      <w:r>
        <w:rPr>
          <w:noProof/>
          <w:webHidden/>
        </w:rPr>
        <w:t>3</w:t>
      </w:r>
      <w:r>
        <w:rPr>
          <w:noProof/>
          <w:webHidden/>
        </w:rPr>
        <w:fldChar w:fldCharType="end"/>
      </w:r>
      <w:r>
        <w:rPr/>
        <w:fldChar w:fldCharType="end"/>
      </w:r>
    </w:p>
    <w:p w14:paraId="59C0E439">
      <w:pPr>
        <w:pStyle w:val="style19"/>
        <w:tabs>
          <w:tab w:val="right" w:leader="none" w:pos="9350"/>
        </w:tabs>
        <w:rPr>
          <w:noProof/>
        </w:rPr>
      </w:pPr>
      <w:r>
        <w:rPr/>
        <w:fldChar w:fldCharType="begin"/>
      </w:r>
      <w:r>
        <w:instrText xml:space="preserve"> HYPERLINK \l "_Toc236417279" </w:instrText>
      </w:r>
      <w:r>
        <w:rPr/>
        <w:fldChar w:fldCharType="separate"/>
      </w:r>
      <w:r>
        <w:rPr>
          <w:rStyle w:val="style85"/>
          <w:noProof/>
        </w:rPr>
        <w:t>1. Organisational Classification and Global Strategy</w:t>
      </w:r>
      <w:r>
        <w:rPr>
          <w:noProof/>
          <w:webHidden/>
        </w:rPr>
        <w:tab/>
      </w:r>
      <w:r>
        <w:rPr>
          <w:noProof/>
          <w:webHidden/>
        </w:rPr>
        <w:fldChar w:fldCharType="begin"/>
      </w:r>
      <w:r>
        <w:rPr>
          <w:noProof/>
          <w:webHidden/>
        </w:rPr>
        <w:instrText xml:space="preserve"> PAGEREF _Toc236417279 \h </w:instrText>
      </w:r>
      <w:r>
        <w:rPr>
          <w:noProof/>
          <w:webHidden/>
        </w:rPr>
        <w:fldChar w:fldCharType="separate"/>
      </w:r>
      <w:r>
        <w:rPr>
          <w:noProof/>
          <w:webHidden/>
        </w:rPr>
        <w:t>3</w:t>
      </w:r>
      <w:r>
        <w:rPr>
          <w:noProof/>
          <w:webHidden/>
        </w:rPr>
        <w:fldChar w:fldCharType="end"/>
      </w:r>
      <w:r>
        <w:rPr/>
        <w:fldChar w:fldCharType="end"/>
      </w:r>
    </w:p>
    <w:p w14:paraId="58004F9F">
      <w:pPr>
        <w:pStyle w:val="style20"/>
        <w:tabs>
          <w:tab w:val="right" w:leader="none" w:pos="9350"/>
        </w:tabs>
        <w:rPr>
          <w:noProof/>
        </w:rPr>
      </w:pPr>
      <w:r>
        <w:rPr/>
        <w:fldChar w:fldCharType="begin"/>
      </w:r>
      <w:r>
        <w:instrText xml:space="preserve"> HYPERLINK \l "_Toc236417280" </w:instrText>
      </w:r>
      <w:r>
        <w:rPr/>
        <w:fldChar w:fldCharType="separate"/>
      </w:r>
      <w:r>
        <w:rPr>
          <w:rStyle w:val="style85"/>
          <w:noProof/>
        </w:rPr>
        <w:t>1.1 Company Overview</w:t>
      </w:r>
      <w:r>
        <w:rPr>
          <w:noProof/>
          <w:webHidden/>
        </w:rPr>
        <w:tab/>
      </w:r>
      <w:r>
        <w:rPr>
          <w:noProof/>
          <w:webHidden/>
        </w:rPr>
        <w:fldChar w:fldCharType="begin"/>
      </w:r>
      <w:r>
        <w:rPr>
          <w:noProof/>
          <w:webHidden/>
        </w:rPr>
        <w:instrText xml:space="preserve"> PAGEREF _Toc236417280 \h </w:instrText>
      </w:r>
      <w:r>
        <w:rPr>
          <w:noProof/>
          <w:webHidden/>
        </w:rPr>
        <w:fldChar w:fldCharType="separate"/>
      </w:r>
      <w:r>
        <w:rPr>
          <w:noProof/>
          <w:webHidden/>
        </w:rPr>
        <w:t>3</w:t>
      </w:r>
      <w:r>
        <w:rPr>
          <w:noProof/>
          <w:webHidden/>
        </w:rPr>
        <w:fldChar w:fldCharType="end"/>
      </w:r>
      <w:r>
        <w:rPr/>
        <w:fldChar w:fldCharType="end"/>
      </w:r>
    </w:p>
    <w:p w14:paraId="1EFB7CB4">
      <w:pPr>
        <w:pStyle w:val="style20"/>
        <w:tabs>
          <w:tab w:val="right" w:leader="none" w:pos="9350"/>
        </w:tabs>
        <w:rPr>
          <w:noProof/>
        </w:rPr>
      </w:pPr>
      <w:r>
        <w:rPr/>
        <w:fldChar w:fldCharType="begin"/>
      </w:r>
      <w:r>
        <w:instrText xml:space="preserve"> HYPERLINK \l "_Toc236417281" </w:instrText>
      </w:r>
      <w:r>
        <w:rPr/>
        <w:fldChar w:fldCharType="separate"/>
      </w:r>
      <w:r>
        <w:rPr>
          <w:rStyle w:val="style85"/>
          <w:noProof/>
        </w:rPr>
        <w:t>1.2 Strategic Categorisation Using Bartlett and Ghoshal's Model</w:t>
      </w:r>
      <w:r>
        <w:rPr>
          <w:noProof/>
          <w:webHidden/>
        </w:rPr>
        <w:tab/>
      </w:r>
      <w:r>
        <w:rPr>
          <w:noProof/>
          <w:webHidden/>
        </w:rPr>
        <w:fldChar w:fldCharType="begin"/>
      </w:r>
      <w:r>
        <w:rPr>
          <w:noProof/>
          <w:webHidden/>
        </w:rPr>
        <w:instrText xml:space="preserve"> PAGEREF _Toc236417281 \h </w:instrText>
      </w:r>
      <w:r>
        <w:rPr>
          <w:noProof/>
          <w:webHidden/>
        </w:rPr>
        <w:fldChar w:fldCharType="separate"/>
      </w:r>
      <w:r>
        <w:rPr>
          <w:noProof/>
          <w:webHidden/>
        </w:rPr>
        <w:t>3</w:t>
      </w:r>
      <w:r>
        <w:rPr>
          <w:noProof/>
          <w:webHidden/>
        </w:rPr>
        <w:fldChar w:fldCharType="end"/>
      </w:r>
      <w:r>
        <w:rPr/>
        <w:fldChar w:fldCharType="end"/>
      </w:r>
    </w:p>
    <w:p w14:paraId="30EBB51F">
      <w:pPr>
        <w:pStyle w:val="style20"/>
        <w:tabs>
          <w:tab w:val="right" w:leader="none" w:pos="9350"/>
        </w:tabs>
        <w:rPr>
          <w:noProof/>
        </w:rPr>
      </w:pPr>
      <w:r>
        <w:rPr/>
        <w:fldChar w:fldCharType="begin"/>
      </w:r>
      <w:r>
        <w:instrText xml:space="preserve"> HYPERLINK \l "_Toc236417282" </w:instrText>
      </w:r>
      <w:r>
        <w:rPr/>
        <w:fldChar w:fldCharType="separate"/>
      </w:r>
      <w:r>
        <w:rPr>
          <w:rStyle w:val="style85"/>
          <w:noProof/>
        </w:rPr>
        <w:t>1.3 Global Configuration and Competitive Advantage</w:t>
      </w:r>
      <w:r>
        <w:rPr>
          <w:noProof/>
          <w:webHidden/>
        </w:rPr>
        <w:tab/>
      </w:r>
      <w:r>
        <w:rPr>
          <w:noProof/>
          <w:webHidden/>
        </w:rPr>
        <w:fldChar w:fldCharType="begin"/>
      </w:r>
      <w:r>
        <w:rPr>
          <w:noProof/>
          <w:webHidden/>
        </w:rPr>
        <w:instrText xml:space="preserve"> PAGEREF _Toc236417282 \h </w:instrText>
      </w:r>
      <w:r>
        <w:rPr>
          <w:noProof/>
          <w:webHidden/>
        </w:rPr>
        <w:fldChar w:fldCharType="separate"/>
      </w:r>
      <w:r>
        <w:rPr>
          <w:noProof/>
          <w:webHidden/>
        </w:rPr>
        <w:t>5</w:t>
      </w:r>
      <w:r>
        <w:rPr>
          <w:noProof/>
          <w:webHidden/>
        </w:rPr>
        <w:fldChar w:fldCharType="end"/>
      </w:r>
      <w:r>
        <w:rPr/>
        <w:fldChar w:fldCharType="end"/>
      </w:r>
    </w:p>
    <w:p w14:paraId="5D9034C9">
      <w:pPr>
        <w:pStyle w:val="style19"/>
        <w:tabs>
          <w:tab w:val="right" w:leader="none" w:pos="9350"/>
        </w:tabs>
        <w:rPr>
          <w:noProof/>
        </w:rPr>
      </w:pPr>
      <w:r>
        <w:rPr/>
        <w:fldChar w:fldCharType="begin"/>
      </w:r>
      <w:r>
        <w:instrText xml:space="preserve"> HYPERLINK \l "_Toc236417283" </w:instrText>
      </w:r>
      <w:r>
        <w:rPr/>
        <w:fldChar w:fldCharType="separate"/>
      </w:r>
      <w:r>
        <w:rPr>
          <w:rStyle w:val="style85"/>
          <w:noProof/>
        </w:rPr>
        <w:t>2. Macro-Environmental Appraisal and Market Attractiveness</w:t>
      </w:r>
      <w:r>
        <w:rPr>
          <w:noProof/>
          <w:webHidden/>
        </w:rPr>
        <w:tab/>
      </w:r>
      <w:r>
        <w:rPr>
          <w:noProof/>
          <w:webHidden/>
        </w:rPr>
        <w:fldChar w:fldCharType="begin"/>
      </w:r>
      <w:r>
        <w:rPr>
          <w:noProof/>
          <w:webHidden/>
        </w:rPr>
        <w:instrText xml:space="preserve"> PAGEREF _Toc236417283 \h </w:instrText>
      </w:r>
      <w:r>
        <w:rPr>
          <w:noProof/>
          <w:webHidden/>
        </w:rPr>
        <w:fldChar w:fldCharType="separate"/>
      </w:r>
      <w:r>
        <w:rPr>
          <w:noProof/>
          <w:webHidden/>
        </w:rPr>
        <w:t>6</w:t>
      </w:r>
      <w:r>
        <w:rPr>
          <w:noProof/>
          <w:webHidden/>
        </w:rPr>
        <w:fldChar w:fldCharType="end"/>
      </w:r>
      <w:r>
        <w:rPr/>
        <w:fldChar w:fldCharType="end"/>
      </w:r>
    </w:p>
    <w:p w14:paraId="0045EAA6">
      <w:pPr>
        <w:pStyle w:val="style20"/>
        <w:tabs>
          <w:tab w:val="right" w:leader="none" w:pos="9350"/>
        </w:tabs>
        <w:rPr>
          <w:noProof/>
        </w:rPr>
      </w:pPr>
      <w:r>
        <w:rPr/>
        <w:fldChar w:fldCharType="begin"/>
      </w:r>
      <w:r>
        <w:instrText xml:space="preserve"> HYPERLINK \l "_Toc236417284" </w:instrText>
      </w:r>
      <w:r>
        <w:rPr/>
        <w:fldChar w:fldCharType="separate"/>
      </w:r>
      <w:r>
        <w:rPr>
          <w:rStyle w:val="style85"/>
          <w:noProof/>
        </w:rPr>
        <w:t>2.1 Overview of Indonesia as the Target Market</w:t>
      </w:r>
      <w:r>
        <w:rPr>
          <w:noProof/>
          <w:webHidden/>
        </w:rPr>
        <w:tab/>
      </w:r>
      <w:r>
        <w:rPr>
          <w:noProof/>
          <w:webHidden/>
        </w:rPr>
        <w:fldChar w:fldCharType="begin"/>
      </w:r>
      <w:r>
        <w:rPr>
          <w:noProof/>
          <w:webHidden/>
        </w:rPr>
        <w:instrText xml:space="preserve"> PAGEREF _Toc236417284 \h </w:instrText>
      </w:r>
      <w:r>
        <w:rPr>
          <w:noProof/>
          <w:webHidden/>
        </w:rPr>
        <w:fldChar w:fldCharType="separate"/>
      </w:r>
      <w:r>
        <w:rPr>
          <w:noProof/>
          <w:webHidden/>
        </w:rPr>
        <w:t>6</w:t>
      </w:r>
      <w:r>
        <w:rPr>
          <w:noProof/>
          <w:webHidden/>
        </w:rPr>
        <w:fldChar w:fldCharType="end"/>
      </w:r>
      <w:r>
        <w:rPr/>
        <w:fldChar w:fldCharType="end"/>
      </w:r>
    </w:p>
    <w:p w14:paraId="15479DCD">
      <w:pPr>
        <w:pStyle w:val="style20"/>
        <w:tabs>
          <w:tab w:val="right" w:leader="none" w:pos="9350"/>
        </w:tabs>
        <w:rPr>
          <w:noProof/>
        </w:rPr>
      </w:pPr>
      <w:r>
        <w:rPr/>
        <w:fldChar w:fldCharType="begin"/>
      </w:r>
      <w:r>
        <w:instrText xml:space="preserve"> HYPERLINK \l "_Toc236417285" </w:instrText>
      </w:r>
      <w:r>
        <w:rPr/>
        <w:fldChar w:fldCharType="separate"/>
      </w:r>
      <w:r>
        <w:rPr>
          <w:rStyle w:val="style85"/>
          <w:noProof/>
        </w:rPr>
        <w:t>2.2 Political Environment</w:t>
      </w:r>
      <w:r>
        <w:rPr>
          <w:noProof/>
          <w:webHidden/>
        </w:rPr>
        <w:tab/>
      </w:r>
      <w:r>
        <w:rPr>
          <w:noProof/>
          <w:webHidden/>
        </w:rPr>
        <w:fldChar w:fldCharType="begin"/>
      </w:r>
      <w:r>
        <w:rPr>
          <w:noProof/>
          <w:webHidden/>
        </w:rPr>
        <w:instrText xml:space="preserve"> PAGEREF _Toc236417285 \h </w:instrText>
      </w:r>
      <w:r>
        <w:rPr>
          <w:noProof/>
          <w:webHidden/>
        </w:rPr>
        <w:fldChar w:fldCharType="separate"/>
      </w:r>
      <w:r>
        <w:rPr>
          <w:noProof/>
          <w:webHidden/>
        </w:rPr>
        <w:t>6</w:t>
      </w:r>
      <w:r>
        <w:rPr>
          <w:noProof/>
          <w:webHidden/>
        </w:rPr>
        <w:fldChar w:fldCharType="end"/>
      </w:r>
      <w:r>
        <w:rPr/>
        <w:fldChar w:fldCharType="end"/>
      </w:r>
    </w:p>
    <w:p w14:paraId="777D7D7D">
      <w:pPr>
        <w:pStyle w:val="style20"/>
        <w:tabs>
          <w:tab w:val="right" w:leader="none" w:pos="9350"/>
        </w:tabs>
        <w:rPr>
          <w:noProof/>
        </w:rPr>
      </w:pPr>
      <w:r>
        <w:rPr/>
        <w:fldChar w:fldCharType="begin"/>
      </w:r>
      <w:r>
        <w:instrText xml:space="preserve"> HYPERLINK \l "_Toc236417286" </w:instrText>
      </w:r>
      <w:r>
        <w:rPr/>
        <w:fldChar w:fldCharType="separate"/>
      </w:r>
      <w:r>
        <w:rPr>
          <w:rStyle w:val="style85"/>
          <w:noProof/>
        </w:rPr>
        <w:t>2.3 Economic Environment</w:t>
      </w:r>
      <w:r>
        <w:rPr>
          <w:noProof/>
          <w:webHidden/>
        </w:rPr>
        <w:tab/>
      </w:r>
      <w:r>
        <w:rPr>
          <w:noProof/>
          <w:webHidden/>
        </w:rPr>
        <w:fldChar w:fldCharType="begin"/>
      </w:r>
      <w:r>
        <w:rPr>
          <w:noProof/>
          <w:webHidden/>
        </w:rPr>
        <w:instrText xml:space="preserve"> PAGEREF _Toc236417286 \h </w:instrText>
      </w:r>
      <w:r>
        <w:rPr>
          <w:noProof/>
          <w:webHidden/>
        </w:rPr>
        <w:fldChar w:fldCharType="separate"/>
      </w:r>
      <w:r>
        <w:rPr>
          <w:noProof/>
          <w:webHidden/>
        </w:rPr>
        <w:t>8</w:t>
      </w:r>
      <w:r>
        <w:rPr>
          <w:noProof/>
          <w:webHidden/>
        </w:rPr>
        <w:fldChar w:fldCharType="end"/>
      </w:r>
      <w:r>
        <w:rPr/>
        <w:fldChar w:fldCharType="end"/>
      </w:r>
    </w:p>
    <w:p w14:paraId="24441F93">
      <w:pPr>
        <w:pStyle w:val="style20"/>
        <w:tabs>
          <w:tab w:val="right" w:leader="none" w:pos="9350"/>
        </w:tabs>
        <w:rPr>
          <w:noProof/>
        </w:rPr>
      </w:pPr>
      <w:r>
        <w:rPr/>
        <w:fldChar w:fldCharType="begin"/>
      </w:r>
      <w:r>
        <w:instrText xml:space="preserve"> HYPERLINK \l "_Toc236417287" </w:instrText>
      </w:r>
      <w:r>
        <w:rPr/>
        <w:fldChar w:fldCharType="separate"/>
      </w:r>
      <w:r>
        <w:rPr>
          <w:rStyle w:val="style85"/>
          <w:noProof/>
        </w:rPr>
        <w:t>2.4 Legal Environment</w:t>
      </w:r>
      <w:r>
        <w:rPr>
          <w:noProof/>
          <w:webHidden/>
        </w:rPr>
        <w:tab/>
      </w:r>
      <w:r>
        <w:rPr>
          <w:noProof/>
          <w:webHidden/>
        </w:rPr>
        <w:fldChar w:fldCharType="begin"/>
      </w:r>
      <w:r>
        <w:rPr>
          <w:noProof/>
          <w:webHidden/>
        </w:rPr>
        <w:instrText xml:space="preserve"> PAGEREF _Toc236417287 \h </w:instrText>
      </w:r>
      <w:r>
        <w:rPr>
          <w:noProof/>
          <w:webHidden/>
        </w:rPr>
        <w:fldChar w:fldCharType="separate"/>
      </w:r>
      <w:r>
        <w:rPr>
          <w:noProof/>
          <w:webHidden/>
        </w:rPr>
        <w:t>11</w:t>
      </w:r>
      <w:r>
        <w:rPr>
          <w:noProof/>
          <w:webHidden/>
        </w:rPr>
        <w:fldChar w:fldCharType="end"/>
      </w:r>
      <w:r>
        <w:rPr/>
        <w:fldChar w:fldCharType="end"/>
      </w:r>
    </w:p>
    <w:p w14:paraId="647C1D7F">
      <w:pPr>
        <w:pStyle w:val="style20"/>
        <w:tabs>
          <w:tab w:val="right" w:leader="none" w:pos="9350"/>
        </w:tabs>
        <w:rPr>
          <w:noProof/>
        </w:rPr>
      </w:pPr>
      <w:r>
        <w:rPr/>
        <w:fldChar w:fldCharType="begin"/>
      </w:r>
      <w:r>
        <w:instrText xml:space="preserve"> HYPERLINK \l "_Toc236417288" </w:instrText>
      </w:r>
      <w:r>
        <w:rPr/>
        <w:fldChar w:fldCharType="separate"/>
      </w:r>
      <w:r>
        <w:rPr>
          <w:rStyle w:val="style85"/>
          <w:noProof/>
        </w:rPr>
        <w:t>2.5 Cultural Environment</w:t>
      </w:r>
      <w:r>
        <w:rPr>
          <w:noProof/>
          <w:webHidden/>
        </w:rPr>
        <w:tab/>
      </w:r>
      <w:r>
        <w:rPr>
          <w:noProof/>
          <w:webHidden/>
        </w:rPr>
        <w:fldChar w:fldCharType="begin"/>
      </w:r>
      <w:r>
        <w:rPr>
          <w:noProof/>
          <w:webHidden/>
        </w:rPr>
        <w:instrText xml:space="preserve"> PAGEREF _Toc236417288 \h </w:instrText>
      </w:r>
      <w:r>
        <w:rPr>
          <w:noProof/>
          <w:webHidden/>
        </w:rPr>
        <w:fldChar w:fldCharType="separate"/>
      </w:r>
      <w:r>
        <w:rPr>
          <w:noProof/>
          <w:webHidden/>
        </w:rPr>
        <w:t>14</w:t>
      </w:r>
      <w:r>
        <w:rPr>
          <w:noProof/>
          <w:webHidden/>
        </w:rPr>
        <w:fldChar w:fldCharType="end"/>
      </w:r>
      <w:r>
        <w:rPr/>
        <w:fldChar w:fldCharType="end"/>
      </w:r>
    </w:p>
    <w:p w14:paraId="08847BD7">
      <w:pPr>
        <w:pStyle w:val="style20"/>
        <w:tabs>
          <w:tab w:val="right" w:leader="none" w:pos="9350"/>
        </w:tabs>
        <w:rPr>
          <w:noProof/>
        </w:rPr>
      </w:pPr>
      <w:r>
        <w:rPr/>
        <w:fldChar w:fldCharType="begin"/>
      </w:r>
      <w:r>
        <w:instrText xml:space="preserve"> HYPERLINK \l "_Toc236417289" </w:instrText>
      </w:r>
      <w:r>
        <w:rPr/>
        <w:fldChar w:fldCharType="separate"/>
      </w:r>
      <w:r>
        <w:rPr>
          <w:rStyle w:val="style85"/>
          <w:noProof/>
        </w:rPr>
        <w:t>2.6 Market Entry Analysis Using Dunning's Eclectic (OLI) Paradigm</w:t>
      </w:r>
      <w:r>
        <w:rPr>
          <w:noProof/>
          <w:webHidden/>
        </w:rPr>
        <w:tab/>
      </w:r>
      <w:r>
        <w:rPr>
          <w:noProof/>
          <w:webHidden/>
        </w:rPr>
        <w:fldChar w:fldCharType="begin"/>
      </w:r>
      <w:r>
        <w:rPr>
          <w:noProof/>
          <w:webHidden/>
        </w:rPr>
        <w:instrText xml:space="preserve"> PAGEREF _Toc236417289 \h </w:instrText>
      </w:r>
      <w:r>
        <w:rPr>
          <w:noProof/>
          <w:webHidden/>
        </w:rPr>
        <w:fldChar w:fldCharType="separate"/>
      </w:r>
      <w:r>
        <w:rPr>
          <w:noProof/>
          <w:webHidden/>
        </w:rPr>
        <w:t>16</w:t>
      </w:r>
      <w:r>
        <w:rPr>
          <w:noProof/>
          <w:webHidden/>
        </w:rPr>
        <w:fldChar w:fldCharType="end"/>
      </w:r>
      <w:r>
        <w:rPr/>
        <w:fldChar w:fldCharType="end"/>
      </w:r>
    </w:p>
    <w:p w14:paraId="5D8F8D64">
      <w:pPr>
        <w:pStyle w:val="style19"/>
        <w:tabs>
          <w:tab w:val="right" w:leader="none" w:pos="9350"/>
        </w:tabs>
        <w:rPr>
          <w:noProof/>
        </w:rPr>
      </w:pPr>
      <w:r>
        <w:rPr/>
        <w:fldChar w:fldCharType="begin"/>
      </w:r>
      <w:r>
        <w:instrText xml:space="preserve"> HYPERLINK \l "_Toc236417290" </w:instrText>
      </w:r>
      <w:r>
        <w:rPr/>
        <w:fldChar w:fldCharType="separate"/>
      </w:r>
      <w:r>
        <w:rPr>
          <w:rStyle w:val="style85"/>
          <w:noProof/>
        </w:rPr>
        <w:t>3. Entry Mode Strategy and Strategic Synthesis</w:t>
      </w:r>
      <w:r>
        <w:rPr>
          <w:noProof/>
          <w:webHidden/>
        </w:rPr>
        <w:tab/>
      </w:r>
      <w:r>
        <w:rPr>
          <w:noProof/>
          <w:webHidden/>
        </w:rPr>
        <w:fldChar w:fldCharType="begin"/>
      </w:r>
      <w:r>
        <w:rPr>
          <w:noProof/>
          <w:webHidden/>
        </w:rPr>
        <w:instrText xml:space="preserve"> PAGEREF _Toc236417290 \h </w:instrText>
      </w:r>
      <w:r>
        <w:rPr>
          <w:noProof/>
          <w:webHidden/>
        </w:rPr>
        <w:fldChar w:fldCharType="separate"/>
      </w:r>
      <w:r>
        <w:rPr>
          <w:noProof/>
          <w:webHidden/>
        </w:rPr>
        <w:t>20</w:t>
      </w:r>
      <w:r>
        <w:rPr>
          <w:noProof/>
          <w:webHidden/>
        </w:rPr>
        <w:fldChar w:fldCharType="end"/>
      </w:r>
      <w:r>
        <w:rPr/>
        <w:fldChar w:fldCharType="end"/>
      </w:r>
    </w:p>
    <w:p w14:paraId="67302E8F">
      <w:pPr>
        <w:pStyle w:val="style20"/>
        <w:tabs>
          <w:tab w:val="right" w:leader="none" w:pos="9350"/>
        </w:tabs>
        <w:rPr>
          <w:noProof/>
        </w:rPr>
      </w:pPr>
      <w:r>
        <w:rPr/>
        <w:fldChar w:fldCharType="begin"/>
      </w:r>
      <w:r>
        <w:instrText xml:space="preserve"> HYPERLINK \l "_Toc236417291" </w:instrText>
      </w:r>
      <w:r>
        <w:rPr/>
        <w:fldChar w:fldCharType="separate"/>
      </w:r>
      <w:r>
        <w:rPr>
          <w:rStyle w:val="style85"/>
          <w:noProof/>
        </w:rPr>
        <w:t>3.1 Historical Entry Modes Used by Tesla</w:t>
      </w:r>
      <w:r>
        <w:rPr>
          <w:noProof/>
          <w:webHidden/>
        </w:rPr>
        <w:tab/>
      </w:r>
      <w:r>
        <w:rPr>
          <w:noProof/>
          <w:webHidden/>
        </w:rPr>
        <w:fldChar w:fldCharType="begin"/>
      </w:r>
      <w:r>
        <w:rPr>
          <w:noProof/>
          <w:webHidden/>
        </w:rPr>
        <w:instrText xml:space="preserve"> PAGEREF _Toc236417291 \h </w:instrText>
      </w:r>
      <w:r>
        <w:rPr>
          <w:noProof/>
          <w:webHidden/>
        </w:rPr>
        <w:fldChar w:fldCharType="separate"/>
      </w:r>
      <w:r>
        <w:rPr>
          <w:noProof/>
          <w:webHidden/>
        </w:rPr>
        <w:t>20</w:t>
      </w:r>
      <w:r>
        <w:rPr>
          <w:noProof/>
          <w:webHidden/>
        </w:rPr>
        <w:fldChar w:fldCharType="end"/>
      </w:r>
      <w:r>
        <w:rPr/>
        <w:fldChar w:fldCharType="end"/>
      </w:r>
    </w:p>
    <w:p w14:paraId="3E77201B">
      <w:pPr>
        <w:pStyle w:val="style20"/>
        <w:tabs>
          <w:tab w:val="right" w:leader="none" w:pos="9350"/>
        </w:tabs>
        <w:rPr>
          <w:noProof/>
        </w:rPr>
      </w:pPr>
      <w:r>
        <w:rPr/>
        <w:fldChar w:fldCharType="begin"/>
      </w:r>
      <w:r>
        <w:instrText xml:space="preserve"> HYPERLINK \l "_Toc236417292" </w:instrText>
      </w:r>
      <w:r>
        <w:rPr/>
        <w:fldChar w:fldCharType="separate"/>
      </w:r>
      <w:r>
        <w:rPr>
          <w:rStyle w:val="style85"/>
          <w:noProof/>
        </w:rPr>
        <w:t>3.2 Evaluation of Tesla's Historical Entry Strategy</w:t>
      </w:r>
      <w:r>
        <w:rPr>
          <w:noProof/>
          <w:webHidden/>
        </w:rPr>
        <w:tab/>
      </w:r>
      <w:r>
        <w:rPr>
          <w:noProof/>
          <w:webHidden/>
        </w:rPr>
        <w:fldChar w:fldCharType="begin"/>
      </w:r>
      <w:r>
        <w:rPr>
          <w:noProof/>
          <w:webHidden/>
        </w:rPr>
        <w:instrText xml:space="preserve"> PAGEREF _Toc236417292 \h </w:instrText>
      </w:r>
      <w:r>
        <w:rPr>
          <w:noProof/>
          <w:webHidden/>
        </w:rPr>
        <w:fldChar w:fldCharType="separate"/>
      </w:r>
      <w:r>
        <w:rPr>
          <w:noProof/>
          <w:webHidden/>
        </w:rPr>
        <w:t>21</w:t>
      </w:r>
      <w:r>
        <w:rPr>
          <w:noProof/>
          <w:webHidden/>
        </w:rPr>
        <w:fldChar w:fldCharType="end"/>
      </w:r>
      <w:r>
        <w:rPr/>
        <w:fldChar w:fldCharType="end"/>
      </w:r>
    </w:p>
    <w:p w14:paraId="7B1784D2">
      <w:pPr>
        <w:pStyle w:val="style20"/>
        <w:tabs>
          <w:tab w:val="right" w:leader="none" w:pos="9350"/>
        </w:tabs>
        <w:rPr>
          <w:noProof/>
        </w:rPr>
      </w:pPr>
      <w:r>
        <w:rPr/>
        <w:fldChar w:fldCharType="begin"/>
      </w:r>
      <w:r>
        <w:instrText xml:space="preserve"> HYPERLINK \l "_Toc236417293" </w:instrText>
      </w:r>
      <w:r>
        <w:rPr/>
        <w:fldChar w:fldCharType="separate"/>
      </w:r>
      <w:r>
        <w:rPr>
          <w:rStyle w:val="style85"/>
          <w:noProof/>
        </w:rPr>
        <w:t>3.3 Recommended Entry Mode for Indonesia</w:t>
      </w:r>
      <w:r>
        <w:rPr>
          <w:noProof/>
          <w:webHidden/>
        </w:rPr>
        <w:tab/>
      </w:r>
      <w:r>
        <w:rPr>
          <w:noProof/>
          <w:webHidden/>
        </w:rPr>
        <w:fldChar w:fldCharType="begin"/>
      </w:r>
      <w:r>
        <w:rPr>
          <w:noProof/>
          <w:webHidden/>
        </w:rPr>
        <w:instrText xml:space="preserve"> PAGEREF _Toc236417293 \h </w:instrText>
      </w:r>
      <w:r>
        <w:rPr>
          <w:noProof/>
          <w:webHidden/>
        </w:rPr>
        <w:fldChar w:fldCharType="separate"/>
      </w:r>
      <w:r>
        <w:rPr>
          <w:noProof/>
          <w:webHidden/>
        </w:rPr>
        <w:t>21</w:t>
      </w:r>
      <w:r>
        <w:rPr>
          <w:noProof/>
          <w:webHidden/>
        </w:rPr>
        <w:fldChar w:fldCharType="end"/>
      </w:r>
      <w:r>
        <w:rPr/>
        <w:fldChar w:fldCharType="end"/>
      </w:r>
    </w:p>
    <w:p w14:paraId="504F6466">
      <w:pPr>
        <w:pStyle w:val="style21"/>
        <w:tabs>
          <w:tab w:val="right" w:leader="none" w:pos="9350"/>
        </w:tabs>
        <w:rPr>
          <w:noProof/>
        </w:rPr>
      </w:pPr>
      <w:r>
        <w:rPr/>
        <w:fldChar w:fldCharType="begin"/>
      </w:r>
      <w:r>
        <w:instrText xml:space="preserve"> HYPERLINK \l "_Toc236417294" </w:instrText>
      </w:r>
      <w:r>
        <w:rPr/>
        <w:fldChar w:fldCharType="separate"/>
      </w:r>
      <w:r>
        <w:rPr>
          <w:rStyle w:val="style85"/>
          <w:noProof/>
        </w:rPr>
        <w:t>3.3.1 Evaluation of Alternative Entry Modes</w:t>
      </w:r>
      <w:r>
        <w:rPr>
          <w:noProof/>
          <w:webHidden/>
        </w:rPr>
        <w:tab/>
      </w:r>
      <w:r>
        <w:rPr>
          <w:noProof/>
          <w:webHidden/>
        </w:rPr>
        <w:fldChar w:fldCharType="begin"/>
      </w:r>
      <w:r>
        <w:rPr>
          <w:noProof/>
          <w:webHidden/>
        </w:rPr>
        <w:instrText xml:space="preserve"> PAGEREF _Toc236417294 \h </w:instrText>
      </w:r>
      <w:r>
        <w:rPr>
          <w:noProof/>
          <w:webHidden/>
        </w:rPr>
        <w:fldChar w:fldCharType="separate"/>
      </w:r>
      <w:r>
        <w:rPr>
          <w:noProof/>
          <w:webHidden/>
        </w:rPr>
        <w:t>21</w:t>
      </w:r>
      <w:r>
        <w:rPr>
          <w:noProof/>
          <w:webHidden/>
        </w:rPr>
        <w:fldChar w:fldCharType="end"/>
      </w:r>
      <w:r>
        <w:rPr/>
        <w:fldChar w:fldCharType="end"/>
      </w:r>
    </w:p>
    <w:p w14:paraId="10CB7D7E">
      <w:pPr>
        <w:pStyle w:val="style21"/>
        <w:tabs>
          <w:tab w:val="right" w:leader="none" w:pos="9350"/>
        </w:tabs>
        <w:rPr>
          <w:noProof/>
        </w:rPr>
      </w:pPr>
      <w:r>
        <w:rPr/>
        <w:fldChar w:fldCharType="begin"/>
      </w:r>
      <w:r>
        <w:instrText xml:space="preserve"> HYPERLINK \l "_Toc236417295" </w:instrText>
      </w:r>
      <w:r>
        <w:rPr/>
        <w:fldChar w:fldCharType="separate"/>
      </w:r>
      <w:r>
        <w:rPr>
          <w:rStyle w:val="style85"/>
          <w:noProof/>
        </w:rPr>
        <w:t>3.3.2 Justification of the Recommended Entry Mode</w:t>
      </w:r>
      <w:r>
        <w:rPr>
          <w:noProof/>
          <w:webHidden/>
        </w:rPr>
        <w:tab/>
      </w:r>
      <w:r>
        <w:rPr>
          <w:noProof/>
          <w:webHidden/>
        </w:rPr>
        <w:fldChar w:fldCharType="begin"/>
      </w:r>
      <w:r>
        <w:rPr>
          <w:noProof/>
          <w:webHidden/>
        </w:rPr>
        <w:instrText xml:space="preserve"> PAGEREF _Toc236417295 \h </w:instrText>
      </w:r>
      <w:r>
        <w:rPr>
          <w:noProof/>
          <w:webHidden/>
        </w:rPr>
        <w:fldChar w:fldCharType="separate"/>
      </w:r>
      <w:r>
        <w:rPr>
          <w:noProof/>
          <w:webHidden/>
        </w:rPr>
        <w:t>22</w:t>
      </w:r>
      <w:r>
        <w:rPr>
          <w:noProof/>
          <w:webHidden/>
        </w:rPr>
        <w:fldChar w:fldCharType="end"/>
      </w:r>
      <w:r>
        <w:rPr/>
        <w:fldChar w:fldCharType="end"/>
      </w:r>
    </w:p>
    <w:p w14:paraId="6999F57B">
      <w:pPr>
        <w:pStyle w:val="style20"/>
        <w:tabs>
          <w:tab w:val="right" w:leader="none" w:pos="9350"/>
        </w:tabs>
        <w:rPr>
          <w:noProof/>
        </w:rPr>
      </w:pPr>
      <w:r>
        <w:rPr/>
        <w:fldChar w:fldCharType="begin"/>
      </w:r>
      <w:r>
        <w:instrText xml:space="preserve"> HYPERLINK \l "_Toc236417296" </w:instrText>
      </w:r>
      <w:r>
        <w:rPr/>
        <w:fldChar w:fldCharType="separate"/>
      </w:r>
      <w:r>
        <w:rPr>
          <w:rStyle w:val="style85"/>
          <w:noProof/>
        </w:rPr>
        <w:t>3.4 Conclusion and Strategic Recommendations</w:t>
      </w:r>
      <w:r>
        <w:rPr>
          <w:noProof/>
          <w:webHidden/>
        </w:rPr>
        <w:tab/>
      </w:r>
      <w:r>
        <w:rPr>
          <w:noProof/>
          <w:webHidden/>
        </w:rPr>
        <w:fldChar w:fldCharType="begin"/>
      </w:r>
      <w:r>
        <w:rPr>
          <w:noProof/>
          <w:webHidden/>
        </w:rPr>
        <w:instrText xml:space="preserve"> PAGEREF _Toc236417296 \h </w:instrText>
      </w:r>
      <w:r>
        <w:rPr>
          <w:noProof/>
          <w:webHidden/>
        </w:rPr>
        <w:fldChar w:fldCharType="separate"/>
      </w:r>
      <w:r>
        <w:rPr>
          <w:noProof/>
          <w:webHidden/>
        </w:rPr>
        <w:t>24</w:t>
      </w:r>
      <w:r>
        <w:rPr>
          <w:noProof/>
          <w:webHidden/>
        </w:rPr>
        <w:fldChar w:fldCharType="end"/>
      </w:r>
      <w:r>
        <w:rPr/>
        <w:fldChar w:fldCharType="end"/>
      </w:r>
    </w:p>
    <w:p w14:paraId="526B5E0D">
      <w:pPr>
        <w:pStyle w:val="style21"/>
        <w:tabs>
          <w:tab w:val="right" w:leader="none" w:pos="9350"/>
        </w:tabs>
        <w:rPr>
          <w:noProof/>
        </w:rPr>
      </w:pPr>
      <w:r>
        <w:rPr/>
        <w:fldChar w:fldCharType="begin"/>
      </w:r>
      <w:r>
        <w:instrText xml:space="preserve"> HYPERLINK \l "_Toc236417297" </w:instrText>
      </w:r>
      <w:r>
        <w:rPr/>
        <w:fldChar w:fldCharType="separate"/>
      </w:r>
      <w:r>
        <w:rPr>
          <w:rStyle w:val="style85"/>
          <w:noProof/>
        </w:rPr>
        <w:t>3.4.1 Overall Conclusion</w:t>
      </w:r>
      <w:r>
        <w:rPr>
          <w:noProof/>
          <w:webHidden/>
        </w:rPr>
        <w:tab/>
      </w:r>
      <w:r>
        <w:rPr>
          <w:noProof/>
          <w:webHidden/>
        </w:rPr>
        <w:fldChar w:fldCharType="begin"/>
      </w:r>
      <w:r>
        <w:rPr>
          <w:noProof/>
          <w:webHidden/>
        </w:rPr>
        <w:instrText xml:space="preserve"> PAGEREF _Toc236417297 \h </w:instrText>
      </w:r>
      <w:r>
        <w:rPr>
          <w:noProof/>
          <w:webHidden/>
        </w:rPr>
        <w:fldChar w:fldCharType="separate"/>
      </w:r>
      <w:r>
        <w:rPr>
          <w:noProof/>
          <w:webHidden/>
        </w:rPr>
        <w:t>24</w:t>
      </w:r>
      <w:r>
        <w:rPr>
          <w:noProof/>
          <w:webHidden/>
        </w:rPr>
        <w:fldChar w:fldCharType="end"/>
      </w:r>
      <w:r>
        <w:rPr/>
        <w:fldChar w:fldCharType="end"/>
      </w:r>
    </w:p>
    <w:p w14:paraId="7C0407EA">
      <w:pPr>
        <w:pStyle w:val="style21"/>
        <w:tabs>
          <w:tab w:val="right" w:leader="none" w:pos="9350"/>
        </w:tabs>
        <w:rPr>
          <w:noProof/>
        </w:rPr>
      </w:pPr>
      <w:r>
        <w:rPr/>
        <w:fldChar w:fldCharType="begin"/>
      </w:r>
      <w:r>
        <w:instrText xml:space="preserve"> HYPERLINK \l "_Toc236417298" </w:instrText>
      </w:r>
      <w:r>
        <w:rPr/>
        <w:fldChar w:fldCharType="separate"/>
      </w:r>
      <w:r>
        <w:rPr>
          <w:rStyle w:val="style85"/>
          <w:noProof/>
        </w:rPr>
        <w:t>3.4.2 Strategic Recommendations</w:t>
      </w:r>
      <w:r>
        <w:rPr>
          <w:noProof/>
          <w:webHidden/>
        </w:rPr>
        <w:tab/>
      </w:r>
      <w:r>
        <w:rPr>
          <w:noProof/>
          <w:webHidden/>
        </w:rPr>
        <w:fldChar w:fldCharType="begin"/>
      </w:r>
      <w:r>
        <w:rPr>
          <w:noProof/>
          <w:webHidden/>
        </w:rPr>
        <w:instrText xml:space="preserve"> PAGEREF _Toc236417298 \h </w:instrText>
      </w:r>
      <w:r>
        <w:rPr>
          <w:noProof/>
          <w:webHidden/>
        </w:rPr>
        <w:fldChar w:fldCharType="separate"/>
      </w:r>
      <w:r>
        <w:rPr>
          <w:noProof/>
          <w:webHidden/>
        </w:rPr>
        <w:t>24</w:t>
      </w:r>
      <w:r>
        <w:rPr>
          <w:noProof/>
          <w:webHidden/>
        </w:rPr>
        <w:fldChar w:fldCharType="end"/>
      </w:r>
      <w:r>
        <w:rPr/>
        <w:fldChar w:fldCharType="end"/>
      </w:r>
    </w:p>
    <w:p w14:paraId="41B08B20">
      <w:pPr>
        <w:pStyle w:val="style19"/>
        <w:tabs>
          <w:tab w:val="right" w:leader="none" w:pos="9350"/>
        </w:tabs>
        <w:rPr>
          <w:noProof/>
        </w:rPr>
      </w:pPr>
      <w:r>
        <w:rPr/>
        <w:fldChar w:fldCharType="begin"/>
      </w:r>
      <w:r>
        <w:instrText xml:space="preserve"> HYPERLINK \l "_Toc236417299" </w:instrText>
      </w:r>
      <w:r>
        <w:rPr/>
        <w:fldChar w:fldCharType="separate"/>
      </w:r>
      <w:r>
        <w:rPr>
          <w:rStyle w:val="style85"/>
          <w:noProof/>
        </w:rPr>
        <w:t>Section 2: Reflective Account</w:t>
      </w:r>
      <w:r>
        <w:rPr>
          <w:noProof/>
          <w:webHidden/>
        </w:rPr>
        <w:tab/>
      </w:r>
      <w:r>
        <w:rPr>
          <w:noProof/>
          <w:webHidden/>
        </w:rPr>
        <w:fldChar w:fldCharType="begin"/>
      </w:r>
      <w:r>
        <w:rPr>
          <w:noProof/>
          <w:webHidden/>
        </w:rPr>
        <w:instrText xml:space="preserve"> PAGEREF _Toc236417299 \h </w:instrText>
      </w:r>
      <w:r>
        <w:rPr>
          <w:noProof/>
          <w:webHidden/>
        </w:rPr>
        <w:fldChar w:fldCharType="separate"/>
      </w:r>
      <w:r>
        <w:rPr>
          <w:noProof/>
          <w:webHidden/>
        </w:rPr>
        <w:t>26</w:t>
      </w:r>
      <w:r>
        <w:rPr>
          <w:noProof/>
          <w:webHidden/>
        </w:rPr>
        <w:fldChar w:fldCharType="end"/>
      </w:r>
      <w:r>
        <w:rPr/>
        <w:fldChar w:fldCharType="end"/>
      </w:r>
    </w:p>
    <w:p w14:paraId="2CD632DA">
      <w:pPr>
        <w:pStyle w:val="style19"/>
        <w:tabs>
          <w:tab w:val="right" w:leader="none" w:pos="9350"/>
        </w:tabs>
        <w:rPr>
          <w:noProof/>
        </w:rPr>
      </w:pPr>
      <w:r>
        <w:rPr/>
        <w:fldChar w:fldCharType="begin"/>
      </w:r>
      <w:r>
        <w:instrText xml:space="preserve"> HYPERLINK \l "_Toc236417300"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_Toc236417300 \h </w:instrText>
      </w:r>
      <w:r>
        <w:rPr>
          <w:noProof/>
          <w:webHidden/>
        </w:rPr>
        <w:fldChar w:fldCharType="separate"/>
      </w:r>
      <w:r>
        <w:rPr>
          <w:noProof/>
          <w:webHidden/>
        </w:rPr>
        <w:t>30</w:t>
      </w:r>
      <w:r>
        <w:rPr>
          <w:noProof/>
          <w:webHidden/>
        </w:rPr>
        <w:fldChar w:fldCharType="end"/>
      </w:r>
      <w:r>
        <w:rPr/>
        <w:fldChar w:fldCharType="end"/>
      </w:r>
    </w:p>
    <w:p w14:paraId="73FF7EE0">
      <w:pPr>
        <w:pStyle w:val="style0"/>
        <w:widowControl w:val="false"/>
        <w:tabs>
          <w:tab w:val="right" w:leader="none" w:pos="12000"/>
        </w:tabs>
        <w:spacing w:before="60" w:lineRule="auto" w:line="240"/>
        <w:jc w:val="left"/>
        <w:rPr>
          <w:b/>
          <w:bCs/>
          <w:color w:val="000000"/>
        </w:rPr>
      </w:pPr>
      <w:r>
        <w:rPr/>
        <w:fldChar w:fldCharType="end"/>
      </w:r>
    </w:p>
    <w:p w14:paraId="73FF7EE1">
      <w:pPr>
        <w:pStyle w:val="style0"/>
        <w:jc w:val="center"/>
        <w:rPr/>
      </w:pPr>
      <w:r>
        <w:br w:type="page"/>
      </w:r>
    </w:p>
    <w:bookmarkStart w:id="0" w:name="_Toc236417278"/>
    <w:p w14:paraId="73FF7EE2">
      <w:pPr>
        <w:pStyle w:val="style1"/>
        <w:rPr/>
      </w:pPr>
      <w:r>
        <w:t>Section 1: International Market Entry Analysis</w:t>
      </w:r>
      <w:bookmarkEnd w:id="0"/>
      <w:r>
        <w:t xml:space="preserve"> </w:t>
      </w:r>
    </w:p>
    <w:bookmarkStart w:id="1" w:name="_Toc236417279"/>
    <w:p w14:paraId="73FF7EE3">
      <w:pPr>
        <w:pStyle w:val="style1"/>
        <w:rPr/>
      </w:pPr>
      <w:r>
        <w:t>1. Organisational Classification and Global Strategy</w:t>
      </w:r>
      <w:bookmarkEnd w:id="1"/>
      <w:r>
        <w:t xml:space="preserve"> </w:t>
      </w:r>
    </w:p>
    <w:bookmarkStart w:id="2" w:name="_Toc236417280"/>
    <w:p w14:paraId="73FF7EE4">
      <w:pPr>
        <w:pStyle w:val="style2"/>
        <w:rPr/>
      </w:pPr>
      <w:r>
        <w:t>1.1 Company Overview</w:t>
      </w:r>
      <w:bookmarkEnd w:id="2"/>
      <w:r>
        <w:t xml:space="preserve"> </w:t>
      </w:r>
    </w:p>
    <w:p w14:paraId="73FF7EE5">
      <w:pPr>
        <w:pStyle w:val="style0"/>
        <w:rPr/>
      </w:pPr>
      <w:r>
        <w:t>Tesla Inc is a global multinational organisation headquartered in Austin, Texas and manufacturers of electric vehicles (EVs) and clean energy technologies since 2003. It has developed core products such as EV, battery energy storage systems, solar panel and AI autonomous software. In 2025, total revenue generated by Tesla was about $94.83 billion and employed more than 134,785 globally. In addition, expected net sales at the end of 2026 are also forecast as $1,05,718 million with growth of 11.48% (Market Screener, 2025). Overall, this performance resonates towards expanding business opportunities to improve demand globally.</w:t>
      </w:r>
    </w:p>
    <w:p w14:paraId="73FF7EE6">
      <w:pPr>
        <w:pStyle w:val="style0"/>
        <w:jc w:val="center"/>
        <w:rPr/>
      </w:pPr>
      <w:r>
        <w:rPr>
          <w:noProof/>
        </w:rPr>
        <w:drawing>
          <wp:inline distL="0" distT="0" distB="0" distR="0">
            <wp:extent cx="4462463" cy="2885213"/>
            <wp:effectExtent l="0" t="0" r="0" b="0"/>
            <wp:docPr id="1028"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3" cstate="print"/>
                    <a:srcRect l="0" t="0" r="0" b="0"/>
                    <a:stretch/>
                  </pic:blipFill>
                  <pic:spPr>
                    <a:xfrm rot="0">
                      <a:off x="0" y="0"/>
                      <a:ext cx="4462463" cy="2885213"/>
                    </a:xfrm>
                    <a:prstGeom prst="rect"/>
                    <a:ln cmpd="sng" cap="flat" w="9525">
                      <a:solidFill>
                        <a:srgbClr val="000000"/>
                      </a:solidFill>
                      <a:prstDash val="solid"/>
                      <a:round/>
                      <a:headEnd/>
                      <a:tailEnd/>
                    </a:ln>
                  </pic:spPr>
                </pic:pic>
              </a:graphicData>
            </a:graphic>
          </wp:inline>
        </w:drawing>
      </w:r>
      <w:r>
        <w:tab/>
      </w:r>
    </w:p>
    <w:p w14:paraId="73FF7EE7">
      <w:pPr>
        <w:pStyle w:val="style0"/>
        <w:jc w:val="center"/>
        <w:rPr>
          <w:b/>
          <w:bCs/>
        </w:rPr>
      </w:pPr>
      <w:r>
        <w:rPr>
          <w:b/>
          <w:bCs/>
        </w:rPr>
        <w:t>Figure 1: Sales of Tesla</w:t>
      </w:r>
    </w:p>
    <w:p w14:paraId="73FF7EE8">
      <w:pPr>
        <w:pStyle w:val="style0"/>
        <w:jc w:val="center"/>
        <w:rPr/>
      </w:pPr>
      <w:r>
        <w:t>(Source: Market Screener, 2025)</w:t>
      </w:r>
    </w:p>
    <w:bookmarkStart w:id="3" w:name="_Toc236417281"/>
    <w:p w14:paraId="73FF7EE9">
      <w:pPr>
        <w:pStyle w:val="style2"/>
        <w:rPr/>
      </w:pPr>
      <w:r>
        <w:t>1.2 Strategic Categorisation Using Bartlett and Ghoshal's Model</w:t>
      </w:r>
      <w:bookmarkEnd w:id="3"/>
      <w:r>
        <w:t xml:space="preserve"> </w:t>
      </w:r>
    </w:p>
    <w:p w14:paraId="73FF7EEA">
      <w:pPr>
        <w:pStyle w:val="style0"/>
        <w:rPr/>
      </w:pPr>
      <w:r>
        <w:t xml:space="preserve">As stated by Macro and Ott (2024), the application of Bartlett and Ghoshal’s model highlights the strategic choices that help companies to handle business operations in global, transaction, international, and multi-domestic aspects. The elements of this model contribute to managing international business by the ability to serve business in the external market. Tesla adopted a transnational strategy in developing a manufacturing </w:t>
      </w:r>
      <w:r>
        <w:t xml:space="preserve">hub for its core product. Tesla increases its robotics and AI spending to about $25 billion, accessing transition in its vehicle architecture leads to rises in share about 4% (Reuters, 2026b). This investment addresses the development of the chip by collaborating with </w:t>
      </w:r>
      <w:r>
        <w:t>“</w:t>
      </w:r>
      <w:r>
        <w:t>Intelenhance</w:t>
      </w:r>
      <w:r>
        <w:t>”</w:t>
      </w:r>
      <w:r>
        <w:t xml:space="preserve"> overall revenue of business. In the local aspect, Tesla in North America follows the “North American Charging Standard” for preconditioning of battery and “real-time power modulation,” and 20 billion miles of service by serving safety protocols (Tesla, 2026). However, the company in Europe uses “Combined Charging System Type 2 (CCS2)” for charging vehicles and universal access to other vehicles. </w:t>
      </w:r>
    </w:p>
    <w:p w14:paraId="73FF7EEB">
      <w:pPr>
        <w:pStyle w:val="style0"/>
        <w:jc w:val="center"/>
        <w:rPr>
          <w:b/>
          <w:bCs/>
        </w:rPr>
      </w:pPr>
      <w:r>
        <w:rPr>
          <w:b/>
          <w:bCs/>
          <w:noProof/>
        </w:rPr>
        <w:drawing>
          <wp:inline distL="0" distT="0" distB="0" distR="0">
            <wp:extent cx="3048000" cy="3048000"/>
            <wp:effectExtent l="0" t="0" r="0" b="0"/>
            <wp:docPr id="1029"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r:embed="rId4" cstate="print"/>
                    <a:srcRect l="0" t="0" r="0" b="0"/>
                    <a:stretch/>
                  </pic:blipFill>
                  <pic:spPr>
                    <a:xfrm rot="0">
                      <a:off x="0" y="0"/>
                      <a:ext cx="3048000" cy="3048000"/>
                    </a:xfrm>
                    <a:prstGeom prst="rect"/>
                    <a:ln cmpd="sng" cap="flat" w="9525">
                      <a:solidFill>
                        <a:srgbClr val="000000"/>
                      </a:solidFill>
                      <a:prstDash val="solid"/>
                      <a:round/>
                      <a:headEnd/>
                      <a:tailEnd/>
                    </a:ln>
                  </pic:spPr>
                </pic:pic>
              </a:graphicData>
            </a:graphic>
          </wp:inline>
        </w:drawing>
      </w:r>
    </w:p>
    <w:p w14:paraId="73FF7EEC">
      <w:pPr>
        <w:pStyle w:val="style0"/>
        <w:jc w:val="center"/>
        <w:rPr>
          <w:b/>
          <w:bCs/>
        </w:rPr>
      </w:pPr>
      <w:r>
        <w:rPr>
          <w:b/>
          <w:bCs/>
        </w:rPr>
        <w:t>Figure 2: Bartlett and Ghoshal’s model</w:t>
      </w:r>
    </w:p>
    <w:p w14:paraId="73FF7EED">
      <w:pPr>
        <w:pStyle w:val="style0"/>
        <w:jc w:val="center"/>
        <w:rPr/>
      </w:pPr>
      <w:r>
        <w:t>(Source:</w:t>
      </w:r>
      <w:r>
        <w:t xml:space="preserve"> </w:t>
      </w:r>
      <w:r>
        <w:t>Ali, 2023)</w:t>
      </w:r>
    </w:p>
    <w:p w14:paraId="73FF7EEE">
      <w:pPr>
        <w:pStyle w:val="style0"/>
        <w:rPr/>
      </w:pPr>
      <w:r>
        <w:t xml:space="preserve">Tesla in Indonesia will develop a vehicle manufacturing hub, producing 1million unit vehicles and batteries (Reuters, 2026). This led to enhanced revenue of Tesla’s operation in the development of a regional </w:t>
      </w:r>
      <w:r>
        <w:t>Gigafactory</w:t>
      </w:r>
      <w:r>
        <w:t xml:space="preserve"> and battery production. Among all the EV battery producers, Indonesia became the largest producer with a regional battery supply chain, with a rise of EV users of about 2.5million (Chhabra, 2026). In Indonesia, Tesla holds 50% of the nickel reserves, more effective for the development of EV batteries. Thus, Tesla holds a transactional strategy in the Indonesian market by aligning with involvement in EV batteries and “energy storage systems” by resource integration. </w:t>
      </w:r>
    </w:p>
    <w:bookmarkStart w:id="4" w:name="_Toc236417282"/>
    <w:p w14:paraId="73FF7EEF">
      <w:pPr>
        <w:pStyle w:val="style2"/>
        <w:rPr/>
      </w:pPr>
      <w:r>
        <w:t>1.3 Global Configuration and Competitive Advantage</w:t>
      </w:r>
      <w:bookmarkEnd w:id="4"/>
      <w:r>
        <w:t xml:space="preserve"> </w:t>
      </w:r>
    </w:p>
    <w:p w14:paraId="73FF7EF0">
      <w:pPr>
        <w:pStyle w:val="style0"/>
        <w:rPr/>
      </w:pPr>
      <w:r>
        <w:t xml:space="preserve">Tesla has focused on internationalising its business operations to strengthen its global presence. The organisation has adopted the use of strategic partnerships with an intent to meet the changing automobile requirements of overseas customers. As an instance, Tesla has collaborated with </w:t>
      </w:r>
      <w:r>
        <w:t>“</w:t>
      </w:r>
      <w:r>
        <w:t>NatPower</w:t>
      </w:r>
      <w:r>
        <w:t>”</w:t>
      </w:r>
      <w:r>
        <w:t xml:space="preserve"> for developing a battery storage system of 25GWh in Italy and the UK (Amarsys, 2026). The business tie-up has also assisted the automobile company in strengthening its brand presence in European countries. Tesla has increased its EV vehicle market share to 65% in 2025 (Rivers, 2025). This has also improved the global competitive advantage level of the company over other organisations. In addition, Tesla has also invested $19bn in developing the solar energy vehicle projects in Australia (Simmons, 2026). Thus, the provision of diversified partnerships and investment opportunities has assisted Tesla in improving its productivity.</w:t>
      </w:r>
    </w:p>
    <w:p w14:paraId="73FF7EF1">
      <w:pPr>
        <w:pStyle w:val="style0"/>
        <w:jc w:val="center"/>
        <w:rPr/>
      </w:pPr>
      <w:r>
        <w:rPr>
          <w:noProof/>
        </w:rPr>
        <w:drawing>
          <wp:inline distL="0" distT="0" distB="0" distR="0">
            <wp:extent cx="5943600" cy="3327400"/>
            <wp:effectExtent l="0" t="0" r="0" b="0"/>
            <wp:docPr id="1030" name="image1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11.png"/>
                    <pic:cNvPicPr/>
                  </pic:nvPicPr>
                  <pic:blipFill>
                    <a:blip r:embed="rId5" cstate="print"/>
                    <a:srcRect l="0" t="0" r="0" b="0"/>
                    <a:stretch/>
                  </pic:blipFill>
                  <pic:spPr>
                    <a:xfrm rot="0">
                      <a:off x="0" y="0"/>
                      <a:ext cx="5943600" cy="3327400"/>
                    </a:xfrm>
                    <a:prstGeom prst="rect"/>
                    <a:ln cmpd="sng" cap="flat" w="9525">
                      <a:solidFill>
                        <a:srgbClr val="000000"/>
                      </a:solidFill>
                      <a:prstDash val="solid"/>
                      <a:round/>
                      <a:headEnd/>
                      <a:tailEnd/>
                    </a:ln>
                  </pic:spPr>
                </pic:pic>
              </a:graphicData>
            </a:graphic>
          </wp:inline>
        </w:drawing>
      </w:r>
    </w:p>
    <w:p w14:paraId="73FF7EF2">
      <w:pPr>
        <w:pStyle w:val="style0"/>
        <w:jc w:val="center"/>
        <w:rPr>
          <w:b/>
          <w:bCs/>
        </w:rPr>
      </w:pPr>
      <w:r>
        <w:rPr>
          <w:b/>
          <w:bCs/>
        </w:rPr>
        <w:t>Figure 3: Global EV Market Share of Tesla</w:t>
      </w:r>
    </w:p>
    <w:p w14:paraId="73FF7EF3">
      <w:pPr>
        <w:pStyle w:val="style0"/>
        <w:jc w:val="center"/>
        <w:rPr/>
      </w:pPr>
      <w:r>
        <w:t>(Source: Rivers, 2025)</w:t>
      </w:r>
      <w:r>
        <w:br w:type="page"/>
      </w:r>
    </w:p>
    <w:bookmarkStart w:id="5" w:name="_Toc236417283"/>
    <w:p w14:paraId="73FF7EF4">
      <w:pPr>
        <w:pStyle w:val="style1"/>
        <w:rPr/>
      </w:pPr>
      <w:r>
        <w:t>2. Macro-Environmental Appraisal and Market Attractiveness</w:t>
      </w:r>
      <w:bookmarkEnd w:id="5"/>
      <w:r>
        <w:t xml:space="preserve"> </w:t>
      </w:r>
    </w:p>
    <w:bookmarkStart w:id="6" w:name="_Toc236417284"/>
    <w:p w14:paraId="73FF7EF5">
      <w:pPr>
        <w:pStyle w:val="style2"/>
        <w:rPr/>
      </w:pPr>
      <w:r>
        <w:t>2.1 Overview of Indonesia as the Target Market</w:t>
      </w:r>
      <w:bookmarkEnd w:id="6"/>
      <w:r>
        <w:t xml:space="preserve"> </w:t>
      </w:r>
    </w:p>
    <w:p w14:paraId="73FF7EF6">
      <w:pPr>
        <w:pStyle w:val="style0"/>
        <w:rPr/>
      </w:pPr>
      <w:r>
        <w:t xml:space="preserve">The Indonesian automobile industry has focused upon expanding its operations to provide quality products to its consumers. For example, the sector has developed the “National Car Hub” that manufactures around 300000 automobiles in 2025 (Marbonne, 2026). The infrastructure development has also assisted in improving the product demand among the customers. In addition, the Indonesian automobile sector has increased its EV sales volume from $500m in 2023 to $1000m in 2026 (Cri, 2026) Overall, the expansion of the production capacity and higher sales value has helped the industry in increasing its market strength. </w:t>
      </w:r>
    </w:p>
    <w:p w14:paraId="73FF7EF7">
      <w:pPr>
        <w:pStyle w:val="style0"/>
        <w:jc w:val="center"/>
        <w:rPr/>
      </w:pPr>
      <w:r>
        <w:rPr>
          <w:noProof/>
        </w:rPr>
        <w:drawing>
          <wp:inline distL="0" distT="0" distB="0" distR="0">
            <wp:extent cx="5276850" cy="3257550"/>
            <wp:effectExtent l="0" t="0" r="0" b="0"/>
            <wp:docPr id="1031"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6" cstate="print"/>
                    <a:srcRect l="0" t="0" r="0" b="0"/>
                    <a:stretch/>
                  </pic:blipFill>
                  <pic:spPr>
                    <a:xfrm rot="0">
                      <a:off x="0" y="0"/>
                      <a:ext cx="5276850" cy="3257550"/>
                    </a:xfrm>
                    <a:prstGeom prst="rect"/>
                    <a:ln cmpd="sng" cap="flat" w="9525">
                      <a:solidFill>
                        <a:srgbClr val="000000"/>
                      </a:solidFill>
                      <a:prstDash val="solid"/>
                      <a:round/>
                      <a:headEnd/>
                      <a:tailEnd/>
                    </a:ln>
                  </pic:spPr>
                </pic:pic>
              </a:graphicData>
            </a:graphic>
          </wp:inline>
        </w:drawing>
      </w:r>
    </w:p>
    <w:p w14:paraId="73FF7EF8">
      <w:pPr>
        <w:pStyle w:val="style0"/>
        <w:jc w:val="center"/>
        <w:rPr>
          <w:b/>
          <w:bCs/>
        </w:rPr>
      </w:pPr>
      <w:r>
        <w:rPr>
          <w:b/>
          <w:bCs/>
        </w:rPr>
        <w:t>Figure 4: Sales Volume of EV Vehicles</w:t>
      </w:r>
    </w:p>
    <w:p w14:paraId="73FF7EF9">
      <w:pPr>
        <w:pStyle w:val="style0"/>
        <w:jc w:val="center"/>
        <w:rPr/>
      </w:pPr>
      <w:r>
        <w:t>(Source: Cri, 2026)</w:t>
      </w:r>
    </w:p>
    <w:bookmarkStart w:id="7" w:name="_Toc236417285"/>
    <w:p w14:paraId="73FF7EFA">
      <w:pPr>
        <w:pStyle w:val="style2"/>
        <w:rPr/>
      </w:pPr>
      <w:r>
        <w:t>2.2 Political Environment</w:t>
      </w:r>
      <w:bookmarkEnd w:id="7"/>
      <w:r>
        <w:t xml:space="preserve"> </w:t>
      </w:r>
    </w:p>
    <w:p w14:paraId="73FF7EFB">
      <w:pPr>
        <w:pStyle w:val="style0"/>
        <w:rPr>
          <w:b/>
          <w:bCs/>
        </w:rPr>
      </w:pPr>
      <w:r>
        <w:rPr>
          <w:b/>
          <w:bCs/>
        </w:rPr>
        <w:t>Government Stability</w:t>
      </w:r>
    </w:p>
    <w:p w14:paraId="73FF7EFC">
      <w:pPr>
        <w:pStyle w:val="style0"/>
        <w:rPr/>
      </w:pPr>
      <w:r>
        <w:t xml:space="preserve">The stable political environment is also identified in Indonesia due to the most optimistic countries rating by 90% ensuring balanced opportunities for EV industrial development. In addition, the proposed “National Electric Roadmap” with downstream mineral policy will also be helpful for organizations towards improving domestic facilitation of battery </w:t>
      </w:r>
      <w:r>
        <w:t xml:space="preserve">manufacturing systems. Also, growth of the automotive market as compared to other countries about 12.27% indicated support from the government towards expanding business progression (6Wresearch, 2025). </w:t>
      </w:r>
    </w:p>
    <w:p w14:paraId="73FF7EFD">
      <w:pPr>
        <w:pStyle w:val="style0"/>
        <w:rPr/>
      </w:pPr>
      <w:r>
        <w:rPr>
          <w:noProof/>
        </w:rPr>
        <w:drawing>
          <wp:inline distL="0" distT="0" distB="0" distR="0">
            <wp:extent cx="5943600" cy="3048000"/>
            <wp:effectExtent l="0" t="0" r="0" b="0"/>
            <wp:docPr id="1032"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7" cstate="print"/>
                    <a:srcRect l="0" t="0" r="0" b="0"/>
                    <a:stretch/>
                  </pic:blipFill>
                  <pic:spPr>
                    <a:xfrm rot="0">
                      <a:off x="0" y="0"/>
                      <a:ext cx="5943600" cy="3048000"/>
                    </a:xfrm>
                    <a:prstGeom prst="rect"/>
                    <a:ln cmpd="sng" cap="flat" w="9525">
                      <a:solidFill>
                        <a:srgbClr val="000000"/>
                      </a:solidFill>
                      <a:prstDash val="solid"/>
                      <a:round/>
                      <a:headEnd/>
                      <a:tailEnd/>
                    </a:ln>
                  </pic:spPr>
                </pic:pic>
              </a:graphicData>
            </a:graphic>
          </wp:inline>
        </w:drawing>
      </w:r>
    </w:p>
    <w:p w14:paraId="73FF7EFE">
      <w:pPr>
        <w:pStyle w:val="style0"/>
        <w:jc w:val="center"/>
        <w:rPr>
          <w:b/>
          <w:bCs/>
        </w:rPr>
      </w:pPr>
      <w:r>
        <w:rPr>
          <w:b/>
          <w:bCs/>
        </w:rPr>
        <w:t>Figure 5: Demand of Indonesia market</w:t>
      </w:r>
    </w:p>
    <w:p w14:paraId="73FF7EFF">
      <w:pPr>
        <w:pStyle w:val="style0"/>
        <w:jc w:val="center"/>
        <w:rPr/>
      </w:pPr>
      <w:r>
        <w:t>(Source: 6Wresearch, 2025)</w:t>
      </w:r>
    </w:p>
    <w:p w14:paraId="73FF7F00">
      <w:pPr>
        <w:pStyle w:val="style0"/>
        <w:rPr>
          <w:b/>
          <w:bCs/>
        </w:rPr>
      </w:pPr>
      <w:r>
        <w:rPr>
          <w:b/>
          <w:bCs/>
        </w:rPr>
        <w:t>Foreign Investment Policies</w:t>
      </w:r>
    </w:p>
    <w:p w14:paraId="73FF7F01">
      <w:pPr>
        <w:pStyle w:val="style0"/>
        <w:rPr/>
      </w:pPr>
      <w:r>
        <w:t xml:space="preserve">The Indonesian government has promoted flexibility in its foreign investments for strengthening the economic growth of the country. For instance, the local authorities have adopted the guidelines of the “Government Regulation No. 28 of 2025” that has reduced the paid-up capital requirements of MNCs to $150000 in 2025 (Smith, 2025). The initiative has helped in strengthening the funding operations of international organisations in the country. Overall, the flexibility provided in the investment rule of Indonesia will also assist Tesla in strengthening its market position within the country. </w:t>
      </w:r>
    </w:p>
    <w:p w14:paraId="73FF7F02">
      <w:pPr>
        <w:pStyle w:val="style0"/>
        <w:rPr>
          <w:b/>
          <w:bCs/>
        </w:rPr>
      </w:pPr>
      <w:r>
        <w:rPr>
          <w:b/>
          <w:bCs/>
        </w:rPr>
        <w:t>Electric Vehicle Policies</w:t>
      </w:r>
    </w:p>
    <w:p w14:paraId="73FF7F03">
      <w:pPr>
        <w:pStyle w:val="style0"/>
        <w:rPr>
          <w:b/>
          <w:bCs/>
        </w:rPr>
      </w:pPr>
      <w:r>
        <w:t xml:space="preserve">In Indonesia, the EV VAT rate is reduced from 11% to 1% by the presence of an EV manufacturing hub, local battery production, and high reserves of nickel (IISD, 2025). EVs faced licensing challenges due to the import of local content, which is about 40% by 2026, affecting the production of batteries. “Zero duty policy" followed by EV vehicle manufacturers in Indonesia at a 0% tariff retained an enhanced improvement in local </w:t>
      </w:r>
      <w:r>
        <w:t xml:space="preserve">production. The import of raw materials addresses a reliable shift in domestic manufacturing of EVs by removing foreign manufacturers to build local factories. </w:t>
      </w:r>
    </w:p>
    <w:p w14:paraId="73FF7F04">
      <w:pPr>
        <w:pStyle w:val="style0"/>
        <w:rPr>
          <w:b/>
          <w:bCs/>
        </w:rPr>
      </w:pPr>
      <w:r>
        <w:rPr>
          <w:b/>
          <w:bCs/>
        </w:rPr>
        <w:t>Political Opportunities and Risks for Tesla</w:t>
      </w:r>
    </w:p>
    <w:p w14:paraId="73FF7F05">
      <w:pPr>
        <w:pStyle w:val="style179"/>
        <w:numPr>
          <w:ilvl w:val="0"/>
          <w:numId w:val="1"/>
        </w:numPr>
        <w:rPr>
          <w:b/>
          <w:bCs/>
        </w:rPr>
      </w:pPr>
      <w:r>
        <w:rPr>
          <w:b/>
          <w:bCs/>
        </w:rPr>
        <w:t>Opportunities</w:t>
      </w:r>
    </w:p>
    <w:p w14:paraId="73FF7F06">
      <w:pPr>
        <w:pStyle w:val="style0"/>
        <w:rPr/>
      </w:pPr>
      <w:r>
        <w:t xml:space="preserve">The reduction in the capital requirements for MNCs within Indonesia has provided opportunities for companies such as Tesla in enhancing its investments in manufacturing automobiles and strengthening its brand position. Overall, the improvement in the project volume due to flexible investment policies will help Tesla overcome market competition. </w:t>
      </w:r>
    </w:p>
    <w:p w14:paraId="73FF7F07">
      <w:pPr>
        <w:pStyle w:val="style179"/>
        <w:numPr>
          <w:ilvl w:val="0"/>
          <w:numId w:val="1"/>
        </w:numPr>
        <w:rPr>
          <w:b/>
          <w:bCs/>
        </w:rPr>
      </w:pPr>
      <w:r>
        <w:rPr>
          <w:b/>
          <w:bCs/>
        </w:rPr>
        <w:t>Risk</w:t>
      </w:r>
    </w:p>
    <w:p w14:paraId="73FF7F08">
      <w:pPr>
        <w:pStyle w:val="style0"/>
        <w:rPr/>
      </w:pPr>
      <w:r>
        <w:t>In Indonesia, the provision of higher taxes on EV vehicles has increased its product cost and lowered its preference among mid-income consumers. Hence, the lowering of commodity demand will adversely influence the market growth of companies such as Tesla in the country and also hamper the brand growth of the organisation.</w:t>
      </w:r>
    </w:p>
    <w:bookmarkStart w:id="8" w:name="_Toc236417286"/>
    <w:p w14:paraId="73FF7F09">
      <w:pPr>
        <w:pStyle w:val="style2"/>
        <w:rPr/>
      </w:pPr>
      <w:r>
        <w:t>2.3 Economic Environment</w:t>
      </w:r>
      <w:bookmarkEnd w:id="8"/>
      <w:r>
        <w:t xml:space="preserve"> </w:t>
      </w:r>
    </w:p>
    <w:p w14:paraId="73FF7F0A">
      <w:pPr>
        <w:pStyle w:val="style0"/>
        <w:rPr>
          <w:b/>
          <w:bCs/>
        </w:rPr>
      </w:pPr>
      <w:r>
        <w:rPr>
          <w:b/>
          <w:bCs/>
        </w:rPr>
        <w:t>Economic Growth</w:t>
      </w:r>
    </w:p>
    <w:p w14:paraId="73FF7F0B">
      <w:pPr>
        <w:pStyle w:val="style0"/>
        <w:rPr/>
      </w:pPr>
      <w:r>
        <w:t>The strong macroeconomic performance of Indonesia also raises opportunities for Tesla in improving long-term business expansion for electric vehicles and manufacturing investment. For instance, the CPI inflation rate of Indonesia of about 3.5% also indicated strong purchasing power capability of customer real GDP to grow by 5.1% in 2026 (Trading Economics, 2025). On the other hand, nominal GDP growth 9.199 % $1.47 trillion in 2026 indicated rising domestic consumption priority effectively (CEIC, 2026). Overall, it ensures an opportunity for Tesla expanding in South Asia's largest consumer EV market with sustained economic coin addiction.</w:t>
      </w:r>
    </w:p>
    <w:p w14:paraId="73FF7F0C">
      <w:pPr>
        <w:pStyle w:val="style0"/>
        <w:rPr/>
      </w:pPr>
      <w:r>
        <w:rPr>
          <w:noProof/>
        </w:rPr>
        <w:drawing>
          <wp:inline distL="0" distT="0" distB="0" distR="0">
            <wp:extent cx="5943600" cy="2590800"/>
            <wp:effectExtent l="0" t="0" r="0" b="0"/>
            <wp:docPr id="1033" name="image1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12.png"/>
                    <pic:cNvPicPr/>
                  </pic:nvPicPr>
                  <pic:blipFill>
                    <a:blip r:embed="rId8" cstate="print"/>
                    <a:srcRect l="0" t="0" r="0" b="0"/>
                    <a:stretch/>
                  </pic:blipFill>
                  <pic:spPr>
                    <a:xfrm rot="0">
                      <a:off x="0" y="0"/>
                      <a:ext cx="5943600" cy="2590800"/>
                    </a:xfrm>
                    <a:prstGeom prst="rect"/>
                    <a:ln cmpd="sng" cap="flat" w="9525">
                      <a:solidFill>
                        <a:srgbClr val="000000"/>
                      </a:solidFill>
                      <a:prstDash val="solid"/>
                      <a:round/>
                      <a:headEnd/>
                      <a:tailEnd/>
                    </a:ln>
                  </pic:spPr>
                </pic:pic>
              </a:graphicData>
            </a:graphic>
          </wp:inline>
        </w:drawing>
      </w:r>
    </w:p>
    <w:p w14:paraId="73FF7F0D">
      <w:pPr>
        <w:pStyle w:val="style0"/>
        <w:jc w:val="center"/>
        <w:rPr>
          <w:b/>
          <w:bCs/>
        </w:rPr>
      </w:pPr>
      <w:r>
        <w:rPr>
          <w:b/>
          <w:bCs/>
        </w:rPr>
        <w:t xml:space="preserve">Figure 6: </w:t>
      </w:r>
      <w:r>
        <w:rPr>
          <w:b/>
          <w:bCs/>
        </w:rPr>
        <w:t>I</w:t>
      </w:r>
      <w:r>
        <w:rPr>
          <w:b/>
          <w:bCs/>
        </w:rPr>
        <w:t>nflation rate</w:t>
      </w:r>
    </w:p>
    <w:p w14:paraId="73FF7F0E">
      <w:pPr>
        <w:pStyle w:val="style0"/>
        <w:jc w:val="center"/>
        <w:rPr/>
      </w:pPr>
      <w:r>
        <w:t>(Source: Trading Economics, 2025)</w:t>
      </w:r>
    </w:p>
    <w:p w14:paraId="73FF7F0F">
      <w:pPr>
        <w:pStyle w:val="style0"/>
        <w:rPr>
          <w:b/>
          <w:bCs/>
        </w:rPr>
      </w:pPr>
      <w:r>
        <w:rPr>
          <w:b/>
          <w:bCs/>
        </w:rPr>
        <w:t>Consumer Purchasing Power</w:t>
      </w:r>
    </w:p>
    <w:p w14:paraId="73FF7F10">
      <w:pPr>
        <w:pStyle w:val="style0"/>
        <w:rPr>
          <w:b/>
          <w:bCs/>
        </w:rPr>
      </w:pPr>
      <w:r>
        <w:t xml:space="preserve">The Indonesian EV market is about to rise 49% by ability to achieve its total sales of about 18% due to high rises of consumer preferences (PWC, 2025). Indonesian government incentives scored about 4.0 for infrastructure maintenance serve as a reliable opportunity for EV acceleration. This leads to 400,000 production of EV, including passenger cars, two wheeler and 14,000 electric buses and 31,000 charging stations (MMR, 2026). The price sensitivity issue is the major challenge faced by the Indonesian automotive sector, as 70-80% of people buy vehicles on finance by accessing socio-economic status of people. </w:t>
      </w:r>
    </w:p>
    <w:p w14:paraId="73FF7F11">
      <w:pPr>
        <w:pStyle w:val="style0"/>
        <w:rPr>
          <w:b/>
          <w:bCs/>
        </w:rPr>
      </w:pPr>
      <w:r>
        <w:rPr>
          <w:b/>
          <w:bCs/>
        </w:rPr>
        <w:t>EV Market Growth</w:t>
      </w:r>
    </w:p>
    <w:p w14:paraId="73FF7F12">
      <w:pPr>
        <w:pStyle w:val="style0"/>
        <w:rPr/>
      </w:pPr>
      <w:r>
        <w:t xml:space="preserve">The EV two wheeler market of Indonesia will also grow with a rapid CAGR rate of 11.55% with capturing market share of $1640.8 million 2034 (Imarc, 2025). As it is also creating more sales opportunities and exploring the customer base in the host country. In addition, the EV battery market captured, indicating growth of 12% enabling service and sales, both opportunities for Tesla in Indonesia (PSI, 2026). Hence, the adoption rate of EV is also 18% of total new vehicle sales, increasing ASEAN countries' contribution towards navigating technology based upgradation of the automotive market. </w:t>
      </w:r>
    </w:p>
    <w:p w14:paraId="73FF7F13">
      <w:pPr>
        <w:pStyle w:val="style0"/>
        <w:jc w:val="center"/>
        <w:rPr/>
      </w:pPr>
      <w:r>
        <w:rPr>
          <w:noProof/>
        </w:rPr>
        <w:drawing>
          <wp:inline distL="0" distT="0" distB="0" distR="0">
            <wp:extent cx="4872038" cy="2311095"/>
            <wp:effectExtent l="0" t="0" r="0" b="0"/>
            <wp:docPr id="1034" name="image1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14.png"/>
                    <pic:cNvPicPr/>
                  </pic:nvPicPr>
                  <pic:blipFill>
                    <a:blip r:embed="rId9" cstate="print"/>
                    <a:srcRect l="0" t="0" r="0" b="0"/>
                    <a:stretch/>
                  </pic:blipFill>
                  <pic:spPr>
                    <a:xfrm rot="0">
                      <a:off x="0" y="0"/>
                      <a:ext cx="4872038" cy="2311095"/>
                    </a:xfrm>
                    <a:prstGeom prst="rect"/>
                    <a:ln cmpd="sng" cap="flat" w="9525">
                      <a:solidFill>
                        <a:srgbClr val="000000"/>
                      </a:solidFill>
                      <a:prstDash val="solid"/>
                      <a:round/>
                      <a:headEnd/>
                      <a:tailEnd/>
                    </a:ln>
                  </pic:spPr>
                </pic:pic>
              </a:graphicData>
            </a:graphic>
          </wp:inline>
        </w:drawing>
      </w:r>
    </w:p>
    <w:p w14:paraId="73FF7F14">
      <w:pPr>
        <w:pStyle w:val="style0"/>
        <w:jc w:val="center"/>
        <w:rPr>
          <w:b/>
          <w:bCs/>
        </w:rPr>
      </w:pPr>
      <w:r>
        <w:rPr>
          <w:b/>
          <w:bCs/>
        </w:rPr>
        <w:t>Figure 7: EV market</w:t>
      </w:r>
    </w:p>
    <w:p w14:paraId="73FF7F15">
      <w:pPr>
        <w:pStyle w:val="style0"/>
        <w:jc w:val="center"/>
        <w:rPr/>
      </w:pPr>
      <w:r>
        <w:t>(Source: Imarc, 2025)</w:t>
      </w:r>
    </w:p>
    <w:p w14:paraId="73FF7F16">
      <w:pPr>
        <w:pStyle w:val="style0"/>
        <w:rPr>
          <w:b/>
          <w:bCs/>
        </w:rPr>
      </w:pPr>
      <w:r>
        <w:rPr>
          <w:b/>
          <w:bCs/>
        </w:rPr>
        <w:t>Battery Supply Chain and Nickel Resources</w:t>
      </w:r>
    </w:p>
    <w:p w14:paraId="73FF7F17">
      <w:pPr>
        <w:pStyle w:val="style0"/>
        <w:rPr/>
      </w:pPr>
      <w:r>
        <w:t>The Indonesian government has adopted partnership techniques for meeting the raw material requirements of its automotive sector. For instance, the country has collaborated with the USA worth $121 for developing the “National EV Battery Ecosystem” in 2025 (Difa, 2026). In addition, the initiative will assist the organisation in strengthening the supply chain operations and improving product quality. The market value of the Indonesian EV Battery services has increased from $900m in 2025 to $1000.8m in 2026 (Strategic Intelligence, 2026).</w:t>
      </w:r>
    </w:p>
    <w:p w14:paraId="73FF7F18">
      <w:pPr>
        <w:pStyle w:val="style0"/>
        <w:jc w:val="center"/>
        <w:rPr/>
      </w:pPr>
      <w:r>
        <w:rPr>
          <w:noProof/>
        </w:rPr>
        <w:drawing>
          <wp:inline distL="0" distT="0" distB="0" distR="0">
            <wp:extent cx="3128963" cy="2346722"/>
            <wp:effectExtent l="0" t="0" r="0" b="0"/>
            <wp:docPr id="1035"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7.png"/>
                    <pic:cNvPicPr/>
                  </pic:nvPicPr>
                  <pic:blipFill>
                    <a:blip r:embed="rId10" cstate="print"/>
                    <a:srcRect l="0" t="0" r="0" b="0"/>
                    <a:stretch/>
                  </pic:blipFill>
                  <pic:spPr>
                    <a:xfrm rot="0">
                      <a:off x="0" y="0"/>
                      <a:ext cx="3128963" cy="2346722"/>
                    </a:xfrm>
                    <a:prstGeom prst="rect"/>
                    <a:ln cmpd="sng" cap="flat" w="9525">
                      <a:solidFill>
                        <a:srgbClr val="000000"/>
                      </a:solidFill>
                      <a:prstDash val="solid"/>
                      <a:round/>
                      <a:headEnd/>
                      <a:tailEnd/>
                    </a:ln>
                  </pic:spPr>
                </pic:pic>
              </a:graphicData>
            </a:graphic>
          </wp:inline>
        </w:drawing>
      </w:r>
    </w:p>
    <w:p w14:paraId="73FF7F19">
      <w:pPr>
        <w:pStyle w:val="style0"/>
        <w:jc w:val="center"/>
        <w:rPr>
          <w:b/>
          <w:bCs/>
        </w:rPr>
      </w:pPr>
      <w:r>
        <w:rPr>
          <w:b/>
          <w:bCs/>
        </w:rPr>
        <w:t>Figure 8: Revenue of the Indonesian EV Battery Services</w:t>
      </w:r>
    </w:p>
    <w:p w14:paraId="73FF7F1A">
      <w:pPr>
        <w:pStyle w:val="style0"/>
        <w:jc w:val="center"/>
        <w:rPr/>
      </w:pPr>
      <w:r>
        <w:t>(Source: Strategic Intelligence, 2026)</w:t>
      </w:r>
    </w:p>
    <w:p w14:paraId="73FF7F1B">
      <w:pPr>
        <w:pStyle w:val="style0"/>
        <w:rPr>
          <w:b/>
          <w:bCs/>
        </w:rPr>
      </w:pPr>
      <w:r>
        <w:rPr>
          <w:b/>
          <w:bCs/>
        </w:rPr>
        <w:t>Economic Opportunities and Risks</w:t>
      </w:r>
    </w:p>
    <w:p w14:paraId="73FF7F1C">
      <w:pPr>
        <w:pStyle w:val="style179"/>
        <w:numPr>
          <w:ilvl w:val="0"/>
          <w:numId w:val="11"/>
        </w:numPr>
        <w:rPr>
          <w:b/>
          <w:bCs/>
        </w:rPr>
      </w:pPr>
      <w:r>
        <w:rPr>
          <w:b/>
          <w:bCs/>
        </w:rPr>
        <w:t>Opportunities</w:t>
      </w:r>
    </w:p>
    <w:p w14:paraId="73FF7F1D">
      <w:pPr>
        <w:pStyle w:val="style0"/>
        <w:rPr/>
      </w:pPr>
      <w:r>
        <w:t xml:space="preserve">The EV market in Indonesia has its massive growth due to its changing infrastructure, better acceleration which has its huge demand in the market. The Indonesian market has the ability to invest in developing EV batteries which strengthen improvements in its supply chain and become the suppliers of nickel by achieving ambitious targets. </w:t>
      </w:r>
    </w:p>
    <w:p w14:paraId="73FF7F1E">
      <w:pPr>
        <w:pStyle w:val="style179"/>
        <w:numPr>
          <w:ilvl w:val="0"/>
          <w:numId w:val="11"/>
        </w:numPr>
        <w:rPr>
          <w:b/>
          <w:bCs/>
        </w:rPr>
      </w:pPr>
      <w:r>
        <w:rPr>
          <w:b/>
          <w:bCs/>
        </w:rPr>
        <w:t>Risk</w:t>
      </w:r>
    </w:p>
    <w:p w14:paraId="73FF7F1F">
      <w:pPr>
        <w:pStyle w:val="style0"/>
        <w:rPr/>
      </w:pPr>
      <w:r>
        <w:t xml:space="preserve">The rise of inflation rate in Indonesia affects Tesla due to high rises of EV prices which sometimes slows down consumer demand. The high rises of Tesla’s price help customers to switch to the other rivals which in term stunted down the overall market share. </w:t>
      </w:r>
    </w:p>
    <w:bookmarkStart w:id="9" w:name="_Toc236417287"/>
    <w:p w14:paraId="73FF7F20">
      <w:pPr>
        <w:pStyle w:val="style2"/>
        <w:rPr/>
      </w:pPr>
      <w:r>
        <w:t>2.4 Legal Environment</w:t>
      </w:r>
      <w:bookmarkEnd w:id="9"/>
      <w:r>
        <w:t xml:space="preserve"> </w:t>
      </w:r>
    </w:p>
    <w:p w14:paraId="73FF7F21">
      <w:pPr>
        <w:pStyle w:val="style0"/>
        <w:rPr>
          <w:b/>
          <w:bCs/>
        </w:rPr>
      </w:pPr>
      <w:r>
        <w:rPr>
          <w:b/>
          <w:bCs/>
        </w:rPr>
        <w:t>Foreign Direct Investment Regulations</w:t>
      </w:r>
    </w:p>
    <w:p w14:paraId="73FF7F22">
      <w:pPr>
        <w:pStyle w:val="style0"/>
        <w:rPr>
          <w:b/>
          <w:bCs/>
        </w:rPr>
      </w:pPr>
      <w:r>
        <w:t xml:space="preserve">The Indonesian automotive industry follows “Law No. 27 of 2007” for capital investment in managing EV production (NRF, 2025). Indonesia serves “100% Foreign Ownership” for the automotive companies in manufacturing EV cars parts by following licensing agreements. In Indonesia, “Low-Cost Green Cars” have a low rate of about 3%which is due to achieving low carbon emissions and following strict fuel standards. However, “WTO Adjustments (Law No. 7/1994)” followed by the Indonesian automobile industry have aligned with the trade agreement in managing rules of local content production for EV (Flevin, 2026). </w:t>
      </w:r>
    </w:p>
    <w:p w14:paraId="73FF7F23">
      <w:pPr>
        <w:pStyle w:val="style0"/>
        <w:rPr>
          <w:b/>
          <w:bCs/>
        </w:rPr>
      </w:pPr>
      <w:r>
        <w:rPr>
          <w:b/>
          <w:bCs/>
        </w:rPr>
        <w:t>Environmental Regulations</w:t>
      </w:r>
    </w:p>
    <w:p w14:paraId="73FF7F24">
      <w:pPr>
        <w:pStyle w:val="style0"/>
        <w:rPr/>
      </w:pPr>
      <w:r>
        <w:t xml:space="preserve">The provision of diversified environmental regulations has helped in improving the ethical standards of the business operations carried out by the Indonesian automobile sector. As an example, the existence of “Low Carbon Emission Vehicle (LCEV) Regulations 2021” has provided opportunities for the companies in evaluating the carbon contents of its automobile (Syahputri et al., 2025). The industry will reduce the volume of its fuel consumption to 190m tonnes in 2030 (Mera, 2025). Thus, the improvement in the vehicular sustainability will improve the goodwill of the Tesla EV products among Indonesian customers. </w:t>
      </w:r>
    </w:p>
    <w:p w14:paraId="73FF7F25">
      <w:pPr>
        <w:pStyle w:val="style0"/>
        <w:jc w:val="center"/>
        <w:rPr/>
      </w:pPr>
      <w:r>
        <w:rPr>
          <w:noProof/>
        </w:rPr>
        <w:drawing>
          <wp:inline distL="0" distT="0" distB="0" distR="0">
            <wp:extent cx="5943600" cy="2959100"/>
            <wp:effectExtent l="0" t="0" r="0" b="0"/>
            <wp:docPr id="1036" name="image1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15.png"/>
                    <pic:cNvPicPr/>
                  </pic:nvPicPr>
                  <pic:blipFill>
                    <a:blip r:embed="rId11" cstate="print"/>
                    <a:srcRect l="0" t="0" r="0" b="0"/>
                    <a:stretch/>
                  </pic:blipFill>
                  <pic:spPr>
                    <a:xfrm rot="0">
                      <a:off x="0" y="0"/>
                      <a:ext cx="5943600" cy="2959100"/>
                    </a:xfrm>
                    <a:prstGeom prst="rect"/>
                    <a:ln cmpd="sng" cap="flat" w="9525">
                      <a:solidFill>
                        <a:srgbClr val="000000"/>
                      </a:solidFill>
                      <a:prstDash val="solid"/>
                      <a:round/>
                      <a:headEnd/>
                      <a:tailEnd/>
                    </a:ln>
                  </pic:spPr>
                </pic:pic>
              </a:graphicData>
            </a:graphic>
          </wp:inline>
        </w:drawing>
      </w:r>
    </w:p>
    <w:p w14:paraId="73FF7F26">
      <w:pPr>
        <w:pStyle w:val="style0"/>
        <w:jc w:val="center"/>
        <w:rPr>
          <w:b/>
          <w:bCs/>
        </w:rPr>
      </w:pPr>
      <w:r>
        <w:rPr>
          <w:b/>
          <w:bCs/>
        </w:rPr>
        <w:t>Figure 9: Fuel Consumption of Indonesian Vehicles</w:t>
      </w:r>
    </w:p>
    <w:p w14:paraId="73FF7F27">
      <w:pPr>
        <w:pStyle w:val="style0"/>
        <w:jc w:val="center"/>
        <w:rPr/>
      </w:pPr>
      <w:r>
        <w:t>(Source: Mera, 2025)</w:t>
      </w:r>
    </w:p>
    <w:p w14:paraId="73FF7F28">
      <w:pPr>
        <w:pStyle w:val="style0"/>
        <w:rPr>
          <w:b/>
          <w:bCs/>
        </w:rPr>
      </w:pPr>
      <w:r>
        <w:rPr>
          <w:b/>
          <w:bCs/>
        </w:rPr>
        <w:t>Labour Laws</w:t>
      </w:r>
    </w:p>
    <w:p w14:paraId="73FF7F29">
      <w:pPr>
        <w:pStyle w:val="style0"/>
        <w:rPr/>
      </w:pPr>
      <w:r>
        <w:t>The provision of the “Job Creation Law” has helped the Indonesian government in providing employment opportunities to skilled employees (Government of Indonesia, 2025). In addition, the legal initiative has also included the existence of a flexible incentive structure across sectors. On the other hand, the unemployment rate of Indonesia has also increased to 5.1% in 2025 (Asia Records, 2026). Thus, the enhancement in job losses have reduced the impact of the employment opportunities provided due to the existence of a flexible legal structure within the country.</w:t>
      </w:r>
    </w:p>
    <w:p w14:paraId="73FF7F2A">
      <w:pPr>
        <w:pStyle w:val="style0"/>
        <w:jc w:val="center"/>
        <w:rPr/>
      </w:pPr>
      <w:r>
        <w:rPr>
          <w:noProof/>
        </w:rPr>
        <w:drawing>
          <wp:inline distL="0" distT="0" distB="0" distR="0">
            <wp:extent cx="2924175" cy="3658178"/>
            <wp:effectExtent l="0" t="0" r="0" b="0"/>
            <wp:docPr id="1037"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8.png"/>
                    <pic:cNvPicPr/>
                  </pic:nvPicPr>
                  <pic:blipFill>
                    <a:blip r:embed="rId12" cstate="print"/>
                    <a:srcRect l="0" t="0" r="0" b="0"/>
                    <a:stretch/>
                  </pic:blipFill>
                  <pic:spPr>
                    <a:xfrm rot="0">
                      <a:off x="0" y="0"/>
                      <a:ext cx="2924175" cy="3658178"/>
                    </a:xfrm>
                    <a:prstGeom prst="rect"/>
                    <a:ln cmpd="sng" cap="flat" w="9525">
                      <a:solidFill>
                        <a:srgbClr val="000000"/>
                      </a:solidFill>
                      <a:prstDash val="solid"/>
                      <a:round/>
                      <a:headEnd/>
                      <a:tailEnd/>
                    </a:ln>
                  </pic:spPr>
                </pic:pic>
              </a:graphicData>
            </a:graphic>
          </wp:inline>
        </w:drawing>
      </w:r>
    </w:p>
    <w:p w14:paraId="73FF7F2B">
      <w:pPr>
        <w:pStyle w:val="style0"/>
        <w:jc w:val="center"/>
        <w:rPr>
          <w:b/>
          <w:bCs/>
        </w:rPr>
      </w:pPr>
      <w:r>
        <w:rPr>
          <w:b/>
          <w:bCs/>
        </w:rPr>
        <w:t>Figure 10: Unemployment Rate</w:t>
      </w:r>
    </w:p>
    <w:p w14:paraId="73FF7F2C">
      <w:pPr>
        <w:pStyle w:val="style0"/>
        <w:jc w:val="center"/>
        <w:rPr/>
      </w:pPr>
      <w:r>
        <w:t>(Source: Asia Records, 2026)</w:t>
      </w:r>
    </w:p>
    <w:p w14:paraId="73FF7F2D">
      <w:pPr>
        <w:pStyle w:val="style0"/>
        <w:rPr>
          <w:b/>
          <w:bCs/>
        </w:rPr>
      </w:pPr>
      <w:r>
        <w:rPr>
          <w:b/>
          <w:bCs/>
        </w:rPr>
        <w:t>Intellectual Property Protection</w:t>
      </w:r>
    </w:p>
    <w:p w14:paraId="73FF7F2E">
      <w:pPr>
        <w:pStyle w:val="style0"/>
        <w:rPr>
          <w:b/>
          <w:bCs/>
        </w:rPr>
      </w:pPr>
      <w:r>
        <w:t xml:space="preserve">In Indonesia, “Patent Law (Law No. 13 of 2016)” is followed by the foreign and local IP holders for strict manufacturing of batteries, vehicle production, adoption of technologies and autonomous driving features. “Law No. 20 of 2016” is followed by the "Indonesian automobile industry" in registering brand names from unauthorized use. This law helps to enhance innovation in the automotive industry through adoption of battery technology to endure stiff competition in the market. The automobile industry in Indonesia follows “Law Number 31 Year 2000 concerning Industrial Designs” more effectively for designing vehicles with different shapes and dimensions (WIPO, 2026). </w:t>
      </w:r>
    </w:p>
    <w:p w14:paraId="73FF7F2F">
      <w:pPr>
        <w:pStyle w:val="style0"/>
        <w:rPr>
          <w:b/>
          <w:bCs/>
        </w:rPr>
      </w:pPr>
      <w:r>
        <w:rPr>
          <w:b/>
          <w:bCs/>
        </w:rPr>
        <w:t>Legal Implications for Tesla</w:t>
      </w:r>
    </w:p>
    <w:p w14:paraId="73FF7F30">
      <w:pPr>
        <w:pStyle w:val="style179"/>
        <w:numPr>
          <w:ilvl w:val="0"/>
          <w:numId w:val="11"/>
        </w:numPr>
        <w:rPr>
          <w:b/>
          <w:bCs/>
        </w:rPr>
      </w:pPr>
      <w:r>
        <w:rPr>
          <w:b/>
          <w:bCs/>
        </w:rPr>
        <w:t>Opportunities</w:t>
      </w:r>
    </w:p>
    <w:p w14:paraId="73FF7F31">
      <w:pPr>
        <w:pStyle w:val="style0"/>
        <w:rPr/>
      </w:pPr>
      <w:r>
        <w:t xml:space="preserve">The lowering of the carbon emissions will increase the demand for EV vehicles manufactured by foreign companies such as Tesla that will also improve its brand loyalty. Thus, the availability of sustainable automobiles will assist Tesla in reducing market competition from local organisations. </w:t>
      </w:r>
    </w:p>
    <w:p w14:paraId="73FF7F32">
      <w:pPr>
        <w:pStyle w:val="style179"/>
        <w:numPr>
          <w:ilvl w:val="0"/>
          <w:numId w:val="11"/>
        </w:numPr>
        <w:rPr>
          <w:b/>
          <w:bCs/>
        </w:rPr>
      </w:pPr>
      <w:r>
        <w:rPr>
          <w:b/>
          <w:bCs/>
        </w:rPr>
        <w:t>Risk</w:t>
      </w:r>
    </w:p>
    <w:p w14:paraId="73FF7F33">
      <w:pPr>
        <w:pStyle w:val="style0"/>
        <w:rPr/>
      </w:pPr>
      <w:r>
        <w:t>The increase in job losses has caused a labour shortage for the organisations belonging to the Indonesian automobile sector. In addition, the decline in workforce has also caused delays in timely manufacture of EV vehicles for the customers. Overall, the existence of labour scarcity will also reduce the operational efficiency of Tesla.</w:t>
      </w:r>
    </w:p>
    <w:bookmarkStart w:id="10" w:name="_Toc236417288"/>
    <w:p w14:paraId="73FF7F34">
      <w:pPr>
        <w:pStyle w:val="style2"/>
        <w:rPr/>
      </w:pPr>
      <w:r>
        <w:t>2.5 Cultural Environment</w:t>
      </w:r>
      <w:bookmarkEnd w:id="10"/>
      <w:r>
        <w:t xml:space="preserve"> </w:t>
      </w:r>
    </w:p>
    <w:p w14:paraId="73FF7F35">
      <w:pPr>
        <w:pStyle w:val="style0"/>
        <w:rPr>
          <w:b/>
          <w:bCs/>
        </w:rPr>
      </w:pPr>
      <w:r>
        <w:rPr>
          <w:b/>
          <w:bCs/>
        </w:rPr>
        <w:t>Hofstede's Cultural Dimensions</w:t>
      </w:r>
    </w:p>
    <w:p w14:paraId="73FF7F36">
      <w:pPr>
        <w:pStyle w:val="style0"/>
        <w:jc w:val="center"/>
        <w:rPr>
          <w:b/>
          <w:bCs/>
        </w:rPr>
      </w:pPr>
      <w:r>
        <w:rPr>
          <w:b/>
          <w:bCs/>
          <w:noProof/>
        </w:rPr>
        <w:drawing>
          <wp:inline distL="0" distT="0" distB="0" distR="0">
            <wp:extent cx="5613400" cy="3416300"/>
            <wp:effectExtent l="0" t="0" r="6350" b="0"/>
            <wp:docPr id="1038"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2.png"/>
                    <pic:cNvPicPr/>
                  </pic:nvPicPr>
                  <pic:blipFill>
                    <a:blip r:embed="rId13" cstate="print"/>
                    <a:srcRect l="0" t="0" r="0" b="0"/>
                    <a:stretch/>
                  </pic:blipFill>
                  <pic:spPr>
                    <a:xfrm rot="0">
                      <a:off x="0" y="0"/>
                      <a:ext cx="5613400" cy="3416300"/>
                    </a:xfrm>
                    <a:prstGeom prst="rect"/>
                    <a:ln cmpd="sng" cap="flat" w="9525">
                      <a:solidFill>
                        <a:srgbClr val="000000"/>
                      </a:solidFill>
                      <a:prstDash val="solid"/>
                      <a:round/>
                      <a:headEnd/>
                      <a:tailEnd/>
                    </a:ln>
                  </pic:spPr>
                </pic:pic>
              </a:graphicData>
            </a:graphic>
          </wp:inline>
        </w:drawing>
      </w:r>
    </w:p>
    <w:p w14:paraId="73FF7F37">
      <w:pPr>
        <w:pStyle w:val="style0"/>
        <w:jc w:val="center"/>
        <w:rPr>
          <w:b/>
          <w:bCs/>
        </w:rPr>
      </w:pPr>
      <w:r>
        <w:rPr>
          <w:b/>
          <w:bCs/>
        </w:rPr>
        <w:t>Figure 11: Hofstede's Cultural Dimensions</w:t>
      </w:r>
    </w:p>
    <w:p w14:paraId="73FF7F38">
      <w:pPr>
        <w:pStyle w:val="style0"/>
        <w:jc w:val="center"/>
        <w:rPr/>
      </w:pPr>
      <w:r>
        <w:t>(Source: The Culture Factor, 2025)</w:t>
      </w:r>
    </w:p>
    <w:p w14:paraId="73FF7F39">
      <w:pPr>
        <w:pStyle w:val="style0"/>
        <w:rPr/>
      </w:pPr>
      <w:r>
        <w:t xml:space="preserve">The power distance of Indonesia is about 78 score which is high due to strong EV ownership and rises of hierarchical guidance to enhance autonomous risk. The USA has a 40 score and has low power by showcasing the demand of customers towards Tesla’s individual preference and customized features to enhance brand value. Individualism in Indonesia is about a low 5 score by highlighting the buying preferences of customers towards EV. However in the US it has roughly fallen sales </w:t>
      </w:r>
      <w:r>
        <w:t>of Tesla</w:t>
      </w:r>
      <w:r>
        <w:t xml:space="preserve"> 634,000 units to 589,000 units in 2025. </w:t>
      </w:r>
    </w:p>
    <w:p w14:paraId="73FF7F3A">
      <w:pPr>
        <w:pStyle w:val="style0"/>
        <w:rPr/>
      </w:pPr>
      <w:r>
        <w:t xml:space="preserve">Motivation and Achievement in Indonesia is about 46, this country has high nickel reserves for EV and affordable battery materials leads to its sales in the market. The USA </w:t>
      </w:r>
      <w:r>
        <w:t xml:space="preserve">has motivated about 62 scores by the ability to invest $2 billion in autonomous driving to enhance revenue in the market (Sriram and Roy, 2026). Uncertainty in Indonesia is about 48 and USA is about 46 due to high to high rises of cost in managing supply chain, local investment and shift in consumer preferences. </w:t>
      </w:r>
    </w:p>
    <w:p w14:paraId="73FF7F3B">
      <w:pPr>
        <w:pStyle w:val="style0"/>
        <w:rPr/>
      </w:pPr>
      <w:r>
        <w:t xml:space="preserve">Long-term orientation in Indonesia is about 29 and 50 in the USA highlighting domestic innovation of Tesla by importing raw materials to ensure innovation in the automotive sector. Tesla will invest in the green economy in the Indonesian market by accessing its rich nickel reserves, which will enhance improvement in the supply chain. </w:t>
      </w:r>
    </w:p>
    <w:p w14:paraId="73FF7F3C">
      <w:pPr>
        <w:pStyle w:val="style0"/>
        <w:rPr>
          <w:b/>
          <w:bCs/>
        </w:rPr>
      </w:pPr>
      <w:r>
        <w:rPr>
          <w:b/>
          <w:bCs/>
        </w:rPr>
        <w:t>Consumer Attitudes Towards EVs</w:t>
      </w:r>
    </w:p>
    <w:p w14:paraId="73FF7F3D">
      <w:pPr>
        <w:pStyle w:val="style0"/>
        <w:rPr/>
      </w:pPr>
      <w:r>
        <w:t xml:space="preserve">In the current market situation, EV automobiles have increased its demand among customers due to its low fuel consumption and high battery life. For example, the revenue growth of electric vehicles in Indonesia has increased to 8% in 2025 (Mahalana, 2025). The improvement in the demand volume will provide opportunities for companies such as Tesla to strengthen its loyalty for automobiles among customers in Indonesia. In addition, the Indonesian government has also reduced the tax rate on electric vehicles to 10% in 2026 (Chery, 2026). The lowering of the taxation has also improved the purchasing power of the consumers in the country. Hence, the availability of higher revenue growth and low product cost will assist Tesla in strengthening its market position. </w:t>
      </w:r>
    </w:p>
    <w:p w14:paraId="73FF7F3E">
      <w:pPr>
        <w:pStyle w:val="style0"/>
        <w:jc w:val="center"/>
        <w:rPr/>
      </w:pPr>
      <w:r>
        <w:rPr>
          <w:noProof/>
        </w:rPr>
        <w:drawing>
          <wp:inline distL="0" distT="0" distB="0" distR="0">
            <wp:extent cx="5943600" cy="2908300"/>
            <wp:effectExtent l="0" t="0" r="0" b="0"/>
            <wp:docPr id="1039" name="image1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image13.png"/>
                    <pic:cNvPicPr/>
                  </pic:nvPicPr>
                  <pic:blipFill>
                    <a:blip r:embed="rId14" cstate="print"/>
                    <a:srcRect l="0" t="0" r="0" b="0"/>
                    <a:stretch/>
                  </pic:blipFill>
                  <pic:spPr>
                    <a:xfrm rot="0">
                      <a:off x="0" y="0"/>
                      <a:ext cx="5943600" cy="2908300"/>
                    </a:xfrm>
                    <a:prstGeom prst="rect"/>
                    <a:ln cmpd="sng" cap="flat" w="9525">
                      <a:solidFill>
                        <a:srgbClr val="000000"/>
                      </a:solidFill>
                      <a:prstDash val="solid"/>
                      <a:round/>
                      <a:headEnd/>
                      <a:tailEnd/>
                    </a:ln>
                  </pic:spPr>
                </pic:pic>
              </a:graphicData>
            </a:graphic>
          </wp:inline>
        </w:drawing>
      </w:r>
    </w:p>
    <w:p w14:paraId="73FF7F3F">
      <w:pPr>
        <w:pStyle w:val="style0"/>
        <w:jc w:val="center"/>
        <w:rPr>
          <w:b/>
          <w:bCs/>
        </w:rPr>
      </w:pPr>
      <w:r>
        <w:rPr>
          <w:b/>
          <w:bCs/>
        </w:rPr>
        <w:t>Figure 12: EV share of passenger car in Indonesia</w:t>
      </w:r>
    </w:p>
    <w:p w14:paraId="73FF7F40">
      <w:pPr>
        <w:pStyle w:val="style0"/>
        <w:jc w:val="center"/>
        <w:rPr/>
      </w:pPr>
      <w:r>
        <w:t>(Source: Mahalana, 2025)</w:t>
      </w:r>
    </w:p>
    <w:p w14:paraId="73FF7F41">
      <w:pPr>
        <w:pStyle w:val="style0"/>
        <w:rPr>
          <w:b/>
          <w:bCs/>
        </w:rPr>
      </w:pPr>
      <w:r>
        <w:rPr>
          <w:b/>
          <w:bCs/>
        </w:rPr>
        <w:t>Cultural Opportunities and Challenges</w:t>
      </w:r>
    </w:p>
    <w:p w14:paraId="73FF7F42">
      <w:pPr>
        <w:pStyle w:val="style179"/>
        <w:numPr>
          <w:ilvl w:val="0"/>
          <w:numId w:val="11"/>
        </w:numPr>
        <w:rPr>
          <w:b/>
          <w:bCs/>
        </w:rPr>
      </w:pPr>
      <w:r>
        <w:rPr>
          <w:b/>
          <w:bCs/>
        </w:rPr>
        <w:t>Opportunities</w:t>
      </w:r>
    </w:p>
    <w:p w14:paraId="73FF7F43">
      <w:pPr>
        <w:pStyle w:val="style0"/>
        <w:rPr>
          <w:b/>
          <w:bCs/>
          <w:highlight w:val="white"/>
        </w:rPr>
      </w:pPr>
      <w:r>
        <w:t xml:space="preserve">Lowering down the taxation rate affects Tesla in enhancing purchasing power by ability to strengthen purchasing power. </w:t>
      </w:r>
      <w:r>
        <w:rPr>
          <w:highlight w:val="white"/>
        </w:rPr>
        <w:t xml:space="preserve">Tesla will improve its demand volume in the Indonesian market by collaborating with local charging stations to enhance the overall value of business. </w:t>
      </w:r>
    </w:p>
    <w:p w14:paraId="73FF7F44">
      <w:pPr>
        <w:pStyle w:val="style179"/>
        <w:numPr>
          <w:ilvl w:val="0"/>
          <w:numId w:val="11"/>
        </w:numPr>
        <w:rPr>
          <w:b/>
          <w:bCs/>
        </w:rPr>
      </w:pPr>
      <w:r>
        <w:rPr>
          <w:b/>
          <w:bCs/>
        </w:rPr>
        <w:t>Risk</w:t>
      </w:r>
    </w:p>
    <w:p w14:paraId="73FF7F45">
      <w:pPr>
        <w:pStyle w:val="style0"/>
        <w:rPr/>
      </w:pPr>
      <w:r>
        <w:t xml:space="preserve">Tesla in the Indonesian market faced challenges due to high rise of cost and clinical adoption affecting overall durability. The automotive sector in the Indonesian market responds with uncertainty due to rises of supply chain cost affecting overall loyalty of brand. </w:t>
      </w:r>
    </w:p>
    <w:bookmarkStart w:id="11" w:name="_Toc236417289"/>
    <w:p w14:paraId="73FF7F46">
      <w:pPr>
        <w:pStyle w:val="style2"/>
        <w:rPr/>
      </w:pPr>
      <w:r>
        <w:t>2.6 Market Entry Analysis Using Dunning's Eclectic (OLI) Paradigm</w:t>
      </w:r>
      <w:bookmarkEnd w:id="11"/>
      <w:r>
        <w:t xml:space="preserve"> </w:t>
      </w:r>
    </w:p>
    <w:p w14:paraId="73FF7F47">
      <w:pPr>
        <w:pStyle w:val="style0"/>
        <w:rPr>
          <w:b/>
          <w:bCs/>
        </w:rPr>
      </w:pPr>
      <w:r>
        <w:rPr>
          <w:b/>
          <w:bCs/>
        </w:rPr>
        <w:t>Ownership Advantages (O)</w:t>
      </w:r>
    </w:p>
    <w:p w14:paraId="73FF7F48">
      <w:pPr>
        <w:pStyle w:val="style0"/>
        <w:rPr/>
      </w:pPr>
      <w:r>
        <w:t xml:space="preserve">Product recognition is an important factor that will help Tesla in enhancing its success volume in Indonesia. As an instance, the organisation has increased its brand value to $46.6bn in 2026 (Brand Finance, 2026). On the other hand, Volkswagen has achieved a market income of $35.8bn in 2026. Hence, the improvement in the brand income has also provided operational strength to the company. </w:t>
      </w:r>
    </w:p>
    <w:p w14:paraId="73FF7F49">
      <w:pPr>
        <w:pStyle w:val="style0"/>
        <w:jc w:val="center"/>
        <w:rPr/>
      </w:pPr>
      <w:r>
        <w:t xml:space="preserve"> </w:t>
      </w:r>
      <w:r>
        <w:rPr>
          <w:noProof/>
        </w:rPr>
        <w:drawing>
          <wp:inline distL="0" distT="0" distB="0" distR="0">
            <wp:extent cx="4420284" cy="4420284"/>
            <wp:effectExtent l="0" t="0" r="0" b="0"/>
            <wp:docPr id="1040" name="image10.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image10.png"/>
                    <pic:cNvPicPr/>
                  </pic:nvPicPr>
                  <pic:blipFill>
                    <a:blip r:embed="rId15" cstate="print"/>
                    <a:srcRect l="0" t="0" r="0" b="0"/>
                    <a:stretch/>
                  </pic:blipFill>
                  <pic:spPr>
                    <a:xfrm rot="0">
                      <a:off x="0" y="0"/>
                      <a:ext cx="4420284" cy="4420284"/>
                    </a:xfrm>
                    <a:prstGeom prst="rect"/>
                    <a:ln cmpd="sng" cap="flat" w="9525">
                      <a:solidFill>
                        <a:srgbClr val="000000"/>
                      </a:solidFill>
                      <a:prstDash val="solid"/>
                      <a:round/>
                      <a:headEnd/>
                      <a:tailEnd/>
                    </a:ln>
                  </pic:spPr>
                </pic:pic>
              </a:graphicData>
            </a:graphic>
          </wp:inline>
        </w:drawing>
      </w:r>
    </w:p>
    <w:p w14:paraId="73FF7F4A">
      <w:pPr>
        <w:pStyle w:val="style0"/>
        <w:jc w:val="center"/>
        <w:rPr>
          <w:b/>
          <w:bCs/>
        </w:rPr>
      </w:pPr>
      <w:r>
        <w:rPr>
          <w:b/>
          <w:bCs/>
        </w:rPr>
        <w:t>Figure 13: Brand Value</w:t>
      </w:r>
    </w:p>
    <w:p w14:paraId="73FF7F4B">
      <w:pPr>
        <w:pStyle w:val="style0"/>
        <w:jc w:val="center"/>
        <w:rPr/>
      </w:pPr>
      <w:r>
        <w:t>(Source: Brand Finance, 2026)</w:t>
      </w:r>
    </w:p>
    <w:p w14:paraId="73FF7F4C">
      <w:pPr>
        <w:pStyle w:val="style0"/>
        <w:rPr/>
      </w:pPr>
      <w:r>
        <w:t xml:space="preserve">Consumer loyalty is also a viable factor that provides details regarding the product acceptance level of the organization in foreign markets. Tesla has increased its customer satisfaction score to 79% in 2025 (Tesla, 2025). Thus, the improvement in the commodity popularity level has helped Tesla in executing business expansion activities effectively. </w:t>
      </w:r>
    </w:p>
    <w:p w14:paraId="73FF7F4D">
      <w:pPr>
        <w:pStyle w:val="style0"/>
        <w:jc w:val="center"/>
        <w:rPr/>
      </w:pPr>
      <w:r>
        <w:rPr>
          <w:noProof/>
        </w:rPr>
        <w:drawing>
          <wp:inline distL="0" distT="0" distB="0" distR="0">
            <wp:extent cx="5943600" cy="3124200"/>
            <wp:effectExtent l="0" t="0" r="0" b="0"/>
            <wp:docPr id="1041"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4" name="image3.png"/>
                    <pic:cNvPicPr/>
                  </pic:nvPicPr>
                  <pic:blipFill>
                    <a:blip r:embed="rId16" cstate="print"/>
                    <a:srcRect l="0" t="0" r="0" b="0"/>
                    <a:stretch/>
                  </pic:blipFill>
                  <pic:spPr>
                    <a:xfrm rot="0">
                      <a:off x="0" y="0"/>
                      <a:ext cx="5943600" cy="3124200"/>
                    </a:xfrm>
                    <a:prstGeom prst="rect"/>
                    <a:ln cmpd="sng" cap="flat" w="9525">
                      <a:solidFill>
                        <a:srgbClr val="000000"/>
                      </a:solidFill>
                      <a:prstDash val="solid"/>
                      <a:round/>
                      <a:headEnd/>
                      <a:tailEnd/>
                    </a:ln>
                  </pic:spPr>
                </pic:pic>
              </a:graphicData>
            </a:graphic>
          </wp:inline>
        </w:drawing>
      </w:r>
    </w:p>
    <w:p w14:paraId="73FF7F4E">
      <w:pPr>
        <w:pStyle w:val="style0"/>
        <w:jc w:val="center"/>
        <w:rPr>
          <w:b/>
          <w:bCs/>
        </w:rPr>
      </w:pPr>
      <w:r>
        <w:rPr>
          <w:b/>
          <w:bCs/>
        </w:rPr>
        <w:t>Figure 14: Consumer Loyalty Score of Tesla Motors</w:t>
      </w:r>
    </w:p>
    <w:p w14:paraId="73FF7F4F">
      <w:pPr>
        <w:pStyle w:val="style0"/>
        <w:jc w:val="center"/>
        <w:rPr/>
      </w:pPr>
      <w:r>
        <w:t>(Source: Tesla, 2025)</w:t>
      </w:r>
    </w:p>
    <w:p w14:paraId="73FF7F50">
      <w:pPr>
        <w:pStyle w:val="style0"/>
        <w:rPr>
          <w:b/>
          <w:bCs/>
        </w:rPr>
      </w:pPr>
      <w:r>
        <w:rPr>
          <w:b/>
          <w:bCs/>
        </w:rPr>
        <w:t>Location Advantages (L)</w:t>
      </w:r>
    </w:p>
    <w:p w14:paraId="73FF7F51">
      <w:pPr>
        <w:pStyle w:val="style0"/>
        <w:rPr/>
      </w:pPr>
      <w:r>
        <w:t>The provision of a diversified physical existence of business units is an important aspect that has provided location advantage to organisations. Tesla has developed 1359 offline sales units in developed and developing countries in 2025 (Zucchi, 2025). The enhancement in the operational locations has provided opportunities for the organisation in meeting the requirements of a large consumer base. In addition, the organisation also has an expanded supply chain network consisting of 400 suppliers that help the organisation in meeting the raw material requirements of its business operations in 2025 (Alvarez, 2025). Tesla has also developed the “Tesla Mobile Application” that has helped in reaching remote customers in 2025. Thus, the provision of physical store, digital application and effective inventory management activities has assisted Tesla in strengthening its product quality.</w:t>
      </w:r>
    </w:p>
    <w:p w14:paraId="73FF7F52">
      <w:pPr>
        <w:pStyle w:val="style0"/>
        <w:rPr>
          <w:b/>
          <w:bCs/>
        </w:rPr>
      </w:pPr>
      <w:r>
        <w:rPr>
          <w:b/>
          <w:bCs/>
        </w:rPr>
        <w:t>Internalisation Advantages (I)</w:t>
      </w:r>
    </w:p>
    <w:p w14:paraId="73FF7F53">
      <w:pPr>
        <w:pStyle w:val="style0"/>
        <w:rPr/>
      </w:pPr>
      <w:r>
        <w:t xml:space="preserve">Tesla has also focused upon carrying out business expansions for achieving market growth in its business operations. For instance, the organisation has collaborated with the UK government in developing a Gigafactory of 3.7m sqft in 2026 (Government of UK, 2025). The partnership has also helped the organization in enhancing the demand for its </w:t>
      </w:r>
      <w:r>
        <w:t xml:space="preserve">EV products among customers. Tesla has also increased its market capital value to $1.4tn in 2026 (Automotor, 2026). The enhancement in the financial resources has assisted the automobile company in achieving operational stability. In addition, Tesla has also developed 90 stores and manufacturing centers for meeting the rising demand for its EV products in Tokyo (Reuters, 2026). Thus, the adoption of international partnerships and business expansion strategies has assisted Tesla in improving its product popularity. </w:t>
      </w:r>
    </w:p>
    <w:p w14:paraId="73FF7F54">
      <w:pPr>
        <w:pStyle w:val="style0"/>
        <w:rPr>
          <w:b/>
          <w:bCs/>
        </w:rPr>
      </w:pPr>
      <w:r>
        <w:rPr>
          <w:b/>
          <w:bCs/>
        </w:rPr>
        <w:t>Critical Evaluation of Tesla's Entry into Indonesia Using the OLI Framework</w:t>
      </w:r>
    </w:p>
    <w:p w14:paraId="73FF7F55">
      <w:pPr>
        <w:pStyle w:val="style0"/>
        <w:rPr/>
      </w:pPr>
      <w:r>
        <w:t xml:space="preserve">Based on the OLI framework, the internationalization factor is more reliable for Tesla expansion in the Indonesian market. Tesla collaborating with the UK government for development of the </w:t>
      </w:r>
      <w:r>
        <w:t>Gigafactory</w:t>
      </w:r>
      <w:r>
        <w:t xml:space="preserve"> leads to enhancing the capital value of the company. Thus, the company will develop a joint venture with PLN and “Indonesia Battery Corporation” for enhancing EV manufacturing. Tesla in the Indonesian market will follow “Patent Law (Law No. 13 of 2016)” for technological innovation of the manufacturing of battery hubs, innovative design EV and export of raw materials for recent upgrades. However, Tesla has global battery production and is reinforcing raw nickel reserves by following Indonesian “patent law” to make opportunities in business. </w:t>
      </w:r>
    </w:p>
    <w:p w14:paraId="73FF7F56">
      <w:pPr>
        <w:pStyle w:val="style0"/>
        <w:rPr/>
      </w:pPr>
      <w:r>
        <w:br w:type="page"/>
      </w:r>
    </w:p>
    <w:p w14:paraId="73FF7F57">
      <w:pPr>
        <w:pStyle w:val="style1"/>
        <w:rPr/>
      </w:pPr>
      <w:r>
        <w:t xml:space="preserve"> </w:t>
      </w:r>
      <w:bookmarkStart w:id="12" w:name="_Toc236417290"/>
      <w:r>
        <w:t>3. Entry Mode Strategy and Strategic Synthesis</w:t>
      </w:r>
      <w:bookmarkEnd w:id="12"/>
      <w:r>
        <w:t xml:space="preserve"> </w:t>
      </w:r>
    </w:p>
    <w:bookmarkStart w:id="13" w:name="_Toc236417291"/>
    <w:p w14:paraId="73FF7F58">
      <w:pPr>
        <w:pStyle w:val="style2"/>
        <w:rPr/>
      </w:pPr>
      <w:r>
        <w:t>3.1 Historical Entry Modes Used by Tesla</w:t>
      </w:r>
      <w:bookmarkEnd w:id="13"/>
      <w:r>
        <w:t xml:space="preserve"> </w:t>
      </w:r>
    </w:p>
    <w:p w14:paraId="73FF7F59">
      <w:pPr>
        <w:pStyle w:val="style0"/>
        <w:rPr>
          <w:b/>
          <w:bCs/>
        </w:rPr>
      </w:pPr>
      <w:r>
        <w:rPr>
          <w:b/>
          <w:bCs/>
        </w:rPr>
        <w:t>Wholly Owned Subsidiaries</w:t>
      </w:r>
    </w:p>
    <w:p w14:paraId="73FF7F5A">
      <w:pPr>
        <w:pStyle w:val="style0"/>
        <w:rPr/>
      </w:pPr>
      <w:r>
        <w:t>Tesla was to use wholly owned subsidiaries for captivate full ownership and control managerial operation effectively. Thus, in 2018 “Tesla (Shanghai) Co., Ltd” initiated this process in China and controlled over 89,000 vehicles annually manufacturing 50% of global production of Tesla (The global Times, 2026).</w:t>
      </w:r>
    </w:p>
    <w:p w14:paraId="73FF7F5B">
      <w:pPr>
        <w:pStyle w:val="style0"/>
        <w:rPr>
          <w:b/>
          <w:bCs/>
        </w:rPr>
      </w:pPr>
      <w:r>
        <w:rPr>
          <w:b/>
          <w:bCs/>
        </w:rPr>
        <w:t>Gigafactories</w:t>
      </w:r>
    </w:p>
    <w:p w14:paraId="73FF7F5C">
      <w:pPr>
        <w:pStyle w:val="style0"/>
        <w:rPr/>
      </w:pPr>
      <w:r>
        <w:t xml:space="preserve">Tesla is also used for merging expansion manufacturing business through established </w:t>
      </w:r>
      <w:r>
        <w:t>G</w:t>
      </w:r>
      <w:r>
        <w:t xml:space="preserve">igafactories in different countries globally. Hence, till 2025 a total of 6 major </w:t>
      </w:r>
      <w:r>
        <w:t>G</w:t>
      </w:r>
      <w:r>
        <w:t>igafactories are generally controlled by Tesla across the United States, China and Germany (Ozsevim, 2024). Overall, all factories production annually reach about 2.35 million vehicles to reduce import tariff cost.</w:t>
      </w:r>
    </w:p>
    <w:p w14:paraId="73FF7F5D">
      <w:pPr>
        <w:pStyle w:val="style0"/>
        <w:jc w:val="center"/>
        <w:rPr/>
      </w:pPr>
      <w:r>
        <w:rPr>
          <w:noProof/>
        </w:rPr>
        <w:drawing>
          <wp:inline distL="0" distT="0" distB="0" distR="0">
            <wp:extent cx="5638800" cy="4152899"/>
            <wp:effectExtent l="0" t="0" r="0" b="0"/>
            <wp:docPr id="1042" name="image1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5" name="image16.png"/>
                    <pic:cNvPicPr/>
                  </pic:nvPicPr>
                  <pic:blipFill>
                    <a:blip r:embed="rId17" cstate="print"/>
                    <a:srcRect l="0" t="0" r="0" b="0"/>
                    <a:stretch/>
                  </pic:blipFill>
                  <pic:spPr>
                    <a:xfrm rot="0">
                      <a:off x="0" y="0"/>
                      <a:ext cx="5638800" cy="4152899"/>
                    </a:xfrm>
                    <a:prstGeom prst="rect"/>
                    <a:ln cmpd="sng" cap="flat" w="9525">
                      <a:solidFill>
                        <a:srgbClr val="000000"/>
                      </a:solidFill>
                      <a:prstDash val="solid"/>
                      <a:round/>
                      <a:headEnd/>
                      <a:tailEnd/>
                    </a:ln>
                  </pic:spPr>
                </pic:pic>
              </a:graphicData>
            </a:graphic>
          </wp:inline>
        </w:drawing>
      </w:r>
    </w:p>
    <w:p w14:paraId="73FF7F5E">
      <w:pPr>
        <w:pStyle w:val="style0"/>
        <w:jc w:val="center"/>
        <w:rPr>
          <w:b/>
          <w:bCs/>
        </w:rPr>
      </w:pPr>
      <w:r>
        <w:rPr>
          <w:b/>
          <w:bCs/>
        </w:rPr>
        <w:t>Figure</w:t>
      </w:r>
      <w:r>
        <w:rPr>
          <w:b/>
          <w:bCs/>
        </w:rPr>
        <w:t xml:space="preserve"> 15: Gigafactories of Tesla</w:t>
      </w:r>
    </w:p>
    <w:p w14:paraId="73FF7F5F">
      <w:pPr>
        <w:pStyle w:val="style0"/>
        <w:jc w:val="center"/>
        <w:rPr/>
      </w:pPr>
      <w:r>
        <w:t>(Source: Ozsevim, 2024)</w:t>
      </w:r>
    </w:p>
    <w:p w14:paraId="73FF7F60">
      <w:pPr>
        <w:pStyle w:val="style0"/>
        <w:rPr>
          <w:b/>
          <w:bCs/>
        </w:rPr>
      </w:pPr>
      <w:r>
        <w:rPr>
          <w:b/>
          <w:bCs/>
        </w:rPr>
        <w:t>Direct Sales Model</w:t>
      </w:r>
    </w:p>
    <w:p w14:paraId="73FF7F61">
      <w:pPr>
        <w:pStyle w:val="style0"/>
        <w:rPr/>
      </w:pPr>
      <w:r>
        <w:t xml:space="preserve">The adoption of the direct sales model was also initiated by Tesla with company owned stores globally. For instance, a total of more than 1300 retail; store and 7,600 Supercharger stations also make Tesla improve accessibility for customers. </w:t>
      </w:r>
    </w:p>
    <w:p w14:paraId="73FF7F62">
      <w:pPr>
        <w:pStyle w:val="style0"/>
        <w:rPr>
          <w:b/>
          <w:bCs/>
        </w:rPr>
      </w:pPr>
      <w:r>
        <w:rPr>
          <w:b/>
          <w:bCs/>
        </w:rPr>
        <w:t>Strategic Partnerships</w:t>
      </w:r>
    </w:p>
    <w:p w14:paraId="73FF7F63">
      <w:pPr>
        <w:pStyle w:val="style0"/>
        <w:rPr/>
      </w:pPr>
      <w:r>
        <w:t xml:space="preserve">The raw material procedure and battery supply, use of strategic partnership by Tesla enable strengthening in global expansion. In addition, to meet its heavy demand, partnership with CATL, LG Energy Solution and Panasonic helpful for accessing lithium battery supply in the market. </w:t>
      </w:r>
    </w:p>
    <w:bookmarkStart w:id="14" w:name="_Toc236417292"/>
    <w:p w14:paraId="73FF7F64">
      <w:pPr>
        <w:pStyle w:val="style2"/>
        <w:rPr/>
      </w:pPr>
      <w:r>
        <w:t>3.2 Evaluation of Tesla's Historical Entry Strategy</w:t>
      </w:r>
      <w:bookmarkEnd w:id="14"/>
      <w:r>
        <w:t xml:space="preserve"> </w:t>
      </w:r>
    </w:p>
    <w:p w14:paraId="73FF7F65">
      <w:pPr>
        <w:pStyle w:val="style0"/>
        <w:rPr>
          <w:b/>
          <w:bCs/>
        </w:rPr>
      </w:pPr>
      <w:r>
        <w:rPr>
          <w:b/>
          <w:bCs/>
        </w:rPr>
        <w:t>Strengths</w:t>
      </w:r>
    </w:p>
    <w:p w14:paraId="73FF7F66">
      <w:pPr>
        <w:pStyle w:val="style0"/>
        <w:rPr/>
      </w:pPr>
      <w:r>
        <w:t xml:space="preserve">Tesla has focused on diversifying its organisational strategies for ensuring timely completion of its business projects. The development of the supercharger stations has assisted the organisation in improving the sales of its EV vehicle models across the globe. In addition, the existence of </w:t>
      </w:r>
      <w:r>
        <w:t>G</w:t>
      </w:r>
      <w:r>
        <w:t>igafactories in multiple countries has helped Tesla in reducing the inventory pressure of its business operations. Thus, the improvement in the supply chain operations has improved the service quality of the company.</w:t>
      </w:r>
    </w:p>
    <w:p w14:paraId="73FF7F67">
      <w:pPr>
        <w:pStyle w:val="style0"/>
        <w:rPr>
          <w:b/>
          <w:bCs/>
        </w:rPr>
      </w:pPr>
      <w:r>
        <w:rPr>
          <w:b/>
          <w:bCs/>
        </w:rPr>
        <w:t>Weaknesses</w:t>
      </w:r>
    </w:p>
    <w:p w14:paraId="73FF7F68">
      <w:pPr>
        <w:pStyle w:val="style0"/>
        <w:rPr/>
      </w:pPr>
      <w:r>
        <w:t xml:space="preserve">Tesla has observed market competition that has adversely influenced its brand growth and consumer preference level. For example, Volkswagen has collaborated with PowerCo worth $7bn for developing the “St. Thomas Battery Cell Gigafactory” in Canada (Volkswagen, 2025). The enhancement in infrastructural activities has assisted the automobile company in improving the quality of its EV models. Overall, the inventory enhancement of Volkswagen has also improved competitive positioning for Tesla in the automotive market. </w:t>
      </w:r>
    </w:p>
    <w:bookmarkStart w:id="15" w:name="_Toc236417293"/>
    <w:p w14:paraId="73FF7F69">
      <w:pPr>
        <w:pStyle w:val="style2"/>
        <w:rPr/>
      </w:pPr>
      <w:r>
        <w:t>3.3 Recommended Entry Mode for Indonesia</w:t>
      </w:r>
      <w:bookmarkEnd w:id="15"/>
    </w:p>
    <w:bookmarkStart w:id="16" w:name="_Toc236417294"/>
    <w:p w14:paraId="73FF7F6A">
      <w:pPr>
        <w:pStyle w:val="style3"/>
        <w:rPr/>
      </w:pPr>
      <w:r>
        <w:t>3.3.1 Evaluation of Alternative Entry Modes</w:t>
      </w:r>
      <w:bookmarkEnd w:id="16"/>
      <w:r>
        <w:t xml:space="preserve"> </w:t>
      </w:r>
    </w:p>
    <w:p w14:paraId="73FF7F6B">
      <w:pPr>
        <w:pStyle w:val="style0"/>
        <w:rPr>
          <w:b/>
          <w:bCs/>
        </w:rPr>
      </w:pPr>
      <w:r>
        <w:rPr>
          <w:b/>
          <w:bCs/>
        </w:rPr>
        <w:t>Exporting</w:t>
      </w:r>
    </w:p>
    <w:p w14:paraId="73FF7F6C">
      <w:pPr>
        <w:pStyle w:val="style0"/>
        <w:rPr/>
      </w:pPr>
      <w:r>
        <w:t xml:space="preserve">Tesla exports raw materials of vehicles in Indonesia by following strict domestic rules in development of the Gigafactory. The company serve contract value of $5billion at </w:t>
      </w:r>
      <w:r>
        <w:t xml:space="preserve">Indonesia for processing of raw material and product lithium batteries by 2025 (Hunter, 2024) </w:t>
      </w:r>
    </w:p>
    <w:p w14:paraId="73FF7F6D">
      <w:pPr>
        <w:pStyle w:val="style0"/>
        <w:rPr>
          <w:b/>
          <w:bCs/>
        </w:rPr>
      </w:pPr>
      <w:r>
        <w:rPr>
          <w:b/>
          <w:bCs/>
        </w:rPr>
        <w:t>Licensing</w:t>
      </w:r>
    </w:p>
    <w:p w14:paraId="73FF7F6E">
      <w:pPr>
        <w:pStyle w:val="style0"/>
        <w:rPr/>
      </w:pPr>
      <w:r>
        <w:t xml:space="preserve">The capital spending of Tesla is $25billion for development of vehicle ecosystem, Gigafactory modernization and robotaxis. The Indonesian automotive industry follows “IATF 16949” by accessing quality in managing vehicle production. </w:t>
      </w:r>
    </w:p>
    <w:p w14:paraId="73FF7F6F">
      <w:pPr>
        <w:pStyle w:val="style0"/>
        <w:rPr>
          <w:b/>
          <w:bCs/>
        </w:rPr>
      </w:pPr>
      <w:r>
        <w:rPr>
          <w:b/>
          <w:bCs/>
        </w:rPr>
        <w:t>Joint Venture</w:t>
      </w:r>
    </w:p>
    <w:p w14:paraId="73FF7F70">
      <w:pPr>
        <w:pStyle w:val="style0"/>
        <w:rPr/>
      </w:pPr>
      <w:r>
        <w:t xml:space="preserve">Tesla will collaborate with “Nickel Industries Limited” for development of EV batteries accessing longer drive intensity in achieving high energy. Thus, this partnership has helped in improving the EV demand of the Indonesian market which will lead to generate profit. </w:t>
      </w:r>
    </w:p>
    <w:p w14:paraId="73FF7F71">
      <w:pPr>
        <w:pStyle w:val="style0"/>
        <w:rPr>
          <w:b/>
          <w:bCs/>
        </w:rPr>
      </w:pPr>
      <w:r>
        <w:rPr>
          <w:b/>
          <w:bCs/>
        </w:rPr>
        <w:t>Strategic Alliance</w:t>
      </w:r>
    </w:p>
    <w:p w14:paraId="73FF7F72">
      <w:pPr>
        <w:pStyle w:val="style0"/>
        <w:rPr/>
      </w:pPr>
      <w:r>
        <w:t>Tesla will collaborate with “PT HLI Green Power” to enhance improvements in battery production, encounter operational efficiency and acquire competitive advantage in the Indonesian market.</w:t>
      </w:r>
    </w:p>
    <w:p w14:paraId="73FF7F73">
      <w:pPr>
        <w:pStyle w:val="style0"/>
        <w:rPr>
          <w:b/>
          <w:bCs/>
        </w:rPr>
      </w:pPr>
      <w:r>
        <w:rPr>
          <w:b/>
          <w:bCs/>
        </w:rPr>
        <w:t>Wholly Owned Subsidiary</w:t>
      </w:r>
    </w:p>
    <w:p w14:paraId="73FF7F74">
      <w:pPr>
        <w:pStyle w:val="style0"/>
        <w:rPr/>
      </w:pPr>
      <w:r>
        <w:t xml:space="preserve">Tesla has its full control and ownership for manufacturing of lithium batteries, autonomous technology adoption, and development of the </w:t>
      </w:r>
      <w:r>
        <w:t>Gigafactory</w:t>
      </w:r>
      <w:r>
        <w:t xml:space="preserve"> enhance overall profit of business. </w:t>
      </w:r>
    </w:p>
    <w:bookmarkStart w:id="17" w:name="_Toc236417295"/>
    <w:p w14:paraId="73FF7F75">
      <w:pPr>
        <w:pStyle w:val="style3"/>
        <w:rPr/>
      </w:pPr>
      <w:r>
        <w:t>3.3.2 Justification of the Recommended Entry Mode</w:t>
      </w:r>
      <w:bookmarkEnd w:id="17"/>
      <w:r>
        <w:t xml:space="preserve"> </w:t>
      </w:r>
    </w:p>
    <w:p w14:paraId="73FF7F76">
      <w:pPr>
        <w:pStyle w:val="style0"/>
        <w:rPr>
          <w:b/>
          <w:bCs/>
        </w:rPr>
      </w:pPr>
      <w:r>
        <w:rPr>
          <w:b/>
          <w:bCs/>
        </w:rPr>
        <w:t>Political Risk</w:t>
      </w:r>
    </w:p>
    <w:p w14:paraId="73FF7F77">
      <w:pPr>
        <w:pStyle w:val="style0"/>
        <w:rPr>
          <w:b/>
          <w:bCs/>
        </w:rPr>
      </w:pPr>
      <w:r>
        <w:t xml:space="preserve">The Indonesian automotive industry has banned its nickel exports 67% in 2025 due to local content production, which leads to a slowdown in overall share of the business (Capital, 2026). Tesla in the Indonesian market will collaborate with "Indonesian battery production” by scrutinizing nickel to achieve ESG goals. This in turn, leads to banning raw nickel exports by shifting training in domestic policies to enhance brand reputation. </w:t>
      </w:r>
    </w:p>
    <w:p w14:paraId="73FF7F78">
      <w:pPr>
        <w:pStyle w:val="style0"/>
        <w:rPr>
          <w:b/>
          <w:bCs/>
        </w:rPr>
      </w:pPr>
      <w:r>
        <w:rPr>
          <w:b/>
          <w:bCs/>
        </w:rPr>
        <w:t>Financial Risk</w:t>
      </w:r>
    </w:p>
    <w:p w14:paraId="73FF7F79">
      <w:pPr>
        <w:pStyle w:val="style0"/>
        <w:rPr/>
      </w:pPr>
      <w:r>
        <w:t xml:space="preserve">The adoption of </w:t>
      </w:r>
      <w:r>
        <w:rPr>
          <w:b/>
          <w:bCs/>
        </w:rPr>
        <w:t>strategic alliances</w:t>
      </w:r>
      <w:r>
        <w:t xml:space="preserve"> as an entry mode has helped the organisation in carrying out profit-sharing activities and also reduced risk related to high business investments. In Indonesia, the CPI rate has declined to 1% in 2025. Hence, the adoption </w:t>
      </w:r>
      <w:r>
        <w:t xml:space="preserve">of strategic partnerships will assist Tesla in regulating the prices of its raw materials. </w:t>
      </w:r>
      <w:r>
        <w:rPr>
          <w:noProof/>
        </w:rPr>
        <w:drawing>
          <wp:inline distL="0" distT="0" distB="0" distR="0">
            <wp:extent cx="5943600" cy="2959100"/>
            <wp:effectExtent l="0" t="0" r="0" b="0"/>
            <wp:docPr id="1043" name="image1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6" name="image19.png"/>
                    <pic:cNvPicPr/>
                  </pic:nvPicPr>
                  <pic:blipFill>
                    <a:blip r:embed="rId18" cstate="print"/>
                    <a:srcRect l="0" t="0" r="0" b="0"/>
                    <a:stretch/>
                  </pic:blipFill>
                  <pic:spPr>
                    <a:xfrm rot="0">
                      <a:off x="0" y="0"/>
                      <a:ext cx="5943600" cy="2959100"/>
                    </a:xfrm>
                    <a:prstGeom prst="rect"/>
                    <a:ln cmpd="sng" cap="flat" w="9525">
                      <a:solidFill>
                        <a:srgbClr val="000000"/>
                      </a:solidFill>
                      <a:prstDash val="solid"/>
                      <a:round/>
                      <a:headEnd/>
                      <a:tailEnd/>
                    </a:ln>
                  </pic:spPr>
                </pic:pic>
              </a:graphicData>
            </a:graphic>
          </wp:inline>
        </w:drawing>
      </w:r>
    </w:p>
    <w:p w14:paraId="73FF7F7A">
      <w:pPr>
        <w:pStyle w:val="style0"/>
        <w:jc w:val="center"/>
        <w:rPr>
          <w:b/>
          <w:bCs/>
        </w:rPr>
      </w:pPr>
      <w:r>
        <w:rPr>
          <w:b/>
          <w:bCs/>
        </w:rPr>
        <w:t>Figure 16: CPI Rate of Indonesia</w:t>
      </w:r>
    </w:p>
    <w:p w14:paraId="73FF7F7B">
      <w:pPr>
        <w:pStyle w:val="style0"/>
        <w:jc w:val="center"/>
        <w:rPr/>
      </w:pPr>
      <w:r>
        <w:t>(Source: Indonesia Investments, 2025)</w:t>
      </w:r>
    </w:p>
    <w:p w14:paraId="73FF7F7C">
      <w:pPr>
        <w:pStyle w:val="style0"/>
        <w:rPr>
          <w:b/>
          <w:bCs/>
        </w:rPr>
      </w:pPr>
      <w:r>
        <w:rPr>
          <w:b/>
          <w:bCs/>
        </w:rPr>
        <w:t>Operational Risk</w:t>
      </w:r>
    </w:p>
    <w:p w14:paraId="73FF7F7D">
      <w:pPr>
        <w:pStyle w:val="style0"/>
        <w:rPr>
          <w:b/>
          <w:bCs/>
        </w:rPr>
      </w:pPr>
      <w:r>
        <w:t xml:space="preserve">The automotive industry in the Indonesian market faces operational challenges driven by a slowdown in low-carbon investment, creating pressure for EVs. The strategic alliance helps Tesla reduce operational disruption by collaborating with “Polytron” which serves less emissions by following sustainability protocols. </w:t>
      </w:r>
    </w:p>
    <w:p w14:paraId="73FF7F7E">
      <w:pPr>
        <w:pStyle w:val="style0"/>
        <w:rPr>
          <w:b/>
          <w:bCs/>
        </w:rPr>
      </w:pPr>
      <w:r>
        <w:rPr>
          <w:b/>
          <w:bCs/>
        </w:rPr>
        <w:t>Resource Commitment</w:t>
      </w:r>
    </w:p>
    <w:p w14:paraId="73FF7F7F">
      <w:pPr>
        <w:pStyle w:val="style0"/>
        <w:rPr/>
      </w:pPr>
      <w:r>
        <w:t xml:space="preserve">The inclusion of the expansion Gigafactories in Indonesia has also provided opportunities for companies in acquiring local resources and ensuring smooth completion of its product development process. For instance, Tesla has reduced its raw material cost to $150m in its Canadian </w:t>
      </w:r>
      <w:r>
        <w:t>Gigafactory</w:t>
      </w:r>
      <w:r>
        <w:t xml:space="preserve"> in 2025 (TradingKey, 2025). Thus, the adoption of its own factory expansion techniques will assist the company in utilizing local elements and monitoring operational expenses. </w:t>
      </w:r>
    </w:p>
    <w:p w14:paraId="73FF7F80">
      <w:pPr>
        <w:pStyle w:val="style0"/>
        <w:rPr>
          <w:b/>
          <w:bCs/>
        </w:rPr>
      </w:pPr>
      <w:r>
        <w:rPr>
          <w:b/>
          <w:bCs/>
        </w:rPr>
        <w:t>Control vs Flexibility</w:t>
      </w:r>
    </w:p>
    <w:p w14:paraId="73FF7F81">
      <w:pPr>
        <w:pStyle w:val="style0"/>
        <w:rPr>
          <w:b/>
          <w:bCs/>
        </w:rPr>
      </w:pPr>
      <w:r>
        <w:t xml:space="preserve">Strategic alliance will serve Tesla in enhancing operational flexibility by collaborating with an “Indonesian battery company” by following licensing protocols. In Indonesia, “lithium-ion technology” will increase its share by about 60.2% in 2025 due to reliable growth of </w:t>
      </w:r>
      <w:r>
        <w:t xml:space="preserve">electric vehicles (Mordor Intelligence, 2025). This will help Tesla to achieve a competitive edge in the Indonesian market. </w:t>
      </w:r>
    </w:p>
    <w:p w14:paraId="73FF7F82">
      <w:pPr>
        <w:pStyle w:val="style0"/>
        <w:rPr>
          <w:b/>
          <w:bCs/>
        </w:rPr>
      </w:pPr>
      <w:r>
        <w:rPr>
          <w:b/>
          <w:bCs/>
        </w:rPr>
        <w:t>Long-Term Strategic Fit</w:t>
      </w:r>
    </w:p>
    <w:p w14:paraId="73FF7F83">
      <w:pPr>
        <w:pStyle w:val="style0"/>
        <w:rPr/>
      </w:pPr>
      <w:r>
        <w:t xml:space="preserve">Strategic alliances also promote long-term stability and improve the brand image of the Tesla among customers. Tesla has increased its consumer </w:t>
      </w:r>
      <w:r>
        <w:t>NPS</w:t>
      </w:r>
      <w:r>
        <w:t xml:space="preserve"> score to 57% in 2025 (Tessitore, 2025). Thus, the availability of business tie-ups will improve the brand image of the automobile company. </w:t>
      </w:r>
    </w:p>
    <w:p w14:paraId="73FF7F84">
      <w:pPr>
        <w:pStyle w:val="style0"/>
        <w:jc w:val="center"/>
        <w:rPr/>
      </w:pPr>
      <w:r>
        <w:rPr>
          <w:noProof/>
        </w:rPr>
        <w:drawing>
          <wp:inline distL="0" distT="0" distB="0" distR="0">
            <wp:extent cx="4857750" cy="2811340"/>
            <wp:effectExtent l="0" t="0" r="0" b="0"/>
            <wp:docPr id="1044" name="image1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7" name="image18.png"/>
                    <pic:cNvPicPr/>
                  </pic:nvPicPr>
                  <pic:blipFill>
                    <a:blip r:embed="rId19" cstate="print"/>
                    <a:srcRect l="0" t="0" r="0" b="24706"/>
                    <a:stretch/>
                  </pic:blipFill>
                  <pic:spPr>
                    <a:xfrm rot="0">
                      <a:off x="0" y="0"/>
                      <a:ext cx="4857750" cy="2811340"/>
                    </a:xfrm>
                    <a:prstGeom prst="rect"/>
                    <a:ln cmpd="sng" cap="flat" w="9525">
                      <a:solidFill>
                        <a:srgbClr val="000000"/>
                      </a:solidFill>
                      <a:prstDash val="solid"/>
                      <a:round/>
                      <a:headEnd/>
                      <a:tailEnd/>
                    </a:ln>
                  </pic:spPr>
                </pic:pic>
              </a:graphicData>
            </a:graphic>
          </wp:inline>
        </w:drawing>
      </w:r>
    </w:p>
    <w:p w14:paraId="73FF7F85">
      <w:pPr>
        <w:pStyle w:val="style0"/>
        <w:jc w:val="center"/>
        <w:rPr>
          <w:b/>
          <w:bCs/>
        </w:rPr>
      </w:pPr>
      <w:r>
        <w:rPr>
          <w:b/>
          <w:bCs/>
        </w:rPr>
        <w:t>Figure 17: NPS Score of Tesla</w:t>
      </w:r>
    </w:p>
    <w:p w14:paraId="73FF7F86">
      <w:pPr>
        <w:pStyle w:val="style0"/>
        <w:jc w:val="center"/>
        <w:rPr/>
      </w:pPr>
      <w:r>
        <w:t>(Source: Tessitore, 2025)</w:t>
      </w:r>
    </w:p>
    <w:bookmarkStart w:id="18" w:name="_Toc236417296"/>
    <w:p w14:paraId="73FF7F87">
      <w:pPr>
        <w:pStyle w:val="style2"/>
        <w:rPr/>
      </w:pPr>
      <w:r>
        <w:t>3.4 Conclusion and Strategic Recommendations</w:t>
      </w:r>
      <w:bookmarkEnd w:id="18"/>
      <w:r>
        <w:t xml:space="preserve"> </w:t>
      </w:r>
    </w:p>
    <w:bookmarkStart w:id="19" w:name="_Toc236417297"/>
    <w:p w14:paraId="73FF7F88">
      <w:pPr>
        <w:pStyle w:val="style3"/>
        <w:rPr/>
      </w:pPr>
      <w:r>
        <w:t>3.4.1 Overall Conclusion</w:t>
      </w:r>
      <w:bookmarkEnd w:id="19"/>
    </w:p>
    <w:p w14:paraId="73FF7F89">
      <w:pPr>
        <w:pStyle w:val="style0"/>
        <w:rPr/>
      </w:pPr>
      <w:r>
        <w:t xml:space="preserve">The report summarises Tesla’s expansion in the Indonesian market through the development of a </w:t>
      </w:r>
      <w:r>
        <w:t>Gigafactory</w:t>
      </w:r>
      <w:r>
        <w:t>, invested in lithium battery vehicle production and battery hub. Increasing EV taxes in Indonesia to push local products has made the initial issue of controlling the financial cash outflow of the business. Overall, the expansion of the production capacity and higher sales value has helped the industry increase its market strength.</w:t>
      </w:r>
    </w:p>
    <w:bookmarkStart w:id="20" w:name="_Toc236417298"/>
    <w:p w14:paraId="73FF7F8A">
      <w:pPr>
        <w:pStyle w:val="style3"/>
        <w:rPr/>
      </w:pPr>
      <w:r>
        <w:t>3.4.2 Strategic Recommendations</w:t>
      </w:r>
      <w:bookmarkEnd w:id="20"/>
    </w:p>
    <w:p w14:paraId="73FF7F8B">
      <w:pPr>
        <w:pStyle w:val="style0"/>
        <w:rPr/>
      </w:pPr>
      <w:r>
        <w:t xml:space="preserve">Tesla expanded in the Indonesian market through a strategic alliance with “Polytron” and “PT HLI Green Power” for battery investment and modernisation in EV design. Increasing </w:t>
      </w:r>
      <w:r>
        <w:t xml:space="preserve">EV taxes in Indonesia to push local products has made the initial issue of controlling the financial cash outflow of the business. Overall, the expansion of the production capacity and higher sales value has helped the industry increase its market strength. In addition, the initiative has also increased the sustainability level of the business operations executed within the sector. </w:t>
      </w:r>
    </w:p>
    <w:bookmarkStart w:id="21" w:name="_b56iv4jhev37" w:colFirst="0" w:colLast="0"/>
    <w:bookmarkEnd w:id="21"/>
    <w:p w14:paraId="73FF7F8C">
      <w:pPr>
        <w:pStyle w:val="style3"/>
        <w:rPr/>
      </w:pPr>
      <w:r>
        <w:br w:type="page"/>
      </w:r>
    </w:p>
    <w:bookmarkStart w:id="22" w:name="_Toc236417299"/>
    <w:p w14:paraId="73FF7F8D">
      <w:pPr>
        <w:pStyle w:val="style1"/>
        <w:rPr/>
      </w:pPr>
      <w:r>
        <w:t>Section 2: Reflective Account</w:t>
      </w:r>
      <w:bookmarkEnd w:id="22"/>
      <w:r>
        <w:t xml:space="preserve"> </w:t>
      </w:r>
    </w:p>
    <w:p w14:paraId="73FF7F8E">
      <w:pPr>
        <w:pStyle w:val="style0"/>
        <w:rPr>
          <w:b/>
          <w:bCs/>
        </w:rPr>
      </w:pPr>
      <w:r>
        <w:rPr>
          <w:b/>
          <w:bCs/>
        </w:rPr>
        <w:t>Reflection Using Gibbs' Reflective Cycle</w:t>
      </w:r>
    </w:p>
    <w:p w14:paraId="73FF7F8F">
      <w:pPr>
        <w:pStyle w:val="style0"/>
        <w:rPr/>
      </w:pPr>
      <w:r>
        <w:t>The Gibbs Reflective cycle is a viable framework that emphasises on providing details regarding the personal experiences achieved from the completion of a project. According to Ocampo et al. (2025), the reflection tool includes the existence of six stages such as “Description, Feelings, Evaluation, Analysis, Conclusion and Action Plan” that help in summarising the learnings acquired from the research. In addition, the framework also identifies individual strengths and weaknesses that improves the scope for achieving career growth for skilled individuals. Thus, the adoption of the model has improved the opportunity for professional development among individuals.</w:t>
      </w:r>
    </w:p>
    <w:p w14:paraId="73FF7F90">
      <w:pPr>
        <w:pStyle w:val="style0"/>
        <w:jc w:val="center"/>
        <w:rPr/>
      </w:pPr>
      <w:r>
        <w:rPr>
          <w:noProof/>
        </w:rPr>
        <w:drawing>
          <wp:inline distL="0" distT="0" distB="0" distR="0">
            <wp:extent cx="4914900" cy="3686175"/>
            <wp:effectExtent l="0" t="0" r="0" b="0"/>
            <wp:docPr id="1045"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8" name="image1.png"/>
                    <pic:cNvPicPr/>
                  </pic:nvPicPr>
                  <pic:blipFill>
                    <a:blip r:embed="rId20" cstate="print"/>
                    <a:srcRect l="0" t="0" r="0" b="0"/>
                    <a:stretch/>
                  </pic:blipFill>
                  <pic:spPr>
                    <a:xfrm rot="0">
                      <a:off x="0" y="0"/>
                      <a:ext cx="4914900" cy="3686175"/>
                    </a:xfrm>
                    <a:prstGeom prst="rect"/>
                    <a:ln cmpd="sng" cap="flat" w="9525">
                      <a:solidFill>
                        <a:srgbClr val="000000"/>
                      </a:solidFill>
                      <a:prstDash val="solid"/>
                      <a:round/>
                      <a:headEnd/>
                      <a:tailEnd/>
                    </a:ln>
                  </pic:spPr>
                </pic:pic>
              </a:graphicData>
            </a:graphic>
          </wp:inline>
        </w:drawing>
      </w:r>
    </w:p>
    <w:p w14:paraId="73FF7F91">
      <w:pPr>
        <w:pStyle w:val="style0"/>
        <w:jc w:val="center"/>
        <w:rPr>
          <w:b/>
          <w:bCs/>
        </w:rPr>
      </w:pPr>
      <w:r>
        <w:rPr>
          <w:b/>
          <w:bCs/>
        </w:rPr>
        <w:t>Figure 18: Gibbs Reflective Cycle</w:t>
      </w:r>
    </w:p>
    <w:p w14:paraId="73FF7F92">
      <w:pPr>
        <w:pStyle w:val="style0"/>
        <w:jc w:val="center"/>
        <w:rPr/>
      </w:pPr>
      <w:r>
        <w:t>(Source: Harithuddin, 2021)</w:t>
      </w:r>
    </w:p>
    <w:p w14:paraId="73FF7F93">
      <w:pPr>
        <w:pStyle w:val="style0"/>
        <w:numPr>
          <w:ilvl w:val="0"/>
          <w:numId w:val="7"/>
        </w:numPr>
        <w:rPr>
          <w:b/>
          <w:bCs/>
        </w:rPr>
      </w:pPr>
      <w:r>
        <w:rPr>
          <w:b/>
          <w:bCs/>
        </w:rPr>
        <w:t>Description</w:t>
      </w:r>
    </w:p>
    <w:p w14:paraId="73FF7F94">
      <w:pPr>
        <w:pStyle w:val="style0"/>
        <w:rPr/>
      </w:pPr>
      <w:r>
        <w:t xml:space="preserve">During the completion of the report, I have adopted a flexible approach that helped me in understanding the market position of Tesla and the strength of its internal and external management operations. The evaluation of the operational efficiency level of Tesla has also assisted me in strengthening my analytical skills significantly. As stated by </w:t>
      </w:r>
      <w:r>
        <w:t xml:space="preserve">Davidovitch, Gerkerova and Kyselyova (2024), the existence of a strong analytical knowledge has helped in acquiring proper knowledge regarding the use of strategic tools in the investigation process. I also acquired knowledge regarding the Hofstede model that provided me information regarding the cultural differences in Indonesia and the USA that will have an impact on the business operations of Tesla. On the other hand, I also observed issues regarding the collection of information regarding the market position of Indonesian automobile industry to limited availability of financial data that caused delays in the completion of the report. Overall, the experience achieved from </w:t>
      </w:r>
      <w:r>
        <w:t>competing</w:t>
      </w:r>
      <w:r>
        <w:t xml:space="preserve"> the report has helped me in achieving professional development.</w:t>
      </w:r>
    </w:p>
    <w:p w14:paraId="73FF7F95">
      <w:pPr>
        <w:pStyle w:val="style0"/>
        <w:numPr>
          <w:ilvl w:val="0"/>
          <w:numId w:val="2"/>
        </w:numPr>
        <w:rPr>
          <w:b/>
          <w:bCs/>
        </w:rPr>
      </w:pPr>
      <w:r>
        <w:rPr>
          <w:b/>
          <w:bCs/>
        </w:rPr>
        <w:t>Feelings</w:t>
      </w:r>
    </w:p>
    <w:p w14:paraId="73FF7F96">
      <w:pPr>
        <w:pStyle w:val="style0"/>
        <w:rPr/>
      </w:pPr>
      <w:r>
        <w:t xml:space="preserve">While doing the task, I have collected information from the learning materials that help me to do extensive research on the topic. I have followed a systematic approach in collecting information to analyze the learning objectives by carefully reviewing the task objective. I enhanced my confidence by becoming familiar with “Bartlett and Ghoshal's Model” which is reliable for the international expansion of Tesla in the Indonesian market. I was able to access the global configuration and competitive dimensions of Tesla, which helped to assess the overall success </w:t>
      </w:r>
      <w:r>
        <w:t>opportunity. The</w:t>
      </w:r>
      <w:r>
        <w:t xml:space="preserve"> use of the learning materials helped me to gain my consideration through the reliable application of theories and in interpretation throughout the research. I felt overwhelmed by connecting information with the theories that are more reliable for the development of the research plan. Throughout the research, I have gathered information associated with the research topic by highlighting different viewpoints of the author. As a result, this information helps me to handle practical situations by application of academic concepts. </w:t>
      </w:r>
    </w:p>
    <w:p w14:paraId="73FF7F97">
      <w:pPr>
        <w:pStyle w:val="style0"/>
        <w:numPr>
          <w:ilvl w:val="0"/>
          <w:numId w:val="10"/>
        </w:numPr>
        <w:rPr>
          <w:b/>
          <w:bCs/>
        </w:rPr>
      </w:pPr>
      <w:r>
        <w:rPr>
          <w:b/>
          <w:bCs/>
        </w:rPr>
        <w:t>Evaluation</w:t>
      </w:r>
    </w:p>
    <w:p w14:paraId="73FF7F98">
      <w:pPr>
        <w:pStyle w:val="style0"/>
        <w:rPr/>
      </w:pPr>
      <w:r>
        <w:t xml:space="preserve">Based on my learning experience, I observed that my analytical skills have assisted me in understanding and utilising tools such as the OLI framework that evaluated the operational strength and weaknesses of Tesla. On the other hand, I also felt that the absence of proper financial evidence regarding the Indonesian automobile sector has lowered the quality of my report. In addition, I also carried out detailed research regarding the topic and included vast information on the operations of Tesla that also caused delays in the completion of the evaluation process. According to Patzak, Zhang and Vytasek </w:t>
      </w:r>
      <w:r>
        <w:t>(2025), the lowering of the time management skills has an adverse impact on the work discipline level of the individuals and reduces professional growth. Thus, the provision of in-depth research regarding the business ventures of Tesla and customer sentiments of Indonesia has improved the quality of my report.</w:t>
      </w:r>
    </w:p>
    <w:p w14:paraId="73FF7F99">
      <w:pPr>
        <w:pStyle w:val="style0"/>
        <w:numPr>
          <w:ilvl w:val="0"/>
          <w:numId w:val="3"/>
        </w:numPr>
        <w:rPr>
          <w:b/>
          <w:bCs/>
        </w:rPr>
      </w:pPr>
      <w:r>
        <w:rPr>
          <w:b/>
          <w:bCs/>
        </w:rPr>
        <w:t>Analysis</w:t>
      </w:r>
    </w:p>
    <w:p w14:paraId="73FF7F9A">
      <w:pPr>
        <w:pStyle w:val="style0"/>
        <w:rPr>
          <w:b/>
          <w:bCs/>
        </w:rPr>
      </w:pPr>
      <w:r>
        <w:t xml:space="preserve">During this module, the adoption of professional and academic sources helped me to strengthen my confidence level by responding to the complex problem. I faced several challenges in collecting exact information and conflicting opinions of different authors. Due to strict time, I faced complexity in gathering reliable information and distinguishing information that are collected from materials. In this module, the lecture provides reliable information that enhances critical thinking skills by the ability to deal with organizational situations. Uses of information from the case studies helps me to assess theory application using Hofstede cultural dimension model for cultural analysis of Tesla in Indonesia and US market. Access “Macro-Environmental” analysis through Political, and legal factors for expansion of Tesla. Academic journals serve as a reliable source of information related to research topics by highlighting contemporary debates and multiple sources for assessing problems. The use of these sources helps in collecting information by aligning with the learning outcome associated with the research topic. </w:t>
      </w:r>
    </w:p>
    <w:p w14:paraId="73FF7F9B">
      <w:pPr>
        <w:pStyle w:val="style0"/>
        <w:numPr>
          <w:ilvl w:val="0"/>
          <w:numId w:val="6"/>
        </w:numPr>
        <w:rPr>
          <w:b/>
          <w:bCs/>
        </w:rPr>
      </w:pPr>
      <w:r>
        <w:rPr>
          <w:b/>
          <w:bCs/>
        </w:rPr>
        <w:t>Conclusion</w:t>
      </w:r>
    </w:p>
    <w:p w14:paraId="73FF7F9C">
      <w:pPr>
        <w:pStyle w:val="style0"/>
        <w:rPr/>
      </w:pPr>
      <w:r>
        <w:t>The investigation has provided me opportunities of experiencing career growth through analytical and operational skill enhancement. I also acquired information regarding the utility of the Hofstede and OLI framework that evaluated the expansion strategies adopted by Tesla and its impact on the business operations of the company. In addition, the framework also assisted me in improving my cultural knowledge regarding the USA and Indonesia. I also observed issues in my time management skills that also caused delays in the completion of the report. In addition, the presence of limited financial information regarding the Indonesian automobile industry has also lowered the efficacy of my research work. I also focused on involving the use of peer reviewed journal articles that increased the ethical standard of my investigation process. Thus, the report has improved my confidence level of carrying out similar investigations in future.</w:t>
      </w:r>
    </w:p>
    <w:p w14:paraId="73FF7F9D">
      <w:pPr>
        <w:pStyle w:val="style0"/>
        <w:numPr>
          <w:ilvl w:val="0"/>
          <w:numId w:val="4"/>
        </w:numPr>
        <w:rPr>
          <w:b/>
          <w:bCs/>
        </w:rPr>
      </w:pPr>
      <w:r>
        <w:rPr>
          <w:b/>
          <w:bCs/>
        </w:rPr>
        <w:t>Action Plan</w:t>
      </w:r>
    </w:p>
    <w:tbl>
      <w:tblPr>
        <w:tblStyle w:val="style4098"/>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40"/>
        <w:gridCol w:w="5175"/>
        <w:gridCol w:w="1545"/>
      </w:tblGrid>
      <w:tr w14:paraId="73FF7FA1">
        <w:trPr/>
        <w:tc>
          <w:tcPr>
            <w:tcW w:w="2640" w:type="dxa"/>
            <w:tcBorders/>
            <w:tcMar>
              <w:top w:w="100" w:type="dxa"/>
              <w:left w:w="100" w:type="dxa"/>
              <w:bottom w:w="100" w:type="dxa"/>
              <w:right w:w="100" w:type="dxa"/>
            </w:tcMar>
          </w:tcPr>
          <w:p w14:paraId="73FF7F9E">
            <w:pPr>
              <w:pStyle w:val="style0"/>
              <w:widowControl w:val="false"/>
              <w:jc w:val="left"/>
              <w:rPr>
                <w:b/>
                <w:bCs/>
              </w:rPr>
            </w:pPr>
            <w:r>
              <w:rPr>
                <w:b/>
                <w:bCs/>
              </w:rPr>
              <w:t xml:space="preserve">Improvement plan </w:t>
            </w:r>
          </w:p>
        </w:tc>
        <w:tc>
          <w:tcPr>
            <w:tcW w:w="5175" w:type="dxa"/>
            <w:tcBorders/>
            <w:tcMar>
              <w:top w:w="100" w:type="dxa"/>
              <w:left w:w="100" w:type="dxa"/>
              <w:bottom w:w="100" w:type="dxa"/>
              <w:right w:w="100" w:type="dxa"/>
            </w:tcMar>
          </w:tcPr>
          <w:p w14:paraId="73FF7F9F">
            <w:pPr>
              <w:pStyle w:val="style0"/>
              <w:widowControl w:val="false"/>
              <w:jc w:val="left"/>
              <w:rPr>
                <w:b/>
                <w:bCs/>
              </w:rPr>
            </w:pPr>
            <w:r>
              <w:rPr>
                <w:b/>
                <w:bCs/>
              </w:rPr>
              <w:t xml:space="preserve">Action taken </w:t>
            </w:r>
          </w:p>
        </w:tc>
        <w:tc>
          <w:tcPr>
            <w:tcW w:w="1545" w:type="dxa"/>
            <w:tcBorders/>
            <w:tcMar>
              <w:top w:w="100" w:type="dxa"/>
              <w:left w:w="100" w:type="dxa"/>
              <w:bottom w:w="100" w:type="dxa"/>
              <w:right w:w="100" w:type="dxa"/>
            </w:tcMar>
          </w:tcPr>
          <w:p w14:paraId="73FF7FA0">
            <w:pPr>
              <w:pStyle w:val="style0"/>
              <w:widowControl w:val="false"/>
              <w:jc w:val="left"/>
              <w:rPr>
                <w:b/>
                <w:bCs/>
              </w:rPr>
            </w:pPr>
            <w:r>
              <w:rPr>
                <w:b/>
                <w:bCs/>
              </w:rPr>
              <w:t xml:space="preserve">Time plan </w:t>
            </w:r>
          </w:p>
        </w:tc>
      </w:tr>
      <w:tr w14:paraId="73FF7FA5">
        <w:tblPrEx/>
        <w:trPr/>
        <w:tc>
          <w:tcPr>
            <w:tcW w:w="2640" w:type="dxa"/>
            <w:tcBorders/>
            <w:tcMar>
              <w:top w:w="100" w:type="dxa"/>
              <w:left w:w="100" w:type="dxa"/>
              <w:bottom w:w="100" w:type="dxa"/>
              <w:right w:w="100" w:type="dxa"/>
            </w:tcMar>
          </w:tcPr>
          <w:p w14:paraId="73FF7FA2">
            <w:pPr>
              <w:pStyle w:val="style0"/>
              <w:widowControl w:val="false"/>
              <w:rPr/>
            </w:pPr>
            <w:r>
              <w:t xml:space="preserve">Different opinions of authors related to the topic </w:t>
            </w:r>
          </w:p>
        </w:tc>
        <w:tc>
          <w:tcPr>
            <w:tcW w:w="5175" w:type="dxa"/>
            <w:tcBorders/>
            <w:tcMar>
              <w:top w:w="100" w:type="dxa"/>
              <w:left w:w="100" w:type="dxa"/>
              <w:bottom w:w="100" w:type="dxa"/>
              <w:right w:w="100" w:type="dxa"/>
            </w:tcMar>
          </w:tcPr>
          <w:p w14:paraId="73FF7FA3">
            <w:pPr>
              <w:pStyle w:val="style0"/>
              <w:widowControl w:val="false"/>
              <w:numPr>
                <w:ilvl w:val="0"/>
                <w:numId w:val="9"/>
              </w:numPr>
              <w:rPr/>
            </w:pPr>
            <w:r>
              <w:t xml:space="preserve">Clear review of evidence through logical reasoning and highlight argument based on personal judgements. </w:t>
            </w:r>
          </w:p>
        </w:tc>
        <w:tc>
          <w:tcPr>
            <w:tcW w:w="1545" w:type="dxa"/>
            <w:tcBorders/>
            <w:tcMar>
              <w:top w:w="100" w:type="dxa"/>
              <w:left w:w="100" w:type="dxa"/>
              <w:bottom w:w="100" w:type="dxa"/>
              <w:right w:w="100" w:type="dxa"/>
            </w:tcMar>
          </w:tcPr>
          <w:p w14:paraId="73FF7FA4">
            <w:pPr>
              <w:pStyle w:val="style0"/>
              <w:widowControl w:val="false"/>
              <w:rPr/>
            </w:pPr>
            <w:r>
              <w:t xml:space="preserve">5 month </w:t>
            </w:r>
          </w:p>
        </w:tc>
      </w:tr>
      <w:tr w14:paraId="73FF7FA9">
        <w:tblPrEx/>
        <w:trPr/>
        <w:tc>
          <w:tcPr>
            <w:tcW w:w="2640" w:type="dxa"/>
            <w:tcBorders/>
            <w:tcMar>
              <w:top w:w="100" w:type="dxa"/>
              <w:left w:w="100" w:type="dxa"/>
              <w:bottom w:w="100" w:type="dxa"/>
              <w:right w:w="100" w:type="dxa"/>
            </w:tcMar>
          </w:tcPr>
          <w:p w14:paraId="73FF7FA6">
            <w:pPr>
              <w:pStyle w:val="style0"/>
              <w:widowControl w:val="false"/>
              <w:rPr/>
            </w:pPr>
            <w:r>
              <w:t xml:space="preserve">Limited time for managing data </w:t>
            </w:r>
          </w:p>
        </w:tc>
        <w:tc>
          <w:tcPr>
            <w:tcW w:w="5175" w:type="dxa"/>
            <w:tcBorders/>
            <w:tcMar>
              <w:top w:w="100" w:type="dxa"/>
              <w:left w:w="100" w:type="dxa"/>
              <w:bottom w:w="100" w:type="dxa"/>
              <w:right w:w="100" w:type="dxa"/>
            </w:tcMar>
          </w:tcPr>
          <w:p w14:paraId="73FF7FA7">
            <w:pPr>
              <w:pStyle w:val="style0"/>
              <w:widowControl w:val="false"/>
              <w:numPr>
                <w:ilvl w:val="0"/>
                <w:numId w:val="5"/>
              </w:numPr>
              <w:rPr/>
            </w:pPr>
            <w:r>
              <w:t>Enhance time management by prioritising on Task and tracking progress through the Pomodoro technique.</w:t>
            </w:r>
          </w:p>
        </w:tc>
        <w:tc>
          <w:tcPr>
            <w:tcW w:w="1545" w:type="dxa"/>
            <w:tcBorders/>
            <w:tcMar>
              <w:top w:w="100" w:type="dxa"/>
              <w:left w:w="100" w:type="dxa"/>
              <w:bottom w:w="100" w:type="dxa"/>
              <w:right w:w="100" w:type="dxa"/>
            </w:tcMar>
          </w:tcPr>
          <w:p w14:paraId="73FF7FA8">
            <w:pPr>
              <w:pStyle w:val="style0"/>
              <w:widowControl w:val="false"/>
              <w:rPr/>
            </w:pPr>
            <w:r>
              <w:t xml:space="preserve">6 month </w:t>
            </w:r>
          </w:p>
        </w:tc>
      </w:tr>
      <w:tr w14:paraId="73FF7FAD">
        <w:tblPrEx/>
        <w:trPr/>
        <w:tc>
          <w:tcPr>
            <w:tcW w:w="2640" w:type="dxa"/>
            <w:tcBorders/>
            <w:tcMar>
              <w:top w:w="100" w:type="dxa"/>
              <w:left w:w="100" w:type="dxa"/>
              <w:bottom w:w="100" w:type="dxa"/>
              <w:right w:w="100" w:type="dxa"/>
            </w:tcMar>
          </w:tcPr>
          <w:p w14:paraId="73FF7FAA">
            <w:pPr>
              <w:pStyle w:val="style0"/>
              <w:widowControl w:val="false"/>
              <w:rPr/>
            </w:pPr>
            <w:r>
              <w:t xml:space="preserve">Limited undermining of company as well as industry data </w:t>
            </w:r>
          </w:p>
        </w:tc>
        <w:tc>
          <w:tcPr>
            <w:tcW w:w="5175" w:type="dxa"/>
            <w:tcBorders/>
            <w:tcMar>
              <w:top w:w="100" w:type="dxa"/>
              <w:left w:w="100" w:type="dxa"/>
              <w:bottom w:w="100" w:type="dxa"/>
              <w:right w:w="100" w:type="dxa"/>
            </w:tcMar>
          </w:tcPr>
          <w:p w14:paraId="73FF7FAB">
            <w:pPr>
              <w:pStyle w:val="style0"/>
              <w:widowControl w:val="false"/>
              <w:numPr>
                <w:ilvl w:val="0"/>
                <w:numId w:val="8"/>
              </w:numPr>
              <w:rPr/>
            </w:pPr>
            <w:r>
              <w:t xml:space="preserve">Break large tasks into smaller ones which help to achieve goals for development of future assignments and ability to improve use of actual sources by reducing duplication. </w:t>
            </w:r>
          </w:p>
        </w:tc>
        <w:tc>
          <w:tcPr>
            <w:tcW w:w="1545" w:type="dxa"/>
            <w:tcBorders/>
            <w:tcMar>
              <w:top w:w="100" w:type="dxa"/>
              <w:left w:w="100" w:type="dxa"/>
              <w:bottom w:w="100" w:type="dxa"/>
              <w:right w:w="100" w:type="dxa"/>
            </w:tcMar>
          </w:tcPr>
          <w:p w14:paraId="73FF7FAC">
            <w:pPr>
              <w:pStyle w:val="style0"/>
              <w:widowControl w:val="false"/>
              <w:rPr/>
            </w:pPr>
            <w:r>
              <w:t xml:space="preserve">6 months </w:t>
            </w:r>
          </w:p>
        </w:tc>
      </w:tr>
    </w:tbl>
    <w:p w14:paraId="73FF7FAE">
      <w:pPr>
        <w:pStyle w:val="style0"/>
        <w:jc w:val="center"/>
        <w:rPr>
          <w:b/>
          <w:bCs/>
        </w:rPr>
      </w:pPr>
      <w:r>
        <w:rPr>
          <w:b/>
          <w:bCs/>
        </w:rPr>
        <w:t xml:space="preserve">Table 1: Action plan </w:t>
      </w:r>
    </w:p>
    <w:p w14:paraId="73FF7FAF">
      <w:pPr>
        <w:pStyle w:val="style0"/>
        <w:rPr/>
      </w:pPr>
      <w:r>
        <w:br w:type="page"/>
      </w:r>
    </w:p>
    <w:bookmarkStart w:id="23" w:name="_Toc236417300"/>
    <w:p w14:paraId="73FF7FB0">
      <w:pPr>
        <w:pStyle w:val="style1"/>
        <w:rPr>
          <w:sz w:val="36"/>
          <w:szCs w:val="36"/>
        </w:rPr>
      </w:pPr>
      <w:r>
        <w:t>References</w:t>
      </w:r>
      <w:bookmarkEnd w:id="23"/>
      <w:r>
        <w:t xml:space="preserve"> </w:t>
      </w:r>
    </w:p>
    <w:p w14:paraId="04D0E7D0">
      <w:pPr>
        <w:pStyle w:val="style0"/>
        <w:spacing w:after="240"/>
        <w:rPr/>
      </w:pPr>
      <w:r>
        <w:t xml:space="preserve">6Wresearch (2026). </w:t>
      </w:r>
      <w:r>
        <w:rPr>
          <w:i/>
          <w:iCs/>
        </w:rPr>
        <w:t>Indonesia Market (2026-2032) | Trends, Outlook &amp; Forecast</w:t>
      </w:r>
      <w:r>
        <w:t>. [online] 6wresearch.com. Available at: https://www.6wresearch.com/industry-report/indonesia-market.</w:t>
      </w:r>
    </w:p>
    <w:p w14:paraId="5D59DAF8">
      <w:pPr>
        <w:pStyle w:val="style0"/>
        <w:spacing w:after="240"/>
        <w:rPr/>
      </w:pPr>
      <w:r>
        <w:t xml:space="preserve">Ali, W. (2023). A Report Global Strategy Assessment of Wendy’s United States of America (USA). </w:t>
      </w:r>
      <w:r>
        <w:rPr>
          <w:i/>
          <w:iCs/>
        </w:rPr>
        <w:t>ResearchGate</w:t>
      </w:r>
      <w:r>
        <w:t>. [online] doi:10.13140/RG.2.2.25421.45283.</w:t>
      </w:r>
    </w:p>
    <w:p w14:paraId="5B325613">
      <w:pPr>
        <w:pStyle w:val="style0"/>
        <w:spacing w:after="240"/>
        <w:rPr/>
      </w:pPr>
      <w:r>
        <w:t xml:space="preserve">Alvarez, S. (2025). </w:t>
      </w:r>
      <w:r>
        <w:rPr>
          <w:i/>
          <w:iCs/>
        </w:rPr>
        <w:t>Tesla China now has over 400 domestic tier-1 suppliers: report</w:t>
      </w:r>
      <w:r>
        <w:t xml:space="preserve">. [online] </w:t>
      </w:r>
      <w:r>
        <w:rPr>
          <w:i/>
          <w:iCs/>
        </w:rPr>
        <w:t>TESLARATI</w:t>
      </w:r>
      <w:r>
        <w:t>. Available at: https://www.teslarati.com/tesla-china-over-400-domestic-tier-1-suppliers/#google_vignette.</w:t>
      </w:r>
    </w:p>
    <w:p w14:paraId="351D0C04">
      <w:pPr>
        <w:pStyle w:val="style0"/>
        <w:spacing w:after="240"/>
        <w:rPr/>
      </w:pPr>
      <w:r>
        <w:t xml:space="preserve">Asia Records (2026). </w:t>
      </w:r>
      <w:r>
        <w:rPr>
          <w:i/>
          <w:iCs/>
        </w:rPr>
        <w:t>ASIA Records - 🇮🇩 Indonesia, the country with the highest...</w:t>
      </w:r>
      <w:r>
        <w:t xml:space="preserve"> [online] Facebook.com. Available at: https://www.facebook.com/AsiaRecordsOfficial/posts/-indonesia-the-country-with-the-highest-unemployment-rate-in-southeast-asia-2023/771626555007994/.</w:t>
      </w:r>
    </w:p>
    <w:p w14:paraId="3662CB9F">
      <w:pPr>
        <w:pStyle w:val="style0"/>
        <w:spacing w:after="240"/>
        <w:rPr/>
      </w:pPr>
      <w:r>
        <w:t xml:space="preserve">Automotor (2026). </w:t>
      </w:r>
      <w:r>
        <w:rPr>
          <w:i/>
          <w:iCs/>
        </w:rPr>
        <w:t>Apex Automotor | This is a crazy chart</w:t>
      </w:r>
      <w:r>
        <w:t>. [online] Facebook.com. Available at: https://www.facebook.com/groups/1939836749567520/posts/3839551136262729/.</w:t>
      </w:r>
    </w:p>
    <w:p w14:paraId="7A700F02">
      <w:pPr>
        <w:pStyle w:val="style0"/>
        <w:spacing w:after="240"/>
        <w:rPr/>
      </w:pPr>
      <w:r>
        <w:rPr>
          <w:color w:val="000000"/>
        </w:rPr>
        <w:t>Amarsys (2026). NatPower and Tesla sign a strategic agreement for more than 25 GWh of Battery Energy Storage Systems in Europe. [online] Energy-pedia.com. Available at: https://www.energy-pedia.com/news/general/natpower-and-tesla-sign-a-strategic-agreement-for-more-than-25-gwh-of-battery-energy-storage-systems-in-europe-204380.</w:t>
      </w:r>
    </w:p>
    <w:p w14:paraId="072A6842">
      <w:pPr>
        <w:pStyle w:val="style0"/>
        <w:spacing w:after="240"/>
        <w:rPr/>
      </w:pPr>
      <w:r>
        <w:t xml:space="preserve">Brand Finance (2026). </w:t>
      </w:r>
      <w:r>
        <w:rPr>
          <w:i/>
          <w:iCs/>
        </w:rPr>
        <w:t>Tesla tumbles, BYD gains as global automobile brand value falls 7% in 2026 | Press Release | Brand Finance</w:t>
      </w:r>
      <w:r>
        <w:t xml:space="preserve">. [online] </w:t>
      </w:r>
      <w:r>
        <w:rPr>
          <w:i/>
          <w:iCs/>
        </w:rPr>
        <w:t>Brand Finance</w:t>
      </w:r>
      <w:r>
        <w:t>. Available at: https://brandfinance.com/press-releases/tesla-tumbles-byd-gains-as-global-automobile-brand-value-falls-7-in-2026.</w:t>
      </w:r>
    </w:p>
    <w:p w14:paraId="00EE691F">
      <w:pPr>
        <w:pStyle w:val="style0"/>
        <w:rPr/>
      </w:pPr>
      <w:r>
        <w:t xml:space="preserve">Capital, K. (2026). Indonesia Nickel Export Ban: 25% to 67% in Six Years. [online] Kamoa Capital. Available at: https://kamoacap.com/indonesia-nickel-export-ban/ </w:t>
      </w:r>
    </w:p>
    <w:p w14:paraId="55438621">
      <w:pPr>
        <w:pStyle w:val="style0"/>
        <w:spacing w:after="240"/>
        <w:rPr/>
      </w:pPr>
      <w:r>
        <w:t xml:space="preserve">CEIC (2026). </w:t>
      </w:r>
      <w:r>
        <w:rPr>
          <w:i/>
          <w:iCs/>
        </w:rPr>
        <w:t>Indonesia nominal GDP growth</w:t>
      </w:r>
      <w:r>
        <w:t xml:space="preserve">. [online] </w:t>
      </w:r>
      <w:r>
        <w:rPr>
          <w:i/>
          <w:iCs/>
        </w:rPr>
        <w:t>Ceicdata.com</w:t>
      </w:r>
      <w:r>
        <w:t>. CEICdata.com. Available at: https://www.ceicdata.com/en/indicator/indonesia/nominal-gdp-growth .</w:t>
      </w:r>
    </w:p>
    <w:p w14:paraId="1A7D7EDA">
      <w:pPr>
        <w:pStyle w:val="style0"/>
        <w:spacing w:after="240"/>
        <w:rPr/>
      </w:pPr>
      <w:r>
        <w:t xml:space="preserve">Chery (2026). </w:t>
      </w:r>
      <w:r>
        <w:rPr>
          <w:i/>
          <w:iCs/>
        </w:rPr>
        <w:t>Chery Indonesia</w:t>
      </w:r>
      <w:r>
        <w:t>. [online] Chery Indonesia. Available at: https://chery.co.id/en/tips-and-tricks/electric-car-tax.</w:t>
      </w:r>
    </w:p>
    <w:p w14:paraId="5B782E7C">
      <w:pPr>
        <w:pStyle w:val="style0"/>
        <w:spacing w:after="240"/>
        <w:rPr/>
      </w:pPr>
      <w:r>
        <w:t xml:space="preserve">Chhabra, P. (2026). </w:t>
      </w:r>
      <w:r>
        <w:rPr>
          <w:i/>
          <w:iCs/>
        </w:rPr>
        <w:t>Indonesia and its EV ambitions</w:t>
      </w:r>
      <w:r>
        <w:t xml:space="preserve">. [online] </w:t>
      </w:r>
      <w:r>
        <w:rPr>
          <w:i/>
          <w:iCs/>
        </w:rPr>
        <w:t>Nickelinstitute.org</w:t>
      </w:r>
      <w:r>
        <w:t>. Available at: https://nickelinstitute.org/en/blog/2024/july/indonesia-and-its-ev-ambitions/.</w:t>
      </w:r>
    </w:p>
    <w:p w14:paraId="2C9C3B37">
      <w:pPr>
        <w:pStyle w:val="style0"/>
        <w:spacing w:after="240"/>
        <w:rPr/>
      </w:pPr>
      <w:r>
        <w:t xml:space="preserve">Cri (2026). </w:t>
      </w:r>
      <w:r>
        <w:rPr>
          <w:i/>
          <w:iCs/>
        </w:rPr>
        <w:t>Indonesia Electric Vehicle Industry Research Report 2023-2032</w:t>
      </w:r>
      <w:r>
        <w:t>. [online] CRI Report. Available at: https://www.cri-report.com/indonesia-electric-vehicle-industry-research/?srsltid=AfmBOorS1v0vhlBrbBlwGi22lP5lsnbFgGtDB_bzr_eh-AEaXwocEXNg.</w:t>
      </w:r>
    </w:p>
    <w:p w14:paraId="0098839A">
      <w:pPr>
        <w:pStyle w:val="style0"/>
        <w:spacing w:after="240"/>
        <w:rPr/>
      </w:pPr>
      <w:r>
        <w:t xml:space="preserve">Davidovitch, Gerkerova and Kyselyova, O. (2024). Comparative Analysis of Knowledge Control and Evaluation Methods in Higher Education. </w:t>
      </w:r>
      <w:r>
        <w:rPr>
          <w:i/>
          <w:iCs/>
        </w:rPr>
        <w:t>Education Sciences</w:t>
      </w:r>
      <w:r>
        <w:t>, [online] 14(5), pp.505–505. doi:10.3390/educsci14050505.</w:t>
      </w:r>
    </w:p>
    <w:p w14:paraId="75FD5D85">
      <w:pPr>
        <w:pStyle w:val="style0"/>
        <w:spacing w:after="240"/>
        <w:rPr/>
      </w:pPr>
      <w:r>
        <w:t xml:space="preserve">Difa (2026). </w:t>
      </w:r>
      <w:r>
        <w:rPr>
          <w:i/>
          <w:iCs/>
        </w:rPr>
        <w:t>Indonesia targets US$121 billion ev battery investment push</w:t>
      </w:r>
      <w:r>
        <w:t>. [online] Antara News. Available at: https://en.antaranews.com/news/420308/indonesia-targets-us121-billion-ev-battery-investment-push.</w:t>
      </w:r>
    </w:p>
    <w:p w14:paraId="13F9A876">
      <w:pPr>
        <w:pStyle w:val="style0"/>
        <w:spacing w:after="240"/>
        <w:rPr/>
      </w:pPr>
      <w:r>
        <w:t xml:space="preserve">Flevin (2026). </w:t>
      </w:r>
      <w:r>
        <w:rPr>
          <w:i/>
          <w:iCs/>
        </w:rPr>
        <w:t>Law No. 7 of 1994 on Ratification of Agreement Establishing The WTO</w:t>
      </w:r>
      <w:r>
        <w:t xml:space="preserve">. [online] Flevin.com. Available at: https://www.flevin.com/id/lgso/translations/JICA%20Mirror/english/7.07.1994.eng.qc.html </w:t>
      </w:r>
    </w:p>
    <w:p w14:paraId="6BC08085">
      <w:pPr>
        <w:pStyle w:val="style0"/>
        <w:spacing w:after="240"/>
        <w:rPr/>
      </w:pPr>
      <w:r>
        <w:t xml:space="preserve">Government of Indonesia (2025). </w:t>
      </w:r>
      <w:r>
        <w:rPr>
          <w:i/>
          <w:iCs/>
        </w:rPr>
        <w:t>leglobal</w:t>
      </w:r>
      <w:r>
        <w:t xml:space="preserve">. [online] </w:t>
      </w:r>
      <w:r>
        <w:rPr>
          <w:i/>
          <w:iCs/>
        </w:rPr>
        <w:t>L&amp;E Global</w:t>
      </w:r>
      <w:r>
        <w:t>. Available at: https://leglobal.law/countries/indonesia/employment-law/employment-law-overview-indonesia/.</w:t>
      </w:r>
    </w:p>
    <w:p w14:paraId="530F5D5C">
      <w:pPr>
        <w:pStyle w:val="style0"/>
        <w:spacing w:after="240"/>
        <w:rPr/>
      </w:pPr>
      <w:r>
        <w:t xml:space="preserve">Government of UK (2025). </w:t>
      </w:r>
      <w:r>
        <w:rPr>
          <w:i/>
          <w:iCs/>
        </w:rPr>
        <w:t>Tesla eyes UK for gigafactory facility</w:t>
      </w:r>
      <w:r>
        <w:t>. [online] Fdiintelligence.com. Available at: https://www.fdiintelligence.com/content/013645f1-0e96-5ed5-bbd9-493daa69c39c.</w:t>
      </w:r>
    </w:p>
    <w:p w14:paraId="0F7D73C2">
      <w:pPr>
        <w:pStyle w:val="style0"/>
        <w:spacing w:after="240"/>
        <w:rPr/>
      </w:pPr>
      <w:r>
        <w:t xml:space="preserve">Harithuddin, A.S.M. (2021). A First Experience of Using Failure Report as a Reflective Tool in Engineering Education. </w:t>
      </w:r>
      <w:r>
        <w:rPr>
          <w:i/>
          <w:iCs/>
        </w:rPr>
        <w:t>International Journal of Emerging Technologies in Learning (iJET)</w:t>
      </w:r>
      <w:r>
        <w:t>, [online] 16(18). doi:10.3991/ijet.v16i18.24271.</w:t>
      </w:r>
    </w:p>
    <w:p w14:paraId="5ACE8B14">
      <w:pPr>
        <w:pStyle w:val="style0"/>
        <w:spacing w:after="240"/>
        <w:rPr/>
      </w:pPr>
      <w:r>
        <w:t xml:space="preserve">IISD (2025). </w:t>
      </w:r>
      <w:r>
        <w:rPr>
          <w:i/>
          <w:iCs/>
        </w:rPr>
        <w:t>Indonesian electric vehicle boom: A temporary trend or a long-term vision?</w:t>
      </w:r>
      <w:r>
        <w:t xml:space="preserve"> [online] </w:t>
      </w:r>
      <w:r>
        <w:rPr>
          <w:i/>
          <w:iCs/>
        </w:rPr>
        <w:t>International Institute for Sustainable Development</w:t>
      </w:r>
      <w:r>
        <w:t>. Available at: https://www.iisd.org/articles/deep-dive/indonesian-electric-vehicle-boom-temporary-trend-or-long-term-vision</w:t>
      </w:r>
    </w:p>
    <w:p w14:paraId="40BA618C">
      <w:pPr>
        <w:pStyle w:val="style0"/>
        <w:spacing w:after="240"/>
        <w:rPr/>
      </w:pPr>
      <w:r>
        <w:t xml:space="preserve">Imarc (2025). </w:t>
      </w:r>
      <w:r>
        <w:rPr>
          <w:i/>
          <w:iCs/>
        </w:rPr>
        <w:t>Indonesia electric two-wheeler market size &amp; share, 2033</w:t>
      </w:r>
      <w:r>
        <w:t xml:space="preserve">. [online] </w:t>
      </w:r>
      <w:r>
        <w:rPr>
          <w:i/>
          <w:iCs/>
        </w:rPr>
        <w:t>Imarcgroup.com</w:t>
      </w:r>
      <w:r>
        <w:t xml:space="preserve">. Available at: </w:t>
      </w:r>
      <w:r>
        <w:rPr/>
        <w:fldChar w:fldCharType="begin"/>
      </w:r>
      <w:r>
        <w:instrText xml:space="preserve"> HYPERLINK "https://www.imarcgroup.com/indonesia-electric-two-wheeler-market" </w:instrText>
      </w:r>
      <w:r>
        <w:rPr/>
        <w:fldChar w:fldCharType="separate"/>
      </w:r>
      <w:r>
        <w:t>https://www.imarcgroup.com/indonesia-electric-two-wheeler-market</w:t>
      </w:r>
      <w:r>
        <w:rPr/>
        <w:fldChar w:fldCharType="end"/>
      </w:r>
    </w:p>
    <w:p w14:paraId="493D052F">
      <w:pPr>
        <w:pStyle w:val="style0"/>
        <w:spacing w:after="240"/>
        <w:rPr/>
      </w:pPr>
      <w:r>
        <w:t xml:space="preserve">Indonesia Investments (2025). </w:t>
      </w:r>
      <w:r>
        <w:rPr>
          <w:i/>
          <w:iCs/>
        </w:rPr>
        <w:t>Consumer Price Index of Indonesia – The Return of Inflation in March 2025 | Indonesia Investments</w:t>
      </w:r>
      <w:r>
        <w:t xml:space="preserve">. [online] </w:t>
      </w:r>
      <w:r>
        <w:rPr>
          <w:i/>
          <w:iCs/>
        </w:rPr>
        <w:t>Indonesia-investments.com</w:t>
      </w:r>
      <w:r>
        <w:t>. Available at: https://www.indonesia-investments.com/news/todays-headlines/consumer-price-index-of-indonesia-the-return-of-inflation-in-march-2025/item9809?</w:t>
      </w:r>
    </w:p>
    <w:p w14:paraId="44FCC74C">
      <w:pPr>
        <w:pStyle w:val="style0"/>
        <w:spacing w:after="240"/>
        <w:rPr/>
      </w:pPr>
      <w:r>
        <w:t xml:space="preserve">Macro, S. and Ott, U.F. (2024). The evolution of the ability to effectively innovate in a transnational organization – a configurational analysis. </w:t>
      </w:r>
      <w:r>
        <w:rPr>
          <w:i/>
          <w:iCs/>
        </w:rPr>
        <w:t>Journal of International Management</w:t>
      </w:r>
      <w:r>
        <w:t>, 30(6), pp.101200–101200. doi:10.1016/j.intman.2024.101200.</w:t>
      </w:r>
    </w:p>
    <w:p w14:paraId="307685AD">
      <w:pPr>
        <w:pStyle w:val="style0"/>
        <w:spacing w:after="240"/>
        <w:rPr/>
      </w:pPr>
      <w:r>
        <w:t xml:space="preserve">Mahalana, A. (2025). </w:t>
      </w:r>
      <w:r>
        <w:rPr>
          <w:i/>
          <w:iCs/>
        </w:rPr>
        <w:t>Electric vehicle market in Indonesia - International Council on Clean Transportation</w:t>
      </w:r>
      <w:r>
        <w:t xml:space="preserve">. [online] </w:t>
      </w:r>
      <w:r>
        <w:rPr>
          <w:i/>
          <w:iCs/>
        </w:rPr>
        <w:t>International Council on Clean Transportation</w:t>
      </w:r>
      <w:r>
        <w:t>. Available at: https://theicct.org/publication/electric-vehicle-market-in-indonesia-dec25/.</w:t>
      </w:r>
    </w:p>
    <w:p w14:paraId="4DF31A3C">
      <w:pPr>
        <w:pStyle w:val="style0"/>
        <w:spacing w:after="240"/>
        <w:rPr/>
      </w:pPr>
      <w:r>
        <w:t xml:space="preserve">Marboen (2026). </w:t>
      </w:r>
      <w:r>
        <w:rPr>
          <w:i/>
          <w:iCs/>
        </w:rPr>
        <w:t>Indonesia plans national car hub with 300,000-vehicle capacity</w:t>
      </w:r>
      <w:r>
        <w:t>. [online] Antara News. Available at: https://en.antaranews.com/news/418776/indonesia-plans-national-car-hub-with-300000-vehicle-capacity.</w:t>
      </w:r>
    </w:p>
    <w:p w14:paraId="02424837">
      <w:pPr>
        <w:pStyle w:val="style0"/>
        <w:spacing w:after="240"/>
        <w:rPr/>
      </w:pPr>
      <w:r>
        <w:t xml:space="preserve">Market Screener (2025). </w:t>
      </w:r>
      <w:r>
        <w:rPr>
          <w:i/>
          <w:iCs/>
        </w:rPr>
        <w:t>MarketScreener India</w:t>
      </w:r>
      <w:r>
        <w:t xml:space="preserve">. [online] </w:t>
      </w:r>
      <w:r>
        <w:rPr>
          <w:i/>
          <w:iCs/>
        </w:rPr>
        <w:t>MarketScreener India</w:t>
      </w:r>
      <w:r>
        <w:t xml:space="preserve">. Available at: https://in.marketscreener.com/quote/stock/TESLA-INC-6344549/finances/ </w:t>
      </w:r>
    </w:p>
    <w:p w14:paraId="43D92658">
      <w:pPr>
        <w:pStyle w:val="style0"/>
        <w:spacing w:after="240"/>
        <w:rPr/>
      </w:pPr>
      <w:r>
        <w:t xml:space="preserve">Mera (2025). </w:t>
      </w:r>
      <w:r>
        <w:rPr>
          <w:i/>
          <w:iCs/>
        </w:rPr>
        <w:t xml:space="preserve">Comparison of the life-cycle greenhouse gas emissions of combustion engine and electric passenger cars and two-wheelers in Indonesia - International Council </w:t>
      </w:r>
      <w:r>
        <w:rPr>
          <w:i/>
          <w:iCs/>
        </w:rPr>
        <w:t>on Clean Transportation</w:t>
      </w:r>
      <w:r>
        <w:t xml:space="preserve">. [online] </w:t>
      </w:r>
      <w:r>
        <w:rPr>
          <w:i/>
          <w:iCs/>
        </w:rPr>
        <w:t>International Council on Clean Transportation</w:t>
      </w:r>
      <w:r>
        <w:t>. Available at: https://theicct.org/publication/comparison-life-cycle-ghg-emissions-combustion-engine-and-electric-pv-and-2w-indonesia-sept23/.</w:t>
      </w:r>
    </w:p>
    <w:p w14:paraId="7CA0D8EE">
      <w:pPr>
        <w:pStyle w:val="style0"/>
        <w:spacing w:after="240"/>
        <w:rPr/>
      </w:pPr>
      <w:r>
        <w:t xml:space="preserve">MMR (2026). </w:t>
      </w:r>
      <w:r>
        <w:rPr>
          <w:i/>
          <w:iCs/>
        </w:rPr>
        <w:t>Indonesia Electric Vehicle Market: Industry Analysis and Forecast (2021-2027)</w:t>
      </w:r>
      <w:r>
        <w:t xml:space="preserve">. [online] </w:t>
      </w:r>
      <w:r>
        <w:rPr>
          <w:i/>
          <w:iCs/>
        </w:rPr>
        <w:t>MAXIMIZE MARKET RESEARCH</w:t>
      </w:r>
      <w:r>
        <w:t xml:space="preserve">. Available at: https://www.maximizemarketresearch.com/market-report/indonesia-electric-vehicle-market/65817/ </w:t>
      </w:r>
    </w:p>
    <w:p w14:paraId="41AF26EF">
      <w:pPr>
        <w:pStyle w:val="style0"/>
        <w:rPr/>
      </w:pPr>
      <w:r>
        <w:t>Mordor Intelligence (2025). Indonesia Battery Market Share, Size 2022 - 27 | Industry Analysis. [online] www.mordorintelligence.com. Available at: https://www.mordorintelligence.com/industry-reports/indonesia-battery-market .</w:t>
      </w:r>
    </w:p>
    <w:p w14:paraId="77757E0E">
      <w:pPr>
        <w:pStyle w:val="style0"/>
        <w:spacing w:after="240"/>
        <w:rPr/>
      </w:pPr>
      <w:r>
        <w:t xml:space="preserve">NRF (2025). </w:t>
      </w:r>
      <w:r>
        <w:rPr>
          <w:i/>
          <w:iCs/>
        </w:rPr>
        <w:t>Global rules on foreign direct investment: Indonesia | Publications | Knowledge | Global law firm | Norton Rose Fulbright</w:t>
      </w:r>
      <w:r>
        <w:t xml:space="preserve">. [online] </w:t>
      </w:r>
      <w:r>
        <w:rPr>
          <w:i/>
          <w:iCs/>
        </w:rPr>
        <w:t>Nortonrosefulbright.com</w:t>
      </w:r>
      <w:r>
        <w:t xml:space="preserve">. Available at: https://www.nortonrosefulbright.com/en/knowledge/publications/68640358/global-rules-on-foreign-direct-investment---indonesia </w:t>
      </w:r>
    </w:p>
    <w:p w14:paraId="7171DA1E">
      <w:pPr>
        <w:pStyle w:val="style0"/>
        <w:spacing w:after="240"/>
        <w:rPr/>
      </w:pPr>
      <w:r>
        <w:t xml:space="preserve">Ocampo, F.A., McIntyre, B.G., Massey, D. and Saunders, R. (2025). Nursing Student Reflections on a Research Internship: A Reflective Discussion Following the Gibbs” Reflective Cycle. </w:t>
      </w:r>
      <w:r>
        <w:rPr>
          <w:i/>
          <w:iCs/>
        </w:rPr>
        <w:t>Nurse Education Today</w:t>
      </w:r>
      <w:r>
        <w:t>, [online] 145(1), p.106481. doi:https://doi.org/10.1016/j.nedt.2024.106481.</w:t>
      </w:r>
    </w:p>
    <w:p w14:paraId="37C994A1">
      <w:pPr>
        <w:pStyle w:val="style0"/>
        <w:spacing w:after="240"/>
        <w:rPr/>
      </w:pPr>
      <w:r>
        <w:t xml:space="preserve">Ozsevim, I. (2024). </w:t>
      </w:r>
      <w:r>
        <w:rPr>
          <w:i/>
          <w:iCs/>
        </w:rPr>
        <w:t>Tesla’s EV battery production and global gigafactory network | Article | Automotive Manufacturing Solutions</w:t>
      </w:r>
      <w:r>
        <w:t xml:space="preserve">. [online] </w:t>
      </w:r>
      <w:r>
        <w:rPr>
          <w:i/>
          <w:iCs/>
        </w:rPr>
        <w:t>Automotivemanufacturingsolutions.com</w:t>
      </w:r>
      <w:r>
        <w:t xml:space="preserve">. Automotive Manufacturing Solutions. Available at: https://www.automotivemanufacturingsolutions.com/electrification/electric-dreams-teslas-gigafactory-network-and-ev-battery-production-blueprint/545858 </w:t>
      </w:r>
    </w:p>
    <w:p w14:paraId="4B57B556">
      <w:pPr>
        <w:pStyle w:val="style0"/>
        <w:spacing w:after="240"/>
        <w:rPr/>
      </w:pPr>
      <w:r>
        <w:t xml:space="preserve">Patzak, A., Zhang, X. and Vytasek, J. (2025). Boosting Productivity and Wellbeing Through Time Management: Evidence-Based Strategies for Higher Education and Workforce Development. </w:t>
      </w:r>
      <w:r>
        <w:rPr>
          <w:i/>
          <w:iCs/>
        </w:rPr>
        <w:t>Frontiers in Education</w:t>
      </w:r>
      <w:r>
        <w:t>, 10. doi:10.3389/feduc.2025.1623228.</w:t>
      </w:r>
    </w:p>
    <w:p w14:paraId="7ED47DB4">
      <w:pPr>
        <w:pStyle w:val="style0"/>
        <w:spacing w:after="240"/>
        <w:rPr/>
      </w:pPr>
      <w:r>
        <w:t xml:space="preserve">PSI (2026). </w:t>
      </w:r>
      <w:r>
        <w:rPr>
          <w:i/>
          <w:iCs/>
        </w:rPr>
        <w:t>Indonesia ev battery market size, share &amp; trends analysis, 2032</w:t>
      </w:r>
      <w:r>
        <w:t xml:space="preserve">. [online] </w:t>
      </w:r>
      <w:r>
        <w:rPr>
          <w:i/>
          <w:iCs/>
        </w:rPr>
        <w:t>P&amp;S Intelligence</w:t>
      </w:r>
      <w:r>
        <w:t xml:space="preserve">. Available at: https://www.psmarketresearch.com/market-analysis/indonesia-ev-battery-market-report </w:t>
      </w:r>
    </w:p>
    <w:p w14:paraId="38E75DF3">
      <w:pPr>
        <w:pStyle w:val="style0"/>
        <w:spacing w:after="240"/>
        <w:rPr/>
      </w:pPr>
      <w:r>
        <w:t xml:space="preserve">PWC (2025). </w:t>
      </w:r>
      <w:r>
        <w:rPr>
          <w:i/>
          <w:iCs/>
        </w:rPr>
        <w:t>Indonesia’s EV market grew by 49% amid a slowing automotive sector, PwC ASEAN-6 eReadiness 2025</w:t>
      </w:r>
      <w:r>
        <w:t xml:space="preserve">. [online] </w:t>
      </w:r>
      <w:r>
        <w:rPr>
          <w:i/>
          <w:iCs/>
        </w:rPr>
        <w:t>PwC</w:t>
      </w:r>
      <w:r>
        <w:t xml:space="preserve">. Available at: https://www.pwc.com/id/en/media-centre/press-release/2025/english/indonesia-ev-market-grew-by-49.html </w:t>
      </w:r>
    </w:p>
    <w:p w14:paraId="1F0BFAFC">
      <w:pPr>
        <w:pStyle w:val="style0"/>
        <w:spacing w:after="240"/>
        <w:rPr/>
      </w:pPr>
      <w:r>
        <w:t xml:space="preserve">Reuters (2026). Tesla eyes Japan&amp;#x27;s top imported-car spot as it expands store, service network. </w:t>
      </w:r>
      <w:r>
        <w:rPr>
          <w:i/>
          <w:iCs/>
        </w:rPr>
        <w:t>Reuters</w:t>
      </w:r>
      <w:r>
        <w:t>. [online] 3 Apr. Available at: https://www.reuters.com/business/autos-transportation/tesla-eyes-japans-top-imported-car-spot-it-expands-store-service-network-2026-04-03/.</w:t>
      </w:r>
    </w:p>
    <w:p w14:paraId="29A868DE">
      <w:pPr>
        <w:pStyle w:val="style0"/>
        <w:spacing w:after="240"/>
        <w:rPr/>
      </w:pPr>
      <w:r>
        <w:t xml:space="preserve">Reuters (2026). Tesla nears deal to build production facilities in Indonesia -Bloomberg News. </w:t>
      </w:r>
      <w:r>
        <w:rPr>
          <w:i/>
          <w:iCs/>
        </w:rPr>
        <w:t>Reuters</w:t>
      </w:r>
      <w:r>
        <w:t>. [online] 12 Jan.a. Available at: https://www.reuters.com/business/autos-transportation/tesla-nears-deal-build-production-facilities-indonesia-bloomberg-news-2023-01-11/</w:t>
      </w:r>
    </w:p>
    <w:p w14:paraId="3CCBE5E3">
      <w:pPr>
        <w:pStyle w:val="style0"/>
        <w:spacing w:after="240"/>
        <w:rPr/>
      </w:pPr>
      <w:r>
        <w:t xml:space="preserve">Reuters (2026). </w:t>
      </w:r>
      <w:r>
        <w:rPr>
          <w:i/>
          <w:iCs/>
        </w:rPr>
        <w:t>Tesla raises 2026 spending plans as Musk funds AI, robotics</w:t>
      </w:r>
      <w:r>
        <w:t xml:space="preserve">. [online] </w:t>
      </w:r>
      <w:r>
        <w:rPr>
          <w:i/>
          <w:iCs/>
        </w:rPr>
        <w:t>Daily Sabah</w:t>
      </w:r>
      <w:r>
        <w:t>. Available at: https://www.dailysabah.com/business/automotive/tesla-raises-2026-spending-plans-as-musk-funds-ai-robotics</w:t>
      </w:r>
    </w:p>
    <w:p w14:paraId="753F1C1D">
      <w:pPr>
        <w:pStyle w:val="style0"/>
        <w:spacing w:after="240"/>
        <w:rPr/>
      </w:pPr>
      <w:r>
        <w:t xml:space="preserve">Rivers, S. (2025). </w:t>
      </w:r>
      <w:r>
        <w:rPr>
          <w:i/>
          <w:iCs/>
        </w:rPr>
        <w:t>Tesla’s EV market share is shrinking and could drop from 65% today to under 20% in 2025</w:t>
      </w:r>
      <w:r>
        <w:t xml:space="preserve">. [online] </w:t>
      </w:r>
      <w:r>
        <w:rPr>
          <w:i/>
          <w:iCs/>
        </w:rPr>
        <w:t>Carscoops</w:t>
      </w:r>
      <w:r>
        <w:t>. Carscoops. Available at: https://www.carscoops.com/2022/11/teslas-ev-market-share-is-shrinking-and-could-drop-from-65-today-to-under-20-in-2025/.</w:t>
      </w:r>
    </w:p>
    <w:p w14:paraId="11267EE5">
      <w:pPr>
        <w:pStyle w:val="style0"/>
        <w:spacing w:after="240"/>
        <w:rPr/>
      </w:pPr>
      <w:r>
        <w:t xml:space="preserve">Simmons, D. (2026). </w:t>
      </w:r>
      <w:r>
        <w:rPr>
          <w:i/>
          <w:iCs/>
        </w:rPr>
        <w:t>News - Indaily SA</w:t>
      </w:r>
      <w:r>
        <w:t>. [online] Indailysa.com.au. Available at: https://www.indailysa.com.au/news/business/2026/07/29/sa-extends-renewables-lead-with-big-battery-expansion.</w:t>
      </w:r>
    </w:p>
    <w:p w14:paraId="0CDEE27F">
      <w:pPr>
        <w:pStyle w:val="style0"/>
        <w:spacing w:after="240"/>
        <w:rPr/>
      </w:pPr>
      <w:r>
        <w:t xml:space="preserve">Smith, H. (2025). </w:t>
      </w:r>
      <w:r>
        <w:rPr>
          <w:i/>
          <w:iCs/>
        </w:rPr>
        <w:t>New Indonesian Investment Rules 2025 | Herbert Smith Freehills Kramer | Global law firm</w:t>
      </w:r>
      <w:r>
        <w:t xml:space="preserve">. [online] </w:t>
      </w:r>
      <w:r>
        <w:rPr>
          <w:i/>
          <w:iCs/>
        </w:rPr>
        <w:t>Herbert Smith Freehills Kramer | Global law firm</w:t>
      </w:r>
      <w:r>
        <w:t xml:space="preserve">. </w:t>
      </w:r>
      <w:r>
        <w:t xml:space="preserve">Available at: https://www.hsfkramer.com/insights/2025-11/new-indonesian-investment-rules-2025 </w:t>
      </w:r>
    </w:p>
    <w:p w14:paraId="5DA3EAAA">
      <w:pPr>
        <w:pStyle w:val="style0"/>
        <w:spacing w:after="240"/>
        <w:rPr/>
      </w:pPr>
      <w:r>
        <w:t xml:space="preserve">Sriram, A. and Roy, A. (2026). Tesla invests $2 billion in Musk&amp;#x27;s xAI and reiterates Cybercab production starts this year. </w:t>
      </w:r>
      <w:r>
        <w:rPr>
          <w:i/>
          <w:iCs/>
        </w:rPr>
        <w:t>Reuters</w:t>
      </w:r>
      <w:r>
        <w:t xml:space="preserve">. [online] 29 Jan. Available at: https://www.reuters.com/business/autos-transportation/tesla-revenue-beats-estimates-despite-weaker-vehicle-deliveries-2026-01-28/ </w:t>
      </w:r>
    </w:p>
    <w:p w14:paraId="746E755D">
      <w:pPr>
        <w:pStyle w:val="style0"/>
        <w:spacing w:after="240"/>
        <w:rPr/>
      </w:pPr>
      <w:r>
        <w:t xml:space="preserve">Strategic Intelligence (2026). </w:t>
      </w:r>
      <w:r>
        <w:rPr>
          <w:i/>
          <w:iCs/>
        </w:rPr>
        <w:t>Indonesia ev battery market size, share &amp; trends analysis, 2032</w:t>
      </w:r>
      <w:r>
        <w:t xml:space="preserve">. [online] </w:t>
      </w:r>
      <w:r>
        <w:rPr>
          <w:i/>
          <w:iCs/>
        </w:rPr>
        <w:t>P&amp;S Intelligence</w:t>
      </w:r>
      <w:r>
        <w:t>. Available at: https://www.psmarketresearch.com/market-analysis/indonesia-ev-battery-market-report.</w:t>
      </w:r>
    </w:p>
    <w:p w14:paraId="4C99696B">
      <w:pPr>
        <w:pStyle w:val="style0"/>
        <w:spacing w:after="240"/>
        <w:rPr/>
      </w:pPr>
      <w:r>
        <w:t>Syahputri, J., Hall, D., Miller, J., Mahalana, A. and Posada, F. (2025). roadmap to zero: Policies to accelerate the electric vehicle transition in Indonesia. [online] Available at: https://theicct.org/wp-content/uploads/2026/04/ID-514-%E2%80%93-IDN-roadmap-2026_working-paper_final.pdf.</w:t>
      </w:r>
    </w:p>
    <w:p w14:paraId="346E18CB">
      <w:pPr>
        <w:pStyle w:val="style0"/>
        <w:spacing w:after="240"/>
        <w:rPr/>
      </w:pPr>
      <w:r>
        <w:t xml:space="preserve">Tesla (2025). </w:t>
      </w:r>
      <w:r>
        <w:rPr>
          <w:i/>
          <w:iCs/>
        </w:rPr>
        <w:t>Tesla nps &amp; customer reviews</w:t>
      </w:r>
      <w:r>
        <w:t xml:space="preserve">. [online] </w:t>
      </w:r>
      <w:r>
        <w:rPr>
          <w:i/>
          <w:iCs/>
        </w:rPr>
        <w:t>Comparably</w:t>
      </w:r>
      <w:r>
        <w:t>. Available at: https://www.comparably.com/brands/tesla-motors.</w:t>
      </w:r>
    </w:p>
    <w:p w14:paraId="7EBA054D">
      <w:pPr>
        <w:pStyle w:val="style0"/>
        <w:spacing w:after="240"/>
        <w:rPr/>
      </w:pPr>
      <w:r>
        <w:t xml:space="preserve">Tesla (2026). </w:t>
      </w:r>
      <w:r>
        <w:rPr>
          <w:i/>
          <w:iCs/>
        </w:rPr>
        <w:t>nacs | tesla</w:t>
      </w:r>
      <w:r>
        <w:t xml:space="preserve">. [online] </w:t>
      </w:r>
      <w:r>
        <w:rPr>
          <w:i/>
          <w:iCs/>
        </w:rPr>
        <w:t>Tesla</w:t>
      </w:r>
      <w:r>
        <w:t xml:space="preserve">. Available at: https://www.tesla.com/NACS </w:t>
      </w:r>
    </w:p>
    <w:p w14:paraId="416A47D8">
      <w:pPr>
        <w:pStyle w:val="style0"/>
        <w:spacing w:after="240"/>
        <w:rPr/>
      </w:pPr>
      <w:r>
        <w:t xml:space="preserve">Tessitore, S. (2025). </w:t>
      </w:r>
      <w:r>
        <w:rPr>
          <w:i/>
          <w:iCs/>
        </w:rPr>
        <w:t>Tesla’s NPS Score: What’s Driving Tesla’s Customer Loyalty?</w:t>
      </w:r>
      <w:r>
        <w:t xml:space="preserve"> [online] </w:t>
      </w:r>
      <w:r>
        <w:rPr>
          <w:i/>
          <w:iCs/>
        </w:rPr>
        <w:t>NPS Benchmarks</w:t>
      </w:r>
      <w:r>
        <w:t>. Available at: https://customergauge.com/benchmarks/blog/tesla-nps-score.</w:t>
      </w:r>
    </w:p>
    <w:p w14:paraId="25530076">
      <w:pPr>
        <w:pStyle w:val="style0"/>
        <w:spacing w:after="240"/>
        <w:rPr/>
      </w:pPr>
      <w:r>
        <w:t xml:space="preserve">The Culture Factor (2025). </w:t>
      </w:r>
      <w:r>
        <w:rPr>
          <w:i/>
          <w:iCs/>
        </w:rPr>
        <w:t>Country comparison tool</w:t>
      </w:r>
      <w:r>
        <w:t xml:space="preserve">. [online] </w:t>
      </w:r>
      <w:r>
        <w:rPr>
          <w:i/>
          <w:iCs/>
        </w:rPr>
        <w:t>Theculturefactor.com</w:t>
      </w:r>
      <w:r>
        <w:t>. Available at: https://www.theculturefactor.com/country-comparison-tool?countries=indonesia%2Cunited+states</w:t>
      </w:r>
    </w:p>
    <w:p w14:paraId="7C458448">
      <w:pPr>
        <w:pStyle w:val="style0"/>
        <w:spacing w:after="240"/>
        <w:rPr/>
      </w:pPr>
      <w:r>
        <w:t xml:space="preserve">The global Times (2026). </w:t>
      </w:r>
      <w:r>
        <w:rPr>
          <w:i/>
          <w:iCs/>
        </w:rPr>
        <w:t>Shanghai Gigafactory posts 28.4% H1 delivery growth as China powers Tesla’s record Q2</w:t>
      </w:r>
      <w:r>
        <w:t xml:space="preserve">. [online] globaltimesnews. Available at: https://www.globaltimes.cn/page/202607/1366625.shtml </w:t>
      </w:r>
    </w:p>
    <w:p w14:paraId="11F0C10F">
      <w:pPr>
        <w:pStyle w:val="style0"/>
        <w:spacing w:after="240"/>
        <w:rPr/>
      </w:pPr>
      <w:r>
        <w:t xml:space="preserve">Trading Economics (2025). </w:t>
      </w:r>
      <w:r>
        <w:rPr>
          <w:i/>
          <w:iCs/>
        </w:rPr>
        <w:t>Indonesia inflation rate</w:t>
      </w:r>
      <w:r>
        <w:t xml:space="preserve">. [online] </w:t>
      </w:r>
      <w:r>
        <w:rPr>
          <w:i/>
          <w:iCs/>
        </w:rPr>
        <w:t>Tradingeconomics.com</w:t>
      </w:r>
      <w:r>
        <w:t xml:space="preserve">. Trading Economics. Available at: https://tradingeconomics.com/indonesia/inflation-cpi </w:t>
      </w:r>
    </w:p>
    <w:p w14:paraId="5C2B1C83">
      <w:pPr>
        <w:pStyle w:val="style0"/>
        <w:spacing w:after="240"/>
        <w:rPr/>
      </w:pPr>
      <w:r>
        <w:t xml:space="preserve">TradingKey (2025). </w:t>
      </w:r>
      <w:r>
        <w:rPr>
          <w:i/>
          <w:iCs/>
        </w:rPr>
        <w:t>[IN-DEPTH ANALYSIS] Tesla’s 2025 tariff impact and valuation outlook</w:t>
      </w:r>
      <w:r>
        <w:t xml:space="preserve">. [online] </w:t>
      </w:r>
      <w:r>
        <w:rPr>
          <w:i/>
          <w:iCs/>
        </w:rPr>
        <w:t>tradingkey.com</w:t>
      </w:r>
      <w:r>
        <w:t xml:space="preserve">. Tradingkey. Available at: </w:t>
      </w:r>
      <w:r>
        <w:rPr/>
        <w:fldChar w:fldCharType="begin"/>
      </w:r>
      <w:r>
        <w:instrText xml:space="preserve"> HYPERLINK "https://www.tradingkey.com/analysis/stocks/us-stocks/250557050-in-depth-analysis-tesla-2025-tariff-impact-and-valuation-outlook-tradingkey-viga-liu" </w:instrText>
      </w:r>
      <w:r>
        <w:rPr/>
        <w:fldChar w:fldCharType="separate"/>
      </w:r>
      <w:r>
        <w:t>https://www.tradingkey.com/analysis/stocks/us-stocks/250557050-in-depth-analysis-tesla-2025-tariff-impact-and-valuation-outlook-tradingkey-viga-liu</w:t>
      </w:r>
      <w:r>
        <w:rPr/>
        <w:fldChar w:fldCharType="end"/>
      </w:r>
      <w:r>
        <w:t>.</w:t>
      </w:r>
    </w:p>
    <w:p w14:paraId="7CF1B30A">
      <w:pPr>
        <w:pStyle w:val="style0"/>
        <w:rPr>
          <w:sz w:val="36"/>
          <w:szCs w:val="36"/>
        </w:rPr>
      </w:pPr>
      <w:r>
        <w:t xml:space="preserve">Volkswagen (2025). St. Thomas battery cell gigafactory | Volkswagen Canada. [online] Www.vw.ca. Volkswagen. Available at: </w:t>
      </w:r>
      <w:r>
        <w:rPr/>
        <w:fldChar w:fldCharType="begin"/>
      </w:r>
      <w:r>
        <w:instrText xml:space="preserve"> HYPERLINK "https://www.vw.ca/en/electric-vehicles/ev-hub/ev-news/st-thomas-gigafactory.html" </w:instrText>
      </w:r>
      <w:r>
        <w:rPr/>
        <w:fldChar w:fldCharType="separate"/>
      </w:r>
      <w:r>
        <w:t>https://www.vw.ca/en/electric-vehicles/ev-hub/ev-news/st-thomas-gigafactory.html</w:t>
      </w:r>
      <w:r>
        <w:rPr/>
        <w:fldChar w:fldCharType="end"/>
      </w:r>
      <w:r>
        <w:t>.</w:t>
      </w:r>
    </w:p>
    <w:p w14:paraId="5F6E8496">
      <w:pPr>
        <w:pStyle w:val="style0"/>
        <w:spacing w:after="240"/>
        <w:rPr/>
      </w:pPr>
      <w:r>
        <w:t xml:space="preserve">WIPO (2026). </w:t>
      </w:r>
      <w:r>
        <w:rPr>
          <w:i/>
          <w:iCs/>
        </w:rPr>
        <w:t>law no. 31 of 2000 on industrial designs</w:t>
      </w:r>
      <w:r>
        <w:t xml:space="preserve">. [online] </w:t>
      </w:r>
      <w:r>
        <w:rPr>
          <w:i/>
          <w:iCs/>
        </w:rPr>
        <w:t>Wipo.int</w:t>
      </w:r>
      <w:r>
        <w:t xml:space="preserve">. Available at: https://www.wipo.int/wipolex/en/legislation/details/2260 </w:t>
      </w:r>
    </w:p>
    <w:p w14:paraId="2DE1555F">
      <w:pPr>
        <w:pStyle w:val="style0"/>
        <w:spacing w:after="240"/>
        <w:rPr/>
      </w:pPr>
      <w:r>
        <w:t xml:space="preserve">Zucchi, K. (2025). </w:t>
      </w:r>
      <w:r>
        <w:rPr>
          <w:i/>
          <w:iCs/>
        </w:rPr>
        <w:t>What makes tesla’s business model different?</w:t>
      </w:r>
      <w:r>
        <w:t xml:space="preserve"> [online] </w:t>
      </w:r>
      <w:r>
        <w:rPr>
          <w:i/>
          <w:iCs/>
        </w:rPr>
        <w:t>Investopedia</w:t>
      </w:r>
      <w:r>
        <w:t>. Available at: https://www.investopedia.com/articles/active-trading/072115/what-makes-teslas-business-model-different.asp</w:t>
      </w:r>
    </w:p>
    <w:p w14:paraId="73FF7FE6">
      <w:pPr>
        <w:pStyle w:val="style0"/>
        <w:spacing w:after="240"/>
        <w:rPr/>
      </w:pPr>
    </w:p>
    <w:p w14:paraId="73FF7FE7">
      <w:pPr>
        <w:pStyle w:val="style0"/>
        <w:spacing w:after="240"/>
        <w:rPr/>
      </w:pPr>
    </w:p>
    <w:p w14:paraId="73FF7FE8">
      <w:pPr>
        <w:pStyle w:val="style0"/>
        <w:rPr/>
      </w:pPr>
    </w:p>
    <w:p w14:paraId="73FF7FE9">
      <w:pPr>
        <w:pStyle w:val="style0"/>
        <w:spacing w:after="240"/>
        <w:rPr/>
      </w:pPr>
    </w:p>
    <w:p w14:paraId="73FF7FEA">
      <w:pPr>
        <w:pStyle w:val="style0"/>
        <w:spacing w:after="240"/>
        <w:rPr/>
      </w:pPr>
    </w:p>
    <w:p w14:paraId="73FF7FEB">
      <w:pPr>
        <w:pStyle w:val="style0"/>
        <w:rPr/>
      </w:pPr>
    </w:p>
    <w:sectPr>
      <w:headerReference w:type="default" r:id="rId21"/>
      <w:footerReference w:type="default" r:id="rId22"/>
      <w:pgSz w:w="12240" w:h="15840" w:orient="portrait"/>
      <w:pgMar w:top="1440" w:right="1440" w:bottom="1440" w:left="1440" w:header="720" w:footer="720" w:gutter="0"/>
      <w:pgBorders w:zOrder="front" w:display="allPage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Shruti">
    <w:altName w:val="Shruti"/>
    <w:panose1 w:val="02000500000000000000"/>
    <w:charset w:val="00"/>
    <w:family w:val="swiss"/>
    <w:pitch w:val="variable"/>
    <w:sig w:usb0="00040003" w:usb1="00000000" w:usb2="00000000" w:usb3="00000000" w:csb0="00000001" w:csb1="00000000"/>
  </w:font>
  <w:font w:name="Cambria">
    <w:altName w:val="Cambria"/>
    <w:panose1 w:val="02040503050004030204"/>
    <w:charset w:val="00"/>
    <w:family w:val="roman"/>
    <w:pitch w:val="variable"/>
    <w:sig w:usb0="E00006FF" w:usb1="420024FF" w:usb2="02000000" w:usb3="00000000" w:csb0="0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73FF8033">
    <w:pPr>
      <w:pStyle w:val="style0"/>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73FF8032">
    <w:pPr>
      <w:pStyle w:val="style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EEF4A5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C8341C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00000002"/>
    <w:multiLevelType w:val="multilevel"/>
    <w:tmpl w:val="46242A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CEA069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0000004"/>
    <w:multiLevelType w:val="multilevel"/>
    <w:tmpl w:val="50E867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0000005"/>
    <w:multiLevelType w:val="multilevel"/>
    <w:tmpl w:val="12EC4B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00000006"/>
    <w:multiLevelType w:val="multilevel"/>
    <w:tmpl w:val="AF5AA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00000007"/>
    <w:multiLevelType w:val="multilevel"/>
    <w:tmpl w:val="5BB6CC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00000008"/>
    <w:multiLevelType w:val="multilevel"/>
    <w:tmpl w:val="14C42B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00000009"/>
    <w:multiLevelType w:val="multilevel"/>
    <w:tmpl w:val="48C29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0000000A"/>
    <w:multiLevelType w:val="multilevel"/>
    <w:tmpl w:val="901045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7"/>
  </w:num>
  <w:num w:numId="3">
    <w:abstractNumId w:val="8"/>
  </w:num>
  <w:num w:numId="4">
    <w:abstractNumId w:val="3"/>
  </w:num>
  <w:num w:numId="5">
    <w:abstractNumId w:val="2"/>
  </w:num>
  <w:num w:numId="6">
    <w:abstractNumId w:val="4"/>
  </w:num>
  <w:num w:numId="7">
    <w:abstractNumId w:val="5"/>
  </w:num>
  <w:num w:numId="8">
    <w:abstractNumId w:val="9"/>
  </w:num>
  <w:num w:numId="9">
    <w:abstractNumId w:val="10"/>
  </w:num>
  <w:num w:numId="10">
    <w:abstractNumId w:val="6"/>
  </w:num>
  <w:num w:numId="1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50"/>
  <w:displayBackgroundShape/>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4"/>
        <w:szCs w:val="24"/>
        <w:lang w:bidi="ar-SA" w:eastAsia="en-IN"/>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bCs/>
      <w:sz w:val="28"/>
      <w:szCs w:val="28"/>
    </w:rPr>
  </w:style>
  <w:style w:type="paragraph" w:styleId="style2">
    <w:name w:val="heading 2"/>
    <w:basedOn w:val="style0"/>
    <w:next w:val="style0"/>
    <w:qFormat/>
    <w:uiPriority w:val="9"/>
    <w:pPr>
      <w:keepNext/>
      <w:keepLines/>
      <w:outlineLvl w:val="1"/>
    </w:pPr>
    <w:rPr>
      <w:b/>
      <w:bCs/>
      <w:i/>
      <w:iCs/>
      <w:sz w:val="26"/>
      <w:szCs w:val="26"/>
    </w:rPr>
  </w:style>
  <w:style w:type="paragraph" w:styleId="style3">
    <w:name w:val="heading 3"/>
    <w:basedOn w:val="style0"/>
    <w:next w:val="style0"/>
    <w:qFormat/>
    <w:uiPriority w:val="9"/>
    <w:pPr>
      <w:keepNext/>
      <w:keepLines/>
      <w:outlineLvl w:val="2"/>
    </w:pPr>
    <w:rPr>
      <w:b/>
      <w:bCs/>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color w:val="666666"/>
      <w:sz w:val="30"/>
      <w:szCs w:val="30"/>
    </w:rPr>
  </w:style>
  <w:style w:type="table" w:customStyle="1" w:styleId="style4098">
    <w:basedOn w:val="style4097"/>
    <w:next w:val="style4098"/>
    <w:pPr/>
    <w:rPr/>
    <w:tblPr>
      <w:tblStyleRowBandSize w:val="1"/>
      <w:tblStyleColBandSize w:val="1"/>
    </w:tblPr>
    <w:tcPr>
      <w:tcBorders/>
    </w:tcPr>
  </w:style>
  <w:style w:type="paragraph" w:styleId="style30">
    <w:name w:val="annotation text"/>
    <w:basedOn w:val="style0"/>
    <w:next w:val="style30"/>
    <w:link w:val="style4099"/>
    <w:uiPriority w:val="99"/>
    <w:pPr>
      <w:spacing w:lineRule="auto" w:line="240"/>
    </w:pPr>
    <w:rPr>
      <w:sz w:val="20"/>
      <w:szCs w:val="20"/>
    </w:rPr>
  </w:style>
  <w:style w:type="character" w:customStyle="1" w:styleId="style4099">
    <w:name w:val="Comment Text Char"/>
    <w:basedOn w:val="style65"/>
    <w:next w:val="style4099"/>
    <w:link w:val="style30"/>
    <w:uiPriority w:val="99"/>
    <w:rPr>
      <w:sz w:val="20"/>
      <w:szCs w:val="20"/>
    </w:rPr>
  </w:style>
  <w:style w:type="character" w:styleId="style39">
    <w:name w:val="annotation reference"/>
    <w:basedOn w:val="style65"/>
    <w:next w:val="style39"/>
    <w:uiPriority w:val="99"/>
    <w:rPr>
      <w:sz w:val="16"/>
      <w:szCs w:val="16"/>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styleId="style85">
    <w:name w:val="Hyperlink"/>
    <w:basedOn w:val="style65"/>
    <w:next w:val="style85"/>
    <w:uiPriority w:val="99"/>
    <w:rPr>
      <w:color w:val="0000ff"/>
      <w:u w:val="single"/>
    </w:rPr>
  </w:style>
  <w:style w:type="paragraph" w:styleId="style179">
    <w:name w:val="List Paragraph"/>
    <w:basedOn w:val="style0"/>
    <w:next w:val="style179"/>
    <w:qFormat/>
    <w:uiPriority w:val="34"/>
    <w:pPr>
      <w:ind w:left="720"/>
      <w:contextualSpacing/>
    </w:pPr>
    <w:rPr/>
  </w:style>
</w:styles>
</file>

<file path=word/_rels/document.xml.rels><?xml version="1.0" encoding="UTF-8"?>
<Relationships xmlns="http://schemas.openxmlformats.org/package/2006/relationships"><Relationship Id="rId20" Type="http://schemas.openxmlformats.org/officeDocument/2006/relationships/image" Target="media/image19.png"/><Relationship Id="rId22" Type="http://schemas.openxmlformats.org/officeDocument/2006/relationships/footer" Target="footer2.xml"/><Relationship Id="rId21" Type="http://schemas.openxmlformats.org/officeDocument/2006/relationships/header" Target="header1.xml"/><Relationship Id="rId24" Type="http://schemas.openxmlformats.org/officeDocument/2006/relationships/fontTable" Target="fontTable.xml"/><Relationship Id="rId23" Type="http://schemas.openxmlformats.org/officeDocument/2006/relationships/styles" Target="style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26" Type="http://schemas.openxmlformats.org/officeDocument/2006/relationships/theme" Target="theme/theme1.xml"/><Relationship Id="rId25"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image" Target="media/image12.png"/><Relationship Id="rId12" Type="http://schemas.openxmlformats.org/officeDocument/2006/relationships/image" Target="media/image11.png"/><Relationship Id="rId15" Type="http://schemas.openxmlformats.org/officeDocument/2006/relationships/image" Target="media/image14.png"/><Relationship Id="rId14" Type="http://schemas.openxmlformats.org/officeDocument/2006/relationships/image" Target="media/image13.png"/><Relationship Id="rId17" Type="http://schemas.openxmlformats.org/officeDocument/2006/relationships/image" Target="media/image16.png"/><Relationship Id="rId16" Type="http://schemas.openxmlformats.org/officeDocument/2006/relationships/image" Target="media/image15.png"/><Relationship Id="rId19" Type="http://schemas.openxmlformats.org/officeDocument/2006/relationships/image" Target="media/image18.png"/><Relationship Id="rId18"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Words>6340</Words>
  <Pages>36</Pages>
  <Characters>41552</Characters>
  <Application>WPS Office</Application>
  <DocSecurity>0</DocSecurity>
  <Paragraphs>309</Paragraphs>
  <ScaleCrop>false</ScaleCrop>
  <LinksUpToDate>false</LinksUpToDate>
  <CharactersWithSpaces>47716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2026-07-31T13:37:00Z</dcterms:created>
  <dc:creator>WPS Office</dc:creator>
  <lastModifiedBy>RMX3945</lastModifiedBy>
  <dcterms:modified xsi:type="dcterms:W3CDTF">2026-08-08T14:09:17Z</dcterms:modified>
  <revision>14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d14b36b95c6f4cd5a320c7dfed741ec9</vt:lpwstr>
  </property>
</Properties>
</file>