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F73D5" w14:textId="77777777" w:rsidR="00E4459E" w:rsidRDefault="00000000">
      <w:pPr>
        <w:jc w:val="center"/>
      </w:pPr>
      <w:r>
        <w:rPr>
          <w:b/>
        </w:rPr>
        <w:t>Component 2 - Individual Report</w:t>
      </w:r>
    </w:p>
    <w:p w14:paraId="11CBC0F8" w14:textId="77777777" w:rsidR="00E4459E" w:rsidRDefault="00000000">
      <w:pPr>
        <w:jc w:val="center"/>
      </w:pPr>
      <w:r>
        <w:rPr>
          <w:b/>
        </w:rPr>
        <w:t>HR Challenges and Contemporary HR Practices at Walker's Shortbread Ltd</w:t>
      </w:r>
    </w:p>
    <w:p w14:paraId="50B6B70B" w14:textId="77777777" w:rsidR="00E4459E" w:rsidRDefault="00E4459E"/>
    <w:p w14:paraId="0C990FBE" w14:textId="77777777" w:rsidR="00E4459E" w:rsidRDefault="00E4459E"/>
    <w:p w14:paraId="66FDB154" w14:textId="77777777" w:rsidR="00E4459E" w:rsidRDefault="00E4459E"/>
    <w:p w14:paraId="2D88E465" w14:textId="77777777" w:rsidR="00E4459E" w:rsidRDefault="00E4459E"/>
    <w:p w14:paraId="77AEBA59" w14:textId="77777777" w:rsidR="00E4459E" w:rsidRDefault="00E4459E"/>
    <w:p w14:paraId="052FE95D" w14:textId="77777777" w:rsidR="00E4459E" w:rsidRDefault="00E4459E"/>
    <w:p w14:paraId="1A18402C" w14:textId="77777777" w:rsidR="00E4459E" w:rsidRDefault="00E4459E"/>
    <w:p w14:paraId="2F6291FB" w14:textId="77777777" w:rsidR="00E4459E" w:rsidRDefault="00E4459E"/>
    <w:p w14:paraId="73871449" w14:textId="77777777" w:rsidR="00E4459E" w:rsidRDefault="00000000">
      <w:pPr>
        <w:jc w:val="center"/>
      </w:pPr>
      <w:r>
        <w:t>Module: LCLM5002 - Developing and Managing Individuals and Teams</w:t>
      </w:r>
    </w:p>
    <w:p w14:paraId="20222703" w14:textId="77777777" w:rsidR="00E4459E" w:rsidRDefault="00000000">
      <w:pPr>
        <w:jc w:val="center"/>
      </w:pPr>
      <w:r>
        <w:t>Student name: Rafal Boguszewski</w:t>
      </w:r>
    </w:p>
    <w:p w14:paraId="593F668B" w14:textId="77777777" w:rsidR="00E4459E" w:rsidRDefault="00000000">
      <w:pPr>
        <w:jc w:val="center"/>
      </w:pPr>
      <w:r>
        <w:t>Student number: 2429418</w:t>
      </w:r>
    </w:p>
    <w:p w14:paraId="704DD522" w14:textId="77777777" w:rsidR="00E4459E" w:rsidRDefault="00000000">
      <w:pPr>
        <w:jc w:val="center"/>
      </w:pPr>
      <w:r>
        <w:t>Lecturer: Amer Kareem</w:t>
      </w:r>
    </w:p>
    <w:p w14:paraId="74F6761B" w14:textId="77777777" w:rsidR="00E4459E" w:rsidRDefault="00000000">
      <w:pPr>
        <w:jc w:val="center"/>
      </w:pPr>
      <w:r>
        <w:t>Company selected: Walker's Shortbread Ltd, Aberlour</w:t>
      </w:r>
    </w:p>
    <w:p w14:paraId="5C916BCE" w14:textId="77777777" w:rsidR="00E4459E" w:rsidRDefault="00000000">
      <w:r>
        <w:br w:type="page"/>
      </w:r>
    </w:p>
    <w:p w14:paraId="51E1B4BF" w14:textId="77777777" w:rsidR="00E4459E" w:rsidRDefault="00000000">
      <w:pPr>
        <w:pStyle w:val="Heading1"/>
      </w:pPr>
      <w:r>
        <w:rPr>
          <w:rFonts w:ascii="Arial" w:eastAsia="Arial" w:hAnsi="Arial"/>
        </w:rPr>
        <w:lastRenderedPageBreak/>
        <w:t>Contents</w:t>
      </w:r>
    </w:p>
    <w:p w14:paraId="5ADFE757" w14:textId="77777777" w:rsidR="00E4459E" w:rsidRDefault="00000000">
      <w:pPr>
        <w:tabs>
          <w:tab w:val="right" w:leader="dot" w:pos="9071"/>
        </w:tabs>
        <w:spacing w:after="60"/>
      </w:pPr>
      <w:r>
        <w:t>Introduction</w:t>
      </w:r>
      <w:r>
        <w:tab/>
        <w:t>3</w:t>
      </w:r>
    </w:p>
    <w:p w14:paraId="5ABADA48" w14:textId="77777777" w:rsidR="00E4459E" w:rsidRDefault="00000000">
      <w:pPr>
        <w:tabs>
          <w:tab w:val="right" w:leader="dot" w:pos="9071"/>
        </w:tabs>
        <w:spacing w:after="60"/>
      </w:pPr>
      <w:r>
        <w:t>1. Explanation of the specific factors</w:t>
      </w:r>
      <w:r>
        <w:tab/>
        <w:t>3</w:t>
      </w:r>
    </w:p>
    <w:p w14:paraId="4D54E8A7" w14:textId="77777777" w:rsidR="00E4459E" w:rsidRDefault="00000000">
      <w:pPr>
        <w:tabs>
          <w:tab w:val="right" w:leader="dot" w:pos="9071"/>
        </w:tabs>
        <w:spacing w:after="60"/>
        <w:ind w:left="340"/>
      </w:pPr>
      <w:r>
        <w:t>1.1 Meeting up with technological advancement</w:t>
      </w:r>
      <w:r>
        <w:tab/>
        <w:t>3</w:t>
      </w:r>
    </w:p>
    <w:p w14:paraId="4D6E291B" w14:textId="77777777" w:rsidR="00E4459E" w:rsidRDefault="00000000">
      <w:pPr>
        <w:tabs>
          <w:tab w:val="right" w:leader="dot" w:pos="9071"/>
        </w:tabs>
        <w:spacing w:after="60"/>
        <w:ind w:left="340"/>
      </w:pPr>
      <w:r>
        <w:t>1.2 Talent acquisition and retention</w:t>
      </w:r>
      <w:r>
        <w:tab/>
        <w:t>3</w:t>
      </w:r>
    </w:p>
    <w:p w14:paraId="162BD3DE" w14:textId="77777777" w:rsidR="00E4459E" w:rsidRDefault="00000000">
      <w:pPr>
        <w:tabs>
          <w:tab w:val="right" w:leader="dot" w:pos="9071"/>
        </w:tabs>
        <w:spacing w:after="60"/>
        <w:ind w:left="340"/>
      </w:pPr>
      <w:r>
        <w:t>1.3 Diversity, equity and inclusion (DEI)</w:t>
      </w:r>
      <w:r>
        <w:tab/>
        <w:t>4</w:t>
      </w:r>
    </w:p>
    <w:p w14:paraId="2A6BA412" w14:textId="77777777" w:rsidR="00E4459E" w:rsidRDefault="00000000">
      <w:pPr>
        <w:tabs>
          <w:tab w:val="right" w:leader="dot" w:pos="9071"/>
        </w:tabs>
        <w:spacing w:after="60"/>
      </w:pPr>
      <w:r>
        <w:t>2. Evaluation of contemporary HR practices to address each factor</w:t>
      </w:r>
      <w:r>
        <w:tab/>
        <w:t>4</w:t>
      </w:r>
    </w:p>
    <w:p w14:paraId="7E8217C2" w14:textId="77777777" w:rsidR="00E4459E" w:rsidRDefault="00000000">
      <w:pPr>
        <w:tabs>
          <w:tab w:val="right" w:leader="dot" w:pos="9071"/>
        </w:tabs>
        <w:spacing w:after="60"/>
        <w:ind w:left="340"/>
      </w:pPr>
      <w:r>
        <w:t>2.1 Practices for technological advancement</w:t>
      </w:r>
      <w:r>
        <w:tab/>
        <w:t>4</w:t>
      </w:r>
    </w:p>
    <w:p w14:paraId="5FD669C8" w14:textId="77777777" w:rsidR="00E4459E" w:rsidRDefault="00000000">
      <w:pPr>
        <w:tabs>
          <w:tab w:val="right" w:leader="dot" w:pos="9071"/>
        </w:tabs>
        <w:spacing w:after="60"/>
        <w:ind w:left="340"/>
      </w:pPr>
      <w:r>
        <w:t>2.2 Practices for talent acquisition and retention</w:t>
      </w:r>
      <w:r>
        <w:tab/>
        <w:t>5</w:t>
      </w:r>
    </w:p>
    <w:p w14:paraId="3FA504AF" w14:textId="77777777" w:rsidR="00E4459E" w:rsidRDefault="00000000">
      <w:pPr>
        <w:tabs>
          <w:tab w:val="right" w:leader="dot" w:pos="9071"/>
        </w:tabs>
        <w:spacing w:after="60"/>
        <w:ind w:left="340"/>
      </w:pPr>
      <w:r>
        <w:t>2.3 Practices for DEI</w:t>
      </w:r>
      <w:r>
        <w:tab/>
        <w:t>6</w:t>
      </w:r>
    </w:p>
    <w:p w14:paraId="38B17E0C" w14:textId="77777777" w:rsidR="00E4459E" w:rsidRDefault="00000000">
      <w:pPr>
        <w:tabs>
          <w:tab w:val="right" w:leader="dot" w:pos="9071"/>
        </w:tabs>
        <w:spacing w:after="60"/>
      </w:pPr>
      <w:r>
        <w:t>3. Critical evaluation of how departmental managers can ensure urgent implementation</w:t>
      </w:r>
      <w:r>
        <w:tab/>
        <w:t>6</w:t>
      </w:r>
    </w:p>
    <w:p w14:paraId="0C3D6F59" w14:textId="77777777" w:rsidR="00E4459E" w:rsidRDefault="00000000">
      <w:pPr>
        <w:tabs>
          <w:tab w:val="right" w:leader="dot" w:pos="9071"/>
        </w:tabs>
        <w:spacing w:after="60"/>
      </w:pPr>
      <w:r>
        <w:t>Conclusion and recommendations</w:t>
      </w:r>
      <w:r>
        <w:tab/>
        <w:t>7</w:t>
      </w:r>
    </w:p>
    <w:p w14:paraId="2BE56CC5" w14:textId="77777777" w:rsidR="00E4459E" w:rsidRDefault="00000000">
      <w:pPr>
        <w:tabs>
          <w:tab w:val="right" w:leader="dot" w:pos="9071"/>
        </w:tabs>
        <w:spacing w:after="60"/>
      </w:pPr>
      <w:r>
        <w:t>Reference list</w:t>
      </w:r>
      <w:r>
        <w:tab/>
        <w:t>8</w:t>
      </w:r>
    </w:p>
    <w:p w14:paraId="1B8A8754" w14:textId="77777777" w:rsidR="00E4459E" w:rsidRDefault="00000000">
      <w:pPr>
        <w:spacing w:after="0"/>
      </w:pPr>
      <w:r>
        <w:br w:type="page"/>
      </w:r>
    </w:p>
    <w:p w14:paraId="2C76591D" w14:textId="77777777" w:rsidR="00E4459E" w:rsidRDefault="00000000">
      <w:pPr>
        <w:jc w:val="center"/>
      </w:pPr>
      <w:r>
        <w:rPr>
          <w:b/>
        </w:rPr>
        <w:lastRenderedPageBreak/>
        <w:t>HR Challenges and Contemporary HR Practices at Walker's Shortbread Ltd</w:t>
      </w:r>
    </w:p>
    <w:p w14:paraId="53457ED5" w14:textId="77777777" w:rsidR="00E4459E" w:rsidRDefault="00000000">
      <w:pPr>
        <w:pStyle w:val="Heading1"/>
      </w:pPr>
      <w:r>
        <w:rPr>
          <w:rFonts w:ascii="Arial" w:eastAsia="Arial" w:hAnsi="Arial"/>
        </w:rPr>
        <w:t>Introduction</w:t>
      </w:r>
    </w:p>
    <w:p w14:paraId="2C1F8E4B" w14:textId="77777777" w:rsidR="00E4459E" w:rsidRDefault="00000000">
      <w:r>
        <w:t>Human resource management (HRM) is important to organisational performance because it influences how people are recruited, trained, motivated, monitored and retained (Armstrong, 2020; Beardwell and Claydon, 2017). This is especially significant in food manufacturing, where quality, legal compliance and productivity depend on reliable staffing and consistent line management. Walker's Shortbread Ltd is a long-established manufacturer based in Aberlour. Current recruitment information shows continued dependence on factory and seasonal operative roles across Aberlour and Elgin, with full training, learning opportunities and free transport to Aberlour from Moray locations (Walker's Shortbread, 2026a; Walker's Shortbread, 2026b).</w:t>
      </w:r>
    </w:p>
    <w:p w14:paraId="51A28FB6" w14:textId="77777777" w:rsidR="00E4459E" w:rsidRDefault="00000000">
      <w:r>
        <w:t>This report considers three connected HR issues: technological change through face-scanning attendance systems, seasonal attraction and retention, and diversity, equity and inclusion (DEI) in a rural labour market. It evaluates contemporary HR practices and then explains how departmental managers can implement them urgently and consistently.</w:t>
      </w:r>
    </w:p>
    <w:p w14:paraId="6470295C" w14:textId="77777777" w:rsidR="00E4459E" w:rsidRDefault="00000000">
      <w:pPr>
        <w:pStyle w:val="Heading1"/>
      </w:pPr>
      <w:r>
        <w:rPr>
          <w:rFonts w:ascii="Arial" w:eastAsia="Arial" w:hAnsi="Arial"/>
        </w:rPr>
        <w:t>1. Explanation of the specific factors</w:t>
      </w:r>
    </w:p>
    <w:p w14:paraId="3DEF8C02" w14:textId="77777777" w:rsidR="00E4459E" w:rsidRDefault="00000000">
      <w:pPr>
        <w:pStyle w:val="Heading2"/>
      </w:pPr>
      <w:r>
        <w:rPr>
          <w:rFonts w:ascii="Arial" w:eastAsia="Arial" w:hAnsi="Arial"/>
        </w:rPr>
        <w:t>1.1 Meeting up with technological advancement</w:t>
      </w:r>
    </w:p>
    <w:p w14:paraId="29DAFD8C" w14:textId="77777777" w:rsidR="00E4459E" w:rsidRDefault="00000000">
      <w:r>
        <w:t>Face-scanning attendance technology reflects wider movement towards digital HR, people analytics and evidence-based workforce planning (CIPD, 2025a; CIPD, 2025b). In a shift-based factory, accurate attendance data may improve payroll accuracy, reduce errors and support labour deployment. However, the issue is not only operational. Facial recognition uses biometric data when it identifies workers, so it creates legal, ethical and employee-relations risks.</w:t>
      </w:r>
    </w:p>
    <w:p w14:paraId="513DAF03" w14:textId="77777777" w:rsidR="00E4459E" w:rsidRDefault="00000000">
      <w:r>
        <w:t>The ICO states that biometric recognition can involve special category data and requires a lawful basis, a separate Article 9 condition, transparency and strong safeguards (ICO, n.d.a; ICO, n.d.b). The 2024 Serco Leisure enforcement action is particularly relevant because the ICO found that biometric monitoring for attendance was not shown to be necessary or proportionate where less intrusive alternatives existed (ICO, 2024). For Walker's, the HR challenge is therefore to prove that any system is lawful, necessary and trusted, not merely convenient.</w:t>
      </w:r>
    </w:p>
    <w:p w14:paraId="466FE70C" w14:textId="77777777" w:rsidR="00E4459E" w:rsidRDefault="00000000">
      <w:r>
        <w:t>Furthermore, employees may see face scanning as surveillance if the purpose and safeguards are unclear. Lewis (2011) shows that change depends on strategic communication, while Mullins (2019) links employee behaviour to fairness, trust and managerial intent. Resistance may therefore arise from privacy anxiety rather than from inability to use the technology.</w:t>
      </w:r>
    </w:p>
    <w:p w14:paraId="4DFF92D9" w14:textId="77777777" w:rsidR="00E4459E" w:rsidRDefault="00000000">
      <w:pPr>
        <w:pStyle w:val="Heading2"/>
      </w:pPr>
      <w:r>
        <w:rPr>
          <w:rFonts w:ascii="Arial" w:eastAsia="Arial" w:hAnsi="Arial"/>
        </w:rPr>
        <w:t>1.2 Talent acquisition and retention</w:t>
      </w:r>
    </w:p>
    <w:p w14:paraId="60B1605A" w14:textId="77777777" w:rsidR="00E4459E" w:rsidRDefault="00000000">
      <w:r>
        <w:t>Walker's seasonal model gives flexibility during peak production, but also creates recurring attraction, induction and retention pressures. The company advertises seasonal factory operative work in Aberlour and Elgin, covering production and packing, with training and varied shifts (Walker's Shortbread, 2026a). Its careers page also confirms April to December factory opportunities and free transport to the Aberlour site (Walker's Shortbread, 2026b).</w:t>
      </w:r>
    </w:p>
    <w:p w14:paraId="0FCA4E84" w14:textId="77777777" w:rsidR="00E4459E" w:rsidRDefault="00000000">
      <w:r>
        <w:lastRenderedPageBreak/>
        <w:t>This matters because temporary workers judge the organisation quickly. Weak induction, unsupportive teams or inconsistent supervision can reduce commitment, damage local reputation and reduce future returner applications. Armstrong (2020) and Kew and Stredwick (2013) argue that HR effectiveness depends on daily management as well as formal policy. In addition, Huselid (1995) links coherent HR systems with lower turnover and stronger performance.</w:t>
      </w:r>
    </w:p>
    <w:p w14:paraId="5F32CE0E" w14:textId="77777777" w:rsidR="00E4459E" w:rsidRDefault="00000000">
      <w:r>
        <w:t>Recent labour-market evidence reinforces the need for planned retention. ONS data reported UK vacancies at 711,000 in January to March 2026, the lowest level since early 2021 (ONS, 2026b). Even where vacancies are falling, employers cannot assume that suitable seasonal labour will be available. For Walker's, retention should therefore be treated as a productivity and workforce-planning issue, not simply a recruitment problem.</w:t>
      </w:r>
    </w:p>
    <w:p w14:paraId="3B17E074" w14:textId="77777777" w:rsidR="00E4459E" w:rsidRDefault="00000000">
      <w:pPr>
        <w:pStyle w:val="Heading2"/>
      </w:pPr>
      <w:r>
        <w:rPr>
          <w:rFonts w:ascii="Arial" w:eastAsia="Arial" w:hAnsi="Arial"/>
        </w:rPr>
        <w:t>1.3 Diversity, equity and inclusion (DEI)</w:t>
      </w:r>
    </w:p>
    <w:p w14:paraId="1E0A952A" w14:textId="77777777" w:rsidR="00E4459E" w:rsidRDefault="00000000">
      <w:r>
        <w:t>Walker's rural location strengthens its heritage identity but narrows the accessible labour pool. Rural employers often face transport barriers, smaller labour markets and skills shortages (NICRE, 2024). Walker's own offer of free transport to Aberlour shows that access is already a practical workforce issue (Walker's Shortbread, 2026b). ONS labour-market data also show that economic inactivity remained 21.0% in late 2025 to early 2026, meaning some potential workers may remain outside employment unless employers remove practical barriers (ONS, 2026a).</w:t>
      </w:r>
    </w:p>
    <w:p w14:paraId="170929A0" w14:textId="77777777" w:rsidR="00E4459E" w:rsidRDefault="00000000">
      <w:r>
        <w:t>Consequently, DEI is not just a values statement. Equal opportunity requires recruitment, shift design, transport arrangements and team management that allow different groups to access and remain in work. CIPD (2026c) and Acas (n.d.) both stress that inclusive workplaces attract and retain talent, but inclusion becomes credible only when managers apply fair treatment consistently. Van Knippenberg, De Dreu and Homan (2004) also show that diversity benefits teams when participation and information sharing are actively managed.</w:t>
      </w:r>
    </w:p>
    <w:p w14:paraId="558EAFE6" w14:textId="77777777" w:rsidR="00E4459E" w:rsidRDefault="00000000">
      <w:pPr>
        <w:pStyle w:val="Heading1"/>
      </w:pPr>
      <w:r>
        <w:rPr>
          <w:rFonts w:ascii="Arial" w:eastAsia="Arial" w:hAnsi="Arial"/>
        </w:rPr>
        <w:t>2. Evaluation of contemporary HR practices to address each factor</w:t>
      </w:r>
    </w:p>
    <w:p w14:paraId="5DFEDD0D" w14:textId="77777777" w:rsidR="00E4459E" w:rsidRDefault="00000000">
      <w:pPr>
        <w:pStyle w:val="Heading2"/>
      </w:pPr>
      <w:r>
        <w:rPr>
          <w:rFonts w:ascii="Arial" w:eastAsia="Arial" w:hAnsi="Arial"/>
        </w:rPr>
        <w:t>2.1 Practices for technological advancement</w:t>
      </w:r>
    </w:p>
    <w:p w14:paraId="1573150A" w14:textId="77777777" w:rsidR="00E4459E" w:rsidRDefault="00000000">
      <w:r>
        <w:t>A strong response to face scanning should combine digital change management with privacy governance. To begin with, Walker's should use consultation before implementation, including briefings, demonstrations, FAQs, pilot testing and a clear route for employee questions. This is stronger than a top-down rollout because it explains the business reason for change and allows concerns to be addressed early. Its limitation is that it takes time, but faster implementation without trust may create resistance and complaints.</w:t>
      </w:r>
    </w:p>
    <w:p w14:paraId="7AFAE7E3" w14:textId="77777777" w:rsidR="00E4459E" w:rsidRDefault="00000000">
      <w:r>
        <w:t>Furthermore, Walker's should apply privacy-by-design. This would include a data protection impact assessment, clear lawful basis, Article 9 condition, retention limits, restricted access to biometric templates and evidence that less intrusive systems have been considered (ICO, n.d.a; ICO, n.d.b; CIPD, 2025g). This practice directly reduces legal and reputational risk. However, if assessment shows that face scanning is not proportionate, Walker's should use a less intrusive attendance method rather than forcing the technology through.</w:t>
      </w:r>
    </w:p>
    <w:p w14:paraId="069EE5B5" w14:textId="77777777" w:rsidR="00E4459E" w:rsidRDefault="00000000">
      <w:r>
        <w:t xml:space="preserve">Additionally, people analytics should be used carefully after any rollout. Payroll corrections, attendance errors, absence trends, complaints and opt-out requests should be reviewed alongside staff feedback (CIPD, 2025a). The advantage is evidence-based improvement; the </w:t>
      </w:r>
      <w:r>
        <w:lastRenderedPageBreak/>
        <w:t>risk is that managers over-focus on control. For that reason, employee voice must sit beside numerical data. Consultation should also explain what alternative attendance methods remain available if workers have legitimate concerns, because meaningful choice strengthens proportionality and reduces the perception of surveillance.</w:t>
      </w:r>
    </w:p>
    <w:p w14:paraId="18DEF625" w14:textId="77777777" w:rsidR="00E4459E" w:rsidRDefault="00000000">
      <w:pPr>
        <w:pStyle w:val="Heading2"/>
      </w:pPr>
      <w:r>
        <w:rPr>
          <w:rFonts w:ascii="Arial" w:eastAsia="Arial" w:hAnsi="Arial"/>
        </w:rPr>
        <w:t>2.2 Practices for talent acquisition and retention</w:t>
      </w:r>
    </w:p>
    <w:p w14:paraId="3C95B56B" w14:textId="77777777" w:rsidR="00E4459E" w:rsidRDefault="00000000">
      <w:r>
        <w:t>The strongest practice for seasonal retention is structured onboarding supported by buddying. Each recruit should have a named buddy, induction checklist, first-week check-in and clear explanation of quality, safety and attendance expectations. This supports both task learning and social integration. Nevertheless, buddying only works if experienced staff are given time and accountability, otherwise it becomes a paper exercise.</w:t>
      </w:r>
    </w:p>
    <w:p w14:paraId="565DAAC1" w14:textId="77777777" w:rsidR="00E4459E" w:rsidRDefault="00000000">
      <w:r>
        <w:t>In addition, Walker's should redesign the employee value proposition for seasonal workers. Temporary workers should be treated as a returner talent pool through priority rehire lists, fair shift allocation, end-of-season feedback, recognition for reliability and realistic flexibility. CIPD (2025e) presents talent management as an integrated cycle of attraction, development, engagement and retention, while CIPD (2026b) emphasises fair treatment, flexibility and wellbeing as retention factors. The benefit is reduced repeat recruitment pressure and better preservation of operational knowledge. The limitation is that incentives will not work if everyday supervision is poor.</w:t>
      </w:r>
    </w:p>
    <w:p w14:paraId="626C82A1" w14:textId="77777777" w:rsidR="00E4459E" w:rsidRDefault="00000000">
      <w:r>
        <w:t>Furthermore, pulse feedback should be used during busy periods. Short weekly check-ins can detect workload, transport, team or supervisor problems before workers leave. This is useful because seasonal employment moves quickly, but it has credibility only if managers act on the results. The key distinction is that feedback should trigger named actions, owners and deadlines, rather than becoming another survey. Figure 1 illustrates how HR could monitor retention from starting numbers through to a returner pool.</w:t>
      </w:r>
    </w:p>
    <w:p w14:paraId="77DC567E" w14:textId="77777777" w:rsidR="00E4459E" w:rsidRDefault="00000000">
      <w:pPr>
        <w:jc w:val="center"/>
      </w:pPr>
      <w:r>
        <w:rPr>
          <w:noProof/>
        </w:rPr>
        <w:drawing>
          <wp:inline distT="0" distB="0" distL="0" distR="0" wp14:anchorId="25FB7FFD" wp14:editId="3C69C721">
            <wp:extent cx="5486400" cy="3200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asonal_retention_chart.png"/>
                    <pic:cNvPicPr/>
                  </pic:nvPicPr>
                  <pic:blipFill>
                    <a:blip r:embed="rId8"/>
                    <a:stretch>
                      <a:fillRect/>
                    </a:stretch>
                  </pic:blipFill>
                  <pic:spPr>
                    <a:xfrm>
                      <a:off x="0" y="0"/>
                      <a:ext cx="5486400" cy="3200400"/>
                    </a:xfrm>
                    <a:prstGeom prst="rect">
                      <a:avLst/>
                    </a:prstGeom>
                  </pic:spPr>
                </pic:pic>
              </a:graphicData>
            </a:graphic>
          </wp:inline>
        </w:drawing>
      </w:r>
    </w:p>
    <w:p w14:paraId="5AEF1137" w14:textId="77777777" w:rsidR="00E4459E" w:rsidRDefault="00000000">
      <w:pPr>
        <w:jc w:val="center"/>
      </w:pPr>
      <w:r>
        <w:t>Figure 1. Proposed seasonal workforce retention funnel (illustrative internal monitoring data).</w:t>
      </w:r>
    </w:p>
    <w:p w14:paraId="2074451F" w14:textId="77777777" w:rsidR="00E4459E" w:rsidRDefault="00000000">
      <w:pPr>
        <w:jc w:val="center"/>
      </w:pPr>
      <w:r>
        <w:rPr>
          <w:i/>
        </w:rPr>
        <w:lastRenderedPageBreak/>
        <w:t>Note: Percentages are illustrative KPI targets for HR evaluation and are not actual Walker's Shortbread data.</w:t>
      </w:r>
    </w:p>
    <w:p w14:paraId="278C7D72" w14:textId="77777777" w:rsidR="00E4459E" w:rsidRDefault="00000000">
      <w:pPr>
        <w:pStyle w:val="Heading2"/>
      </w:pPr>
      <w:r>
        <w:rPr>
          <w:rFonts w:ascii="Arial" w:eastAsia="Arial" w:hAnsi="Arial"/>
        </w:rPr>
        <w:t>2.3 Practices for DEI</w:t>
      </w:r>
    </w:p>
    <w:p w14:paraId="53B54752" w14:textId="77777777" w:rsidR="00E4459E" w:rsidRDefault="00000000">
      <w:r>
        <w:t>For DEI, inclusive recruitment should remove avoidable barriers without reducing standards. Job adverts should be clear, essential criteria should be justified, recruitment channels should reach wider local groups and shortlisting should be monitored for fairness (CIPD, 2025d; CIPD, 2026c; Acas, n.d.). This improves access at entry point, although recruitment alone cannot create inclusion if workplace behaviour remains unequal.</w:t>
      </w:r>
    </w:p>
    <w:p w14:paraId="6C7DE483" w14:textId="77777777" w:rsidR="00E4459E" w:rsidRDefault="00000000">
      <w:r>
        <w:t>Additionally, Walker's should treat transport and scheduling as inclusion tools. Enhanced shuttle information, coordinated shift times, agency partnerships and community outreach can make work accessible to people who might otherwise be excluded by rural transport. This is both fair and commercially sensible because NICRE (2024) links rural labour shortages with business constraints.</w:t>
      </w:r>
    </w:p>
    <w:p w14:paraId="34B4599F" w14:textId="77777777" w:rsidR="00E4459E" w:rsidRDefault="00000000">
      <w:r>
        <w:t>Furthermore, supervisors need practical inclusive-management training. Training should cover respectful communication, fair allocation of unpopular tasks, early conflict resolution and handling complaints. The weakness of training is that it can become symbolic, so it must be reinforced through team standards and management accountability.</w:t>
      </w:r>
    </w:p>
    <w:p w14:paraId="05DEEF20" w14:textId="77777777" w:rsidR="00E4459E" w:rsidRDefault="00000000">
      <w:pPr>
        <w:pStyle w:val="Heading1"/>
      </w:pPr>
      <w:r>
        <w:rPr>
          <w:rFonts w:ascii="Arial" w:eastAsia="Arial" w:hAnsi="Arial"/>
        </w:rPr>
        <w:t>3. Critical evaluation of how departmental managers can ensure urgent implementation</w:t>
      </w:r>
    </w:p>
    <w:p w14:paraId="5488413E" w14:textId="77777777" w:rsidR="00E4459E" w:rsidRDefault="00000000">
      <w:r>
        <w:t>Urgent implementation depends on departmental managers because HR policies become real only through daily supervision. Production, packing and support managers explain changes, allocate buddies, challenge poor conduct and escalate risks. CIPD (2026a) presents performance management as a continuous process of expectation-setting, support and accountability; this fits Walker's because urgent change needs measurable routines, not vague intentions.</w:t>
      </w:r>
    </w:p>
    <w:p w14:paraId="0A3BBE38" w14:textId="77777777" w:rsidR="00E4459E" w:rsidRDefault="00000000">
      <w:r>
        <w:t>A 30-60-90 day plan would make urgency practical. Within 30 days, managers should complete technology briefings, review induction materials, map transport barriers and confirm equal opportunity expectations. By 60 days, buddying, pulse checks and escalation routes for privacy, retention and inclusion concerns should be operating. By 90 days, HR and operations should review retention, induction completion, attendance errors, employee feedback and complaints.</w:t>
      </w:r>
    </w:p>
    <w:p w14:paraId="30FD23E4" w14:textId="77777777" w:rsidR="00E4459E" w:rsidRDefault="00000000">
      <w:r>
        <w:t>However, metrics alone are insufficient. Managers under production pressure may under-report problems or treat privacy concerns as resistance. Therefore, HR should triangulate dashboard data with exit feedback, spot interviews, agency feedback and supervisor observations. A department that meets output targets while repeatedly losing seasonal workers is not managing sustainably. The review should therefore ask not only whether tasks were completed, but whether employees experienced the practices as fair and useful. Figure 2 shows examples of implementation indicators that could compare departments and trigger intervention.</w:t>
      </w:r>
    </w:p>
    <w:p w14:paraId="7A56A87B" w14:textId="77777777" w:rsidR="00E4459E" w:rsidRDefault="00000000">
      <w:pPr>
        <w:jc w:val="center"/>
      </w:pPr>
      <w:r>
        <w:rPr>
          <w:noProof/>
        </w:rPr>
        <w:lastRenderedPageBreak/>
        <w:drawing>
          <wp:inline distT="0" distB="0" distL="0" distR="0" wp14:anchorId="41091BFF" wp14:editId="1583EBC4">
            <wp:extent cx="5486400" cy="3200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nagement_performance_chart.png"/>
                    <pic:cNvPicPr/>
                  </pic:nvPicPr>
                  <pic:blipFill>
                    <a:blip r:embed="rId9"/>
                    <a:stretch>
                      <a:fillRect/>
                    </a:stretch>
                  </pic:blipFill>
                  <pic:spPr>
                    <a:xfrm>
                      <a:off x="0" y="0"/>
                      <a:ext cx="5486400" cy="3200400"/>
                    </a:xfrm>
                    <a:prstGeom prst="rect">
                      <a:avLst/>
                    </a:prstGeom>
                  </pic:spPr>
                </pic:pic>
              </a:graphicData>
            </a:graphic>
          </wp:inline>
        </w:drawing>
      </w:r>
    </w:p>
    <w:p w14:paraId="698A81E6" w14:textId="77777777" w:rsidR="00E4459E" w:rsidRDefault="00000000">
      <w:pPr>
        <w:jc w:val="center"/>
      </w:pPr>
      <w:r>
        <w:t>Figure 2. Proposed management performance implementation dashboard (illustrative internal monitoring data).</w:t>
      </w:r>
    </w:p>
    <w:p w14:paraId="01A64148" w14:textId="77777777" w:rsidR="00E4459E" w:rsidRDefault="00000000">
      <w:pPr>
        <w:jc w:val="center"/>
      </w:pPr>
      <w:r>
        <w:rPr>
          <w:i/>
        </w:rPr>
        <w:t>Note: Percentages are illustrative targets for a 90-day implementation review and are not actual Walker's Shortbread data.</w:t>
      </w:r>
    </w:p>
    <w:p w14:paraId="622309C5" w14:textId="77777777" w:rsidR="00E4459E" w:rsidRDefault="00000000">
      <w:r>
        <w:t>Manager capability is also critical. Some supervisors may have strong technical knowledge but limited skill in communication, coaching or inclusion. Walker's should therefore provide short manager toolkits explaining how to introduce the attendance system, handle errors fairly, run first-day inductions, challenge exclusionary behaviour and escalate concerns. Furthermore, people objectives should be built into performance reviews, including induction completion, seasonal return rates, feedback response and compliance with agreed privacy procedures. This would make implementation part of normal management responsibility rather than an optional HR project.</w:t>
      </w:r>
    </w:p>
    <w:p w14:paraId="753AC79F" w14:textId="77777777" w:rsidR="00E4459E" w:rsidRDefault="00000000">
      <w:r>
        <w:t>Finally, consistency across departments is essential. Contemporary HR practices lose credibility if one shift provides respectful supervision while another relies on informal habits. Standard templates for induction, buddy allocation, technology briefings and feedback should create a minimum standard, while allowing managers to respond to local team issues. Urgency should therefore mean disciplined, visible and fair implementation, not rushed communication or box-ticking.</w:t>
      </w:r>
    </w:p>
    <w:p w14:paraId="6B090A22" w14:textId="77777777" w:rsidR="00E4459E" w:rsidRDefault="00000000">
      <w:pPr>
        <w:pStyle w:val="Heading1"/>
      </w:pPr>
      <w:r>
        <w:rPr>
          <w:rFonts w:ascii="Arial" w:eastAsia="Arial" w:hAnsi="Arial"/>
        </w:rPr>
        <w:t>Conclusion and recommendations</w:t>
      </w:r>
    </w:p>
    <w:p w14:paraId="54D69F6E" w14:textId="77777777" w:rsidR="00E4459E" w:rsidRDefault="00000000">
      <w:r>
        <w:t>Walker's Shortbread faces three connected HR challenges. Face-scanning may improve efficiency, but it also creates legal, ethical and trust risks. Seasonal recruitment is necessary, but retention depends on induction, fair treatment and returner planning. DEI is shaped by culture and by practical rural access barriers.</w:t>
      </w:r>
    </w:p>
    <w:p w14:paraId="48AF1A26" w14:textId="77777777" w:rsidR="00E4459E" w:rsidRDefault="00000000">
      <w:r>
        <w:t xml:space="preserve">Three recommendations follow. To begin with, Walker's should introduce face scanning only if ICO requirements are satisfied and less intrusive alternatives have been considered. </w:t>
      </w:r>
      <w:r>
        <w:lastRenderedPageBreak/>
        <w:t>Additionally, it should strengthen seasonal retention through onboarding, buddying, pulse feedback and returner incentives. Finally, it should make inclusion operational by improving recruitment access, transport support and manager accountability. Across all areas, distinction-level HR practice depends on evidence, employee voice and consistent departmental management.</w:t>
      </w:r>
    </w:p>
    <w:p w14:paraId="008AFFD2" w14:textId="77777777" w:rsidR="00E4459E" w:rsidRDefault="00000000">
      <w:pPr>
        <w:pStyle w:val="Heading1"/>
      </w:pPr>
      <w:r>
        <w:rPr>
          <w:rFonts w:ascii="Arial" w:eastAsia="Arial" w:hAnsi="Arial"/>
        </w:rPr>
        <w:t>Reference list</w:t>
      </w:r>
    </w:p>
    <w:p w14:paraId="6F84D0DC" w14:textId="77777777" w:rsidR="00E4459E" w:rsidRDefault="00000000">
      <w:pPr>
        <w:ind w:left="360" w:hanging="360"/>
      </w:pPr>
      <w:r>
        <w:t>Acas (n.d.) Making your workplace inclusive. Available at: https://www.acas.org.uk/improving-equality-diversity-and-inclusion/making-your-workplace-inclusive (Accessed: 27 April 2026).</w:t>
      </w:r>
    </w:p>
    <w:p w14:paraId="554D8341" w14:textId="77777777" w:rsidR="00E4459E" w:rsidRDefault="00000000">
      <w:pPr>
        <w:ind w:left="360" w:hanging="360"/>
      </w:pPr>
      <w:r>
        <w:t>Armstrong, M. (2020) Armstrong's Handbook of Human Resource Management Practice. 15th edn. London: Kogan Page.</w:t>
      </w:r>
    </w:p>
    <w:p w14:paraId="19B1393F" w14:textId="77777777" w:rsidR="00E4459E" w:rsidRDefault="00000000">
      <w:pPr>
        <w:ind w:left="360" w:hanging="360"/>
      </w:pPr>
      <w:r>
        <w:t>Beardwell, J. and Claydon, T. (2017) Human Resource Management: A Contemporary Approach. 8th edn. Harlow: Financial Times/Prentice Hall.</w:t>
      </w:r>
    </w:p>
    <w:p w14:paraId="3EEDD731" w14:textId="77777777" w:rsidR="00E4459E" w:rsidRDefault="00000000">
      <w:pPr>
        <w:ind w:left="360" w:hanging="360"/>
      </w:pPr>
      <w:r>
        <w:t>CIPD (2025a) People analytics. Factsheet, 7 February. Available at: https://www.cipd.org/uk/knowledge/factsheets/analytics-factsheet/ (Accessed: 27 April 2026).</w:t>
      </w:r>
    </w:p>
    <w:p w14:paraId="45653A35" w14:textId="77777777" w:rsidR="00E4459E" w:rsidRDefault="00000000">
      <w:pPr>
        <w:ind w:left="360" w:hanging="360"/>
      </w:pPr>
      <w:r>
        <w:t>CIPD (2025b) Technology, AI and the future of work. Factsheet, 20 June. Available at: https://www.cipd.org/uk/knowledge/factsheets/emerging-future-work-factsheet/ (Accessed: 27 April 2026).</w:t>
      </w:r>
    </w:p>
    <w:p w14:paraId="5776E110" w14:textId="77777777" w:rsidR="00E4459E" w:rsidRDefault="00000000">
      <w:pPr>
        <w:ind w:left="360" w:hanging="360"/>
      </w:pPr>
      <w:r>
        <w:t>CIPD (2025d) Recruitment: an introduction. Factsheet, 2 December. Available at: https://www.cipd.org/uk/knowledge/factsheets/recruitment-factsheet/ (Accessed: 27 April 2026).</w:t>
      </w:r>
    </w:p>
    <w:p w14:paraId="06A50C8A" w14:textId="77777777" w:rsidR="00E4459E" w:rsidRDefault="00000000">
      <w:pPr>
        <w:ind w:left="360" w:hanging="360"/>
      </w:pPr>
      <w:r>
        <w:t>CIPD (2025e) Talent management. Factsheet, 26 November. Available at: https://www.cipd.org/uk/knowledge/factsheets/talent-factsheet/ (Accessed: 27 April 2026).</w:t>
      </w:r>
    </w:p>
    <w:p w14:paraId="04DEC8ED" w14:textId="77777777" w:rsidR="00E4459E" w:rsidRDefault="00000000">
      <w:pPr>
        <w:ind w:left="360" w:hanging="360"/>
      </w:pPr>
      <w:r>
        <w:t>CIPD (2025g) Data protection and GDPR in the workplace. Factsheet, 21 November. Available at: https://www.cipd.org/uk/knowledge/factsheets/data-protection-factsheet/ (Accessed: 27 April 2026).</w:t>
      </w:r>
    </w:p>
    <w:p w14:paraId="71CEE7D0" w14:textId="77777777" w:rsidR="00E4459E" w:rsidRDefault="00000000">
      <w:pPr>
        <w:ind w:left="360" w:hanging="360"/>
      </w:pPr>
      <w:r>
        <w:t>CIPD (2026a) Performance management: an introduction. Factsheet, 29 January. Available at: https://www.cipd.org/uk/knowledge/factsheets/performance-factsheet/ (Accessed: 27 April 2026).</w:t>
      </w:r>
    </w:p>
    <w:p w14:paraId="29A00DDA" w14:textId="77777777" w:rsidR="00E4459E" w:rsidRDefault="00000000">
      <w:pPr>
        <w:ind w:left="360" w:hanging="360"/>
      </w:pPr>
      <w:r>
        <w:t>CIPD (2026b) Employee turnover and retention. Factsheet, 16 February. Available at: https://www.cipd.org/uk/knowledge/factsheets/turnover-retention-factsheet/ (Accessed: 27 April 2026).</w:t>
      </w:r>
    </w:p>
    <w:p w14:paraId="7C401E43" w14:textId="77777777" w:rsidR="00E4459E" w:rsidRDefault="00000000">
      <w:pPr>
        <w:ind w:left="360" w:hanging="360"/>
      </w:pPr>
      <w:r>
        <w:t>CIPD (2026c) Equality, diversity and inclusion (EDI) in the workplace. Factsheet, 11 February. Available at: https://www.cipd.org/uk/knowledge/factsheets/diversity-factsheet/ (Accessed: 27 April 2026).</w:t>
      </w:r>
    </w:p>
    <w:p w14:paraId="42D5E7C7" w14:textId="77777777" w:rsidR="00E4459E" w:rsidRDefault="00000000">
      <w:pPr>
        <w:ind w:left="360" w:hanging="360"/>
      </w:pPr>
      <w:r>
        <w:t>Huselid, M.A. (1995) 'The impact of human resource management practices on turnover, productivity, and corporate financial performance', Academy of Management Journal, 38(3), pp. 635-672. doi: 10.2307/256741.</w:t>
      </w:r>
    </w:p>
    <w:p w14:paraId="23298573" w14:textId="77777777" w:rsidR="00E4459E" w:rsidRDefault="00000000">
      <w:pPr>
        <w:ind w:left="360" w:hanging="360"/>
      </w:pPr>
      <w:r>
        <w:t>ICO (2024) ICO orders Serco Leisure to stop using facial recognition technology to monitor attendance of leisure centre employees. 23 February. Available at: https://ico.org.uk/about-</w:t>
      </w:r>
      <w:r>
        <w:lastRenderedPageBreak/>
        <w:t>the-ico/media-centre/news-and-blogs/2024/02/ico-orders-serco-leisure-to-stop-using-facial-recognition-technology/ (Accessed: 27 April 2026).</w:t>
      </w:r>
    </w:p>
    <w:p w14:paraId="0AF1638C" w14:textId="77777777" w:rsidR="00E4459E" w:rsidRDefault="00000000">
      <w:pPr>
        <w:ind w:left="360" w:hanging="360"/>
      </w:pPr>
      <w:r>
        <w:t>ICO (n.d.a) Biometric recognition. Available at: https://ico.org.uk/for-organisations/uk-gdpr-guidance-and-resources/lawful-basis/biometric-data-guidance-biometric-recognition/ (Accessed: 27 April 2026).</w:t>
      </w:r>
    </w:p>
    <w:p w14:paraId="6984B25F" w14:textId="77777777" w:rsidR="00E4459E" w:rsidRDefault="00000000">
      <w:pPr>
        <w:ind w:left="360" w:hanging="360"/>
      </w:pPr>
      <w:r>
        <w:t>ICO (n.d.b) Facial Recognition Technology (FRT) and surveillance. Available at: https://ico.org.uk/for-organisations/uk-gdpr-guidance-and-resources/cctv-and-video-surveillance/guidance-on-video-surveillance-including-cctv/additional-considerations-for-technologies-other-than-cctv/facial-recognition-technology-frt-and-surveillance/ (Accessed: 27 April 2026).</w:t>
      </w:r>
    </w:p>
    <w:p w14:paraId="22BBCF6A" w14:textId="77777777" w:rsidR="00E4459E" w:rsidRDefault="00000000">
      <w:pPr>
        <w:ind w:left="360" w:hanging="360"/>
      </w:pPr>
      <w:r>
        <w:t>Kew, J. and Stredwick, J. (2013) Human Resource Management in a Business Context. 2nd edn. London: CIPD.</w:t>
      </w:r>
    </w:p>
    <w:p w14:paraId="1A10D460" w14:textId="77777777" w:rsidR="00E4459E" w:rsidRDefault="00000000">
      <w:pPr>
        <w:ind w:left="360" w:hanging="360"/>
      </w:pPr>
      <w:r>
        <w:t>Lewis, L.K. (2011) Organizational Change: Creating Change Through Strategic Communication. Chichester: Wiley-Blackwell.</w:t>
      </w:r>
    </w:p>
    <w:p w14:paraId="12B02990" w14:textId="77777777" w:rsidR="00E4459E" w:rsidRDefault="00000000">
      <w:pPr>
        <w:ind w:left="360" w:hanging="360"/>
      </w:pPr>
      <w:r>
        <w:t>Mullins, L.J. (2019) Organisational Behaviour in the Workplace. 12th edn. Harlow: Pearson.</w:t>
      </w:r>
    </w:p>
    <w:p w14:paraId="0B37461E" w14:textId="77777777" w:rsidR="00E4459E" w:rsidRDefault="00000000">
      <w:pPr>
        <w:ind w:left="360" w:hanging="360"/>
      </w:pPr>
      <w:r>
        <w:t>NICRE (2024) Labour and skills availability: impacts on rural enterprise. State of Rural Enterprise Report No. 7, February. Available at: https://nicre.co.uk/media/ilwdzxhg/nicre-state-of-rural-enterprise-report-no-7-february-2024-labour-and-skills-availability-impacts-on-rural-enterprise.pdf (Accessed: 27 April 2026).</w:t>
      </w:r>
    </w:p>
    <w:p w14:paraId="6289A757" w14:textId="77777777" w:rsidR="00E4459E" w:rsidRDefault="00000000">
      <w:pPr>
        <w:ind w:left="360" w:hanging="360"/>
      </w:pPr>
      <w:r>
        <w:t>ONS (2026a) Employment in the UK: April 2026. Released 21 April. Available at: https://www.ons.gov.uk/employmentandlabourmarket/peopleinwork/employmentandemployeetypes/bulletins/employmentintheuk/april2026 (Accessed: 27 April 2026).</w:t>
      </w:r>
    </w:p>
    <w:p w14:paraId="55E5A885" w14:textId="77777777" w:rsidR="00E4459E" w:rsidRDefault="00000000">
      <w:pPr>
        <w:ind w:left="360" w:hanging="360"/>
      </w:pPr>
      <w:r>
        <w:t>ONS (2026b) Vacancies and jobs in the UK: April 2026. Released 21 April. Available at: https://www.ons.gov.uk/employmentandlabourmarket/peopleinwork/employmentandemployeetypes/bulletins/jobsandvacanciesintheuk/april2026 (Accessed: 27 April 2026).</w:t>
      </w:r>
    </w:p>
    <w:p w14:paraId="667ED014" w14:textId="77777777" w:rsidR="00E4459E" w:rsidRDefault="00000000">
      <w:pPr>
        <w:ind w:left="360" w:hanging="360"/>
      </w:pPr>
      <w:r>
        <w:t>Van Knippenberg, D., De Dreu, C.K.W. and Homan, A.C. (2004) 'Work group diversity and group performance: an integrative model and research agenda', Journal of Applied Psychology, 89(6), pp. 1008-1022. doi: 10.1037/0021-9010.89.6.1008.</w:t>
      </w:r>
    </w:p>
    <w:p w14:paraId="2A018056" w14:textId="77777777" w:rsidR="00E4459E" w:rsidRDefault="00000000">
      <w:pPr>
        <w:ind w:left="360" w:hanging="360"/>
      </w:pPr>
      <w:r>
        <w:t>Walker's Shortbread (2026a) Factory operative Elgin &amp; Aberlour. Available at: https://careers.walkersshortbread.com/vacancies/129/factory-operative-elgin--aberlour.html (Accessed: 27 April 2026).</w:t>
      </w:r>
    </w:p>
    <w:p w14:paraId="16A51A64" w14:textId="77777777" w:rsidR="00E4459E" w:rsidRDefault="00000000">
      <w:pPr>
        <w:ind w:left="360" w:hanging="360"/>
      </w:pPr>
      <w:r>
        <w:t>Walker's Shortbread (2026b) Working with us. Available at: https://careers.walkersshortbread.com/working-with-us.aspx (Accessed: 27 April 2026).</w:t>
      </w:r>
    </w:p>
    <w:p w14:paraId="56F23C2D" w14:textId="77777777" w:rsidR="00E4459E" w:rsidRDefault="00000000">
      <w:pPr>
        <w:ind w:left="360" w:hanging="360"/>
      </w:pPr>
      <w:r>
        <w:t>Walker's Shortbread (n.d.) History &amp; heritage. Available at: https://www.walkersshortbread.com/history-heritage/ (Accessed: 27 April 2026).</w:t>
      </w:r>
    </w:p>
    <w:sectPr w:rsidR="00E4459E" w:rsidSect="00034616">
      <w:footerReference w:type="default" r:id="rId10"/>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0452B" w14:textId="77777777" w:rsidR="00A94C68" w:rsidRDefault="00A94C68">
      <w:pPr>
        <w:spacing w:after="0" w:line="240" w:lineRule="auto"/>
      </w:pPr>
      <w:r>
        <w:separator/>
      </w:r>
    </w:p>
  </w:endnote>
  <w:endnote w:type="continuationSeparator" w:id="0">
    <w:p w14:paraId="1F99238C" w14:textId="77777777" w:rsidR="00A94C68" w:rsidRDefault="00A94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DD0867" w14:textId="77777777" w:rsidR="00E4459E" w:rsidRDefault="00000000">
    <w:pPr>
      <w:pStyle w:val="Footer"/>
      <w:jc w:val="center"/>
    </w:pPr>
    <w:r>
      <w:fldChar w:fldCharType="begin"/>
    </w:r>
    <w:r>
      <w:instrText xml:space="preserve"> PAGE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C6592" w14:textId="77777777" w:rsidR="00A94C68" w:rsidRDefault="00A94C68">
      <w:pPr>
        <w:spacing w:after="0" w:line="240" w:lineRule="auto"/>
      </w:pPr>
      <w:r>
        <w:separator/>
      </w:r>
    </w:p>
  </w:footnote>
  <w:footnote w:type="continuationSeparator" w:id="0">
    <w:p w14:paraId="665A1172" w14:textId="77777777" w:rsidR="00A94C68" w:rsidRDefault="00A94C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66600965">
    <w:abstractNumId w:val="8"/>
  </w:num>
  <w:num w:numId="2" w16cid:durableId="372923713">
    <w:abstractNumId w:val="6"/>
  </w:num>
  <w:num w:numId="3" w16cid:durableId="1188064272">
    <w:abstractNumId w:val="5"/>
  </w:num>
  <w:num w:numId="4" w16cid:durableId="964041568">
    <w:abstractNumId w:val="4"/>
  </w:num>
  <w:num w:numId="5" w16cid:durableId="543248694">
    <w:abstractNumId w:val="7"/>
  </w:num>
  <w:num w:numId="6" w16cid:durableId="1043822396">
    <w:abstractNumId w:val="3"/>
  </w:num>
  <w:num w:numId="7" w16cid:durableId="540437965">
    <w:abstractNumId w:val="2"/>
  </w:num>
  <w:num w:numId="8" w16cid:durableId="1794640180">
    <w:abstractNumId w:val="1"/>
  </w:num>
  <w:num w:numId="9" w16cid:durableId="1490637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F68B1"/>
    <w:rsid w:val="004965A9"/>
    <w:rsid w:val="005E530F"/>
    <w:rsid w:val="007176F2"/>
    <w:rsid w:val="007B292F"/>
    <w:rsid w:val="00821700"/>
    <w:rsid w:val="00A24CF9"/>
    <w:rsid w:val="00A94C68"/>
    <w:rsid w:val="00AA1D8D"/>
    <w:rsid w:val="00B47730"/>
    <w:rsid w:val="00CB0664"/>
    <w:rsid w:val="00E4459E"/>
    <w:rsid w:val="00F81E2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2A039B"/>
  <w14:defaultImageDpi w14:val="300"/>
  <w15:docId w15:val="{255DEE2E-ACEC-B54E-B446-D0FAAA33B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eastAsia="Arial" w:hAnsi="Arial"/>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365F91" w:themeColor="accent1" w:themeShade="BF"/>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4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9</Pages>
  <Words>2415</Words>
  <Characters>17103</Characters>
  <Application>Microsoft Office Word</Application>
  <DocSecurity>0</DocSecurity>
  <Lines>273</Lines>
  <Paragraphs>88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rafal boguszewski</cp:lastModifiedBy>
  <cp:revision>4</cp:revision>
  <dcterms:created xsi:type="dcterms:W3CDTF">2026-04-27T18:43:00Z</dcterms:created>
  <dcterms:modified xsi:type="dcterms:W3CDTF">2026-04-27T20:05:00Z</dcterms:modified>
  <cp:category/>
</cp:coreProperties>
</file>