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BD1AD1" w14:textId="70C62510" w:rsidR="00385812" w:rsidRPr="008926CF" w:rsidRDefault="004C43C9" w:rsidP="004C43C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8926CF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585EBC94" w14:textId="56EA0508" w:rsidR="004C43C9" w:rsidRPr="004C43C9" w:rsidRDefault="004C43C9" w:rsidP="004C43C9">
      <w:pPr>
        <w:spacing w:line="360" w:lineRule="auto"/>
        <w:rPr>
          <w:rFonts w:ascii="Arial" w:hAnsi="Arial" w:cs="Arial"/>
          <w:sz w:val="24"/>
          <w:szCs w:val="24"/>
        </w:rPr>
      </w:pPr>
      <w:r w:rsidRPr="004C43C9">
        <w:rPr>
          <w:rFonts w:ascii="Arial" w:hAnsi="Arial" w:cs="Arial"/>
          <w:sz w:val="24"/>
          <w:szCs w:val="24"/>
        </w:rPr>
        <w:t>Bandura, A. (1997</w:t>
      </w:r>
      <w:r w:rsidRPr="004C43C9">
        <w:rPr>
          <w:rFonts w:ascii="Arial" w:hAnsi="Arial" w:cs="Arial"/>
          <w:i/>
          <w:iCs/>
          <w:sz w:val="24"/>
          <w:szCs w:val="24"/>
        </w:rPr>
        <w:t>) Self-efficacy: The exercise of control</w:t>
      </w:r>
      <w:r w:rsidRPr="004C43C9">
        <w:rPr>
          <w:rFonts w:ascii="Arial" w:hAnsi="Arial" w:cs="Arial"/>
          <w:sz w:val="24"/>
          <w:szCs w:val="24"/>
        </w:rPr>
        <w:t>. New York: W.H.</w:t>
      </w:r>
      <w:r>
        <w:rPr>
          <w:rFonts w:ascii="Arial" w:hAnsi="Arial" w:cs="Arial"/>
          <w:sz w:val="24"/>
          <w:szCs w:val="24"/>
        </w:rPr>
        <w:t xml:space="preserve"> </w:t>
      </w:r>
      <w:r w:rsidRPr="004C43C9">
        <w:rPr>
          <w:rFonts w:ascii="Arial" w:hAnsi="Arial" w:cs="Arial"/>
          <w:sz w:val="24"/>
          <w:szCs w:val="24"/>
        </w:rPr>
        <w:t>Freeman.</w:t>
      </w:r>
    </w:p>
    <w:p w14:paraId="4370D7D2" w14:textId="6FDEFC2B" w:rsidR="004C43C9" w:rsidRPr="004C43C9" w:rsidRDefault="004C43C9" w:rsidP="004C43C9">
      <w:pPr>
        <w:spacing w:line="360" w:lineRule="auto"/>
        <w:rPr>
          <w:rFonts w:ascii="Arial" w:hAnsi="Arial" w:cs="Arial"/>
          <w:sz w:val="24"/>
          <w:szCs w:val="24"/>
        </w:rPr>
      </w:pPr>
      <w:r w:rsidRPr="004C43C9">
        <w:rPr>
          <w:rFonts w:ascii="Arial" w:hAnsi="Arial" w:cs="Arial"/>
          <w:sz w:val="24"/>
          <w:szCs w:val="24"/>
        </w:rPr>
        <w:t>National Institute for Health and Care Excellence (20</w:t>
      </w:r>
      <w:r>
        <w:rPr>
          <w:rFonts w:ascii="Arial" w:hAnsi="Arial" w:cs="Arial"/>
          <w:sz w:val="24"/>
          <w:szCs w:val="24"/>
        </w:rPr>
        <w:t>17</w:t>
      </w:r>
      <w:r w:rsidRPr="004C43C9">
        <w:rPr>
          <w:rFonts w:ascii="Arial" w:hAnsi="Arial" w:cs="Arial"/>
          <w:sz w:val="24"/>
          <w:szCs w:val="24"/>
        </w:rPr>
        <w:t xml:space="preserve">) </w:t>
      </w:r>
      <w:r w:rsidRPr="004C43C9">
        <w:rPr>
          <w:rFonts w:ascii="Arial" w:hAnsi="Arial" w:cs="Arial"/>
          <w:i/>
          <w:iCs/>
          <w:sz w:val="24"/>
          <w:szCs w:val="24"/>
        </w:rPr>
        <w:t>Parkinson’s disease in adults</w:t>
      </w:r>
      <w:r w:rsidRPr="004C43C9">
        <w:rPr>
          <w:rFonts w:ascii="Arial" w:hAnsi="Arial" w:cs="Arial"/>
          <w:sz w:val="24"/>
          <w:szCs w:val="24"/>
        </w:rPr>
        <w:t xml:space="preserve">. Available at: </w:t>
      </w:r>
      <w:r w:rsidRPr="008926CF">
        <w:rPr>
          <w:rFonts w:ascii="Arial" w:hAnsi="Arial" w:cs="Arial"/>
          <w:sz w:val="24"/>
          <w:szCs w:val="24"/>
        </w:rPr>
        <w:t>https://www.nice.org.uk/guidance/ng71</w:t>
      </w:r>
      <w:r w:rsidR="008926CF" w:rsidRPr="008926CF">
        <w:rPr>
          <w:rFonts w:ascii="Arial" w:hAnsi="Arial" w:cs="Arial"/>
          <w:sz w:val="24"/>
          <w:szCs w:val="24"/>
        </w:rPr>
        <w:t xml:space="preserve"> </w:t>
      </w:r>
      <w:r w:rsidR="008926CF">
        <w:rPr>
          <w:rFonts w:ascii="Arial" w:hAnsi="Arial" w:cs="Arial"/>
          <w:sz w:val="24"/>
          <w:szCs w:val="24"/>
        </w:rPr>
        <w:t>(</w:t>
      </w:r>
      <w:r w:rsidR="008926CF" w:rsidRPr="0034391C">
        <w:rPr>
          <w:rFonts w:ascii="Arial" w:hAnsi="Arial" w:cs="Arial"/>
          <w:sz w:val="24"/>
          <w:szCs w:val="24"/>
        </w:rPr>
        <w:t>Accessed: 2</w:t>
      </w:r>
      <w:r w:rsidR="008926CF">
        <w:rPr>
          <w:rFonts w:ascii="Arial" w:hAnsi="Arial" w:cs="Arial"/>
          <w:sz w:val="24"/>
          <w:szCs w:val="24"/>
        </w:rPr>
        <w:t>1st April</w:t>
      </w:r>
      <w:r w:rsidR="008926CF" w:rsidRPr="0034391C">
        <w:rPr>
          <w:rFonts w:ascii="Arial" w:hAnsi="Arial" w:cs="Arial"/>
          <w:sz w:val="24"/>
          <w:szCs w:val="24"/>
        </w:rPr>
        <w:t xml:space="preserve"> 202</w:t>
      </w:r>
      <w:r w:rsidR="008926CF">
        <w:rPr>
          <w:rFonts w:ascii="Arial" w:hAnsi="Arial" w:cs="Arial"/>
          <w:sz w:val="24"/>
          <w:szCs w:val="24"/>
        </w:rPr>
        <w:t>6</w:t>
      </w:r>
      <w:r w:rsidR="008926CF" w:rsidRPr="0034391C">
        <w:rPr>
          <w:rFonts w:ascii="Arial" w:hAnsi="Arial" w:cs="Arial"/>
          <w:sz w:val="24"/>
          <w:szCs w:val="24"/>
        </w:rPr>
        <w:t>).</w:t>
      </w:r>
    </w:p>
    <w:p w14:paraId="5B147D9C" w14:textId="04ACD878" w:rsidR="004C43C9" w:rsidRPr="004C43C9" w:rsidRDefault="004C43C9" w:rsidP="004C43C9">
      <w:pPr>
        <w:spacing w:line="360" w:lineRule="auto"/>
        <w:rPr>
          <w:rFonts w:ascii="Arial" w:hAnsi="Arial" w:cs="Arial"/>
          <w:sz w:val="24"/>
          <w:szCs w:val="24"/>
        </w:rPr>
      </w:pPr>
      <w:r w:rsidRPr="004C43C9">
        <w:rPr>
          <w:rFonts w:ascii="Arial" w:hAnsi="Arial" w:cs="Arial"/>
          <w:sz w:val="24"/>
          <w:szCs w:val="24"/>
        </w:rPr>
        <w:t xml:space="preserve">National Institute for Health and Care </w:t>
      </w:r>
      <w:r w:rsidR="008926CF" w:rsidRPr="004C43C9">
        <w:rPr>
          <w:rFonts w:ascii="Arial" w:hAnsi="Arial" w:cs="Arial"/>
          <w:sz w:val="24"/>
          <w:szCs w:val="24"/>
        </w:rPr>
        <w:t>Excellence</w:t>
      </w:r>
      <w:r w:rsidRPr="004C43C9">
        <w:rPr>
          <w:rFonts w:ascii="Arial" w:hAnsi="Arial" w:cs="Arial"/>
          <w:sz w:val="24"/>
          <w:szCs w:val="24"/>
        </w:rPr>
        <w:t xml:space="preserve"> (202</w:t>
      </w:r>
      <w:r w:rsidR="008926CF">
        <w:rPr>
          <w:rFonts w:ascii="Arial" w:hAnsi="Arial" w:cs="Arial"/>
          <w:sz w:val="24"/>
          <w:szCs w:val="24"/>
        </w:rPr>
        <w:t>4</w:t>
      </w:r>
      <w:r w:rsidRPr="004C43C9">
        <w:rPr>
          <w:rFonts w:ascii="Arial" w:hAnsi="Arial" w:cs="Arial"/>
          <w:sz w:val="24"/>
          <w:szCs w:val="24"/>
        </w:rPr>
        <w:t xml:space="preserve">) </w:t>
      </w:r>
      <w:r w:rsidRPr="004C43C9">
        <w:rPr>
          <w:rFonts w:ascii="Arial" w:hAnsi="Arial" w:cs="Arial"/>
          <w:i/>
          <w:iCs/>
          <w:sz w:val="24"/>
          <w:szCs w:val="24"/>
        </w:rPr>
        <w:t>Managing long-term effects of COVID-19</w:t>
      </w:r>
      <w:r w:rsidRPr="004C43C9">
        <w:rPr>
          <w:rFonts w:ascii="Arial" w:hAnsi="Arial" w:cs="Arial"/>
          <w:sz w:val="24"/>
          <w:szCs w:val="24"/>
        </w:rPr>
        <w:t xml:space="preserve">. Available at: </w:t>
      </w:r>
      <w:r w:rsidR="008926CF" w:rsidRPr="008926CF">
        <w:rPr>
          <w:rFonts w:ascii="Arial" w:hAnsi="Arial" w:cs="Arial"/>
          <w:sz w:val="24"/>
          <w:szCs w:val="24"/>
        </w:rPr>
        <w:t>https://www.nice.org.uk/guidance/ng188</w:t>
      </w:r>
      <w:r w:rsidR="008926CF">
        <w:rPr>
          <w:rFonts w:ascii="Arial" w:hAnsi="Arial" w:cs="Arial"/>
          <w:sz w:val="24"/>
          <w:szCs w:val="24"/>
        </w:rPr>
        <w:t xml:space="preserve"> (Accessed:24th April 2026)</w:t>
      </w:r>
    </w:p>
    <w:p w14:paraId="3C23C036" w14:textId="5D4B672A" w:rsidR="004C43C9" w:rsidRPr="004C43C9" w:rsidRDefault="004C43C9" w:rsidP="004C43C9">
      <w:pPr>
        <w:spacing w:line="360" w:lineRule="auto"/>
        <w:rPr>
          <w:rFonts w:ascii="Arial" w:hAnsi="Arial" w:cs="Arial"/>
          <w:sz w:val="24"/>
          <w:szCs w:val="24"/>
        </w:rPr>
      </w:pPr>
      <w:r w:rsidRPr="004C43C9">
        <w:rPr>
          <w:rFonts w:ascii="Arial" w:hAnsi="Arial" w:cs="Arial"/>
          <w:sz w:val="24"/>
          <w:szCs w:val="24"/>
        </w:rPr>
        <w:t>Volkert, D.</w:t>
      </w:r>
      <w:r w:rsidR="008926CF">
        <w:rPr>
          <w:rFonts w:ascii="Arial" w:hAnsi="Arial" w:cs="Arial"/>
          <w:sz w:val="24"/>
          <w:szCs w:val="24"/>
        </w:rPr>
        <w:t xml:space="preserve"> Beck, A. M., Cederholm, T., Cruz-Jentoft, A., </w:t>
      </w:r>
      <w:proofErr w:type="spellStart"/>
      <w:r w:rsidR="008926CF">
        <w:rPr>
          <w:rFonts w:ascii="Arial" w:hAnsi="Arial" w:cs="Arial"/>
          <w:sz w:val="24"/>
          <w:szCs w:val="24"/>
        </w:rPr>
        <w:t>Goisser</w:t>
      </w:r>
      <w:proofErr w:type="spellEnd"/>
      <w:r w:rsidR="008926CF">
        <w:rPr>
          <w:rFonts w:ascii="Arial" w:hAnsi="Arial" w:cs="Arial"/>
          <w:sz w:val="24"/>
          <w:szCs w:val="24"/>
        </w:rPr>
        <w:t xml:space="preserve">, S., Hooper, L., </w:t>
      </w:r>
      <w:proofErr w:type="spellStart"/>
      <w:r w:rsidR="008926CF">
        <w:rPr>
          <w:rFonts w:ascii="Arial" w:hAnsi="Arial" w:cs="Arial"/>
          <w:sz w:val="24"/>
          <w:szCs w:val="24"/>
        </w:rPr>
        <w:t>Kiesswetter</w:t>
      </w:r>
      <w:proofErr w:type="spellEnd"/>
      <w:r w:rsidR="008926CF">
        <w:rPr>
          <w:rFonts w:ascii="Arial" w:hAnsi="Arial" w:cs="Arial"/>
          <w:sz w:val="24"/>
          <w:szCs w:val="24"/>
        </w:rPr>
        <w:t xml:space="preserve">, E., Maggio, M., Raynaud-Simon, A., Sieber, C. C., Sobotka, L., Asselt, D. V., Wirth, R. and Bischoff, S. C. </w:t>
      </w:r>
      <w:r w:rsidRPr="004C43C9">
        <w:rPr>
          <w:rFonts w:ascii="Arial" w:hAnsi="Arial" w:cs="Arial"/>
          <w:sz w:val="24"/>
          <w:szCs w:val="24"/>
        </w:rPr>
        <w:t xml:space="preserve">(2019) ‘ESPEN guideline on clinical nutrition and hydration in geriatrics’, </w:t>
      </w:r>
      <w:r w:rsidRPr="004C43C9">
        <w:rPr>
          <w:rFonts w:ascii="Arial" w:hAnsi="Arial" w:cs="Arial"/>
          <w:i/>
          <w:iCs/>
          <w:sz w:val="24"/>
          <w:szCs w:val="24"/>
        </w:rPr>
        <w:t>Clinical Nutrition</w:t>
      </w:r>
      <w:r w:rsidRPr="004C43C9">
        <w:rPr>
          <w:rFonts w:ascii="Arial" w:hAnsi="Arial" w:cs="Arial"/>
          <w:sz w:val="24"/>
          <w:szCs w:val="24"/>
        </w:rPr>
        <w:t>, 38(1), pp. 10–47.</w:t>
      </w:r>
    </w:p>
    <w:p w14:paraId="257A4B22" w14:textId="77777777" w:rsidR="004C43C9" w:rsidRDefault="004C43C9"/>
    <w:sectPr w:rsidR="004C43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3C9"/>
    <w:rsid w:val="000E64EC"/>
    <w:rsid w:val="0026463D"/>
    <w:rsid w:val="00385812"/>
    <w:rsid w:val="004C43C9"/>
    <w:rsid w:val="00892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CC988"/>
  <w15:chartTrackingRefBased/>
  <w15:docId w15:val="{C2C31EDA-C5AC-4593-88AA-AE625C896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43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43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43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43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43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43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43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43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43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43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4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43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43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43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43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43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43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43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43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43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43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43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43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43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43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43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43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43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43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43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3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43C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Fakes</dc:creator>
  <cp:keywords/>
  <dc:description/>
  <cp:lastModifiedBy>Tesni Fakes</cp:lastModifiedBy>
  <cp:revision>2</cp:revision>
  <dcterms:created xsi:type="dcterms:W3CDTF">2026-04-27T23:24:00Z</dcterms:created>
  <dcterms:modified xsi:type="dcterms:W3CDTF">2026-04-27T23:46:00Z</dcterms:modified>
</cp:coreProperties>
</file>