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07745C">
        <w:tc>
          <w:tcPr>
            <w:tcW w:w="10910" w:type="dxa"/>
          </w:tcPr>
          <w:p w14:paraId="02F8EE88" w14:textId="7B52443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C7614">
              <w:rPr>
                <w:rFonts w:ascii="Times New Roman" w:hAnsi="Times New Roman" w:cs="Times New Roman"/>
                <w:b/>
                <w:color w:val="auto"/>
                <w:sz w:val="48"/>
              </w:rPr>
              <w:t>Sara Hatcher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308761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C7614">
              <w:rPr>
                <w:rFonts w:ascii="Times New Roman" w:hAnsi="Times New Roman" w:cs="Times New Roman"/>
                <w:b/>
                <w:color w:val="auto"/>
                <w:sz w:val="48"/>
              </w:rPr>
              <w:t xml:space="preserve"> Sara.hatcher2@ceredigion.gov.uk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4395F1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C7614">
              <w:rPr>
                <w:rFonts w:ascii="Times New Roman" w:hAnsi="Times New Roman" w:cs="Times New Roman"/>
                <w:b/>
                <w:color w:val="auto"/>
                <w:sz w:val="48"/>
              </w:rPr>
              <w:t xml:space="preserve"> </w:t>
            </w:r>
            <w:r w:rsidR="0007745C">
              <w:rPr>
                <w:rFonts w:ascii="Times New Roman" w:hAnsi="Times New Roman" w:cs="Times New Roman"/>
                <w:b/>
                <w:color w:val="auto"/>
                <w:sz w:val="48"/>
              </w:rPr>
              <w:t>2520472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AA8FAE4"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CE7FEF">
              <w:rPr>
                <w:rFonts w:ascii="Times New Roman" w:hAnsi="Times New Roman" w:cs="Times New Roman"/>
                <w:b/>
                <w:color w:val="auto"/>
                <w:sz w:val="48"/>
              </w:rPr>
              <w:t>26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F090B59" w14:textId="77777777" w:rsidR="00E215CC" w:rsidRDefault="00E215CC"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E29D0A5" w14:textId="7A9130C6"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Augmentative and Alternative Communication (2024) RCSLT. Available at: </w:t>
      </w:r>
      <w:hyperlink r:id="rId11" w:tgtFrame="_blank" w:history="1">
        <w:r w:rsidRPr="009D3F7B">
          <w:rPr>
            <w:rFonts w:ascii="Aptos" w:eastAsia="Aptos" w:hAnsi="Aptos" w:cs="Times New Roman"/>
            <w:color w:val="467886"/>
            <w:kern w:val="2"/>
            <w:sz w:val="24"/>
            <w:szCs w:val="24"/>
            <w:u w:val="single"/>
            <w:lang w:eastAsia="en-US"/>
            <w14:ligatures w14:val="standardContextual"/>
          </w:rPr>
          <w:t>https://www.rcslt.org/members/clinical-guidance/augmentative-and-alternative-communication/augmentative-and-alternative-communication-guidance/?utm </w:t>
        </w:r>
      </w:hyperlink>
      <w:r w:rsidRPr="009D3F7B">
        <w:rPr>
          <w:rFonts w:ascii="Aptos" w:eastAsia="Aptos" w:hAnsi="Aptos" w:cs="Times New Roman"/>
          <w:color w:val="auto"/>
          <w:kern w:val="2"/>
          <w:sz w:val="24"/>
          <w:szCs w:val="24"/>
          <w:lang w:eastAsia="en-US"/>
          <w14:ligatures w14:val="standardContextual"/>
        </w:rPr>
        <w:t xml:space="preserve"> (Accessed: 17 December 2025).</w:t>
      </w:r>
    </w:p>
    <w:p w14:paraId="5536322A"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Braye, S., Orr, D. and Preston-Shoot, M. (2017) ‘Autonomy and protection in self-neglect work: The ethical complexity of decision-making’, Ethics and Social Welfare, 11(4), pp. 373–386. doi:10.1080/17496535.2017.1290814. Available at: </w:t>
      </w:r>
      <w:hyperlink r:id="rId12" w:tgtFrame="_blank" w:history="1">
        <w:r w:rsidRPr="009D3F7B">
          <w:rPr>
            <w:rFonts w:ascii="Aptos" w:eastAsia="Aptos" w:hAnsi="Aptos" w:cs="Times New Roman"/>
            <w:color w:val="467886"/>
            <w:kern w:val="2"/>
            <w:sz w:val="24"/>
            <w:szCs w:val="24"/>
            <w:u w:val="single"/>
            <w:lang w:eastAsia="en-US"/>
            <w14:ligatures w14:val="standardContextual"/>
          </w:rPr>
          <w:t>https://sussex.figshare.com/articles/journal_contribution/Autonomy_and_protection_in_self-neglect_work_the_ethical_complexity_of_decision-making/23441351?file=41152202 </w:t>
        </w:r>
      </w:hyperlink>
      <w:r w:rsidRPr="009D3F7B">
        <w:rPr>
          <w:rFonts w:ascii="Aptos" w:eastAsia="Aptos" w:hAnsi="Aptos" w:cs="Times New Roman"/>
          <w:color w:val="auto"/>
          <w:kern w:val="2"/>
          <w:sz w:val="24"/>
          <w:szCs w:val="24"/>
          <w:lang w:eastAsia="en-US"/>
          <w14:ligatures w14:val="standardContextual"/>
        </w:rPr>
        <w:t xml:space="preserve"> (Accessed: 17 September 2026).</w:t>
      </w:r>
    </w:p>
    <w:p w14:paraId="1B2F6893"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British Association of Social Workers (BASW) (2021) Code of Ethics for Social Work. Birmingham: British Association of Social Workers. Available at: BASW Code of Ethics (Accessed: 23 June 2026).</w:t>
      </w:r>
    </w:p>
    <w:p w14:paraId="04CB97C9"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British Association of Social Workers (BASW) (2026) The Capabilities for Social Work with Adults who have Learning Disability. Birmingham: British Association of Social Workers. Available at: BASW Learning Disability Capabilities (Accessed: 23 June 2026).</w:t>
      </w:r>
    </w:p>
    <w:p w14:paraId="118ABF55" w14:textId="4FEC1B6E"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Care Inspectorate Wales (</w:t>
      </w:r>
      <w:r w:rsidR="00C635EC">
        <w:rPr>
          <w:rFonts w:ascii="Aptos" w:eastAsia="Aptos" w:hAnsi="Aptos" w:cs="Times New Roman"/>
          <w:color w:val="auto"/>
          <w:kern w:val="2"/>
          <w:sz w:val="24"/>
          <w:szCs w:val="24"/>
          <w:lang w:eastAsia="en-US"/>
          <w14:ligatures w14:val="standardContextual"/>
        </w:rPr>
        <w:t>2023</w:t>
      </w:r>
      <w:r w:rsidRPr="009D3F7B">
        <w:rPr>
          <w:rFonts w:ascii="Aptos" w:eastAsia="Aptos" w:hAnsi="Aptos" w:cs="Times New Roman"/>
          <w:color w:val="auto"/>
          <w:kern w:val="2"/>
          <w:sz w:val="24"/>
          <w:szCs w:val="24"/>
          <w:lang w:eastAsia="en-US"/>
          <w14:ligatures w14:val="standardContextual"/>
        </w:rPr>
        <w:t xml:space="preserve">) More than just words: Practice guidance. Available at: </w:t>
      </w:r>
      <w:hyperlink r:id="rId13" w:tgtFrame="_blank" w:history="1">
        <w:r w:rsidRPr="009D3F7B">
          <w:rPr>
            <w:rFonts w:ascii="Aptos" w:eastAsia="Aptos" w:hAnsi="Aptos" w:cs="Times New Roman"/>
            <w:color w:val="467886"/>
            <w:kern w:val="2"/>
            <w:sz w:val="24"/>
            <w:szCs w:val="24"/>
            <w:u w:val="single"/>
            <w:lang w:eastAsia="en-US"/>
            <w14:ligatures w14:val="standardContextual"/>
          </w:rPr>
          <w:t>https://www.careinspectorate.wales/more-just-words-practice-guidance-html </w:t>
        </w:r>
      </w:hyperlink>
      <w:r w:rsidRPr="009D3F7B">
        <w:rPr>
          <w:rFonts w:ascii="Aptos" w:eastAsia="Aptos" w:hAnsi="Aptos" w:cs="Times New Roman"/>
          <w:color w:val="auto"/>
          <w:kern w:val="2"/>
          <w:sz w:val="24"/>
          <w:szCs w:val="24"/>
          <w:lang w:eastAsia="en-US"/>
          <w14:ligatures w14:val="standardContextual"/>
        </w:rPr>
        <w:t xml:space="preserve"> (Accessed: 10 June 2026)</w:t>
      </w:r>
    </w:p>
    <w:p w14:paraId="12DAD408"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Children Act 1989. (1989) c.41. London: The Stationery Office. Available at: Children Act 1989 (Accessed: 28 September 2026).</w:t>
      </w:r>
    </w:p>
    <w:p w14:paraId="7004FA90"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Children Act 2004. (2004) c.31. London: The Stationery Office. Available at: Children Act </w:t>
      </w:r>
      <w:proofErr w:type="gramStart"/>
      <w:r w:rsidRPr="009D3F7B">
        <w:rPr>
          <w:rFonts w:ascii="Aptos" w:eastAsia="Aptos" w:hAnsi="Aptos" w:cs="Times New Roman"/>
          <w:color w:val="auto"/>
          <w:kern w:val="2"/>
          <w:sz w:val="24"/>
          <w:szCs w:val="24"/>
          <w:lang w:eastAsia="en-US"/>
          <w14:ligatures w14:val="standardContextual"/>
        </w:rPr>
        <w:t>2004  (</w:t>
      </w:r>
      <w:proofErr w:type="gramEnd"/>
      <w:r w:rsidRPr="009D3F7B">
        <w:rPr>
          <w:rFonts w:ascii="Aptos" w:eastAsia="Aptos" w:hAnsi="Aptos" w:cs="Times New Roman"/>
          <w:color w:val="auto"/>
          <w:kern w:val="2"/>
          <w:sz w:val="24"/>
          <w:szCs w:val="24"/>
          <w:lang w:eastAsia="en-US"/>
          <w14:ligatures w14:val="standardContextual"/>
        </w:rPr>
        <w:t>Accessed: 28 September 2026).</w:t>
      </w:r>
    </w:p>
    <w:p w14:paraId="0A0D6758"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Data Protection Act 2018. Available at: </w:t>
      </w:r>
      <w:hyperlink r:id="rId14" w:tgtFrame="_blank" w:history="1">
        <w:r w:rsidRPr="009D3F7B">
          <w:rPr>
            <w:rFonts w:ascii="Aptos" w:eastAsia="Aptos" w:hAnsi="Aptos" w:cs="Times New Roman"/>
            <w:color w:val="467886"/>
            <w:kern w:val="2"/>
            <w:sz w:val="24"/>
            <w:szCs w:val="24"/>
            <w:u w:val="single"/>
            <w:lang w:eastAsia="en-US"/>
            <w14:ligatures w14:val="standardContextual"/>
          </w:rPr>
          <w:t>https://www.legislation.gov.uk/ukpga/2018/12/contents </w:t>
        </w:r>
      </w:hyperlink>
    </w:p>
    <w:p w14:paraId="3F42465A"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Davies, M. (2013) The Blackwell Companion to Social Work. 4th </w:t>
      </w:r>
      <w:proofErr w:type="spellStart"/>
      <w:r w:rsidRPr="009D3F7B">
        <w:rPr>
          <w:rFonts w:ascii="Aptos" w:eastAsia="Aptos" w:hAnsi="Aptos" w:cs="Times New Roman"/>
          <w:color w:val="auto"/>
          <w:kern w:val="2"/>
          <w:sz w:val="24"/>
          <w:szCs w:val="24"/>
          <w:lang w:eastAsia="en-US"/>
          <w14:ligatures w14:val="standardContextual"/>
        </w:rPr>
        <w:t>edn</w:t>
      </w:r>
      <w:proofErr w:type="spellEnd"/>
      <w:r w:rsidRPr="009D3F7B">
        <w:rPr>
          <w:rFonts w:ascii="Aptos" w:eastAsia="Aptos" w:hAnsi="Aptos" w:cs="Times New Roman"/>
          <w:color w:val="auto"/>
          <w:kern w:val="2"/>
          <w:sz w:val="24"/>
          <w:szCs w:val="24"/>
          <w:lang w:eastAsia="en-US"/>
          <w14:ligatures w14:val="standardContextual"/>
        </w:rPr>
        <w:t>. Hoboken: Wiley Blackwell.</w:t>
      </w:r>
    </w:p>
    <w:p w14:paraId="6C91CB0D"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Department for Constitutional Affairs (2007) Mental Capacity Act 2005: Code of Practice. London: The Stationery Office. Available at: Mental Capacity Act Code of Practice (Accessed: 23 June 2026).</w:t>
      </w:r>
    </w:p>
    <w:p w14:paraId="3027A231"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lastRenderedPageBreak/>
        <w:t xml:space="preserve">Department of Health and Social Care (2019) Strengths-based approach: Practice framework and practice handbook. Available at: </w:t>
      </w:r>
      <w:hyperlink r:id="rId15" w:tgtFrame="_blank" w:history="1">
        <w:r w:rsidRPr="009D3F7B">
          <w:rPr>
            <w:rFonts w:ascii="Aptos" w:eastAsia="Aptos" w:hAnsi="Aptos" w:cs="Times New Roman"/>
            <w:color w:val="467886"/>
            <w:kern w:val="2"/>
            <w:sz w:val="24"/>
            <w:szCs w:val="24"/>
            <w:u w:val="single"/>
            <w:lang w:eastAsia="en-US"/>
            <w14:ligatures w14:val="standardContextual"/>
          </w:rPr>
          <w:t>https://assets.publishing.service.gov.uk/media/5c62ae87ed915d04446a5739/stengths-based-approach-practice-framework-and-handbook.pdf </w:t>
        </w:r>
      </w:hyperlink>
      <w:r w:rsidRPr="009D3F7B">
        <w:rPr>
          <w:rFonts w:ascii="Aptos" w:eastAsia="Aptos" w:hAnsi="Aptos" w:cs="Times New Roman"/>
          <w:color w:val="auto"/>
          <w:kern w:val="2"/>
          <w:sz w:val="24"/>
          <w:szCs w:val="24"/>
          <w:lang w:eastAsia="en-US"/>
          <w14:ligatures w14:val="standardContextual"/>
        </w:rPr>
        <w:t xml:space="preserve"> (Accessed: 12 December 2025).</w:t>
      </w:r>
    </w:p>
    <w:p w14:paraId="7B85FE00"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Department of Health and Social Care (2023) National framework for NHS continuing healthcare and NHS-funded nursing care. GOV.UK. Available at: </w:t>
      </w:r>
      <w:hyperlink r:id="rId16" w:tgtFrame="_blank" w:history="1">
        <w:r w:rsidRPr="009D3F7B">
          <w:rPr>
            <w:rFonts w:ascii="Aptos" w:eastAsia="Aptos" w:hAnsi="Aptos" w:cs="Times New Roman"/>
            <w:color w:val="467886"/>
            <w:kern w:val="2"/>
            <w:sz w:val="24"/>
            <w:szCs w:val="24"/>
            <w:u w:val="single"/>
            <w:lang w:eastAsia="en-US"/>
            <w14:ligatures w14:val="standardContextual"/>
          </w:rPr>
          <w:t>https://www.gov.uk/government/publications/national-framework-for-nhs-continuing-healthcare-and-nhs-funded-nursing-care </w:t>
        </w:r>
      </w:hyperlink>
      <w:r w:rsidRPr="009D3F7B">
        <w:rPr>
          <w:rFonts w:ascii="Aptos" w:eastAsia="Aptos" w:hAnsi="Aptos" w:cs="Times New Roman"/>
          <w:color w:val="auto"/>
          <w:kern w:val="2"/>
          <w:sz w:val="24"/>
          <w:szCs w:val="24"/>
          <w:lang w:eastAsia="en-US"/>
          <w14:ligatures w14:val="standardContextual"/>
        </w:rPr>
        <w:t xml:space="preserve"> (Accessed: 17 December 2025).</w:t>
      </w:r>
    </w:p>
    <w:p w14:paraId="5E6E3BC9"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Department of Health and Social Care (2025a) Care and support statutory guidance. London: DHSC (Accessed: 17 September 2026).</w:t>
      </w:r>
    </w:p>
    <w:p w14:paraId="45F87C8A" w14:textId="77777777" w:rsid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Department of Health and Social Care (2025b) Care and support statutory guidance: Issued under the Care Act 2014. GOV.UK. Available at: </w:t>
      </w:r>
      <w:hyperlink r:id="rId17" w:tgtFrame="_blank" w:history="1">
        <w:r w:rsidRPr="009D3F7B">
          <w:rPr>
            <w:rFonts w:ascii="Aptos" w:eastAsia="Aptos" w:hAnsi="Aptos" w:cs="Times New Roman"/>
            <w:color w:val="467886"/>
            <w:kern w:val="2"/>
            <w:sz w:val="24"/>
            <w:szCs w:val="24"/>
            <w:u w:val="single"/>
            <w:lang w:eastAsia="en-US"/>
            <w14:ligatures w14:val="standardContextual"/>
          </w:rPr>
          <w:t>https://www.gov.uk/government/publications/care-act-statutory-guidance/care-and-support-statutory-guidance </w:t>
        </w:r>
      </w:hyperlink>
      <w:r w:rsidRPr="009D3F7B">
        <w:rPr>
          <w:rFonts w:ascii="Aptos" w:eastAsia="Aptos" w:hAnsi="Aptos" w:cs="Times New Roman"/>
          <w:color w:val="auto"/>
          <w:kern w:val="2"/>
          <w:sz w:val="24"/>
          <w:szCs w:val="24"/>
          <w:lang w:eastAsia="en-US"/>
          <w14:ligatures w14:val="standardContextual"/>
        </w:rPr>
        <w:t xml:space="preserve"> (Accessed: 17 December 2025).</w:t>
      </w:r>
    </w:p>
    <w:p w14:paraId="02B31583" w14:textId="7BDB58AC" w:rsidR="008C0C25" w:rsidRPr="009D3F7B" w:rsidRDefault="00C758B0"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C758B0">
        <w:rPr>
          <w:rFonts w:ascii="Aptos" w:eastAsia="Aptos" w:hAnsi="Aptos" w:cs="Times New Roman"/>
          <w:color w:val="auto"/>
          <w:kern w:val="2"/>
          <w:sz w:val="24"/>
          <w:szCs w:val="24"/>
          <w:lang w:eastAsia="en-US"/>
          <w14:ligatures w14:val="standardContextual"/>
        </w:rPr>
        <w:t>Home Office (2022) Domestic Abuse: statutory guidance, GOV.UK. Available at: https://www.gov.uk/government/publications/domestic-abuse-act-2021/domestic-abuse-statutory-guidance-accessible-version (Accessed: October 5, 2026).</w:t>
      </w:r>
    </w:p>
    <w:p w14:paraId="68CE90E6"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Hutchings, R. (2025) NHS continuing health care: Consigned to the too difficult box? Nuffield Trust. Available at: </w:t>
      </w:r>
      <w:hyperlink r:id="rId18" w:tgtFrame="_blank" w:history="1">
        <w:r w:rsidRPr="009D3F7B">
          <w:rPr>
            <w:rFonts w:ascii="Aptos" w:eastAsia="Aptos" w:hAnsi="Aptos" w:cs="Times New Roman"/>
            <w:color w:val="467886"/>
            <w:kern w:val="2"/>
            <w:sz w:val="24"/>
            <w:szCs w:val="24"/>
            <w:u w:val="single"/>
            <w:lang w:eastAsia="en-US"/>
            <w14:ligatures w14:val="standardContextual"/>
          </w:rPr>
          <w:t>https://www.nuffieldtrust.org.uk/news-item/nhs-continuing-health-care-consigned-to-the-too-difficult-box </w:t>
        </w:r>
      </w:hyperlink>
      <w:r w:rsidRPr="009D3F7B">
        <w:rPr>
          <w:rFonts w:ascii="Aptos" w:eastAsia="Aptos" w:hAnsi="Aptos" w:cs="Times New Roman"/>
          <w:color w:val="auto"/>
          <w:kern w:val="2"/>
          <w:sz w:val="24"/>
          <w:szCs w:val="24"/>
          <w:lang w:eastAsia="en-US"/>
          <w14:ligatures w14:val="standardContextual"/>
        </w:rPr>
        <w:t xml:space="preserve"> (Accessed: 16 December 2025).</w:t>
      </w:r>
    </w:p>
    <w:p w14:paraId="5799AE6E"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Jasper, M. (2013) Beginning Reflective Practice. 2nd </w:t>
      </w:r>
      <w:proofErr w:type="spellStart"/>
      <w:r w:rsidRPr="009D3F7B">
        <w:rPr>
          <w:rFonts w:ascii="Aptos" w:eastAsia="Aptos" w:hAnsi="Aptos" w:cs="Times New Roman"/>
          <w:color w:val="auto"/>
          <w:kern w:val="2"/>
          <w:sz w:val="24"/>
          <w:szCs w:val="24"/>
          <w:lang w:eastAsia="en-US"/>
          <w14:ligatures w14:val="standardContextual"/>
        </w:rPr>
        <w:t>edn</w:t>
      </w:r>
      <w:proofErr w:type="spellEnd"/>
      <w:r w:rsidRPr="009D3F7B">
        <w:rPr>
          <w:rFonts w:ascii="Aptos" w:eastAsia="Aptos" w:hAnsi="Aptos" w:cs="Times New Roman"/>
          <w:color w:val="auto"/>
          <w:kern w:val="2"/>
          <w:sz w:val="24"/>
          <w:szCs w:val="24"/>
          <w:lang w:eastAsia="en-US"/>
          <w14:ligatures w14:val="standardContextual"/>
        </w:rPr>
        <w:t xml:space="preserve">. Nelson Thornes. Available at: </w:t>
      </w:r>
      <w:hyperlink r:id="rId19" w:tgtFrame="_blank" w:history="1">
        <w:r w:rsidRPr="009D3F7B">
          <w:rPr>
            <w:rFonts w:ascii="Aptos" w:eastAsia="Aptos" w:hAnsi="Aptos" w:cs="Times New Roman"/>
            <w:color w:val="467886"/>
            <w:kern w:val="2"/>
            <w:sz w:val="24"/>
            <w:szCs w:val="24"/>
            <w:u w:val="single"/>
            <w:lang w:eastAsia="en-US"/>
            <w14:ligatures w14:val="standardContextual"/>
          </w:rPr>
          <w:t>https://www.scirp.org/reference/referencespapers?referenceid=3955434 </w:t>
        </w:r>
      </w:hyperlink>
      <w:r w:rsidRPr="009D3F7B">
        <w:rPr>
          <w:rFonts w:ascii="Aptos" w:eastAsia="Aptos" w:hAnsi="Aptos" w:cs="Times New Roman"/>
          <w:color w:val="auto"/>
          <w:kern w:val="2"/>
          <w:sz w:val="24"/>
          <w:szCs w:val="24"/>
          <w:lang w:eastAsia="en-US"/>
          <w14:ligatures w14:val="standardContextual"/>
        </w:rPr>
        <w:t xml:space="preserve"> (Accessed: 15 December 2025).</w:t>
      </w:r>
    </w:p>
    <w:p w14:paraId="3DC59ADC"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Leonard, K. and Evans, T. (2026) ‘The understanding and use of critical reflection by social workers and supervisors in children and family local authority supervision’, European Journal of Social Work. doi:10.1080/13691457.2026.2659608. Available at: </w:t>
      </w:r>
      <w:hyperlink r:id="rId20" w:tgtFrame="_blank" w:history="1">
        <w:r w:rsidRPr="009D3F7B">
          <w:rPr>
            <w:rFonts w:ascii="Aptos" w:eastAsia="Aptos" w:hAnsi="Aptos" w:cs="Times New Roman"/>
            <w:color w:val="467886"/>
            <w:kern w:val="2"/>
            <w:sz w:val="24"/>
            <w:szCs w:val="24"/>
            <w:u w:val="single"/>
            <w:lang w:eastAsia="en-US"/>
            <w14:ligatures w14:val="standardContextual"/>
          </w:rPr>
          <w:t>https://www.tandfonline.com/doi/full/10.1080/13691457.2026.2659608 </w:t>
        </w:r>
      </w:hyperlink>
    </w:p>
    <w:p w14:paraId="60D2CF26"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Lillis, T. et al. (2019) ‘Child social-care recording and the information rights of care-experienced people: A recordkeeping perspective’, The British Journal of Social Work, 49(7), pp. 1856–1874. doi:10.1093/</w:t>
      </w:r>
      <w:proofErr w:type="spellStart"/>
      <w:r w:rsidRPr="009D3F7B">
        <w:rPr>
          <w:rFonts w:ascii="Aptos" w:eastAsia="Aptos" w:hAnsi="Aptos" w:cs="Times New Roman"/>
          <w:color w:val="auto"/>
          <w:kern w:val="2"/>
          <w:sz w:val="24"/>
          <w:szCs w:val="24"/>
          <w:lang w:eastAsia="en-US"/>
          <w14:ligatures w14:val="standardContextual"/>
        </w:rPr>
        <w:t>bjsw</w:t>
      </w:r>
      <w:proofErr w:type="spellEnd"/>
      <w:r w:rsidRPr="009D3F7B">
        <w:rPr>
          <w:rFonts w:ascii="Aptos" w:eastAsia="Aptos" w:hAnsi="Aptos" w:cs="Times New Roman"/>
          <w:color w:val="auto"/>
          <w:kern w:val="2"/>
          <w:sz w:val="24"/>
          <w:szCs w:val="24"/>
          <w:lang w:eastAsia="en-US"/>
          <w14:ligatures w14:val="standardContextual"/>
        </w:rPr>
        <w:t xml:space="preserve">/bcy115. Available at: </w:t>
      </w:r>
      <w:hyperlink r:id="rId21" w:tgtFrame="_blank" w:history="1">
        <w:r w:rsidRPr="009D3F7B">
          <w:rPr>
            <w:rFonts w:ascii="Aptos" w:eastAsia="Aptos" w:hAnsi="Aptos" w:cs="Times New Roman"/>
            <w:color w:val="467886"/>
            <w:kern w:val="2"/>
            <w:sz w:val="24"/>
            <w:szCs w:val="24"/>
            <w:u w:val="single"/>
            <w:lang w:eastAsia="en-US"/>
            <w14:ligatures w14:val="standardContextual"/>
          </w:rPr>
          <w:t>https://academic.oup.com/bjsw/article/49/7/1856/5253793 </w:t>
        </w:r>
      </w:hyperlink>
    </w:p>
    <w:p w14:paraId="1261CDDB"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Local Authority (2022) Welsh Language Topic Paper – Census 2021. Available at: </w:t>
      </w:r>
      <w:hyperlink r:id="rId22" w:tgtFrame="_blank" w:history="1">
        <w:r w:rsidRPr="009D3F7B">
          <w:rPr>
            <w:rFonts w:ascii="Aptos" w:eastAsia="Aptos" w:hAnsi="Aptos" w:cs="Times New Roman"/>
            <w:color w:val="467886"/>
            <w:kern w:val="2"/>
            <w:sz w:val="24"/>
            <w:szCs w:val="24"/>
            <w:u w:val="single"/>
            <w:lang w:eastAsia="en-US"/>
            <w14:ligatures w14:val="standardContextual"/>
          </w:rPr>
          <w:t>https://localauthority.gov.uk </w:t>
        </w:r>
      </w:hyperlink>
      <w:r w:rsidRPr="009D3F7B">
        <w:rPr>
          <w:rFonts w:ascii="Aptos" w:eastAsia="Aptos" w:hAnsi="Aptos" w:cs="Times New Roman"/>
          <w:color w:val="auto"/>
          <w:kern w:val="2"/>
          <w:sz w:val="24"/>
          <w:szCs w:val="24"/>
          <w:lang w:eastAsia="en-US"/>
          <w14:ligatures w14:val="standardContextual"/>
        </w:rPr>
        <w:t xml:space="preserve"> (Accessed: 5 June 2026).</w:t>
      </w:r>
    </w:p>
    <w:p w14:paraId="4D23175C" w14:textId="77777777" w:rsid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lastRenderedPageBreak/>
        <w:t xml:space="preserve">Local Government Association (2024) Second national analysis of Safeguarding Adults Reviews: Stage 2 analysis – Final report. London: Local Government Association. Available at: </w:t>
      </w:r>
      <w:hyperlink r:id="rId23" w:tgtFrame="_blank" w:history="1">
        <w:r w:rsidRPr="009D3F7B">
          <w:rPr>
            <w:rFonts w:ascii="Aptos" w:eastAsia="Aptos" w:hAnsi="Aptos" w:cs="Times New Roman"/>
            <w:color w:val="467886"/>
            <w:kern w:val="2"/>
            <w:sz w:val="24"/>
            <w:szCs w:val="24"/>
            <w:u w:val="single"/>
            <w:lang w:eastAsia="en-US"/>
            <w14:ligatures w14:val="standardContextual"/>
          </w:rPr>
          <w:t>https://www.local.gov.uk/sites/default/files/documents/National%20analysis%20of%20SARS%20-%20Stage%202%20%28branded%20and%20proofread%29%20v6-19.pdf </w:t>
        </w:r>
      </w:hyperlink>
      <w:r w:rsidRPr="009D3F7B">
        <w:rPr>
          <w:rFonts w:ascii="Aptos" w:eastAsia="Aptos" w:hAnsi="Aptos" w:cs="Times New Roman"/>
          <w:color w:val="auto"/>
          <w:kern w:val="2"/>
          <w:sz w:val="24"/>
          <w:szCs w:val="24"/>
          <w:lang w:eastAsia="en-US"/>
          <w14:ligatures w14:val="standardContextual"/>
        </w:rPr>
        <w:t xml:space="preserve"> (Accessed: 17 September 2026).</w:t>
      </w:r>
    </w:p>
    <w:p w14:paraId="6B166E74" w14:textId="12E0678E" w:rsidR="00805CEA" w:rsidRPr="009D3F7B" w:rsidRDefault="00805CEA"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roofErr w:type="spellStart"/>
      <w:r w:rsidRPr="00805CEA">
        <w:rPr>
          <w:rFonts w:ascii="Aptos" w:eastAsia="Aptos" w:hAnsi="Aptos" w:cs="Times New Roman"/>
          <w:color w:val="auto"/>
          <w:kern w:val="2"/>
          <w:sz w:val="24"/>
          <w:szCs w:val="24"/>
          <w:lang w:eastAsia="en-US"/>
          <w14:ligatures w14:val="standardContextual"/>
        </w:rPr>
        <w:t>Lonbay</w:t>
      </w:r>
      <w:proofErr w:type="spellEnd"/>
      <w:r w:rsidRPr="00805CEA">
        <w:rPr>
          <w:rFonts w:ascii="Aptos" w:eastAsia="Aptos" w:hAnsi="Aptos" w:cs="Times New Roman"/>
          <w:color w:val="auto"/>
          <w:kern w:val="2"/>
          <w:sz w:val="24"/>
          <w:szCs w:val="24"/>
          <w:lang w:eastAsia="en-US"/>
          <w14:ligatures w14:val="standardContextual"/>
        </w:rPr>
        <w:t xml:space="preserve">, S., Southall, C. and </w:t>
      </w:r>
      <w:proofErr w:type="spellStart"/>
      <w:r w:rsidRPr="00805CEA">
        <w:rPr>
          <w:rFonts w:ascii="Aptos" w:eastAsia="Aptos" w:hAnsi="Aptos" w:cs="Times New Roman"/>
          <w:color w:val="auto"/>
          <w:kern w:val="2"/>
          <w:sz w:val="24"/>
          <w:szCs w:val="24"/>
          <w:lang w:eastAsia="en-US"/>
          <w14:ligatures w14:val="standardContextual"/>
        </w:rPr>
        <w:t>Aggar</w:t>
      </w:r>
      <w:proofErr w:type="spellEnd"/>
      <w:r w:rsidRPr="00805CEA">
        <w:rPr>
          <w:rFonts w:ascii="Aptos" w:eastAsia="Aptos" w:hAnsi="Aptos" w:cs="Times New Roman"/>
          <w:color w:val="auto"/>
          <w:kern w:val="2"/>
          <w:sz w:val="24"/>
          <w:szCs w:val="24"/>
          <w:lang w:eastAsia="en-US"/>
          <w14:ligatures w14:val="standardContextual"/>
        </w:rPr>
        <w:t>, E. (2026) ‘A qualitative systematic review of the experiences of older people and practitioners in recognising and responding to domestic abuse in the older population’, Trauma, Violence, &amp; Abuse. Available at: https://doi.org/10.1177/15248380251409824 (Accessed: 5 October 2026).</w:t>
      </w:r>
    </w:p>
    <w:p w14:paraId="5644053A" w14:textId="77777777" w:rsid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Maguire, S.A. et al. (2015) ‘A systematic review of the emotional, behavioural and cognitive features exhibited by school-aged children experiencing neglect or emotional abuse’, Child: Care, Health and Development, 41(5), pp. 641–653. Available at: </w:t>
      </w:r>
      <w:hyperlink r:id="rId24" w:history="1">
        <w:r w:rsidRPr="009D3F7B">
          <w:rPr>
            <w:rFonts w:ascii="Aptos" w:eastAsia="Aptos" w:hAnsi="Aptos" w:cs="Times New Roman"/>
            <w:color w:val="467886"/>
            <w:kern w:val="2"/>
            <w:sz w:val="24"/>
            <w:szCs w:val="24"/>
            <w:u w:val="single"/>
            <w:lang w:eastAsia="en-US"/>
            <w14:ligatures w14:val="standardContextual"/>
          </w:rPr>
          <w:t>https://doi.org/10.1111/cch.12227</w:t>
        </w:r>
      </w:hyperlink>
      <w:r w:rsidRPr="009D3F7B">
        <w:rPr>
          <w:rFonts w:ascii="Aptos" w:eastAsia="Aptos" w:hAnsi="Aptos" w:cs="Times New Roman"/>
          <w:color w:val="auto"/>
          <w:kern w:val="2"/>
          <w:sz w:val="24"/>
          <w:szCs w:val="24"/>
          <w:lang w:eastAsia="en-US"/>
          <w14:ligatures w14:val="standardContextual"/>
        </w:rPr>
        <w:t xml:space="preserve"> (Accessed: 20 September 2026)</w:t>
      </w:r>
    </w:p>
    <w:p w14:paraId="0A7F3E2B" w14:textId="31BAE104" w:rsidR="00887A9C" w:rsidRPr="009D3F7B" w:rsidRDefault="00887A9C"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887A9C">
        <w:rPr>
          <w:rFonts w:ascii="Aptos" w:eastAsia="Aptos" w:hAnsi="Aptos" w:cs="Times New Roman"/>
          <w:color w:val="auto"/>
          <w:kern w:val="2"/>
          <w:sz w:val="24"/>
          <w:szCs w:val="24"/>
          <w:lang w:eastAsia="en-US"/>
          <w14:ligatures w14:val="standardContextual"/>
        </w:rPr>
        <w:t xml:space="preserve">Manthorpe, J., Martineau, S., Ridley, J. and Scourfield, P. (2019) ‘Could curiosity save lives? An exploration into the value of employing professional curiosity and partnership work in safeguarding adults under the Care Act 2014’, The Journal of Adult Protection, 21(5), pp. 252–267. </w:t>
      </w:r>
      <w:proofErr w:type="spellStart"/>
      <w:r w:rsidRPr="00887A9C">
        <w:rPr>
          <w:rFonts w:ascii="Aptos" w:eastAsia="Aptos" w:hAnsi="Aptos" w:cs="Times New Roman"/>
          <w:color w:val="auto"/>
          <w:kern w:val="2"/>
          <w:sz w:val="24"/>
          <w:szCs w:val="24"/>
          <w:lang w:eastAsia="en-US"/>
          <w14:ligatures w14:val="standardContextual"/>
        </w:rPr>
        <w:t>doi</w:t>
      </w:r>
      <w:proofErr w:type="spellEnd"/>
      <w:r w:rsidRPr="00887A9C">
        <w:rPr>
          <w:rFonts w:ascii="Aptos" w:eastAsia="Aptos" w:hAnsi="Aptos" w:cs="Times New Roman"/>
          <w:color w:val="auto"/>
          <w:kern w:val="2"/>
          <w:sz w:val="24"/>
          <w:szCs w:val="24"/>
          <w:lang w:eastAsia="en-US"/>
          <w14:ligatures w14:val="standardContextual"/>
        </w:rPr>
        <w:t>: 10.1108/JAP-04-2019-0014.</w:t>
      </w:r>
      <w:r w:rsidR="00E55B93">
        <w:rPr>
          <w:rFonts w:ascii="Aptos" w:eastAsia="Aptos" w:hAnsi="Aptos" w:cs="Times New Roman"/>
          <w:color w:val="auto"/>
          <w:kern w:val="2"/>
          <w:sz w:val="24"/>
          <w:szCs w:val="24"/>
          <w:lang w:eastAsia="en-US"/>
          <w14:ligatures w14:val="standardContextual"/>
        </w:rPr>
        <w:t xml:space="preserve"> (Accessed: 18 September 2026)</w:t>
      </w:r>
    </w:p>
    <w:p w14:paraId="0A8975FD"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Martin, R. (2013) Teamworking skills for social workers. Maidenhead: Open University Press.</w:t>
      </w:r>
    </w:p>
    <w:p w14:paraId="56801E4F" w14:textId="77777777" w:rsid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McCausland, D., Murphy, E., McCarron, M. and McCallion, P. (2019) ‘Making person-centred assessments’, Journal of Social Work, 20(4), pp. 427–445. doi:10.1177/1468017319830593. Available at: file:///C:/Users/sarahat/AppData/Local/Temp/MicrosoftEdgeDownloads/ad0765a5-5bd0-44e9-b1d4-386baa469c3a/symonds-et-al-2019-making-person-centred-assessments.pdf (Accessed: 18 September 2026).</w:t>
      </w:r>
    </w:p>
    <w:p w14:paraId="733CDA5A" w14:textId="0E70A15B" w:rsidR="00CF13BB" w:rsidRPr="009D3F7B" w:rsidRDefault="00CF13B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CF13BB">
        <w:rPr>
          <w:rFonts w:ascii="Aptos" w:eastAsia="Aptos" w:hAnsi="Aptos" w:cs="Times New Roman"/>
          <w:color w:val="auto"/>
          <w:kern w:val="2"/>
          <w:sz w:val="24"/>
          <w:szCs w:val="24"/>
          <w:lang w:eastAsia="en-US"/>
          <w14:ligatures w14:val="standardContextual"/>
        </w:rPr>
        <w:t xml:space="preserve">McManus, M., Ball, E. and Monaghan, P. (2025) Thematic Review of Adult Practice Reviews (APRs) Wales 2025. National Independent Safeguarding Board Wales/Manchester Metropolitan University. Available at: Safeguarding Board Wales – Thematic Review of Adult Practice Reviews (Accessed: </w:t>
      </w:r>
      <w:r>
        <w:rPr>
          <w:rFonts w:ascii="Aptos" w:eastAsia="Aptos" w:hAnsi="Aptos" w:cs="Times New Roman"/>
          <w:color w:val="auto"/>
          <w:kern w:val="2"/>
          <w:sz w:val="24"/>
          <w:szCs w:val="24"/>
          <w:lang w:eastAsia="en-US"/>
          <w14:ligatures w14:val="standardContextual"/>
        </w:rPr>
        <w:t>17</w:t>
      </w:r>
      <w:r w:rsidRPr="00CF13BB">
        <w:rPr>
          <w:rFonts w:ascii="Aptos" w:eastAsia="Aptos" w:hAnsi="Aptos" w:cs="Times New Roman"/>
          <w:color w:val="auto"/>
          <w:kern w:val="2"/>
          <w:sz w:val="24"/>
          <w:szCs w:val="24"/>
          <w:lang w:eastAsia="en-US"/>
          <w14:ligatures w14:val="standardContextual"/>
        </w:rPr>
        <w:t xml:space="preserve"> </w:t>
      </w:r>
      <w:r>
        <w:rPr>
          <w:rFonts w:ascii="Aptos" w:eastAsia="Aptos" w:hAnsi="Aptos" w:cs="Times New Roman"/>
          <w:color w:val="auto"/>
          <w:kern w:val="2"/>
          <w:sz w:val="24"/>
          <w:szCs w:val="24"/>
          <w:lang w:eastAsia="en-US"/>
          <w14:ligatures w14:val="standardContextual"/>
        </w:rPr>
        <w:t>Septembe</w:t>
      </w:r>
      <w:r w:rsidRPr="00CF13BB">
        <w:rPr>
          <w:rFonts w:ascii="Aptos" w:eastAsia="Aptos" w:hAnsi="Aptos" w:cs="Times New Roman"/>
          <w:color w:val="auto"/>
          <w:kern w:val="2"/>
          <w:sz w:val="24"/>
          <w:szCs w:val="24"/>
          <w:lang w:eastAsia="en-US"/>
          <w14:ligatures w14:val="standardContextual"/>
        </w:rPr>
        <w:t>r 2026).</w:t>
      </w:r>
    </w:p>
    <w:p w14:paraId="0C17ADC5"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Mental Capacity Act 2005. Available at: </w:t>
      </w:r>
      <w:hyperlink r:id="rId25" w:tgtFrame="_blank" w:history="1">
        <w:r w:rsidRPr="009D3F7B">
          <w:rPr>
            <w:rFonts w:ascii="Aptos" w:eastAsia="Aptos" w:hAnsi="Aptos" w:cs="Times New Roman"/>
            <w:color w:val="467886"/>
            <w:kern w:val="2"/>
            <w:sz w:val="24"/>
            <w:szCs w:val="24"/>
            <w:u w:val="single"/>
            <w:lang w:eastAsia="en-US"/>
            <w14:ligatures w14:val="standardContextual"/>
          </w:rPr>
          <w:t>https://www.legislation.gov.uk/ukpga/2005/9/section/3 </w:t>
        </w:r>
      </w:hyperlink>
      <w:r w:rsidRPr="009D3F7B">
        <w:rPr>
          <w:rFonts w:ascii="Aptos" w:eastAsia="Aptos" w:hAnsi="Aptos" w:cs="Times New Roman"/>
          <w:color w:val="auto"/>
          <w:kern w:val="2"/>
          <w:sz w:val="24"/>
          <w:szCs w:val="24"/>
          <w:lang w:eastAsia="en-US"/>
          <w14:ligatures w14:val="standardContextual"/>
        </w:rPr>
        <w:t xml:space="preserve"> (Accessed: 17 December 2025).</w:t>
      </w:r>
    </w:p>
    <w:p w14:paraId="037215B8"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Mental Capacity (Amendment) Act 2019, c.18. London: The Stationery Office. Available at: Mental Capacity (Amendment) Act 2019 (Accessed: 23 September 2026).</w:t>
      </w:r>
    </w:p>
    <w:p w14:paraId="4AB7DB55"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Miller, W.R. and Rollnick, S. (2013) Motivational Interviewing: Helping People Change. 3rd </w:t>
      </w:r>
      <w:proofErr w:type="spellStart"/>
      <w:r w:rsidRPr="009D3F7B">
        <w:rPr>
          <w:rFonts w:ascii="Aptos" w:eastAsia="Aptos" w:hAnsi="Aptos" w:cs="Times New Roman"/>
          <w:color w:val="auto"/>
          <w:kern w:val="2"/>
          <w:sz w:val="24"/>
          <w:szCs w:val="24"/>
          <w:lang w:eastAsia="en-US"/>
          <w14:ligatures w14:val="standardContextual"/>
        </w:rPr>
        <w:t>edn</w:t>
      </w:r>
      <w:proofErr w:type="spellEnd"/>
      <w:r w:rsidRPr="009D3F7B">
        <w:rPr>
          <w:rFonts w:ascii="Aptos" w:eastAsia="Aptos" w:hAnsi="Aptos" w:cs="Times New Roman"/>
          <w:color w:val="auto"/>
          <w:kern w:val="2"/>
          <w:sz w:val="24"/>
          <w:szCs w:val="24"/>
          <w:lang w:eastAsia="en-US"/>
          <w14:ligatures w14:val="standardContextual"/>
        </w:rPr>
        <w:t>. New York: Guilford Press.</w:t>
      </w:r>
    </w:p>
    <w:p w14:paraId="0A661B28"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lastRenderedPageBreak/>
        <w:t xml:space="preserve">Moriarty, J. (2013) ‘Professional accountability in social care and health’, Journal of Interprofessional Care, 27(3), p. 279. doi:10.3109/13561820.2012.756657. Available at: </w:t>
      </w:r>
      <w:hyperlink r:id="rId26" w:tgtFrame="_blank" w:history="1">
        <w:r w:rsidRPr="009D3F7B">
          <w:rPr>
            <w:rFonts w:ascii="Aptos" w:eastAsia="Aptos" w:hAnsi="Aptos" w:cs="Times New Roman"/>
            <w:color w:val="467886"/>
            <w:kern w:val="2"/>
            <w:sz w:val="24"/>
            <w:szCs w:val="24"/>
            <w:u w:val="single"/>
            <w:lang w:eastAsia="en-US"/>
            <w14:ligatures w14:val="standardContextual"/>
          </w:rPr>
          <w:t>https://www.tandfonline.com/doi/full/10.3109/13561820.2012.756657 </w:t>
        </w:r>
      </w:hyperlink>
    </w:p>
    <w:p w14:paraId="0A2C87C1"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National Institute for Health and Care Excellence (NICE) (2017) Child abuse and neglect: recognising, assessing and responding to abuse and neglect of children and young people. NICE guideline NG76. Available at: </w:t>
      </w:r>
      <w:hyperlink r:id="rId27" w:history="1">
        <w:r w:rsidRPr="009D3F7B">
          <w:rPr>
            <w:rFonts w:ascii="Aptos" w:eastAsia="Aptos" w:hAnsi="Aptos" w:cs="Times New Roman"/>
            <w:color w:val="467886"/>
            <w:kern w:val="2"/>
            <w:sz w:val="24"/>
            <w:szCs w:val="24"/>
            <w:u w:val="single"/>
            <w:lang w:eastAsia="en-US"/>
            <w14:ligatures w14:val="standardContextual"/>
          </w:rPr>
          <w:t>https://www.nice.org.uk/guidance/ng76</w:t>
        </w:r>
      </w:hyperlink>
      <w:r w:rsidRPr="009D3F7B">
        <w:rPr>
          <w:rFonts w:ascii="Aptos" w:eastAsia="Aptos" w:hAnsi="Aptos" w:cs="Times New Roman"/>
          <w:color w:val="auto"/>
          <w:kern w:val="2"/>
          <w:sz w:val="24"/>
          <w:szCs w:val="24"/>
          <w:lang w:eastAsia="en-US"/>
          <w14:ligatures w14:val="standardContextual"/>
        </w:rPr>
        <w:t xml:space="preserve"> (Accessed: 28 September 2026).</w:t>
      </w:r>
    </w:p>
    <w:p w14:paraId="6960AFC2"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National Institute for Health and Care Excellence (2018) Guidance NG108: Decision-making and mental capacity. Available at: </w:t>
      </w:r>
      <w:hyperlink r:id="rId28" w:tgtFrame="_blank" w:history="1">
        <w:r w:rsidRPr="009D3F7B">
          <w:rPr>
            <w:rFonts w:ascii="Aptos" w:eastAsia="Aptos" w:hAnsi="Aptos" w:cs="Times New Roman"/>
            <w:color w:val="467886"/>
            <w:kern w:val="2"/>
            <w:sz w:val="24"/>
            <w:szCs w:val="24"/>
            <w:u w:val="single"/>
            <w:lang w:eastAsia="en-US"/>
            <w14:ligatures w14:val="standardContextual"/>
          </w:rPr>
          <w:t>https://www.nice.org.uk/guidance/NG108/chapter/recommendations </w:t>
        </w:r>
      </w:hyperlink>
      <w:r w:rsidRPr="009D3F7B">
        <w:rPr>
          <w:rFonts w:ascii="Aptos" w:eastAsia="Aptos" w:hAnsi="Aptos" w:cs="Times New Roman"/>
          <w:color w:val="auto"/>
          <w:kern w:val="2"/>
          <w:sz w:val="24"/>
          <w:szCs w:val="24"/>
          <w:lang w:eastAsia="en-US"/>
          <w14:ligatures w14:val="standardContextual"/>
        </w:rPr>
        <w:t xml:space="preserve"> (Accessed: 16 December 2025).</w:t>
      </w:r>
    </w:p>
    <w:p w14:paraId="3D438B9B"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National Institute for Health and Care Excellence (NICE) (2022) Social work with adults experiencing complex needs. NICE Guideline NG216. Available at: </w:t>
      </w:r>
      <w:hyperlink r:id="rId29" w:tgtFrame="_blank" w:history="1">
        <w:r w:rsidRPr="009D3F7B">
          <w:rPr>
            <w:rFonts w:ascii="Aptos" w:eastAsia="Aptos" w:hAnsi="Aptos" w:cs="Times New Roman"/>
            <w:color w:val="467886"/>
            <w:kern w:val="2"/>
            <w:sz w:val="24"/>
            <w:szCs w:val="24"/>
            <w:u w:val="single"/>
            <w:lang w:eastAsia="en-US"/>
            <w14:ligatures w14:val="standardContextual"/>
          </w:rPr>
          <w:t>https://www.nice.org.uk/guidance/ng216/chapter/Recommendations </w:t>
        </w:r>
      </w:hyperlink>
      <w:r w:rsidRPr="009D3F7B">
        <w:rPr>
          <w:rFonts w:ascii="Aptos" w:eastAsia="Aptos" w:hAnsi="Aptos" w:cs="Times New Roman"/>
          <w:color w:val="auto"/>
          <w:kern w:val="2"/>
          <w:sz w:val="24"/>
          <w:szCs w:val="24"/>
          <w:lang w:eastAsia="en-US"/>
          <w14:ligatures w14:val="standardContextual"/>
        </w:rPr>
        <w:t xml:space="preserve"> (Accessed: 23 August 2026).</w:t>
      </w:r>
    </w:p>
    <w:p w14:paraId="634F82E3"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North Wales Safeguarding Board (2022) Professional Curiosity: Practice Guidance. Available at: </w:t>
      </w:r>
      <w:hyperlink r:id="rId30" w:tgtFrame="_blank" w:history="1">
        <w:r w:rsidRPr="009D3F7B">
          <w:rPr>
            <w:rFonts w:ascii="Aptos" w:eastAsia="Aptos" w:hAnsi="Aptos" w:cs="Times New Roman"/>
            <w:color w:val="467886"/>
            <w:kern w:val="2"/>
            <w:sz w:val="24"/>
            <w:szCs w:val="24"/>
            <w:u w:val="single"/>
            <w:lang w:eastAsia="en-US"/>
            <w14:ligatures w14:val="standardContextual"/>
          </w:rPr>
          <w:t>https://www.northwalessafeguardingboard.wales/wp-content/uploads/2022/11/NWSCB-Practice-Guidance-Professional-Curiosity-1.pdf </w:t>
        </w:r>
      </w:hyperlink>
      <w:r w:rsidRPr="009D3F7B">
        <w:rPr>
          <w:rFonts w:ascii="Aptos" w:eastAsia="Aptos" w:hAnsi="Aptos" w:cs="Times New Roman"/>
          <w:color w:val="auto"/>
          <w:kern w:val="2"/>
          <w:sz w:val="24"/>
          <w:szCs w:val="24"/>
          <w:lang w:eastAsia="en-US"/>
          <w14:ligatures w14:val="standardContextual"/>
        </w:rPr>
        <w:t xml:space="preserve"> (Accessed: 17 September 2026).</w:t>
      </w:r>
    </w:p>
    <w:p w14:paraId="7C5D2689"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Office of the Public Guardian (2007, updated 2020) Mental Capacity Act Code of Practice. Available at: </w:t>
      </w:r>
      <w:hyperlink r:id="rId31" w:tgtFrame="_blank" w:history="1">
        <w:r w:rsidRPr="009D3F7B">
          <w:rPr>
            <w:rFonts w:ascii="Aptos" w:eastAsia="Aptos" w:hAnsi="Aptos" w:cs="Times New Roman"/>
            <w:color w:val="467886"/>
            <w:kern w:val="2"/>
            <w:sz w:val="24"/>
            <w:szCs w:val="24"/>
            <w:u w:val="single"/>
            <w:lang w:eastAsia="en-US"/>
            <w14:ligatures w14:val="standardContextual"/>
          </w:rPr>
          <w:t>https://www.gov.uk/government/publications/mental-capacity-act-code-of-practice </w:t>
        </w:r>
      </w:hyperlink>
      <w:r w:rsidRPr="009D3F7B">
        <w:rPr>
          <w:rFonts w:ascii="Aptos" w:eastAsia="Aptos" w:hAnsi="Aptos" w:cs="Times New Roman"/>
          <w:color w:val="auto"/>
          <w:kern w:val="2"/>
          <w:sz w:val="24"/>
          <w:szCs w:val="24"/>
          <w:lang w:eastAsia="en-US"/>
          <w14:ligatures w14:val="standardContextual"/>
        </w:rPr>
        <w:t xml:space="preserve"> (Accessed: 10 September 2026).</w:t>
      </w:r>
    </w:p>
    <w:p w14:paraId="1C9C6170"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Office of the Public Guardian (2026) Deprivation of Liberty Code of Practice. London: Ministry of Justice. Available at: Deprivation of Liberty Code of Practice (Accessed: 23 August 2026).</w:t>
      </w:r>
    </w:p>
    <w:p w14:paraId="3652CF58"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Orr, D.M.R. et al. (2026) ‘Navigating the challenges of collaborative inter-agency practice in supporting people experiencing self-neglect in England: A multi-professional realist interview study’, The British Journal of Social Work, 56(4), pp. 1565–1587. doi:10.1093/</w:t>
      </w:r>
      <w:proofErr w:type="spellStart"/>
      <w:r w:rsidRPr="009D3F7B">
        <w:rPr>
          <w:rFonts w:ascii="Aptos" w:eastAsia="Aptos" w:hAnsi="Aptos" w:cs="Times New Roman"/>
          <w:color w:val="auto"/>
          <w:kern w:val="2"/>
          <w:sz w:val="24"/>
          <w:szCs w:val="24"/>
          <w:lang w:eastAsia="en-US"/>
          <w14:ligatures w14:val="standardContextual"/>
        </w:rPr>
        <w:t>bjsw</w:t>
      </w:r>
      <w:proofErr w:type="spellEnd"/>
      <w:r w:rsidRPr="009D3F7B">
        <w:rPr>
          <w:rFonts w:ascii="Aptos" w:eastAsia="Aptos" w:hAnsi="Aptos" w:cs="Times New Roman"/>
          <w:color w:val="auto"/>
          <w:kern w:val="2"/>
          <w:sz w:val="24"/>
          <w:szCs w:val="24"/>
          <w:lang w:eastAsia="en-US"/>
          <w14:ligatures w14:val="standardContextual"/>
        </w:rPr>
        <w:t xml:space="preserve">/bcaf239. Available at: </w:t>
      </w:r>
      <w:hyperlink r:id="rId32" w:tgtFrame="_blank" w:history="1">
        <w:r w:rsidRPr="009D3F7B">
          <w:rPr>
            <w:rFonts w:ascii="Aptos" w:eastAsia="Aptos" w:hAnsi="Aptos" w:cs="Times New Roman"/>
            <w:color w:val="467886"/>
            <w:kern w:val="2"/>
            <w:sz w:val="24"/>
            <w:szCs w:val="24"/>
            <w:u w:val="single"/>
            <w:lang w:eastAsia="en-US"/>
            <w14:ligatures w14:val="standardContextual"/>
          </w:rPr>
          <w:t>https://academic.oup.com/bjsw/article/56/4/1565/8315294 </w:t>
        </w:r>
      </w:hyperlink>
      <w:r w:rsidRPr="009D3F7B">
        <w:rPr>
          <w:rFonts w:ascii="Aptos" w:eastAsia="Aptos" w:hAnsi="Aptos" w:cs="Times New Roman"/>
          <w:color w:val="auto"/>
          <w:kern w:val="2"/>
          <w:sz w:val="24"/>
          <w:szCs w:val="24"/>
          <w:lang w:eastAsia="en-US"/>
          <w14:ligatures w14:val="standardContextual"/>
        </w:rPr>
        <w:t xml:space="preserve"> (Accessed: 10 September 2026).</w:t>
      </w:r>
    </w:p>
    <w:p w14:paraId="21E92BA7"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Paterson, C. and Chapman, J. (2013) ‘Enhancing skills of critical reflection to evidence learning in professional practice’, Physical Therapy in Sport, 14(3), pp. 133–138. Available at: </w:t>
      </w:r>
      <w:hyperlink r:id="rId33" w:tgtFrame="_blank" w:history="1">
        <w:r w:rsidRPr="009D3F7B">
          <w:rPr>
            <w:rFonts w:ascii="Aptos" w:eastAsia="Aptos" w:hAnsi="Aptos" w:cs="Times New Roman"/>
            <w:color w:val="467886"/>
            <w:kern w:val="2"/>
            <w:sz w:val="24"/>
            <w:szCs w:val="24"/>
            <w:u w:val="single"/>
            <w:lang w:eastAsia="en-US"/>
            <w14:ligatures w14:val="standardContextual"/>
          </w:rPr>
          <w:t>https://doi.org/10.1016/j.ptsp.2013.03.004 </w:t>
        </w:r>
      </w:hyperlink>
      <w:r w:rsidRPr="009D3F7B">
        <w:rPr>
          <w:rFonts w:ascii="Aptos" w:eastAsia="Aptos" w:hAnsi="Aptos" w:cs="Times New Roman"/>
          <w:color w:val="auto"/>
          <w:kern w:val="2"/>
          <w:sz w:val="24"/>
          <w:szCs w:val="24"/>
          <w:lang w:eastAsia="en-US"/>
          <w14:ligatures w14:val="standardContextual"/>
        </w:rPr>
        <w:t xml:space="preserve"> (Accessed: 16 December 2025).</w:t>
      </w:r>
    </w:p>
    <w:p w14:paraId="093C607E" w14:textId="77777777" w:rsid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Rosa, E.M. and Tudge, J. (2013) ‘Urie Bronfenbrenner’s theory of human development: Its evolution from ecology to bioecology’, Journal of Family Theory &amp; Review, 5(4), pp. 243–258. doi:10.1111/jftr.12022 (Accessed: 17 September 2026).</w:t>
      </w:r>
    </w:p>
    <w:p w14:paraId="181D3854" w14:textId="603249D0" w:rsidR="00D34305" w:rsidRPr="009D3F7B" w:rsidRDefault="00D34305"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34305">
        <w:rPr>
          <w:rFonts w:ascii="Aptos" w:eastAsia="Aptos" w:hAnsi="Aptos" w:cs="Times New Roman"/>
          <w:color w:val="auto"/>
          <w:kern w:val="2"/>
          <w:sz w:val="24"/>
          <w:szCs w:val="24"/>
          <w:lang w:eastAsia="en-US"/>
          <w14:ligatures w14:val="standardContextual"/>
        </w:rPr>
        <w:lastRenderedPageBreak/>
        <w:t xml:space="preserve">Safeguarding Board Wales (2025) Thematic Review of Adult Practice Reviews (APRs) Wales 2025. Available at: Safeguarding Board Wales – Thematic Review of Adult Practice Reviews (Accessed: </w:t>
      </w:r>
      <w:r w:rsidR="000434B4">
        <w:rPr>
          <w:rFonts w:ascii="Aptos" w:eastAsia="Aptos" w:hAnsi="Aptos" w:cs="Times New Roman"/>
          <w:color w:val="auto"/>
          <w:kern w:val="2"/>
          <w:sz w:val="24"/>
          <w:szCs w:val="24"/>
          <w:lang w:eastAsia="en-US"/>
          <w14:ligatures w14:val="standardContextual"/>
        </w:rPr>
        <w:t>1</w:t>
      </w:r>
      <w:r w:rsidRPr="00D34305">
        <w:rPr>
          <w:rFonts w:ascii="Aptos" w:eastAsia="Aptos" w:hAnsi="Aptos" w:cs="Times New Roman"/>
          <w:color w:val="auto"/>
          <w:kern w:val="2"/>
          <w:sz w:val="24"/>
          <w:szCs w:val="24"/>
          <w:lang w:eastAsia="en-US"/>
          <w14:ligatures w14:val="standardContextual"/>
        </w:rPr>
        <w:t xml:space="preserve"> October 2026).</w:t>
      </w:r>
    </w:p>
    <w:p w14:paraId="6C4E6570" w14:textId="77777777" w:rsid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roofErr w:type="spellStart"/>
      <w:r w:rsidRPr="009D3F7B">
        <w:rPr>
          <w:rFonts w:ascii="Aptos" w:eastAsia="Aptos" w:hAnsi="Aptos" w:cs="Times New Roman"/>
          <w:color w:val="auto"/>
          <w:kern w:val="2"/>
          <w:sz w:val="24"/>
          <w:szCs w:val="24"/>
          <w:lang w:eastAsia="en-US"/>
          <w14:ligatures w14:val="standardContextual"/>
        </w:rPr>
        <w:t>Saleebey</w:t>
      </w:r>
      <w:proofErr w:type="spellEnd"/>
      <w:r w:rsidRPr="009D3F7B">
        <w:rPr>
          <w:rFonts w:ascii="Aptos" w:eastAsia="Aptos" w:hAnsi="Aptos" w:cs="Times New Roman"/>
          <w:color w:val="auto"/>
          <w:kern w:val="2"/>
          <w:sz w:val="24"/>
          <w:szCs w:val="24"/>
          <w:lang w:eastAsia="en-US"/>
          <w14:ligatures w14:val="standardContextual"/>
        </w:rPr>
        <w:t>, D. (1996) ‘The strengths perspective in social work practice: Extensions and cautions’, Social Work, 41(3), pp. 296–305. doi:10.1093/</w:t>
      </w:r>
      <w:proofErr w:type="spellStart"/>
      <w:r w:rsidRPr="009D3F7B">
        <w:rPr>
          <w:rFonts w:ascii="Aptos" w:eastAsia="Aptos" w:hAnsi="Aptos" w:cs="Times New Roman"/>
          <w:color w:val="auto"/>
          <w:kern w:val="2"/>
          <w:sz w:val="24"/>
          <w:szCs w:val="24"/>
          <w:lang w:eastAsia="en-US"/>
          <w14:ligatures w14:val="standardContextual"/>
        </w:rPr>
        <w:t>sw</w:t>
      </w:r>
      <w:proofErr w:type="spellEnd"/>
      <w:r w:rsidRPr="009D3F7B">
        <w:rPr>
          <w:rFonts w:ascii="Aptos" w:eastAsia="Aptos" w:hAnsi="Aptos" w:cs="Times New Roman"/>
          <w:color w:val="auto"/>
          <w:kern w:val="2"/>
          <w:sz w:val="24"/>
          <w:szCs w:val="24"/>
          <w:lang w:eastAsia="en-US"/>
          <w14:ligatures w14:val="standardContextual"/>
        </w:rPr>
        <w:t xml:space="preserve">/41.3.296. Available at: </w:t>
      </w:r>
      <w:hyperlink r:id="rId34" w:tgtFrame="_blank" w:history="1">
        <w:r w:rsidRPr="009D3F7B">
          <w:rPr>
            <w:rFonts w:ascii="Aptos" w:eastAsia="Aptos" w:hAnsi="Aptos" w:cs="Times New Roman"/>
            <w:color w:val="467886"/>
            <w:kern w:val="2"/>
            <w:sz w:val="24"/>
            <w:szCs w:val="24"/>
            <w:u w:val="single"/>
            <w:lang w:eastAsia="en-US"/>
            <w14:ligatures w14:val="standardContextual"/>
          </w:rPr>
          <w:t>https://academic.oup.com/sw/article-abstract/41/3/296/1906090 </w:t>
        </w:r>
      </w:hyperlink>
      <w:r w:rsidRPr="009D3F7B">
        <w:rPr>
          <w:rFonts w:ascii="Aptos" w:eastAsia="Aptos" w:hAnsi="Aptos" w:cs="Times New Roman"/>
          <w:color w:val="auto"/>
          <w:kern w:val="2"/>
          <w:sz w:val="24"/>
          <w:szCs w:val="24"/>
          <w:lang w:eastAsia="en-US"/>
          <w14:ligatures w14:val="standardContextual"/>
        </w:rPr>
        <w:t xml:space="preserve"> (Accessed: 10 September 2026).</w:t>
      </w:r>
    </w:p>
    <w:p w14:paraId="189C4C6B" w14:textId="27FF18AB" w:rsidR="0072528D" w:rsidRPr="009D3F7B" w:rsidRDefault="0072528D"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72528D">
        <w:rPr>
          <w:rFonts w:ascii="Aptos" w:eastAsia="Aptos" w:hAnsi="Aptos" w:cs="Times New Roman"/>
          <w:color w:val="auto"/>
          <w:kern w:val="2"/>
          <w:sz w:val="24"/>
          <w:szCs w:val="24"/>
          <w:lang w:eastAsia="en-US"/>
          <w14:ligatures w14:val="standardContextual"/>
        </w:rPr>
        <w:t>Serious Crime Act (2015) Serious Crime Act 2015, Legislation.gov.uk. Available at: https://www.legislation.gov.uk/ukpga/2015/9/section/76 (Accessed: October 5, 2026).</w:t>
      </w:r>
    </w:p>
    <w:p w14:paraId="16966536"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Skills for Care and Development (2026) National Occupational Standards for Health and Social Care and Children’s Care, Learning and Development.</w:t>
      </w:r>
    </w:p>
    <w:p w14:paraId="22B59545"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Social Care Wales (2017) Code of Professional Practice for Social Care. Available at: </w:t>
      </w:r>
      <w:hyperlink r:id="rId35" w:tgtFrame="_blank" w:history="1">
        <w:r w:rsidRPr="009D3F7B">
          <w:rPr>
            <w:rFonts w:ascii="Aptos" w:eastAsia="Aptos" w:hAnsi="Aptos" w:cs="Times New Roman"/>
            <w:color w:val="467886"/>
            <w:kern w:val="2"/>
            <w:sz w:val="24"/>
            <w:szCs w:val="24"/>
            <w:u w:val="single"/>
            <w:lang w:eastAsia="en-US"/>
            <w14:ligatures w14:val="standardContextual"/>
          </w:rPr>
          <w:t>https://socialcare.wales/cms-assets/documents/Code-of-Professional-Practice-for-Social-Care-web-version.pdf </w:t>
        </w:r>
      </w:hyperlink>
      <w:r w:rsidRPr="009D3F7B">
        <w:rPr>
          <w:rFonts w:ascii="Aptos" w:eastAsia="Aptos" w:hAnsi="Aptos" w:cs="Times New Roman"/>
          <w:color w:val="auto"/>
          <w:kern w:val="2"/>
          <w:sz w:val="24"/>
          <w:szCs w:val="24"/>
          <w:lang w:eastAsia="en-US"/>
          <w14:ligatures w14:val="standardContextual"/>
        </w:rPr>
        <w:t xml:space="preserve"> (Accessed: 16 December 2025).</w:t>
      </w:r>
    </w:p>
    <w:p w14:paraId="2B2C4AF0" w14:textId="2AF7A7BD"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Social Care Wales (2025a) About strengths-based practice. Available at: </w:t>
      </w:r>
      <w:hyperlink r:id="rId36" w:tgtFrame="_blank" w:history="1">
        <w:r w:rsidRPr="009D3F7B">
          <w:rPr>
            <w:rFonts w:ascii="Aptos" w:eastAsia="Aptos" w:hAnsi="Aptos" w:cs="Times New Roman"/>
            <w:color w:val="467886"/>
            <w:kern w:val="2"/>
            <w:sz w:val="24"/>
            <w:szCs w:val="24"/>
            <w:u w:val="single"/>
            <w:lang w:eastAsia="en-US"/>
            <w14:ligatures w14:val="standardContextual"/>
          </w:rPr>
          <w:t>https://socialcare.wales/resources-guidance/improving-care-and-support/strengths-based-practice/about-strengths-based-practice </w:t>
        </w:r>
      </w:hyperlink>
      <w:r w:rsidR="001516A5">
        <w:t xml:space="preserve"> </w:t>
      </w:r>
      <w:r w:rsidR="001516A5" w:rsidRPr="001516A5">
        <w:rPr>
          <w:rFonts w:ascii="Aptos" w:hAnsi="Aptos"/>
          <w:sz w:val="24"/>
          <w:szCs w:val="24"/>
        </w:rPr>
        <w:t>(Accessed: 12 September 2026)</w:t>
      </w:r>
    </w:p>
    <w:p w14:paraId="5D43AEFB"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Social Care Wales (2025b) Effective communication with people with dementia. Available at: </w:t>
      </w:r>
      <w:hyperlink r:id="rId37" w:tgtFrame="_blank" w:history="1">
        <w:r w:rsidRPr="009D3F7B">
          <w:rPr>
            <w:rFonts w:ascii="Aptos" w:eastAsia="Aptos" w:hAnsi="Aptos" w:cs="Times New Roman"/>
            <w:color w:val="467886"/>
            <w:kern w:val="2"/>
            <w:sz w:val="24"/>
            <w:szCs w:val="24"/>
            <w:u w:val="single"/>
            <w:lang w:eastAsia="en-US"/>
            <w14:ligatures w14:val="standardContextual"/>
          </w:rPr>
          <w:t>https://socialcare.wales/resources-guidance/improving-care-and-support/people-with-dementia/effective-communication-with-people-with-dementia </w:t>
        </w:r>
      </w:hyperlink>
      <w:r w:rsidRPr="009D3F7B">
        <w:rPr>
          <w:rFonts w:ascii="Aptos" w:eastAsia="Aptos" w:hAnsi="Aptos" w:cs="Times New Roman"/>
          <w:color w:val="auto"/>
          <w:kern w:val="2"/>
          <w:sz w:val="24"/>
          <w:szCs w:val="24"/>
          <w:lang w:eastAsia="en-US"/>
          <w14:ligatures w14:val="standardContextual"/>
        </w:rPr>
        <w:t xml:space="preserve"> (Accessed: 12 September 2026).</w:t>
      </w:r>
    </w:p>
    <w:p w14:paraId="089CAC34"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Social Care Wales (2026a) Code of professional practice for social care workers. Cardiff: Social Care Wales. Available at: </w:t>
      </w:r>
      <w:hyperlink r:id="rId38" w:tgtFrame="_blank" w:history="1">
        <w:r w:rsidRPr="009D3F7B">
          <w:rPr>
            <w:rFonts w:ascii="Aptos" w:eastAsia="Aptos" w:hAnsi="Aptos" w:cs="Times New Roman"/>
            <w:color w:val="467886"/>
            <w:kern w:val="2"/>
            <w:sz w:val="24"/>
            <w:szCs w:val="24"/>
            <w:u w:val="single"/>
            <w:lang w:eastAsia="en-US"/>
            <w14:ligatures w14:val="standardContextual"/>
          </w:rPr>
          <w:t>https://socialcare.wales/codes-of-practice-and-guidance/code-of-professional-practice-for-social-care-workers </w:t>
        </w:r>
      </w:hyperlink>
      <w:r w:rsidRPr="009D3F7B">
        <w:rPr>
          <w:rFonts w:ascii="Aptos" w:eastAsia="Aptos" w:hAnsi="Aptos" w:cs="Times New Roman"/>
          <w:color w:val="auto"/>
          <w:kern w:val="2"/>
          <w:sz w:val="24"/>
          <w:szCs w:val="24"/>
          <w:lang w:eastAsia="en-US"/>
          <w14:ligatures w14:val="standardContextual"/>
        </w:rPr>
        <w:t xml:space="preserve"> (Accessed: 6 September 2026).</w:t>
      </w:r>
    </w:p>
    <w:p w14:paraId="7D86F245" w14:textId="626E3C7D"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Social Care Wales (2026b) Practice guidance for the Code of Professional Practice for Social Care Workers. Available at: </w:t>
      </w:r>
      <w:hyperlink r:id="rId39" w:tgtFrame="_blank" w:history="1">
        <w:r w:rsidRPr="009D3F7B">
          <w:rPr>
            <w:rFonts w:ascii="Aptos" w:eastAsia="Aptos" w:hAnsi="Aptos" w:cs="Times New Roman"/>
            <w:color w:val="467886"/>
            <w:kern w:val="2"/>
            <w:sz w:val="24"/>
            <w:szCs w:val="24"/>
            <w:u w:val="single"/>
            <w:lang w:eastAsia="en-US"/>
            <w14:ligatures w14:val="standardContextual"/>
          </w:rPr>
          <w:t>https://socialcare.wales/cms-assets/documents/Codes-of-Professional-Practice/Social-Care-Practice-Guidance-EN.p </w:t>
        </w:r>
      </w:hyperlink>
      <w:r w:rsidR="004E09EF">
        <w:t xml:space="preserve"> </w:t>
      </w:r>
      <w:r w:rsidR="004E09EF" w:rsidRPr="00EE2D06">
        <w:rPr>
          <w:rFonts w:ascii="Aptos" w:hAnsi="Aptos"/>
          <w:sz w:val="24"/>
          <w:szCs w:val="24"/>
        </w:rPr>
        <w:t xml:space="preserve">(Accessed: </w:t>
      </w:r>
      <w:r w:rsidR="00EE2D06" w:rsidRPr="00EE2D06">
        <w:rPr>
          <w:rFonts w:ascii="Aptos" w:hAnsi="Aptos"/>
          <w:sz w:val="24"/>
          <w:szCs w:val="24"/>
        </w:rPr>
        <w:t>6 September 2026)</w:t>
      </w:r>
    </w:p>
    <w:p w14:paraId="3D0947CA"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Social Care Wales (2026c) What Matters Conversations and Assessment. Cardiff: Social Care Wales. Available at: What Matters Conversations and Assessment (Accessed: 23 September 2026).</w:t>
      </w:r>
    </w:p>
    <w:p w14:paraId="2813DAA3"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Social Care Wales (2026d) Ways to Communicate with Someone with a Learning Disability. Cardiff: Social Care Wales. Available at: Ways to Communicate with Someone with a Learning Disability (Accessed: 23 September 2026).</w:t>
      </w:r>
    </w:p>
    <w:p w14:paraId="1CB77948"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lastRenderedPageBreak/>
        <w:t xml:space="preserve">Social Care Wales (2023) Practice education guidance for the social work degree in Wales: SCDSW2 – Develop social work practice through supervision and reflection. Available at: </w:t>
      </w:r>
      <w:hyperlink r:id="rId40" w:tgtFrame="_blank" w:history="1">
        <w:r w:rsidRPr="009D3F7B">
          <w:rPr>
            <w:rFonts w:ascii="Aptos" w:eastAsia="Aptos" w:hAnsi="Aptos" w:cs="Times New Roman"/>
            <w:color w:val="467886"/>
            <w:kern w:val="2"/>
            <w:sz w:val="24"/>
            <w:szCs w:val="24"/>
            <w:u w:val="single"/>
            <w:lang w:eastAsia="en-US"/>
            <w14:ligatures w14:val="standardContextual"/>
          </w:rPr>
          <w:t>https://socialcare.wales/resources/practice-education-guidance-for-the-social-work-degree-in-wales </w:t>
        </w:r>
      </w:hyperlink>
      <w:r w:rsidRPr="009D3F7B">
        <w:rPr>
          <w:rFonts w:ascii="Aptos" w:eastAsia="Aptos" w:hAnsi="Aptos" w:cs="Times New Roman"/>
          <w:color w:val="auto"/>
          <w:kern w:val="2"/>
          <w:sz w:val="24"/>
          <w:szCs w:val="24"/>
          <w:lang w:eastAsia="en-US"/>
          <w14:ligatures w14:val="standardContextual"/>
        </w:rPr>
        <w:t xml:space="preserve"> (Accessed: 20 September 2026).</w:t>
      </w:r>
    </w:p>
    <w:p w14:paraId="45B47F5F"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Social Services and Well-being (Wales) Act 2014. Available at: </w:t>
      </w:r>
      <w:hyperlink r:id="rId41" w:tgtFrame="_blank" w:history="1">
        <w:r w:rsidRPr="009D3F7B">
          <w:rPr>
            <w:rFonts w:ascii="Aptos" w:eastAsia="Aptos" w:hAnsi="Aptos" w:cs="Times New Roman"/>
            <w:color w:val="467886"/>
            <w:kern w:val="2"/>
            <w:sz w:val="24"/>
            <w:szCs w:val="24"/>
            <w:u w:val="single"/>
            <w:lang w:eastAsia="en-US"/>
            <w14:ligatures w14:val="standardContextual"/>
          </w:rPr>
          <w:t>https://www.legislation.gov.uk/anaw/2014/4/contents </w:t>
        </w:r>
      </w:hyperlink>
      <w:r w:rsidRPr="009D3F7B">
        <w:rPr>
          <w:rFonts w:ascii="Aptos" w:eastAsia="Aptos" w:hAnsi="Aptos" w:cs="Times New Roman"/>
          <w:color w:val="auto"/>
          <w:kern w:val="2"/>
          <w:sz w:val="24"/>
          <w:szCs w:val="24"/>
          <w:lang w:eastAsia="en-US"/>
          <w14:ligatures w14:val="standardContextual"/>
        </w:rPr>
        <w:t xml:space="preserve"> (Accessed: 12 December 2025).</w:t>
      </w:r>
    </w:p>
    <w:p w14:paraId="38872C8A"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Stevens, M., Martineau, S., Manthorpe, J. and Norrie, C. (2017) ‘Social workers’ power of entry in adult safeguarding concerns: Debates over autonomy, privacy and protection’, The Journal of Adult Protection, 19(6), pp. 312–322. doi:10.1108/JAP-04-2017-0020. Available at: </w:t>
      </w:r>
      <w:hyperlink r:id="rId42" w:tgtFrame="_blank" w:history="1">
        <w:r w:rsidRPr="009D3F7B">
          <w:rPr>
            <w:rFonts w:ascii="Aptos" w:eastAsia="Aptos" w:hAnsi="Aptos" w:cs="Times New Roman"/>
            <w:color w:val="467886"/>
            <w:kern w:val="2"/>
            <w:sz w:val="24"/>
            <w:szCs w:val="24"/>
            <w:u w:val="single"/>
            <w:lang w:eastAsia="en-US"/>
            <w14:ligatures w14:val="standardContextual"/>
          </w:rPr>
          <w:t>https://www.emerald.com/jap/article-abstract/19/6/312/205294/Social-workers-power-of-entry-in-adult?redirectedFrom=fulltext </w:t>
        </w:r>
      </w:hyperlink>
      <w:r w:rsidRPr="009D3F7B">
        <w:rPr>
          <w:rFonts w:ascii="Aptos" w:eastAsia="Aptos" w:hAnsi="Aptos" w:cs="Times New Roman"/>
          <w:color w:val="auto"/>
          <w:kern w:val="2"/>
          <w:sz w:val="24"/>
          <w:szCs w:val="24"/>
          <w:lang w:eastAsia="en-US"/>
          <w14:ligatures w14:val="standardContextual"/>
        </w:rPr>
        <w:t xml:space="preserve"> (Accessed: 17 September 2026).</w:t>
      </w:r>
    </w:p>
    <w:p w14:paraId="34C4797C"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Symonds, J., Miles, C., Steel, M., Porter, S. and Williams, V. (2019) ‘Making person-centred assessments’, Journal of Social Work, 20(4). Available at: </w:t>
      </w:r>
      <w:hyperlink r:id="rId43" w:tgtFrame="_blank" w:history="1">
        <w:r w:rsidRPr="009D3F7B">
          <w:rPr>
            <w:rFonts w:ascii="Aptos" w:eastAsia="Aptos" w:hAnsi="Aptos" w:cs="Times New Roman"/>
            <w:color w:val="467886"/>
            <w:kern w:val="2"/>
            <w:sz w:val="24"/>
            <w:szCs w:val="24"/>
            <w:u w:val="single"/>
            <w:lang w:eastAsia="en-US"/>
            <w14:ligatures w14:val="standardContextual"/>
          </w:rPr>
          <w:t>https://doi.org/10.1177/1468017319830593 </w:t>
        </w:r>
      </w:hyperlink>
      <w:r w:rsidRPr="009D3F7B">
        <w:rPr>
          <w:rFonts w:ascii="Aptos" w:eastAsia="Aptos" w:hAnsi="Aptos" w:cs="Times New Roman"/>
          <w:color w:val="auto"/>
          <w:kern w:val="2"/>
          <w:sz w:val="24"/>
          <w:szCs w:val="24"/>
          <w:lang w:eastAsia="en-US"/>
          <w14:ligatures w14:val="standardContextual"/>
        </w:rPr>
        <w:t xml:space="preserve"> (Accessed: 16 December 2025).</w:t>
      </w:r>
    </w:p>
    <w:p w14:paraId="70754B3B"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Thacker, H., Anka, A. and Penhale, B. (2019) ‘Could curiosity save lives? An exploration into the value of employing professional curiosity and partnership work in safeguarding adults under the Care Act 2014’, The Journal of Adult Protection, 21(5), pp. 252–267. doi:10.1108/JAP-04-2019-0014. Available at: </w:t>
      </w:r>
      <w:hyperlink r:id="rId44" w:tgtFrame="_blank" w:history="1">
        <w:r w:rsidRPr="009D3F7B">
          <w:rPr>
            <w:rFonts w:ascii="Aptos" w:eastAsia="Aptos" w:hAnsi="Aptos" w:cs="Times New Roman"/>
            <w:color w:val="467886"/>
            <w:kern w:val="2"/>
            <w:sz w:val="24"/>
            <w:szCs w:val="24"/>
            <w:u w:val="single"/>
            <w:lang w:eastAsia="en-US"/>
            <w14:ligatures w14:val="standardContextual"/>
          </w:rPr>
          <w:t>https://www.emerald.com/jap/article-abstract/21/5/252/193409/Could-curiosity-save-lives-An-exploration-into-the?redirectedFrom=fulltext </w:t>
        </w:r>
      </w:hyperlink>
      <w:r w:rsidRPr="009D3F7B">
        <w:rPr>
          <w:rFonts w:ascii="Aptos" w:eastAsia="Aptos" w:hAnsi="Aptos" w:cs="Times New Roman"/>
          <w:color w:val="auto"/>
          <w:kern w:val="2"/>
          <w:sz w:val="24"/>
          <w:szCs w:val="24"/>
          <w:lang w:eastAsia="en-US"/>
          <w14:ligatures w14:val="standardContextual"/>
        </w:rPr>
        <w:t xml:space="preserve"> (Accessed: 17 September 2026).</w:t>
      </w:r>
    </w:p>
    <w:p w14:paraId="5ED417AF"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The Wales Safeguarding Procedures for Children and Adults at Risk of Abuse and Neglect (2026) Safeguarding Wales. Available at: </w:t>
      </w:r>
      <w:hyperlink r:id="rId45" w:tgtFrame="_blank" w:history="1">
        <w:r w:rsidRPr="009D3F7B">
          <w:rPr>
            <w:rFonts w:ascii="Aptos" w:eastAsia="Aptos" w:hAnsi="Aptos" w:cs="Times New Roman"/>
            <w:color w:val="467886"/>
            <w:kern w:val="2"/>
            <w:sz w:val="24"/>
            <w:szCs w:val="24"/>
            <w:u w:val="single"/>
            <w:lang w:eastAsia="en-US"/>
            <w14:ligatures w14:val="standardContextual"/>
          </w:rPr>
          <w:t>https://safeguarding.wales/en/int-i/int-i-i1/i1-p1/ </w:t>
        </w:r>
      </w:hyperlink>
      <w:r w:rsidRPr="009D3F7B">
        <w:rPr>
          <w:rFonts w:ascii="Aptos" w:eastAsia="Aptos" w:hAnsi="Aptos" w:cs="Times New Roman"/>
          <w:color w:val="auto"/>
          <w:kern w:val="2"/>
          <w:sz w:val="24"/>
          <w:szCs w:val="24"/>
          <w:lang w:eastAsia="en-US"/>
          <w14:ligatures w14:val="standardContextual"/>
        </w:rPr>
        <w:t xml:space="preserve"> (Accessed: 27 August 2026).</w:t>
      </w:r>
    </w:p>
    <w:p w14:paraId="099D7B28"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UK Government (1998) Human Rights Act 1998. Available at: </w:t>
      </w:r>
      <w:hyperlink r:id="rId46" w:tgtFrame="_blank" w:history="1">
        <w:r w:rsidRPr="009D3F7B">
          <w:rPr>
            <w:rFonts w:ascii="Aptos" w:eastAsia="Aptos" w:hAnsi="Aptos" w:cs="Times New Roman"/>
            <w:color w:val="467886"/>
            <w:kern w:val="2"/>
            <w:sz w:val="24"/>
            <w:szCs w:val="24"/>
            <w:u w:val="single"/>
            <w:lang w:eastAsia="en-US"/>
            <w14:ligatures w14:val="standardContextual"/>
          </w:rPr>
          <w:t>https://www.legislation.gov.uk/ukpga/1998/42 </w:t>
        </w:r>
      </w:hyperlink>
    </w:p>
    <w:p w14:paraId="798A5431"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UK Government (2010) Equality Act 2010, ss. 20 and 29. Available at: </w:t>
      </w:r>
      <w:hyperlink r:id="rId47" w:tgtFrame="_blank" w:history="1">
        <w:r w:rsidRPr="009D3F7B">
          <w:rPr>
            <w:rFonts w:ascii="Aptos" w:eastAsia="Aptos" w:hAnsi="Aptos" w:cs="Times New Roman"/>
            <w:color w:val="467886"/>
            <w:kern w:val="2"/>
            <w:sz w:val="24"/>
            <w:szCs w:val="24"/>
            <w:u w:val="single"/>
            <w:lang w:eastAsia="en-US"/>
            <w14:ligatures w14:val="standardContextual"/>
          </w:rPr>
          <w:t>https://www.legislation.gov.uk/ukpga/2010/15/contents </w:t>
        </w:r>
      </w:hyperlink>
    </w:p>
    <w:p w14:paraId="4ACCD183" w14:textId="77777777" w:rsidR="009D3F7B" w:rsidRDefault="009D3F7B" w:rsidP="009D3F7B">
      <w:pPr>
        <w:overflowPunct/>
        <w:autoSpaceDE/>
        <w:autoSpaceDN/>
        <w:adjustRightInd/>
        <w:spacing w:after="160" w:line="278" w:lineRule="auto"/>
        <w:textAlignment w:val="auto"/>
      </w:pPr>
      <w:r w:rsidRPr="009D3F7B">
        <w:rPr>
          <w:rFonts w:ascii="Aptos" w:eastAsia="Aptos" w:hAnsi="Aptos" w:cs="Times New Roman"/>
          <w:color w:val="auto"/>
          <w:kern w:val="2"/>
          <w:sz w:val="24"/>
          <w:szCs w:val="24"/>
          <w:lang w:eastAsia="en-US"/>
          <w14:ligatures w14:val="standardContextual"/>
        </w:rPr>
        <w:t xml:space="preserve">UK Government (2014) Care Act 2014, Schedule 1: Cross-border placements. Available at: </w:t>
      </w:r>
      <w:hyperlink r:id="rId48" w:tgtFrame="_blank" w:history="1">
        <w:r w:rsidRPr="009D3F7B">
          <w:rPr>
            <w:rFonts w:ascii="Aptos" w:eastAsia="Aptos" w:hAnsi="Aptos" w:cs="Times New Roman"/>
            <w:color w:val="467886"/>
            <w:kern w:val="2"/>
            <w:sz w:val="24"/>
            <w:szCs w:val="24"/>
            <w:u w:val="single"/>
            <w:lang w:eastAsia="en-US"/>
            <w14:ligatures w14:val="standardContextual"/>
          </w:rPr>
          <w:t>https://www.legislation.gov.uk/ukpga/2014/23/schedule/1 </w:t>
        </w:r>
      </w:hyperlink>
    </w:p>
    <w:p w14:paraId="6BC59890" w14:textId="6A5B9718" w:rsidR="003C1230" w:rsidRPr="009D3F7B" w:rsidRDefault="003C1230"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3C1230">
        <w:rPr>
          <w:rFonts w:ascii="Aptos" w:eastAsia="Aptos" w:hAnsi="Aptos" w:cs="Times New Roman"/>
          <w:color w:val="auto"/>
          <w:kern w:val="2"/>
          <w:sz w:val="24"/>
          <w:szCs w:val="24"/>
          <w:lang w:eastAsia="en-US"/>
          <w14:ligatures w14:val="standardContextual"/>
        </w:rPr>
        <w:t>Violence against Women, Domestic Abuse and Sexual Violence (Wales) Act 2015 | GOV.WALES (2024) GOV.WALES. Available at: https://www.gov.wales/violence-against-women-domestic-abuse-and-sexual-violence-wales-act-2015 (Accessed: October 5, 2026).</w:t>
      </w:r>
    </w:p>
    <w:p w14:paraId="2E8E7638" w14:textId="251E131A"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lastRenderedPageBreak/>
        <w:t>Wales Safeguarding Procedures (</w:t>
      </w:r>
      <w:r w:rsidR="00072771">
        <w:rPr>
          <w:rFonts w:ascii="Aptos" w:eastAsia="Aptos" w:hAnsi="Aptos" w:cs="Times New Roman"/>
          <w:color w:val="auto"/>
          <w:kern w:val="2"/>
          <w:sz w:val="24"/>
          <w:szCs w:val="24"/>
          <w:lang w:eastAsia="en-US"/>
          <w14:ligatures w14:val="standardContextual"/>
        </w:rPr>
        <w:t>2026</w:t>
      </w:r>
      <w:r w:rsidRPr="009D3F7B">
        <w:rPr>
          <w:rFonts w:ascii="Aptos" w:eastAsia="Aptos" w:hAnsi="Aptos" w:cs="Times New Roman"/>
          <w:color w:val="auto"/>
          <w:kern w:val="2"/>
          <w:sz w:val="24"/>
          <w:szCs w:val="24"/>
          <w:lang w:eastAsia="en-US"/>
          <w14:ligatures w14:val="standardContextual"/>
        </w:rPr>
        <w:t xml:space="preserve">) Completing initial checks. Available at: </w:t>
      </w:r>
      <w:hyperlink r:id="rId49" w:tgtFrame="_blank" w:history="1">
        <w:r w:rsidRPr="009D3F7B">
          <w:rPr>
            <w:rFonts w:ascii="Aptos" w:eastAsia="Aptos" w:hAnsi="Aptos" w:cs="Times New Roman"/>
            <w:color w:val="467886"/>
            <w:kern w:val="2"/>
            <w:sz w:val="24"/>
            <w:szCs w:val="24"/>
            <w:u w:val="single"/>
            <w:lang w:eastAsia="en-US"/>
            <w14:ligatures w14:val="standardContextual"/>
          </w:rPr>
          <w:t>https://www.safeguarding.wales/en/adu-i/adu-i-a3pt1/a3pt1-p4/ </w:t>
        </w:r>
      </w:hyperlink>
    </w:p>
    <w:p w14:paraId="2A59FDD7" w14:textId="483FA999"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Wales Safeguarding Procedures (</w:t>
      </w:r>
      <w:r w:rsidR="00072771">
        <w:rPr>
          <w:rFonts w:ascii="Aptos" w:eastAsia="Aptos" w:hAnsi="Aptos" w:cs="Times New Roman"/>
          <w:color w:val="auto"/>
          <w:kern w:val="2"/>
          <w:sz w:val="24"/>
          <w:szCs w:val="24"/>
          <w:lang w:eastAsia="en-US"/>
          <w14:ligatures w14:val="standardContextual"/>
        </w:rPr>
        <w:t>2026</w:t>
      </w:r>
      <w:r w:rsidRPr="009D3F7B">
        <w:rPr>
          <w:rFonts w:ascii="Aptos" w:eastAsia="Aptos" w:hAnsi="Aptos" w:cs="Times New Roman"/>
          <w:color w:val="auto"/>
          <w:kern w:val="2"/>
          <w:sz w:val="24"/>
          <w:szCs w:val="24"/>
          <w:lang w:eastAsia="en-US"/>
          <w14:ligatures w14:val="standardContextual"/>
        </w:rPr>
        <w:t xml:space="preserve">) Key points to consider when completing section 126 enquiries. Available at: </w:t>
      </w:r>
      <w:hyperlink r:id="rId50" w:tgtFrame="_blank" w:history="1">
        <w:r w:rsidRPr="009D3F7B">
          <w:rPr>
            <w:rFonts w:ascii="Aptos" w:eastAsia="Aptos" w:hAnsi="Aptos" w:cs="Times New Roman"/>
            <w:color w:val="467886"/>
            <w:kern w:val="2"/>
            <w:sz w:val="24"/>
            <w:szCs w:val="24"/>
            <w:u w:val="single"/>
            <w:lang w:eastAsia="en-US"/>
            <w14:ligatures w14:val="standardContextual"/>
          </w:rPr>
          <w:t>https://www.safeguarding.wales/en/adu-i/adu-i-a3pt1/a3pt1-p8/ </w:t>
        </w:r>
      </w:hyperlink>
    </w:p>
    <w:p w14:paraId="596BDD1F" w14:textId="516480BC"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Wales Safeguarding Procedures (</w:t>
      </w:r>
      <w:r w:rsidR="00072771">
        <w:rPr>
          <w:rFonts w:ascii="Aptos" w:eastAsia="Aptos" w:hAnsi="Aptos" w:cs="Times New Roman"/>
          <w:color w:val="auto"/>
          <w:kern w:val="2"/>
          <w:sz w:val="24"/>
          <w:szCs w:val="24"/>
          <w:lang w:eastAsia="en-US"/>
          <w14:ligatures w14:val="standardContextual"/>
        </w:rPr>
        <w:t>2026</w:t>
      </w:r>
      <w:r w:rsidRPr="009D3F7B">
        <w:rPr>
          <w:rFonts w:ascii="Aptos" w:eastAsia="Aptos" w:hAnsi="Aptos" w:cs="Times New Roman"/>
          <w:color w:val="auto"/>
          <w:kern w:val="2"/>
          <w:sz w:val="24"/>
          <w:szCs w:val="24"/>
          <w:lang w:eastAsia="en-US"/>
          <w14:ligatures w14:val="standardContextual"/>
        </w:rPr>
        <w:t xml:space="preserve">) The Wales Safeguarding Procedures for children and adults at risk of abuse and neglect. Available at: </w:t>
      </w:r>
      <w:hyperlink r:id="rId51" w:tgtFrame="_blank" w:history="1">
        <w:r w:rsidRPr="009D3F7B">
          <w:rPr>
            <w:rFonts w:ascii="Aptos" w:eastAsia="Aptos" w:hAnsi="Aptos" w:cs="Times New Roman"/>
            <w:color w:val="467886"/>
            <w:kern w:val="2"/>
            <w:sz w:val="24"/>
            <w:szCs w:val="24"/>
            <w:u w:val="single"/>
            <w:lang w:eastAsia="en-US"/>
            <w14:ligatures w14:val="standardContextual"/>
          </w:rPr>
          <w:t>https://safeguarding.wales/en/int-i/int-i-i1/i1-p1/ </w:t>
        </w:r>
      </w:hyperlink>
      <w:r w:rsidRPr="009D3F7B">
        <w:rPr>
          <w:rFonts w:ascii="Aptos" w:eastAsia="Aptos" w:hAnsi="Aptos" w:cs="Times New Roman"/>
          <w:color w:val="auto"/>
          <w:kern w:val="2"/>
          <w:sz w:val="24"/>
          <w:szCs w:val="24"/>
          <w:lang w:eastAsia="en-US"/>
          <w14:ligatures w14:val="standardContextual"/>
        </w:rPr>
        <w:t xml:space="preserve"> (Accessed: 17 September 2026).</w:t>
      </w:r>
    </w:p>
    <w:p w14:paraId="1A0EDB0F"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Wales Safeguarding Procedures (2019) Identifying and Addressing Emerging Concerns. Available at: https://www.safeguarding.wales/en/chi-i/chi-i-c1/c1-p6/ (Accessed: 28 September 2026).</w:t>
      </w:r>
    </w:p>
    <w:p w14:paraId="46F69E66"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Wales Safeguarding Procedures (2026) Safeguarding Wales. Available at: </w:t>
      </w:r>
      <w:hyperlink r:id="rId52" w:tgtFrame="_blank" w:history="1">
        <w:r w:rsidRPr="009D3F7B">
          <w:rPr>
            <w:rFonts w:ascii="Aptos" w:eastAsia="Aptos" w:hAnsi="Aptos" w:cs="Times New Roman"/>
            <w:color w:val="467886"/>
            <w:kern w:val="2"/>
            <w:sz w:val="24"/>
            <w:szCs w:val="24"/>
            <w:u w:val="single"/>
            <w:lang w:eastAsia="en-US"/>
            <w14:ligatures w14:val="standardContextual"/>
          </w:rPr>
          <w:t>https://www.safeguarding.wales/en/ </w:t>
        </w:r>
      </w:hyperlink>
      <w:r w:rsidRPr="009D3F7B">
        <w:rPr>
          <w:rFonts w:ascii="Aptos" w:eastAsia="Aptos" w:hAnsi="Aptos" w:cs="Times New Roman"/>
          <w:color w:val="auto"/>
          <w:kern w:val="2"/>
          <w:sz w:val="24"/>
          <w:szCs w:val="24"/>
          <w:lang w:eastAsia="en-US"/>
          <w14:ligatures w14:val="standardContextual"/>
        </w:rPr>
        <w:t xml:space="preserve"> (Accessed: 27 August 2026).</w:t>
      </w:r>
    </w:p>
    <w:p w14:paraId="7E27819F"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Welsh Government (2011) Welsh Language (Wales) Measure 2011. Available at: </w:t>
      </w:r>
      <w:hyperlink r:id="rId53" w:tgtFrame="_blank" w:history="1">
        <w:r w:rsidRPr="009D3F7B">
          <w:rPr>
            <w:rFonts w:ascii="Aptos" w:eastAsia="Aptos" w:hAnsi="Aptos" w:cs="Times New Roman"/>
            <w:color w:val="467886"/>
            <w:kern w:val="2"/>
            <w:sz w:val="24"/>
            <w:szCs w:val="24"/>
            <w:u w:val="single"/>
            <w:lang w:eastAsia="en-US"/>
            <w14:ligatures w14:val="standardContextual"/>
          </w:rPr>
          <w:t>https://www.legislation.gov.uk/mwa/2011/1/contents </w:t>
        </w:r>
      </w:hyperlink>
      <w:r w:rsidRPr="009D3F7B">
        <w:rPr>
          <w:rFonts w:ascii="Aptos" w:eastAsia="Aptos" w:hAnsi="Aptos" w:cs="Times New Roman"/>
          <w:color w:val="auto"/>
          <w:kern w:val="2"/>
          <w:sz w:val="24"/>
          <w:szCs w:val="24"/>
          <w:lang w:eastAsia="en-US"/>
          <w14:ligatures w14:val="standardContextual"/>
        </w:rPr>
        <w:t xml:space="preserve"> (Accessed: 18 May 2026).</w:t>
      </w:r>
    </w:p>
    <w:p w14:paraId="4CA4B768"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Welsh Government (2012) More than just words: Strategic Framework for Welsh Language Services in Health, Social Services and Social Care. Cardiff: Welsh Government. Available at: More than just words – Welsh language framework (Accessed: 23 September 2026).</w:t>
      </w:r>
    </w:p>
    <w:p w14:paraId="661CFA5A"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Welsh Government (2014a) Social Services and Well-being (Wales) Act 2014. Available at: </w:t>
      </w:r>
      <w:hyperlink r:id="rId54" w:tgtFrame="_blank" w:history="1">
        <w:r w:rsidRPr="009D3F7B">
          <w:rPr>
            <w:rFonts w:ascii="Aptos" w:eastAsia="Aptos" w:hAnsi="Aptos" w:cs="Times New Roman"/>
            <w:color w:val="467886"/>
            <w:kern w:val="2"/>
            <w:sz w:val="24"/>
            <w:szCs w:val="24"/>
            <w:u w:val="single"/>
            <w:lang w:eastAsia="en-US"/>
            <w14:ligatures w14:val="standardContextual"/>
          </w:rPr>
          <w:t>https://www.legislation.gov.uk/anaw/2014/4/contents </w:t>
        </w:r>
      </w:hyperlink>
    </w:p>
    <w:p w14:paraId="00BD4C48" w14:textId="4F0EC123"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Welsh Government (2015) Social Services and Well-being (Wales) Act 2014: Part 11 Code of Practice (Miscellaneous and General), chapter 2 and Annex 2: Ordinary residence, disputes and cross-border placements. Available at: </w:t>
      </w:r>
      <w:hyperlink r:id="rId55" w:tgtFrame="_blank" w:history="1">
        <w:r w:rsidRPr="009D3F7B">
          <w:rPr>
            <w:rFonts w:ascii="Aptos" w:eastAsia="Aptos" w:hAnsi="Aptos" w:cs="Times New Roman"/>
            <w:color w:val="467886"/>
            <w:kern w:val="2"/>
            <w:sz w:val="24"/>
            <w:szCs w:val="24"/>
            <w:u w:val="single"/>
            <w:lang w:eastAsia="en-US"/>
            <w14:ligatures w14:val="standardContextual"/>
          </w:rPr>
          <w:t>https://www.gov.wales/sites/default/files/publications/2019-05/part-11-code-of-practice-miscellaneous-and-general.pdf </w:t>
        </w:r>
      </w:hyperlink>
    </w:p>
    <w:p w14:paraId="792403C0" w14:textId="56D89D13"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Welsh Government (2015) The Care and Support (Care Planning) (Wales) Regulations 2015, SI 2015/1335 (W.126). Available at: </w:t>
      </w:r>
      <w:hyperlink r:id="rId56" w:tgtFrame="_blank" w:history="1">
        <w:r w:rsidRPr="009D3F7B">
          <w:rPr>
            <w:rFonts w:ascii="Aptos" w:eastAsia="Aptos" w:hAnsi="Aptos" w:cs="Times New Roman"/>
            <w:color w:val="467886"/>
            <w:kern w:val="2"/>
            <w:sz w:val="24"/>
            <w:szCs w:val="24"/>
            <w:u w:val="single"/>
            <w:lang w:eastAsia="en-US"/>
            <w14:ligatures w14:val="standardContextual"/>
          </w:rPr>
          <w:t>https://www.legislation.gov.uk/wsi/2015/1335/contents/made </w:t>
        </w:r>
      </w:hyperlink>
      <w:r w:rsidRPr="009D3F7B">
        <w:rPr>
          <w:rFonts w:ascii="Aptos" w:eastAsia="Aptos" w:hAnsi="Aptos" w:cs="Times New Roman"/>
          <w:color w:val="auto"/>
          <w:kern w:val="2"/>
          <w:sz w:val="24"/>
          <w:szCs w:val="24"/>
          <w:lang w:eastAsia="en-US"/>
          <w14:ligatures w14:val="standardContextual"/>
        </w:rPr>
        <w:t xml:space="preserve"> (Accessed: 18 May 2026).</w:t>
      </w:r>
    </w:p>
    <w:p w14:paraId="75B0D349"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Welsh Government (2015b) Social Services and Well-being (Wales) Act 2014: Part 3 Code of Practice (Assessing the Needs of Individuals). Cardiff: Welsh Government. Available at: </w:t>
      </w:r>
      <w:hyperlink r:id="rId57" w:tgtFrame="_blank" w:history="1">
        <w:r w:rsidRPr="009D3F7B">
          <w:rPr>
            <w:rFonts w:ascii="Aptos" w:eastAsia="Aptos" w:hAnsi="Aptos" w:cs="Times New Roman"/>
            <w:color w:val="467886"/>
            <w:kern w:val="2"/>
            <w:sz w:val="24"/>
            <w:szCs w:val="24"/>
            <w:u w:val="single"/>
            <w:lang w:eastAsia="en-US"/>
            <w14:ligatures w14:val="standardContextual"/>
          </w:rPr>
          <w:t>https://www.gov.wales/sites/default/files/publications/2019-05/part-3-code-of-practice-assessing-the-needs-of-individuals.pdf </w:t>
        </w:r>
      </w:hyperlink>
      <w:r w:rsidRPr="009D3F7B">
        <w:rPr>
          <w:rFonts w:ascii="Aptos" w:eastAsia="Aptos" w:hAnsi="Aptos" w:cs="Times New Roman"/>
          <w:color w:val="auto"/>
          <w:kern w:val="2"/>
          <w:sz w:val="24"/>
          <w:szCs w:val="24"/>
          <w:lang w:eastAsia="en-US"/>
          <w14:ligatures w14:val="standardContextual"/>
        </w:rPr>
        <w:t xml:space="preserve"> (Accessed: 27 September 2026).</w:t>
      </w:r>
    </w:p>
    <w:p w14:paraId="1BA68A89" w14:textId="77777777" w:rsid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Welsh Government (2018) Working Together to Safeguard People: Volume 6 – Handling Individual Cases to Protect Adults at Risk. Available at: </w:t>
      </w:r>
      <w:hyperlink r:id="rId58" w:tgtFrame="_blank" w:history="1">
        <w:r w:rsidRPr="009D3F7B">
          <w:rPr>
            <w:rFonts w:ascii="Aptos" w:eastAsia="Aptos" w:hAnsi="Aptos" w:cs="Times New Roman"/>
            <w:color w:val="467886"/>
            <w:kern w:val="2"/>
            <w:sz w:val="24"/>
            <w:szCs w:val="24"/>
            <w:u w:val="single"/>
            <w:lang w:eastAsia="en-US"/>
            <w14:ligatures w14:val="standardContextual"/>
          </w:rPr>
          <w:t>https://www.gov.wales/sites/default/files/publications/2019-06/volume-6-handling-individual-cases-to-protect-adults-at-risk.pdf </w:t>
        </w:r>
      </w:hyperlink>
      <w:r w:rsidRPr="009D3F7B">
        <w:rPr>
          <w:rFonts w:ascii="Aptos" w:eastAsia="Aptos" w:hAnsi="Aptos" w:cs="Times New Roman"/>
          <w:color w:val="auto"/>
          <w:kern w:val="2"/>
          <w:sz w:val="24"/>
          <w:szCs w:val="24"/>
          <w:lang w:eastAsia="en-US"/>
          <w14:ligatures w14:val="standardContextual"/>
        </w:rPr>
        <w:t xml:space="preserve"> (Accessed: 27 September 2026)</w:t>
      </w:r>
    </w:p>
    <w:p w14:paraId="7F383A00" w14:textId="0257E9F1" w:rsidR="00062FB3" w:rsidRPr="009D3F7B" w:rsidRDefault="00062FB3"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Welsh Government (2019) Safeguarding Children at Risk of Abuse or Neglect. Cardiff: Welsh Government. Available at: Read </w:t>
      </w:r>
      <w:proofErr w:type="gramStart"/>
      <w:r w:rsidRPr="009D3F7B">
        <w:rPr>
          <w:rFonts w:ascii="Aptos" w:eastAsia="Aptos" w:hAnsi="Aptos" w:cs="Times New Roman"/>
          <w:color w:val="auto"/>
          <w:kern w:val="2"/>
          <w:sz w:val="24"/>
          <w:szCs w:val="24"/>
          <w:lang w:eastAsia="en-US"/>
          <w14:ligatures w14:val="standardContextual"/>
        </w:rPr>
        <w:t>guidance  (</w:t>
      </w:r>
      <w:proofErr w:type="gramEnd"/>
      <w:r w:rsidRPr="009D3F7B">
        <w:rPr>
          <w:rFonts w:ascii="Aptos" w:eastAsia="Aptos" w:hAnsi="Aptos" w:cs="Times New Roman"/>
          <w:color w:val="auto"/>
          <w:kern w:val="2"/>
          <w:sz w:val="24"/>
          <w:szCs w:val="24"/>
          <w:lang w:eastAsia="en-US"/>
          <w14:ligatures w14:val="standardContextual"/>
        </w:rPr>
        <w:t>Accessed: 28 September 2026).</w:t>
      </w:r>
    </w:p>
    <w:p w14:paraId="5F1D7CB7"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 xml:space="preserve">Welsh Government (2019) Working Together to Safeguard People: Information Sharing to Safeguard Children. Cardiff: Welsh Government. Available at: Read information-sharing </w:t>
      </w:r>
      <w:proofErr w:type="gramStart"/>
      <w:r w:rsidRPr="009D3F7B">
        <w:rPr>
          <w:rFonts w:ascii="Aptos" w:eastAsia="Aptos" w:hAnsi="Aptos" w:cs="Times New Roman"/>
          <w:color w:val="auto"/>
          <w:kern w:val="2"/>
          <w:sz w:val="24"/>
          <w:szCs w:val="24"/>
          <w:lang w:eastAsia="en-US"/>
          <w14:ligatures w14:val="standardContextual"/>
        </w:rPr>
        <w:t>guidance  (</w:t>
      </w:r>
      <w:proofErr w:type="gramEnd"/>
      <w:r w:rsidRPr="009D3F7B">
        <w:rPr>
          <w:rFonts w:ascii="Aptos" w:eastAsia="Aptos" w:hAnsi="Aptos" w:cs="Times New Roman"/>
          <w:color w:val="auto"/>
          <w:kern w:val="2"/>
          <w:sz w:val="24"/>
          <w:szCs w:val="24"/>
          <w:lang w:eastAsia="en-US"/>
          <w14:ligatures w14:val="standardContextual"/>
        </w:rPr>
        <w:t>Accessed: 28 September 2026)</w:t>
      </w:r>
    </w:p>
    <w:p w14:paraId="0946553F"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9D3F7B">
        <w:rPr>
          <w:rFonts w:ascii="Aptos" w:eastAsia="Aptos" w:hAnsi="Aptos" w:cs="Times New Roman"/>
          <w:color w:val="auto"/>
          <w:kern w:val="2"/>
          <w:sz w:val="24"/>
          <w:szCs w:val="24"/>
          <w:lang w:eastAsia="en-US"/>
          <w14:ligatures w14:val="standardContextual"/>
        </w:rPr>
        <w:t>Welsh Government (2019) Working Together to Safeguard People: Volume 5 – Handling Individual Cases to Protect Children at Risk. Cardiff: Welsh Government. (Accessed 28 September)</w:t>
      </w:r>
    </w:p>
    <w:p w14:paraId="7BFF5176" w14:textId="77777777" w:rsidR="009D3F7B" w:rsidRPr="009D3F7B" w:rsidRDefault="009D3F7B" w:rsidP="009D3F7B">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2ADE2AE3" w:rsidR="00E559CE" w:rsidRPr="00B17FA0" w:rsidRDefault="00E559CE" w:rsidP="00B94443">
            <w:pPr>
              <w:jc w:val="both"/>
              <w:rPr>
                <w:sz w:val="24"/>
                <w:szCs w:val="24"/>
              </w:rPr>
            </w:pPr>
            <w:proofErr w:type="gramStart"/>
            <w:r w:rsidRPr="00B17FA0">
              <w:rPr>
                <w:sz w:val="24"/>
                <w:szCs w:val="24"/>
              </w:rPr>
              <w:t>1</w:t>
            </w:r>
            <w:r w:rsidR="00C077B4">
              <w:rPr>
                <w:sz w:val="24"/>
                <w:szCs w:val="24"/>
              </w:rPr>
              <w:t xml:space="preserve">  </w:t>
            </w:r>
            <w:r w:rsidR="00B71AFE">
              <w:rPr>
                <w:sz w:val="24"/>
                <w:szCs w:val="24"/>
              </w:rPr>
              <w:t>Workshop</w:t>
            </w:r>
            <w:proofErr w:type="gramEnd"/>
            <w:r w:rsidR="00B71AFE">
              <w:rPr>
                <w:sz w:val="24"/>
                <w:szCs w:val="24"/>
              </w:rPr>
              <w:t xml:space="preserve"> 1</w:t>
            </w:r>
          </w:p>
        </w:tc>
        <w:tc>
          <w:tcPr>
            <w:tcW w:w="5094" w:type="dxa"/>
          </w:tcPr>
          <w:p w14:paraId="4504991A" w14:textId="70D95957" w:rsidR="00E559CE" w:rsidRPr="00B17FA0" w:rsidRDefault="005B4312" w:rsidP="00B94443">
            <w:pPr>
              <w:jc w:val="both"/>
              <w:rPr>
                <w:sz w:val="24"/>
                <w:szCs w:val="24"/>
              </w:rPr>
            </w:pPr>
            <w:r>
              <w:rPr>
                <w:sz w:val="24"/>
                <w:szCs w:val="24"/>
              </w:rPr>
              <w:t>18/11/202</w:t>
            </w:r>
            <w:r w:rsidR="005B0648">
              <w:rPr>
                <w:sz w:val="24"/>
                <w:szCs w:val="24"/>
              </w:rPr>
              <w:t>5</w:t>
            </w:r>
          </w:p>
        </w:tc>
      </w:tr>
      <w:tr w:rsidR="00E559CE" w:rsidRPr="00B17FA0" w14:paraId="05C1FAE9" w14:textId="77777777" w:rsidTr="00B94443">
        <w:tc>
          <w:tcPr>
            <w:tcW w:w="5094" w:type="dxa"/>
          </w:tcPr>
          <w:p w14:paraId="2BDB6661" w14:textId="411F53F5" w:rsidR="00E559CE" w:rsidRPr="00B17FA0" w:rsidRDefault="00E559CE" w:rsidP="00B94443">
            <w:pPr>
              <w:jc w:val="both"/>
              <w:rPr>
                <w:sz w:val="24"/>
                <w:szCs w:val="24"/>
              </w:rPr>
            </w:pPr>
            <w:proofErr w:type="gramStart"/>
            <w:r w:rsidRPr="00B17FA0">
              <w:rPr>
                <w:sz w:val="24"/>
                <w:szCs w:val="24"/>
              </w:rPr>
              <w:t>2</w:t>
            </w:r>
            <w:r w:rsidR="00B71AFE">
              <w:rPr>
                <w:sz w:val="24"/>
                <w:szCs w:val="24"/>
              </w:rPr>
              <w:t xml:space="preserve">  Workshop</w:t>
            </w:r>
            <w:proofErr w:type="gramEnd"/>
            <w:r w:rsidR="00B71AFE">
              <w:rPr>
                <w:sz w:val="24"/>
                <w:szCs w:val="24"/>
              </w:rPr>
              <w:t xml:space="preserve"> 2</w:t>
            </w:r>
          </w:p>
        </w:tc>
        <w:tc>
          <w:tcPr>
            <w:tcW w:w="5094" w:type="dxa"/>
          </w:tcPr>
          <w:p w14:paraId="1AF3604C" w14:textId="6411B71A" w:rsidR="00E559CE" w:rsidRPr="00B17FA0" w:rsidRDefault="008C10CD" w:rsidP="00B94443">
            <w:pPr>
              <w:jc w:val="both"/>
              <w:rPr>
                <w:sz w:val="24"/>
                <w:szCs w:val="24"/>
              </w:rPr>
            </w:pPr>
            <w:r>
              <w:rPr>
                <w:sz w:val="24"/>
                <w:szCs w:val="24"/>
              </w:rPr>
              <w:t>04/02/2026</w:t>
            </w:r>
          </w:p>
        </w:tc>
      </w:tr>
      <w:tr w:rsidR="00E559CE" w:rsidRPr="00B17FA0" w14:paraId="5356395F" w14:textId="77777777" w:rsidTr="00B94443">
        <w:tc>
          <w:tcPr>
            <w:tcW w:w="5094" w:type="dxa"/>
          </w:tcPr>
          <w:p w14:paraId="7DC37211" w14:textId="74888857" w:rsidR="00E559CE" w:rsidRPr="00B17FA0" w:rsidRDefault="00E559CE" w:rsidP="00B94443">
            <w:pPr>
              <w:jc w:val="both"/>
              <w:rPr>
                <w:sz w:val="24"/>
                <w:szCs w:val="24"/>
              </w:rPr>
            </w:pPr>
            <w:proofErr w:type="gramStart"/>
            <w:r w:rsidRPr="00B17FA0">
              <w:rPr>
                <w:sz w:val="24"/>
                <w:szCs w:val="24"/>
              </w:rPr>
              <w:t>3</w:t>
            </w:r>
            <w:r w:rsidR="00B71AFE">
              <w:rPr>
                <w:sz w:val="24"/>
                <w:szCs w:val="24"/>
              </w:rPr>
              <w:t xml:space="preserve">  Workshop</w:t>
            </w:r>
            <w:proofErr w:type="gramEnd"/>
            <w:r w:rsidR="00B71AFE">
              <w:rPr>
                <w:sz w:val="24"/>
                <w:szCs w:val="24"/>
              </w:rPr>
              <w:t xml:space="preserve"> 3</w:t>
            </w:r>
          </w:p>
        </w:tc>
        <w:tc>
          <w:tcPr>
            <w:tcW w:w="5094" w:type="dxa"/>
          </w:tcPr>
          <w:p w14:paraId="4DFBE392" w14:textId="25434A0E" w:rsidR="00E559CE" w:rsidRPr="00B17FA0" w:rsidRDefault="00856AA1" w:rsidP="00B94443">
            <w:pPr>
              <w:jc w:val="both"/>
              <w:rPr>
                <w:sz w:val="24"/>
                <w:szCs w:val="24"/>
              </w:rPr>
            </w:pPr>
            <w:r>
              <w:rPr>
                <w:sz w:val="24"/>
                <w:szCs w:val="24"/>
              </w:rPr>
              <w:t>26/03/2026</w:t>
            </w:r>
          </w:p>
        </w:tc>
      </w:tr>
      <w:tr w:rsidR="00E559CE" w:rsidRPr="008B28E7" w14:paraId="40165146" w14:textId="77777777" w:rsidTr="00B94443">
        <w:tc>
          <w:tcPr>
            <w:tcW w:w="5094" w:type="dxa"/>
          </w:tcPr>
          <w:p w14:paraId="2DE3C97B" w14:textId="090E05BB" w:rsidR="00E559CE" w:rsidRPr="00B17FA0" w:rsidRDefault="00E559CE" w:rsidP="00B94443">
            <w:pPr>
              <w:jc w:val="both"/>
              <w:rPr>
                <w:sz w:val="24"/>
                <w:szCs w:val="24"/>
              </w:rPr>
            </w:pPr>
            <w:proofErr w:type="gramStart"/>
            <w:r w:rsidRPr="00B17FA0">
              <w:rPr>
                <w:sz w:val="24"/>
                <w:szCs w:val="24"/>
              </w:rPr>
              <w:t>4</w:t>
            </w:r>
            <w:r w:rsidR="00B71AFE">
              <w:rPr>
                <w:sz w:val="24"/>
                <w:szCs w:val="24"/>
              </w:rPr>
              <w:t xml:space="preserve">  Workshop</w:t>
            </w:r>
            <w:proofErr w:type="gramEnd"/>
            <w:r w:rsidR="00B71AFE">
              <w:rPr>
                <w:sz w:val="24"/>
                <w:szCs w:val="24"/>
              </w:rPr>
              <w:t xml:space="preserve"> 4</w:t>
            </w:r>
          </w:p>
        </w:tc>
        <w:tc>
          <w:tcPr>
            <w:tcW w:w="5094" w:type="dxa"/>
          </w:tcPr>
          <w:p w14:paraId="16B5309A" w14:textId="531ED798" w:rsidR="00E559CE" w:rsidRPr="00B17FA0" w:rsidRDefault="00311001" w:rsidP="00B94443">
            <w:pPr>
              <w:jc w:val="both"/>
              <w:rPr>
                <w:sz w:val="24"/>
                <w:szCs w:val="24"/>
              </w:rPr>
            </w:pPr>
            <w:r>
              <w:rPr>
                <w:sz w:val="24"/>
                <w:szCs w:val="24"/>
              </w:rPr>
              <w:t>11/06/2026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66A749C" w14:textId="77777777" w:rsidR="00D66551" w:rsidRDefault="00D66551" w:rsidP="00D66551">
            <w:pPr>
              <w:jc w:val="both"/>
              <w:rPr>
                <w:color w:val="auto"/>
                <w:sz w:val="24"/>
                <w:szCs w:val="24"/>
              </w:rPr>
            </w:pPr>
            <w:r>
              <w:rPr>
                <w:color w:val="auto"/>
                <w:sz w:val="24"/>
                <w:szCs w:val="24"/>
              </w:rPr>
              <w:t xml:space="preserve">Over the course of the 12 months and the preceding years in which Sara has been based within the Disabilities Team she has been a highly valued team member, who has demonstrated a conscientious and professional attitude to her work.  </w:t>
            </w:r>
          </w:p>
          <w:p w14:paraId="3D08432A" w14:textId="77777777" w:rsidR="00D66551" w:rsidRDefault="00D66551" w:rsidP="00D66551">
            <w:pPr>
              <w:jc w:val="both"/>
              <w:rPr>
                <w:color w:val="auto"/>
                <w:sz w:val="24"/>
                <w:szCs w:val="24"/>
              </w:rPr>
            </w:pPr>
          </w:p>
          <w:p w14:paraId="01056878" w14:textId="77777777" w:rsidR="00D66551" w:rsidRPr="00706BB5" w:rsidRDefault="00D66551" w:rsidP="00D66551">
            <w:pPr>
              <w:jc w:val="both"/>
              <w:rPr>
                <w:color w:val="auto"/>
                <w:sz w:val="24"/>
                <w:szCs w:val="24"/>
              </w:rPr>
            </w:pPr>
            <w:r>
              <w:rPr>
                <w:color w:val="auto"/>
                <w:sz w:val="24"/>
                <w:szCs w:val="24"/>
              </w:rPr>
              <w:lastRenderedPageBreak/>
              <w:t xml:space="preserve">Sara has been responsive to service demands and adapted to the implementation of a new computer system and the recent </w:t>
            </w:r>
            <w:r w:rsidRPr="000906ED">
              <w:rPr>
                <w:color w:val="auto"/>
                <w:sz w:val="24"/>
                <w:szCs w:val="24"/>
              </w:rPr>
              <w:t>Attorney General for Northern Ireland [2026] UKSC 16</w:t>
            </w:r>
            <w:r>
              <w:rPr>
                <w:color w:val="auto"/>
                <w:sz w:val="24"/>
                <w:szCs w:val="24"/>
              </w:rPr>
              <w:t xml:space="preserve">, judgement, which has had </w:t>
            </w:r>
            <w:proofErr w:type="gramStart"/>
            <w:r>
              <w:rPr>
                <w:color w:val="auto"/>
                <w:sz w:val="24"/>
                <w:szCs w:val="24"/>
              </w:rPr>
              <w:t>particular implications</w:t>
            </w:r>
            <w:proofErr w:type="gramEnd"/>
            <w:r>
              <w:rPr>
                <w:color w:val="auto"/>
                <w:sz w:val="24"/>
                <w:szCs w:val="24"/>
              </w:rPr>
              <w:t xml:space="preserve"> for a team working with adults with learning disabilities.  Sara has been proactive in accessing training to support her in navigating these changes and adjusting her work practice to account for them. </w:t>
            </w:r>
          </w:p>
          <w:p w14:paraId="47857EA3" w14:textId="77777777" w:rsidR="00D66551" w:rsidRPr="0058151C" w:rsidRDefault="00D66551" w:rsidP="00D66551">
            <w:pPr>
              <w:rPr>
                <w:b/>
                <w:bCs/>
              </w:rPr>
            </w:pPr>
          </w:p>
          <w:p w14:paraId="67581226" w14:textId="77777777" w:rsidR="00D66551" w:rsidRPr="0058151C" w:rsidRDefault="00D66551" w:rsidP="00D66551">
            <w:pPr>
              <w:pStyle w:val="ListParagraph"/>
              <w:numPr>
                <w:ilvl w:val="0"/>
                <w:numId w:val="54"/>
              </w:numPr>
              <w:rPr>
                <w:b/>
                <w:bCs/>
                <w:sz w:val="24"/>
                <w:szCs w:val="24"/>
              </w:rPr>
            </w:pPr>
            <w:r w:rsidRPr="0058151C">
              <w:rPr>
                <w:b/>
                <w:bCs/>
                <w:sz w:val="24"/>
                <w:szCs w:val="24"/>
              </w:rPr>
              <w:t>Applying analysis in assessment to inform interventions</w:t>
            </w:r>
          </w:p>
          <w:p w14:paraId="38BD266E" w14:textId="77777777" w:rsidR="00D66551" w:rsidRDefault="00D66551" w:rsidP="00D66551">
            <w:pPr>
              <w:pStyle w:val="ListParagraph"/>
            </w:pPr>
          </w:p>
          <w:p w14:paraId="4B780FA5" w14:textId="77777777" w:rsidR="00D66551" w:rsidRDefault="00D66551" w:rsidP="00D66551">
            <w:pPr>
              <w:pStyle w:val="ListParagraph"/>
              <w:rPr>
                <w:sz w:val="24"/>
                <w:szCs w:val="24"/>
              </w:rPr>
            </w:pPr>
            <w:r w:rsidRPr="002B5CA3">
              <w:rPr>
                <w:sz w:val="24"/>
                <w:szCs w:val="24"/>
              </w:rPr>
              <w:t xml:space="preserve">Sara’s written documentation </w:t>
            </w:r>
            <w:r>
              <w:rPr>
                <w:sz w:val="24"/>
                <w:szCs w:val="24"/>
              </w:rPr>
              <w:t>is</w:t>
            </w:r>
            <w:r w:rsidRPr="002B5CA3">
              <w:rPr>
                <w:sz w:val="24"/>
                <w:szCs w:val="24"/>
              </w:rPr>
              <w:t xml:space="preserve"> completed to a high standard</w:t>
            </w:r>
            <w:r>
              <w:rPr>
                <w:sz w:val="24"/>
                <w:szCs w:val="24"/>
              </w:rPr>
              <w:t xml:space="preserve">, with Assessments, Care Plans, Tenders, Capacity and Best Interest documentation being amongst the documentation she has completed. The latter evidencing that Sara has been working to develop her experience and confidence in a practice area she has identified as being a point of professional development (Task One).  </w:t>
            </w:r>
          </w:p>
          <w:p w14:paraId="57FD03EF" w14:textId="77777777" w:rsidR="00D66551" w:rsidRDefault="00D66551" w:rsidP="00D66551">
            <w:pPr>
              <w:pStyle w:val="ListParagraph"/>
              <w:rPr>
                <w:sz w:val="24"/>
                <w:szCs w:val="24"/>
              </w:rPr>
            </w:pPr>
          </w:p>
          <w:p w14:paraId="208CBD3F" w14:textId="77777777" w:rsidR="00D66551" w:rsidRDefault="00D66551" w:rsidP="00D66551">
            <w:pPr>
              <w:pStyle w:val="ListParagraph"/>
              <w:rPr>
                <w:sz w:val="24"/>
                <w:szCs w:val="24"/>
              </w:rPr>
            </w:pPr>
            <w:r>
              <w:rPr>
                <w:sz w:val="24"/>
                <w:szCs w:val="24"/>
              </w:rPr>
              <w:t xml:space="preserve">Sara’s work shows a regard for the views and wishes of the individual and evidences a focus on the needs and wishes of the individual, reflecting a </w:t>
            </w:r>
            <w:proofErr w:type="gramStart"/>
            <w:r>
              <w:rPr>
                <w:sz w:val="24"/>
                <w:szCs w:val="24"/>
              </w:rPr>
              <w:t>person centred</w:t>
            </w:r>
            <w:proofErr w:type="gramEnd"/>
            <w:r>
              <w:rPr>
                <w:sz w:val="24"/>
                <w:szCs w:val="24"/>
              </w:rPr>
              <w:t xml:space="preserve"> approach. A matter of importance she identifies in Task One by detailing the ‘What Matters Conversation’. </w:t>
            </w:r>
          </w:p>
          <w:p w14:paraId="5244D00F" w14:textId="77777777" w:rsidR="00D66551" w:rsidRDefault="00D66551" w:rsidP="00D66551">
            <w:pPr>
              <w:pStyle w:val="ListParagraph"/>
              <w:rPr>
                <w:sz w:val="24"/>
                <w:szCs w:val="24"/>
              </w:rPr>
            </w:pPr>
          </w:p>
          <w:p w14:paraId="34EEB5CD" w14:textId="77777777" w:rsidR="00D66551" w:rsidRDefault="00D66551" w:rsidP="00D66551">
            <w:pPr>
              <w:pStyle w:val="ListParagraph"/>
              <w:rPr>
                <w:sz w:val="24"/>
                <w:szCs w:val="24"/>
              </w:rPr>
            </w:pPr>
            <w:r>
              <w:rPr>
                <w:sz w:val="24"/>
                <w:szCs w:val="24"/>
              </w:rPr>
              <w:t xml:space="preserve">Sara’s portfolio evidences her knowledge and ability to use and apply social Work theory and the application of COPP (SCW 2026) and NOS (SCW 2026). </w:t>
            </w:r>
          </w:p>
          <w:p w14:paraId="44C157F5" w14:textId="77777777" w:rsidR="00D66551" w:rsidRDefault="00D66551" w:rsidP="00D66551">
            <w:pPr>
              <w:pStyle w:val="ListParagraph"/>
              <w:rPr>
                <w:sz w:val="24"/>
                <w:szCs w:val="24"/>
              </w:rPr>
            </w:pPr>
            <w:r>
              <w:rPr>
                <w:sz w:val="24"/>
                <w:szCs w:val="24"/>
              </w:rPr>
              <w:t xml:space="preserve">The observation detailed in Task 2 involved the completion of a capacity assessment, a practice area identified for professional development. During the observation completed Sara was able to demonstrate an ability to establish the salient information which needed to be explored during the Capacity Assessment and skills in developing a rapport with the service user.  Within the engagement with the service user Sara showed a regard for the use of her body language, choice of language and consideration for when and where the assessment should be completed. Providing the individual with the best opportunity to engage (MCA, 2005).  Through consideration of the gathered information Sara was able to identify that she needed to complete a further discussion with 1 prior to deciding upon the outcome.  This approach showed regard for principles with the MCA (2005) and the considerable implications of the assessment for the Service User. </w:t>
            </w:r>
          </w:p>
          <w:p w14:paraId="48582DB7" w14:textId="77777777" w:rsidR="00D66551" w:rsidRDefault="00D66551" w:rsidP="00D66551">
            <w:pPr>
              <w:pStyle w:val="ListParagraph"/>
              <w:rPr>
                <w:sz w:val="24"/>
                <w:szCs w:val="24"/>
              </w:rPr>
            </w:pPr>
          </w:p>
          <w:p w14:paraId="79DEABE7" w14:textId="77777777" w:rsidR="00D66551" w:rsidRDefault="00D66551" w:rsidP="00D66551">
            <w:pPr>
              <w:pStyle w:val="ListParagraph"/>
              <w:rPr>
                <w:sz w:val="24"/>
                <w:szCs w:val="24"/>
              </w:rPr>
            </w:pPr>
            <w:r>
              <w:rPr>
                <w:sz w:val="24"/>
                <w:szCs w:val="24"/>
              </w:rPr>
              <w:t xml:space="preserve">Whilst reflecting on the task of completing capacity assessments with the client group we work with Sara was able to identify the importance of adjusting her approach to acknowledge individual communication needs. In response to this Sara has integrated the use of an easy read communication application into her practice and is now seeking to arrange a training session for other team members. </w:t>
            </w:r>
          </w:p>
          <w:p w14:paraId="6E75C8BB" w14:textId="77777777" w:rsidR="00D66551" w:rsidRDefault="00D66551" w:rsidP="00D66551">
            <w:pPr>
              <w:pStyle w:val="ListParagraph"/>
              <w:rPr>
                <w:sz w:val="24"/>
                <w:szCs w:val="24"/>
              </w:rPr>
            </w:pPr>
          </w:p>
          <w:p w14:paraId="37A2AC0A" w14:textId="77777777" w:rsidR="00D66551" w:rsidRPr="002B5CA3" w:rsidRDefault="00D66551" w:rsidP="00D66551">
            <w:pPr>
              <w:rPr>
                <w:sz w:val="24"/>
                <w:szCs w:val="24"/>
              </w:rPr>
            </w:pPr>
          </w:p>
          <w:p w14:paraId="76AECA14" w14:textId="77777777" w:rsidR="00D66551" w:rsidRPr="00D34188" w:rsidRDefault="00D66551" w:rsidP="00D66551">
            <w:pPr>
              <w:pStyle w:val="ListParagraph"/>
              <w:numPr>
                <w:ilvl w:val="0"/>
                <w:numId w:val="54"/>
              </w:numPr>
              <w:rPr>
                <w:b/>
                <w:bCs/>
                <w:sz w:val="24"/>
                <w:szCs w:val="24"/>
              </w:rPr>
            </w:pPr>
            <w:r w:rsidRPr="00D34188">
              <w:rPr>
                <w:b/>
                <w:bCs/>
                <w:sz w:val="24"/>
                <w:szCs w:val="24"/>
              </w:rPr>
              <w:t xml:space="preserve">Working collaboratively with people in need of care and support, their </w:t>
            </w:r>
            <w:proofErr w:type="spellStart"/>
            <w:r w:rsidRPr="00D34188">
              <w:rPr>
                <w:b/>
                <w:bCs/>
                <w:sz w:val="24"/>
                <w:szCs w:val="24"/>
              </w:rPr>
              <w:t>carers</w:t>
            </w:r>
            <w:proofErr w:type="spellEnd"/>
            <w:r w:rsidRPr="00D34188">
              <w:rPr>
                <w:b/>
                <w:bCs/>
                <w:sz w:val="24"/>
                <w:szCs w:val="24"/>
              </w:rPr>
              <w:t xml:space="preserve"> and other professionals.</w:t>
            </w:r>
          </w:p>
          <w:p w14:paraId="2A8B684A" w14:textId="77777777" w:rsidR="00D66551" w:rsidRDefault="00D66551" w:rsidP="00D66551">
            <w:pPr>
              <w:pStyle w:val="ListParagraph"/>
              <w:rPr>
                <w:sz w:val="24"/>
                <w:szCs w:val="24"/>
              </w:rPr>
            </w:pPr>
          </w:p>
          <w:p w14:paraId="412C9EA6" w14:textId="77777777" w:rsidR="00D66551" w:rsidRDefault="00D66551" w:rsidP="00D66551">
            <w:pPr>
              <w:pStyle w:val="ListParagraph"/>
              <w:rPr>
                <w:sz w:val="24"/>
                <w:szCs w:val="24"/>
              </w:rPr>
            </w:pPr>
            <w:r>
              <w:rPr>
                <w:sz w:val="24"/>
                <w:szCs w:val="24"/>
              </w:rPr>
              <w:t xml:space="preserve">Within Task 4 Sara described a circumstance in which she had to work collaboratively with a Service User, their carer and a variety of professionals.  During discussions completed with Sara regarding this case she was able to reflect upon the benefits, </w:t>
            </w:r>
            <w:r>
              <w:rPr>
                <w:sz w:val="24"/>
                <w:szCs w:val="24"/>
              </w:rPr>
              <w:lastRenderedPageBreak/>
              <w:t xml:space="preserve">complexities and challenges of working collaboratively with others. Within this case this was particularly evident due to the range of individuals involved.  These considerations became increasingly complex at a later stage when further concerns developed for the service user.  During this time Sara showed an ability to advocate for the service user during discussions with health colleagues.  It is hoped that this will support the further development of Sara’s confidence in completing discussions with health professionals during CHC assessments, an area of practice she has identified for development. </w:t>
            </w:r>
          </w:p>
          <w:p w14:paraId="67CF0FE2" w14:textId="77777777" w:rsidR="00D66551" w:rsidRPr="00F25A14" w:rsidRDefault="00D66551" w:rsidP="00D66551">
            <w:pPr>
              <w:rPr>
                <w:sz w:val="24"/>
                <w:szCs w:val="24"/>
              </w:rPr>
            </w:pPr>
          </w:p>
          <w:p w14:paraId="0DA1392E" w14:textId="77777777" w:rsidR="00D66551" w:rsidRDefault="00D66551" w:rsidP="00D66551">
            <w:pPr>
              <w:pStyle w:val="ListParagraph"/>
              <w:numPr>
                <w:ilvl w:val="0"/>
                <w:numId w:val="54"/>
              </w:numPr>
              <w:rPr>
                <w:b/>
                <w:bCs/>
                <w:sz w:val="24"/>
                <w:szCs w:val="24"/>
              </w:rPr>
            </w:pPr>
            <w:r w:rsidRPr="002B5CA3">
              <w:rPr>
                <w:b/>
                <w:bCs/>
                <w:sz w:val="24"/>
                <w:szCs w:val="24"/>
              </w:rPr>
              <w:t xml:space="preserve"> Intervention and application of professional judgement in increasingly complex situations</w:t>
            </w:r>
          </w:p>
          <w:p w14:paraId="7D1B58A6" w14:textId="77777777" w:rsidR="00D66551" w:rsidRDefault="00D66551" w:rsidP="00D66551">
            <w:pPr>
              <w:rPr>
                <w:b/>
                <w:bCs/>
                <w:sz w:val="24"/>
                <w:szCs w:val="24"/>
              </w:rPr>
            </w:pPr>
          </w:p>
          <w:p w14:paraId="1D24C853" w14:textId="77777777" w:rsidR="00D66551" w:rsidRPr="004155EF" w:rsidRDefault="00D66551" w:rsidP="00D66551">
            <w:pPr>
              <w:rPr>
                <w:sz w:val="24"/>
                <w:szCs w:val="24"/>
              </w:rPr>
            </w:pPr>
            <w:proofErr w:type="gramStart"/>
            <w:r w:rsidRPr="004155EF">
              <w:rPr>
                <w:sz w:val="24"/>
                <w:szCs w:val="24"/>
              </w:rPr>
              <w:t xml:space="preserve">During the </w:t>
            </w:r>
            <w:r>
              <w:rPr>
                <w:sz w:val="24"/>
                <w:szCs w:val="24"/>
              </w:rPr>
              <w:t>course of</w:t>
            </w:r>
            <w:proofErr w:type="gramEnd"/>
            <w:r>
              <w:rPr>
                <w:sz w:val="24"/>
                <w:szCs w:val="24"/>
              </w:rPr>
              <w:t xml:space="preserve"> the last year Sara has shown an ability to apply her professional judgement in increasingly complex situations, as is demonstrated in the examples provided in her portfolio. In addition to this: </w:t>
            </w:r>
          </w:p>
          <w:p w14:paraId="2725E0E9" w14:textId="77777777" w:rsidR="00D66551" w:rsidRDefault="00D66551" w:rsidP="00D66551">
            <w:pPr>
              <w:rPr>
                <w:sz w:val="24"/>
                <w:szCs w:val="24"/>
              </w:rPr>
            </w:pPr>
          </w:p>
          <w:p w14:paraId="73320C6E" w14:textId="77777777" w:rsidR="00D66551" w:rsidRPr="00D404F3" w:rsidRDefault="00D66551" w:rsidP="00D66551">
            <w:pPr>
              <w:pStyle w:val="ListParagraph"/>
              <w:numPr>
                <w:ilvl w:val="0"/>
                <w:numId w:val="55"/>
              </w:numPr>
              <w:rPr>
                <w:sz w:val="24"/>
                <w:szCs w:val="24"/>
              </w:rPr>
            </w:pPr>
            <w:r>
              <w:rPr>
                <w:sz w:val="24"/>
                <w:szCs w:val="24"/>
              </w:rPr>
              <w:t>Sara has worked with a service user and placement which fell into provider concerns</w:t>
            </w:r>
            <w:r w:rsidRPr="00D404F3">
              <w:rPr>
                <w:sz w:val="24"/>
                <w:szCs w:val="24"/>
              </w:rPr>
              <w:t xml:space="preserve">. Sara was able to liaise with the Quality Assurance Team, the residential placement staff and the Service User to dynamically assess the risks and concerns. </w:t>
            </w:r>
            <w:r>
              <w:rPr>
                <w:sz w:val="24"/>
                <w:szCs w:val="24"/>
              </w:rPr>
              <w:t>During a visit completed jointly with Sara I was able to observe her completing</w:t>
            </w:r>
            <w:r w:rsidRPr="00D404F3">
              <w:rPr>
                <w:sz w:val="24"/>
                <w:szCs w:val="24"/>
              </w:rPr>
              <w:t xml:space="preserve"> discussions with the provider</w:t>
            </w:r>
            <w:r>
              <w:rPr>
                <w:sz w:val="24"/>
                <w:szCs w:val="24"/>
              </w:rPr>
              <w:t xml:space="preserve"> to</w:t>
            </w:r>
            <w:r w:rsidRPr="00D404F3">
              <w:rPr>
                <w:sz w:val="24"/>
                <w:szCs w:val="24"/>
              </w:rPr>
              <w:t xml:space="preserve"> seek</w:t>
            </w:r>
            <w:r>
              <w:rPr>
                <w:sz w:val="24"/>
                <w:szCs w:val="24"/>
              </w:rPr>
              <w:t xml:space="preserve"> </w:t>
            </w:r>
            <w:r w:rsidRPr="00D404F3">
              <w:rPr>
                <w:sz w:val="24"/>
                <w:szCs w:val="24"/>
              </w:rPr>
              <w:t xml:space="preserve">clarification on how they were addressing the identified concerns, reviewing care documentation and seeking service user feedback on their care arrangements.  </w:t>
            </w:r>
          </w:p>
          <w:p w14:paraId="6213C43B" w14:textId="77777777" w:rsidR="00D66551" w:rsidRPr="002B5CA3" w:rsidRDefault="00D66551" w:rsidP="00D66551">
            <w:pPr>
              <w:rPr>
                <w:sz w:val="24"/>
                <w:szCs w:val="24"/>
              </w:rPr>
            </w:pPr>
          </w:p>
          <w:p w14:paraId="2837C449" w14:textId="464AE5C9" w:rsidR="00FC0334" w:rsidRPr="00E33BC3" w:rsidRDefault="00D66551" w:rsidP="00E33BC3">
            <w:pPr>
              <w:pStyle w:val="ListParagraph"/>
              <w:numPr>
                <w:ilvl w:val="0"/>
                <w:numId w:val="55"/>
              </w:numPr>
              <w:rPr>
                <w:sz w:val="24"/>
                <w:szCs w:val="24"/>
              </w:rPr>
            </w:pPr>
            <w:r w:rsidRPr="00231AC9">
              <w:rPr>
                <w:sz w:val="24"/>
                <w:szCs w:val="24"/>
              </w:rPr>
              <w:t>Sara has</w:t>
            </w:r>
            <w:r>
              <w:rPr>
                <w:sz w:val="24"/>
                <w:szCs w:val="24"/>
              </w:rPr>
              <w:t xml:space="preserve"> been able to use her Welsh language skills and professional judgement in managing a situation where there were increasing concerns for carer’s cognition and the risk this present to the cared for. </w:t>
            </w:r>
            <w:r w:rsidRPr="00231AC9">
              <w:rPr>
                <w:sz w:val="24"/>
                <w:szCs w:val="24"/>
              </w:rPr>
              <w:t xml:space="preserve"> The family are first language Welsh speakers and Sara’s ability to communicate with them through their language of choice assisted in developing a rapport and in providing information in a more accessible manner (More Than Words, WG, 2022).  Within changing circumstances Sara has been able to respond to the concerns raised by involved professionals, considering the cultural context of the family who have lived in a rural, Welsh community throughout their lives. </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0BEDF6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47425">
        <w:rPr>
          <w:b/>
          <w:sz w:val="24"/>
          <w:szCs w:val="24"/>
        </w:rPr>
        <w:t>Sara Hatcher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002209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47425">
        <w:rPr>
          <w:b/>
          <w:sz w:val="24"/>
          <w:szCs w:val="24"/>
        </w:rPr>
        <w:t xml:space="preserve"> 2520472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FD0EA3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47425">
        <w:rPr>
          <w:b/>
          <w:sz w:val="24"/>
          <w:szCs w:val="24"/>
        </w:rPr>
        <w:t xml:space="preserve"> </w:t>
      </w:r>
      <w:proofErr w:type="spellStart"/>
      <w:r w:rsidR="00347425">
        <w:rPr>
          <w:b/>
          <w:sz w:val="24"/>
          <w:szCs w:val="24"/>
        </w:rPr>
        <w:t>Penllain</w:t>
      </w:r>
      <w:proofErr w:type="spellEnd"/>
      <w:r w:rsidR="00347425">
        <w:rPr>
          <w:b/>
          <w:sz w:val="24"/>
          <w:szCs w:val="24"/>
        </w:rPr>
        <w:t xml:space="preserve">, </w:t>
      </w:r>
      <w:proofErr w:type="spellStart"/>
      <w:r w:rsidR="00347425">
        <w:rPr>
          <w:b/>
          <w:sz w:val="24"/>
          <w:szCs w:val="24"/>
        </w:rPr>
        <w:t>Gorsgoch</w:t>
      </w:r>
      <w:proofErr w:type="spellEnd"/>
      <w:r w:rsidR="00347425">
        <w:rPr>
          <w:b/>
          <w:sz w:val="24"/>
          <w:szCs w:val="24"/>
        </w:rPr>
        <w:t xml:space="preserve">, </w:t>
      </w:r>
      <w:proofErr w:type="spellStart"/>
      <w:r w:rsidR="00347425">
        <w:rPr>
          <w:b/>
          <w:sz w:val="24"/>
          <w:szCs w:val="24"/>
        </w:rPr>
        <w:t>Llanybydder</w:t>
      </w:r>
      <w:proofErr w:type="spellEnd"/>
      <w:r w:rsidR="00347425">
        <w:rPr>
          <w:b/>
          <w:sz w:val="24"/>
          <w:szCs w:val="24"/>
        </w:rPr>
        <w:t>, Ceredigion, SA40 9TP</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5BD71A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47425">
        <w:rPr>
          <w:b/>
          <w:sz w:val="24"/>
          <w:szCs w:val="24"/>
        </w:rPr>
        <w:t xml:space="preserve"> 07773691211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B79BB7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47425">
        <w:rPr>
          <w:b/>
          <w:sz w:val="24"/>
          <w:szCs w:val="24"/>
        </w:rPr>
        <w:t xml:space="preserve"> Sara.hatcher2@hotmail.com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837A91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B25E3">
        <w:rPr>
          <w:b/>
          <w:sz w:val="24"/>
          <w:szCs w:val="24"/>
        </w:rPr>
        <w:t>31</w:t>
      </w:r>
      <w:r w:rsidR="00E53FDC">
        <w:rPr>
          <w:b/>
          <w:sz w:val="24"/>
          <w:szCs w:val="24"/>
        </w:rPr>
        <w:t>/10/202</w:t>
      </w:r>
      <w:r w:rsidR="002D4C96">
        <w:rPr>
          <w:b/>
          <w:sz w:val="24"/>
          <w:szCs w:val="24"/>
        </w:rPr>
        <w:t>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AC7AF0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B25E3">
        <w:rPr>
          <w:b/>
          <w:sz w:val="24"/>
          <w:szCs w:val="24"/>
        </w:rPr>
        <w:t xml:space="preserve"> </w:t>
      </w:r>
      <w:r w:rsidR="00BE3E7E">
        <w:rPr>
          <w:b/>
          <w:sz w:val="24"/>
          <w:szCs w:val="24"/>
        </w:rPr>
        <w:t>04/12/2024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227D9E7A"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6731FD">
        <w:rPr>
          <w:b/>
          <w:sz w:val="24"/>
          <w:szCs w:val="24"/>
        </w:rPr>
        <w:t>:  Disabilities Team</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75741B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E3E7E">
        <w:rPr>
          <w:b/>
          <w:sz w:val="24"/>
          <w:szCs w:val="24"/>
        </w:rPr>
        <w:t xml:space="preserve"> Ceredigion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17602C7" w14:textId="6C3AB69E" w:rsidR="00BE3E7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E3E7E">
        <w:rPr>
          <w:b/>
          <w:sz w:val="24"/>
          <w:szCs w:val="24"/>
        </w:rPr>
        <w:t xml:space="preserve"> Ceredigion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68F112C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F11EBC">
        <w:rPr>
          <w:b/>
          <w:sz w:val="24"/>
          <w:szCs w:val="24"/>
        </w:rPr>
        <w:t xml:space="preserve"> </w:t>
      </w:r>
      <w:r w:rsidR="00622141" w:rsidRPr="008A4881">
        <w:rPr>
          <w:b/>
          <w:sz w:val="24"/>
          <w:szCs w:val="24"/>
        </w:rPr>
        <w:t xml:space="preserve">Ceredigion County Council, </w:t>
      </w:r>
      <w:proofErr w:type="spellStart"/>
      <w:r w:rsidR="00622141" w:rsidRPr="008A4881">
        <w:rPr>
          <w:b/>
          <w:sz w:val="24"/>
          <w:szCs w:val="24"/>
        </w:rPr>
        <w:t>Canolfan</w:t>
      </w:r>
      <w:proofErr w:type="spellEnd"/>
      <w:r w:rsidR="00622141" w:rsidRPr="008A4881">
        <w:rPr>
          <w:b/>
          <w:sz w:val="24"/>
          <w:szCs w:val="24"/>
        </w:rPr>
        <w:t xml:space="preserve"> Rheidol, </w:t>
      </w:r>
      <w:proofErr w:type="spellStart"/>
      <w:r w:rsidR="00622141" w:rsidRPr="008A4881">
        <w:rPr>
          <w:b/>
          <w:sz w:val="24"/>
          <w:szCs w:val="24"/>
        </w:rPr>
        <w:t>Rhodfa</w:t>
      </w:r>
      <w:proofErr w:type="spellEnd"/>
      <w:r w:rsidR="00622141" w:rsidRPr="008A4881">
        <w:rPr>
          <w:b/>
          <w:sz w:val="24"/>
          <w:szCs w:val="24"/>
        </w:rPr>
        <w:t xml:space="preserve"> Padarn, </w:t>
      </w:r>
      <w:proofErr w:type="spellStart"/>
      <w:r w:rsidR="00622141" w:rsidRPr="008A4881">
        <w:rPr>
          <w:b/>
          <w:sz w:val="24"/>
          <w:szCs w:val="24"/>
        </w:rPr>
        <w:t>Llanbadran</w:t>
      </w:r>
      <w:proofErr w:type="spellEnd"/>
      <w:r w:rsidR="00622141" w:rsidRPr="008A4881">
        <w:rPr>
          <w:b/>
          <w:sz w:val="24"/>
          <w:szCs w:val="24"/>
        </w:rPr>
        <w:t xml:space="preserve"> </w:t>
      </w:r>
      <w:proofErr w:type="spellStart"/>
      <w:r w:rsidR="00622141" w:rsidRPr="008A4881">
        <w:rPr>
          <w:b/>
          <w:sz w:val="24"/>
          <w:szCs w:val="24"/>
        </w:rPr>
        <w:t>Fawr</w:t>
      </w:r>
      <w:proofErr w:type="spellEnd"/>
      <w:r w:rsidR="00622141" w:rsidRPr="008A4881">
        <w:rPr>
          <w:b/>
          <w:sz w:val="24"/>
          <w:szCs w:val="24"/>
        </w:rPr>
        <w:t>, Aberystwyth, SY23 3AU</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1E62F1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11EBC">
        <w:rPr>
          <w:b/>
          <w:sz w:val="24"/>
          <w:szCs w:val="24"/>
        </w:rPr>
        <w:t xml:space="preserve"> 01545 57</w:t>
      </w:r>
      <w:r w:rsidR="00622141">
        <w:rPr>
          <w:b/>
          <w:sz w:val="24"/>
          <w:szCs w:val="24"/>
        </w:rPr>
        <w:t>4 000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6B8008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D66551">
        <w:rPr>
          <w:b/>
          <w:sz w:val="24"/>
          <w:szCs w:val="24"/>
        </w:rPr>
        <w:t>Extended.support</w:t>
      </w:r>
      <w:r w:rsidR="00E004BE">
        <w:rPr>
          <w:b/>
          <w:sz w:val="24"/>
          <w:szCs w:val="24"/>
        </w:rPr>
        <w:t>@ceredigion.gov.uk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709B86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F11EBC">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FE76ED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11EBC">
        <w:rPr>
          <w:b/>
          <w:sz w:val="24"/>
          <w:szCs w:val="24"/>
        </w:rPr>
        <w:t xml:space="preserve">  Cara Evans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0777CDB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A4881" w:rsidRPr="008A4881">
        <w:t xml:space="preserve"> </w:t>
      </w:r>
      <w:r w:rsidR="008A4881" w:rsidRPr="008A4881">
        <w:rPr>
          <w:b/>
          <w:sz w:val="24"/>
          <w:szCs w:val="24"/>
        </w:rPr>
        <w:t xml:space="preserve">Ceredigion County Council, </w:t>
      </w:r>
      <w:proofErr w:type="spellStart"/>
      <w:r w:rsidR="008A4881" w:rsidRPr="008A4881">
        <w:rPr>
          <w:b/>
          <w:sz w:val="24"/>
          <w:szCs w:val="24"/>
        </w:rPr>
        <w:t>Canolfan</w:t>
      </w:r>
      <w:proofErr w:type="spellEnd"/>
      <w:r w:rsidR="008A4881" w:rsidRPr="008A4881">
        <w:rPr>
          <w:b/>
          <w:sz w:val="24"/>
          <w:szCs w:val="24"/>
        </w:rPr>
        <w:t xml:space="preserve"> Rheidol, </w:t>
      </w:r>
      <w:proofErr w:type="spellStart"/>
      <w:r w:rsidR="008A4881" w:rsidRPr="008A4881">
        <w:rPr>
          <w:b/>
          <w:sz w:val="24"/>
          <w:szCs w:val="24"/>
        </w:rPr>
        <w:t>Rhodfa</w:t>
      </w:r>
      <w:proofErr w:type="spellEnd"/>
      <w:r w:rsidR="008A4881" w:rsidRPr="008A4881">
        <w:rPr>
          <w:b/>
          <w:sz w:val="24"/>
          <w:szCs w:val="24"/>
        </w:rPr>
        <w:t xml:space="preserve"> Padarn, </w:t>
      </w:r>
      <w:proofErr w:type="spellStart"/>
      <w:r w:rsidR="008A4881" w:rsidRPr="008A4881">
        <w:rPr>
          <w:b/>
          <w:sz w:val="24"/>
          <w:szCs w:val="24"/>
        </w:rPr>
        <w:t>Llanbadran</w:t>
      </w:r>
      <w:proofErr w:type="spellEnd"/>
      <w:r w:rsidR="008A4881" w:rsidRPr="008A4881">
        <w:rPr>
          <w:b/>
          <w:sz w:val="24"/>
          <w:szCs w:val="24"/>
        </w:rPr>
        <w:t xml:space="preserve"> </w:t>
      </w:r>
      <w:proofErr w:type="spellStart"/>
      <w:r w:rsidR="008A4881" w:rsidRPr="008A4881">
        <w:rPr>
          <w:b/>
          <w:sz w:val="24"/>
          <w:szCs w:val="24"/>
        </w:rPr>
        <w:t>Fawr</w:t>
      </w:r>
      <w:proofErr w:type="spellEnd"/>
      <w:r w:rsidR="008A4881" w:rsidRPr="008A4881">
        <w:rPr>
          <w:b/>
          <w:sz w:val="24"/>
          <w:szCs w:val="24"/>
        </w:rPr>
        <w:t>, Aberystwyth, SY23 3AU</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4954F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A4881">
        <w:rPr>
          <w:b/>
          <w:sz w:val="24"/>
          <w:szCs w:val="24"/>
        </w:rPr>
        <w:t xml:space="preserve"> 01545 574000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AC6B43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A4881">
        <w:rPr>
          <w:b/>
          <w:sz w:val="24"/>
          <w:szCs w:val="24"/>
        </w:rPr>
        <w:t xml:space="preserve"> Cara.Evans2@ceredigion.gov.uk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C9BC76A" w:rsidR="004923DA" w:rsidRDefault="004923DA" w:rsidP="00FF7EBB">
            <w:pPr>
              <w:jc w:val="both"/>
              <w:rPr>
                <w:b/>
                <w:sz w:val="24"/>
                <w:szCs w:val="24"/>
              </w:rPr>
            </w:pPr>
            <w:r w:rsidRPr="008B28E7">
              <w:rPr>
                <w:b/>
                <w:sz w:val="24"/>
                <w:szCs w:val="24"/>
              </w:rPr>
              <w:t>Name:</w:t>
            </w:r>
            <w:r w:rsidR="00F11EBC">
              <w:rPr>
                <w:b/>
                <w:sz w:val="24"/>
                <w:szCs w:val="24"/>
              </w:rPr>
              <w:t xml:space="preserve"> Cara Evans</w:t>
            </w:r>
          </w:p>
          <w:p w14:paraId="4EF4A770" w14:textId="77777777" w:rsidR="004923DA" w:rsidRPr="008B28E7" w:rsidRDefault="004923DA" w:rsidP="00FF7EBB">
            <w:pPr>
              <w:jc w:val="both"/>
              <w:rPr>
                <w:b/>
                <w:sz w:val="24"/>
                <w:szCs w:val="24"/>
              </w:rPr>
            </w:pPr>
          </w:p>
          <w:p w14:paraId="0DC3E2EC" w14:textId="4C0202AF" w:rsidR="009D59C2" w:rsidRDefault="004923DA" w:rsidP="00FF7EBB">
            <w:pPr>
              <w:jc w:val="both"/>
              <w:rPr>
                <w:b/>
                <w:sz w:val="24"/>
                <w:szCs w:val="24"/>
              </w:rPr>
            </w:pPr>
            <w:r w:rsidRPr="008B28E7">
              <w:rPr>
                <w:b/>
                <w:sz w:val="24"/>
                <w:szCs w:val="24"/>
              </w:rPr>
              <w:t xml:space="preserve">Work Address: </w:t>
            </w:r>
            <w:r w:rsidR="008A4881" w:rsidRPr="008A4881">
              <w:rPr>
                <w:b/>
                <w:sz w:val="24"/>
                <w:szCs w:val="24"/>
              </w:rPr>
              <w:t xml:space="preserve">Ceredigion County Council, </w:t>
            </w:r>
            <w:proofErr w:type="spellStart"/>
            <w:r w:rsidR="008A4881" w:rsidRPr="008A4881">
              <w:rPr>
                <w:b/>
                <w:sz w:val="24"/>
                <w:szCs w:val="24"/>
              </w:rPr>
              <w:t>Canolfan</w:t>
            </w:r>
            <w:proofErr w:type="spellEnd"/>
            <w:r w:rsidR="008A4881" w:rsidRPr="008A4881">
              <w:rPr>
                <w:b/>
                <w:sz w:val="24"/>
                <w:szCs w:val="24"/>
              </w:rPr>
              <w:t xml:space="preserve"> Rheidol, </w:t>
            </w:r>
            <w:proofErr w:type="spellStart"/>
            <w:r w:rsidR="008A4881" w:rsidRPr="008A4881">
              <w:rPr>
                <w:b/>
                <w:sz w:val="24"/>
                <w:szCs w:val="24"/>
              </w:rPr>
              <w:t>Rhodfa</w:t>
            </w:r>
            <w:proofErr w:type="spellEnd"/>
            <w:r w:rsidR="008A4881" w:rsidRPr="008A4881">
              <w:rPr>
                <w:b/>
                <w:sz w:val="24"/>
                <w:szCs w:val="24"/>
              </w:rPr>
              <w:t xml:space="preserve"> Padarn, </w:t>
            </w:r>
            <w:proofErr w:type="spellStart"/>
            <w:r w:rsidR="008A4881" w:rsidRPr="008A4881">
              <w:rPr>
                <w:b/>
                <w:sz w:val="24"/>
                <w:szCs w:val="24"/>
              </w:rPr>
              <w:t>Llanbadran</w:t>
            </w:r>
            <w:proofErr w:type="spellEnd"/>
            <w:r w:rsidR="008A4881" w:rsidRPr="008A4881">
              <w:rPr>
                <w:b/>
                <w:sz w:val="24"/>
                <w:szCs w:val="24"/>
              </w:rPr>
              <w:t xml:space="preserve"> </w:t>
            </w:r>
            <w:proofErr w:type="spellStart"/>
            <w:r w:rsidR="008A4881" w:rsidRPr="008A4881">
              <w:rPr>
                <w:b/>
                <w:sz w:val="24"/>
                <w:szCs w:val="24"/>
              </w:rPr>
              <w:t>Fawr</w:t>
            </w:r>
            <w:proofErr w:type="spellEnd"/>
            <w:r w:rsidR="008A4881" w:rsidRPr="008A4881">
              <w:rPr>
                <w:b/>
                <w:sz w:val="24"/>
                <w:szCs w:val="24"/>
              </w:rPr>
              <w:t>, Aberystwyth, SY23 3AU</w:t>
            </w:r>
          </w:p>
          <w:p w14:paraId="12053DB3" w14:textId="77777777" w:rsidR="004923DA" w:rsidRPr="008B28E7" w:rsidRDefault="004923DA" w:rsidP="00FF7EBB">
            <w:pPr>
              <w:jc w:val="both"/>
              <w:rPr>
                <w:b/>
                <w:sz w:val="24"/>
                <w:szCs w:val="24"/>
              </w:rPr>
            </w:pPr>
          </w:p>
          <w:p w14:paraId="6E1CBC17" w14:textId="49FA7E33" w:rsidR="004923DA" w:rsidRPr="008B28E7" w:rsidRDefault="004923DA" w:rsidP="00FF7EBB">
            <w:pPr>
              <w:jc w:val="both"/>
              <w:rPr>
                <w:b/>
                <w:sz w:val="24"/>
                <w:szCs w:val="24"/>
              </w:rPr>
            </w:pPr>
            <w:r w:rsidRPr="008B28E7">
              <w:rPr>
                <w:b/>
                <w:sz w:val="24"/>
                <w:szCs w:val="24"/>
              </w:rPr>
              <w:t>Professional Qualification and date of qualification:</w:t>
            </w:r>
            <w:r w:rsidR="008A4881">
              <w:rPr>
                <w:b/>
                <w:sz w:val="24"/>
                <w:szCs w:val="24"/>
              </w:rPr>
              <w:t xml:space="preserve"> </w:t>
            </w:r>
            <w:r w:rsidR="00D84350">
              <w:rPr>
                <w:b/>
                <w:sz w:val="24"/>
                <w:szCs w:val="24"/>
              </w:rPr>
              <w:t>BA Hons Social Work 31.10.2019</w:t>
            </w:r>
          </w:p>
          <w:p w14:paraId="5F68A3CF" w14:textId="77777777" w:rsidR="004923DA" w:rsidRDefault="004923DA" w:rsidP="00FF7EBB">
            <w:pPr>
              <w:jc w:val="both"/>
              <w:rPr>
                <w:b/>
                <w:sz w:val="24"/>
                <w:szCs w:val="24"/>
              </w:rPr>
            </w:pPr>
          </w:p>
          <w:p w14:paraId="4C6113F1" w14:textId="48983258" w:rsidR="004923DA" w:rsidRDefault="009D59C2" w:rsidP="00FF7EBB">
            <w:pPr>
              <w:jc w:val="both"/>
              <w:rPr>
                <w:b/>
                <w:sz w:val="24"/>
                <w:szCs w:val="24"/>
              </w:rPr>
            </w:pPr>
            <w:r>
              <w:rPr>
                <w:b/>
                <w:sz w:val="24"/>
                <w:szCs w:val="24"/>
              </w:rPr>
              <w:t>T</w:t>
            </w:r>
            <w:r w:rsidR="004923DA" w:rsidRPr="008B28E7">
              <w:rPr>
                <w:b/>
                <w:sz w:val="24"/>
                <w:szCs w:val="24"/>
              </w:rPr>
              <w:t>elephone number:</w:t>
            </w:r>
            <w:r w:rsidR="00D84350">
              <w:rPr>
                <w:b/>
                <w:sz w:val="24"/>
                <w:szCs w:val="24"/>
              </w:rPr>
              <w:t xml:space="preserve"> 01545 574000</w:t>
            </w:r>
          </w:p>
          <w:p w14:paraId="0BB87919" w14:textId="548A11EF" w:rsidR="009D59C2" w:rsidRDefault="009D59C2" w:rsidP="00FF7EBB">
            <w:pPr>
              <w:jc w:val="both"/>
              <w:rPr>
                <w:b/>
                <w:sz w:val="24"/>
                <w:szCs w:val="24"/>
              </w:rPr>
            </w:pPr>
          </w:p>
          <w:p w14:paraId="4FDEE73F" w14:textId="3A43B97F" w:rsidR="009D59C2" w:rsidRPr="008B28E7" w:rsidRDefault="009D59C2" w:rsidP="00FF7EBB">
            <w:pPr>
              <w:jc w:val="both"/>
              <w:rPr>
                <w:b/>
                <w:sz w:val="24"/>
                <w:szCs w:val="24"/>
              </w:rPr>
            </w:pPr>
            <w:r>
              <w:rPr>
                <w:b/>
                <w:sz w:val="24"/>
                <w:szCs w:val="24"/>
              </w:rPr>
              <w:t>Email address:</w:t>
            </w:r>
            <w:r w:rsidR="00D84350">
              <w:rPr>
                <w:b/>
                <w:sz w:val="24"/>
                <w:szCs w:val="24"/>
              </w:rPr>
              <w:t xml:space="preserve"> Cara.evans2@ceredigion.gov.uk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4C7FF4B4"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21018DF" w14:textId="7F7FE39F" w:rsidR="00AE3EF7" w:rsidRDefault="00AE3EF7" w:rsidP="00053959">
      <w:pPr>
        <w:pStyle w:val="NormalWeb"/>
      </w:pPr>
    </w:p>
    <w:p w14:paraId="5B3FBACF" w14:textId="2E2FE11B" w:rsidR="00053959" w:rsidRDefault="00B577D3" w:rsidP="00053959">
      <w:pPr>
        <w:pStyle w:val="NormalWeb"/>
      </w:pPr>
      <w:r>
        <w:t xml:space="preserve"> </w:t>
      </w:r>
      <w:r w:rsidR="009D59C2">
        <w:t xml:space="preserve">  </w:t>
      </w:r>
    </w:p>
    <w:p w14:paraId="7A6B46C8" w14:textId="4B29A3B1" w:rsidR="00B577D3" w:rsidRDefault="00B577D3" w:rsidP="00AE3EF7">
      <w:pPr>
        <w:pBdr>
          <w:top w:val="single" w:sz="6" w:space="1" w:color="auto"/>
          <w:left w:val="single" w:sz="6" w:space="1" w:color="auto"/>
          <w:bottom w:val="single" w:sz="6" w:space="10" w:color="auto"/>
          <w:right w:val="single" w:sz="6" w:space="1" w:color="auto"/>
        </w:pBdr>
        <w:jc w:val="both"/>
        <w:rPr>
          <w:sz w:val="24"/>
          <w:szCs w:val="24"/>
        </w:rPr>
      </w:pPr>
      <w:r>
        <w:rPr>
          <w:sz w:val="24"/>
          <w:szCs w:val="24"/>
        </w:rPr>
        <w:t xml:space="preserve"> </w:t>
      </w:r>
      <w:r w:rsidR="009D59C2">
        <w:rPr>
          <w:sz w:val="24"/>
          <w:szCs w:val="24"/>
        </w:rPr>
        <w:t xml:space="preserve"> </w:t>
      </w:r>
    </w:p>
    <w:p w14:paraId="00876D75" w14:textId="04FECF17" w:rsidR="00B577D3" w:rsidRDefault="00615FA3" w:rsidP="00AE3EF7">
      <w:pPr>
        <w:pBdr>
          <w:top w:val="single" w:sz="6" w:space="1" w:color="auto"/>
          <w:left w:val="single" w:sz="6" w:space="1" w:color="auto"/>
          <w:bottom w:val="single" w:sz="6" w:space="10" w:color="auto"/>
          <w:right w:val="single" w:sz="6" w:space="1" w:color="auto"/>
        </w:pBdr>
        <w:jc w:val="both"/>
        <w:rPr>
          <w:sz w:val="24"/>
          <w:szCs w:val="24"/>
        </w:rPr>
      </w:pPr>
      <w:r>
        <w:rPr>
          <w:noProof/>
        </w:rPr>
        <w:drawing>
          <wp:anchor distT="0" distB="0" distL="114300" distR="114300" simplePos="0" relativeHeight="251658240" behindDoc="0" locked="0" layoutInCell="1" allowOverlap="1" wp14:anchorId="42432979" wp14:editId="51B8B18A">
            <wp:simplePos x="0" y="0"/>
            <wp:positionH relativeFrom="column">
              <wp:posOffset>679450</wp:posOffset>
            </wp:positionH>
            <wp:positionV relativeFrom="paragraph">
              <wp:posOffset>127635</wp:posOffset>
            </wp:positionV>
            <wp:extent cx="819843" cy="269128"/>
            <wp:effectExtent l="0" t="0" r="0" b="0"/>
            <wp:wrapSquare wrapText="bothSides"/>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819843" cy="269128"/>
                    </a:xfrm>
                    <a:prstGeom prst="rect">
                      <a:avLst/>
                    </a:prstGeom>
                    <a:noFill/>
                    <a:ln>
                      <a:noFill/>
                    </a:ln>
                  </pic:spPr>
                </pic:pic>
              </a:graphicData>
            </a:graphic>
          </wp:anchor>
        </w:drawing>
      </w:r>
    </w:p>
    <w:p w14:paraId="0800D2ED" w14:textId="7B248555" w:rsidR="00615FA3" w:rsidRDefault="00615FA3" w:rsidP="00AE3EF7">
      <w:pPr>
        <w:pBdr>
          <w:top w:val="single" w:sz="6" w:space="1" w:color="auto"/>
          <w:left w:val="single" w:sz="6" w:space="1" w:color="auto"/>
          <w:bottom w:val="single" w:sz="6" w:space="10" w:color="auto"/>
          <w:right w:val="single" w:sz="6" w:space="1" w:color="auto"/>
        </w:pBdr>
        <w:jc w:val="both"/>
        <w:rPr>
          <w:sz w:val="24"/>
          <w:szCs w:val="24"/>
        </w:rPr>
      </w:pPr>
      <w:r>
        <w:rPr>
          <w:sz w:val="24"/>
          <w:szCs w:val="24"/>
        </w:rPr>
        <w:t xml:space="preserve">Signed:                                                  </w:t>
      </w:r>
    </w:p>
    <w:p w14:paraId="3D698F57" w14:textId="26258AFC" w:rsidR="00615FA3" w:rsidRDefault="00615FA3" w:rsidP="00AE3EF7">
      <w:pPr>
        <w:pBdr>
          <w:top w:val="single" w:sz="6" w:space="1" w:color="auto"/>
          <w:left w:val="single" w:sz="6" w:space="1" w:color="auto"/>
          <w:bottom w:val="single" w:sz="6" w:space="10" w:color="auto"/>
          <w:right w:val="single" w:sz="6" w:space="1" w:color="auto"/>
        </w:pBdr>
        <w:jc w:val="both"/>
        <w:rPr>
          <w:sz w:val="24"/>
          <w:szCs w:val="24"/>
        </w:rPr>
      </w:pPr>
    </w:p>
    <w:p w14:paraId="667ECC49" w14:textId="73CDE8D1" w:rsidR="004923DA" w:rsidRPr="008B28E7" w:rsidRDefault="00B577D3" w:rsidP="00AE3EF7">
      <w:pPr>
        <w:pBdr>
          <w:top w:val="single" w:sz="6" w:space="1" w:color="auto"/>
          <w:left w:val="single" w:sz="6" w:space="1" w:color="auto"/>
          <w:bottom w:val="single" w:sz="6" w:space="10"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F11EBC">
        <w:rPr>
          <w:sz w:val="24"/>
          <w:szCs w:val="24"/>
        </w:rPr>
        <w:t>25/09/2026</w:t>
      </w:r>
      <w:r>
        <w:rPr>
          <w:sz w:val="24"/>
          <w:szCs w:val="24"/>
        </w:rPr>
        <w:t>_ _ _</w:t>
      </w:r>
    </w:p>
    <w:p w14:paraId="297001DC" w14:textId="77777777" w:rsidR="004923DA" w:rsidRPr="008B28E7" w:rsidRDefault="004923DA" w:rsidP="00AE3EF7">
      <w:pPr>
        <w:pBdr>
          <w:top w:val="single" w:sz="6" w:space="1" w:color="auto"/>
          <w:left w:val="single" w:sz="6" w:space="1" w:color="auto"/>
          <w:bottom w:val="single" w:sz="6" w:space="10"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16D08F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4E35CC">
        <w:rPr>
          <w:noProof/>
        </w:rPr>
        <w:drawing>
          <wp:inline distT="0" distB="0" distL="0" distR="0" wp14:anchorId="16DF0BEA" wp14:editId="05D8CCB4">
            <wp:extent cx="589273" cy="336550"/>
            <wp:effectExtent l="0" t="0" r="190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1325" cy="337722"/>
                    </a:xfrm>
                    <a:prstGeom prst="rect">
                      <a:avLst/>
                    </a:prstGeom>
                    <a:noFill/>
                    <a:ln>
                      <a:noFill/>
                    </a:ln>
                  </pic:spPr>
                </pic:pic>
              </a:graphicData>
            </a:graphic>
          </wp:inline>
        </w:drawing>
      </w:r>
      <w:r w:rsidR="00B577D3">
        <w:rPr>
          <w:sz w:val="24"/>
          <w:szCs w:val="24"/>
        </w:rPr>
        <w:t xml:space="preserve">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7A08BB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4E35CC">
        <w:rPr>
          <w:sz w:val="24"/>
          <w:szCs w:val="24"/>
        </w:rPr>
        <w:t>05.10.2026</w:t>
      </w:r>
      <w:r>
        <w:rPr>
          <w:sz w:val="24"/>
          <w:szCs w:val="24"/>
        </w:rPr>
        <w:t xml:space="preserve">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F2F7A7F" w:rsidR="00335C41" w:rsidRPr="00D3203C" w:rsidRDefault="00335C41" w:rsidP="00335C41">
            <w:pPr>
              <w:ind w:right="180"/>
              <w:jc w:val="both"/>
              <w:rPr>
                <w:sz w:val="24"/>
                <w:szCs w:val="24"/>
              </w:rPr>
            </w:pPr>
            <w:r w:rsidRPr="00D3203C">
              <w:rPr>
                <w:sz w:val="24"/>
                <w:szCs w:val="24"/>
              </w:rPr>
              <w:t>Signed</w:t>
            </w:r>
            <w:r w:rsidR="007C6E8E">
              <w:rPr>
                <w:sz w:val="24"/>
                <w:szCs w:val="24"/>
              </w:rPr>
              <w:t xml:space="preserve">  </w:t>
            </w:r>
            <w:r w:rsidR="007C6E8E">
              <w:rPr>
                <w:noProof/>
              </w:rPr>
              <w:drawing>
                <wp:inline distT="0" distB="0" distL="0" distR="0" wp14:anchorId="3B7B327A" wp14:editId="004C5215">
                  <wp:extent cx="589273" cy="336550"/>
                  <wp:effectExtent l="0" t="0" r="1905" b="6350"/>
                  <wp:docPr id="1816185963" name="Picture 1816185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1325" cy="337722"/>
                          </a:xfrm>
                          <a:prstGeom prst="rect">
                            <a:avLst/>
                          </a:prstGeom>
                          <a:noFill/>
                          <a:ln>
                            <a:noFill/>
                          </a:ln>
                        </pic:spPr>
                      </pic:pic>
                    </a:graphicData>
                  </a:graphic>
                </wp:inline>
              </w:drawing>
            </w:r>
            <w:r w:rsidRPr="00D3203C">
              <w:rPr>
                <w:sz w:val="24"/>
                <w:szCs w:val="24"/>
              </w:rPr>
              <w:t>__ (Mentor)</w:t>
            </w:r>
          </w:p>
          <w:p w14:paraId="5D3F0767" w14:textId="77777777" w:rsidR="00335C41" w:rsidRPr="00D3203C" w:rsidRDefault="00335C41" w:rsidP="00335C41">
            <w:pPr>
              <w:ind w:right="180"/>
              <w:jc w:val="both"/>
              <w:rPr>
                <w:sz w:val="24"/>
                <w:szCs w:val="24"/>
              </w:rPr>
            </w:pPr>
          </w:p>
          <w:p w14:paraId="24E1B8A5" w14:textId="2DDD902C" w:rsidR="00335C41" w:rsidRPr="00D3203C" w:rsidRDefault="00335C41" w:rsidP="00335C41">
            <w:pPr>
              <w:ind w:right="180"/>
              <w:jc w:val="both"/>
              <w:rPr>
                <w:sz w:val="24"/>
                <w:szCs w:val="24"/>
              </w:rPr>
            </w:pPr>
            <w:proofErr w:type="gramStart"/>
            <w:r w:rsidRPr="00D3203C">
              <w:rPr>
                <w:sz w:val="24"/>
                <w:szCs w:val="24"/>
              </w:rPr>
              <w:t>Date</w:t>
            </w:r>
            <w:r w:rsidR="007C6E8E">
              <w:rPr>
                <w:sz w:val="24"/>
                <w:szCs w:val="24"/>
              </w:rPr>
              <w:t xml:space="preserve">  05.10.2026</w:t>
            </w:r>
            <w:proofErr w:type="gramEnd"/>
            <w:r w:rsidRPr="00D3203C">
              <w:rPr>
                <w:sz w:val="24"/>
                <w:szCs w:val="24"/>
              </w:rPr>
              <w:t>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35CDBECB" w14:textId="77777777" w:rsidR="00EC25B8" w:rsidRDefault="00EC25B8" w:rsidP="00FF7EBB">
      <w:pPr>
        <w:overflowPunct/>
        <w:autoSpaceDE/>
        <w:autoSpaceDN/>
        <w:adjustRightInd/>
        <w:jc w:val="both"/>
        <w:textAlignment w:val="auto"/>
        <w:rPr>
          <w:color w:val="auto"/>
          <w:sz w:val="24"/>
          <w:szCs w:val="24"/>
        </w:rPr>
      </w:pPr>
    </w:p>
    <w:p w14:paraId="4B5411E3" w14:textId="77777777" w:rsidR="00EC25B8" w:rsidRDefault="00EC25B8" w:rsidP="00FF7EBB">
      <w:pPr>
        <w:overflowPunct/>
        <w:autoSpaceDE/>
        <w:autoSpaceDN/>
        <w:adjustRightInd/>
        <w:jc w:val="both"/>
        <w:textAlignment w:val="auto"/>
        <w:rPr>
          <w:color w:val="auto"/>
          <w:sz w:val="24"/>
          <w:szCs w:val="24"/>
        </w:rPr>
      </w:pPr>
    </w:p>
    <w:p w14:paraId="57EE9AFC" w14:textId="77777777" w:rsidR="00EC25B8" w:rsidRDefault="00EC25B8" w:rsidP="00FF7EBB">
      <w:pPr>
        <w:overflowPunct/>
        <w:autoSpaceDE/>
        <w:autoSpaceDN/>
        <w:adjustRightInd/>
        <w:jc w:val="both"/>
        <w:textAlignment w:val="auto"/>
        <w:rPr>
          <w:color w:val="auto"/>
          <w:sz w:val="24"/>
          <w:szCs w:val="24"/>
        </w:rPr>
      </w:pPr>
    </w:p>
    <w:p w14:paraId="1A2B7FBD" w14:textId="77777777" w:rsidR="00EC25B8" w:rsidRDefault="00EC25B8" w:rsidP="00FF7EBB">
      <w:pPr>
        <w:overflowPunct/>
        <w:autoSpaceDE/>
        <w:autoSpaceDN/>
        <w:adjustRightInd/>
        <w:jc w:val="both"/>
        <w:textAlignment w:val="auto"/>
        <w:rPr>
          <w:color w:val="auto"/>
          <w:sz w:val="24"/>
          <w:szCs w:val="24"/>
        </w:rPr>
      </w:pPr>
    </w:p>
    <w:p w14:paraId="7D814A72" w14:textId="77777777" w:rsidR="00EC25B8" w:rsidRDefault="00EC25B8" w:rsidP="00FF7EBB">
      <w:pPr>
        <w:overflowPunct/>
        <w:autoSpaceDE/>
        <w:autoSpaceDN/>
        <w:adjustRightInd/>
        <w:jc w:val="both"/>
        <w:textAlignment w:val="auto"/>
        <w:rPr>
          <w:color w:val="auto"/>
          <w:sz w:val="24"/>
          <w:szCs w:val="24"/>
        </w:rPr>
      </w:pPr>
    </w:p>
    <w:p w14:paraId="223264AE" w14:textId="77777777" w:rsidR="00EC25B8" w:rsidRDefault="00EC25B8" w:rsidP="00FF7EBB">
      <w:pPr>
        <w:overflowPunct/>
        <w:autoSpaceDE/>
        <w:autoSpaceDN/>
        <w:adjustRightInd/>
        <w:jc w:val="both"/>
        <w:textAlignment w:val="auto"/>
        <w:rPr>
          <w:color w:val="auto"/>
          <w:sz w:val="24"/>
          <w:szCs w:val="24"/>
        </w:rPr>
      </w:pPr>
    </w:p>
    <w:p w14:paraId="64F6ED3C" w14:textId="77777777" w:rsidR="00EC25B8" w:rsidRDefault="00EC25B8" w:rsidP="00FF7EBB">
      <w:pPr>
        <w:overflowPunct/>
        <w:autoSpaceDE/>
        <w:autoSpaceDN/>
        <w:adjustRightInd/>
        <w:jc w:val="both"/>
        <w:textAlignment w:val="auto"/>
        <w:rPr>
          <w:color w:val="auto"/>
          <w:sz w:val="24"/>
          <w:szCs w:val="24"/>
        </w:rPr>
      </w:pPr>
    </w:p>
    <w:p w14:paraId="182A8B1F" w14:textId="77777777" w:rsidR="00EC25B8" w:rsidRDefault="00EC25B8" w:rsidP="00FF7EBB">
      <w:pPr>
        <w:overflowPunct/>
        <w:autoSpaceDE/>
        <w:autoSpaceDN/>
        <w:adjustRightInd/>
        <w:jc w:val="both"/>
        <w:textAlignment w:val="auto"/>
        <w:rPr>
          <w:color w:val="auto"/>
          <w:sz w:val="24"/>
          <w:szCs w:val="24"/>
        </w:rPr>
      </w:pPr>
    </w:p>
    <w:p w14:paraId="7074C08A" w14:textId="6FF80025"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6753BA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8977A5">
        <w:rPr>
          <w:caps/>
          <w:sz w:val="24"/>
          <w:szCs w:val="24"/>
        </w:rPr>
        <w:t>LISA HEWSON</w:t>
      </w:r>
      <w:r w:rsidR="00B577D3">
        <w:rPr>
          <w:caps/>
          <w:sz w:val="24"/>
          <w:szCs w:val="24"/>
        </w:rPr>
        <w:t>_ _ _ _ _ _ _ _ _ _ _ _ _ _ _ _</w:t>
      </w:r>
    </w:p>
    <w:p w14:paraId="7C11F360" w14:textId="6C91219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w:t>
      </w:r>
      <w:r w:rsidR="002955BA" w:rsidRPr="002955BA">
        <w:rPr>
          <w:sz w:val="27"/>
          <w:szCs w:val="27"/>
        </w:rPr>
        <w:t xml:space="preserve"> </w:t>
      </w:r>
      <w:r w:rsidR="008977A5">
        <w:rPr>
          <w:noProof/>
        </w:rPr>
        <w:drawing>
          <wp:inline distT="0" distB="0" distL="0" distR="0" wp14:anchorId="16C361EC" wp14:editId="60906523">
            <wp:extent cx="891540" cy="228600"/>
            <wp:effectExtent l="0" t="0" r="3810" b="0"/>
            <wp:docPr id="5767855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891540" cy="228600"/>
                    </a:xfrm>
                    <a:prstGeom prst="rect">
                      <a:avLst/>
                    </a:prstGeom>
                    <a:noFill/>
                    <a:ln>
                      <a:noFill/>
                    </a:ln>
                  </pic:spPr>
                </pic:pic>
              </a:graphicData>
            </a:graphic>
          </wp:inline>
        </w:drawing>
      </w:r>
      <w:r w:rsidR="00B577D3" w:rsidRPr="00B577D3">
        <w:rPr>
          <w:sz w:val="24"/>
          <w:szCs w:val="24"/>
        </w:rPr>
        <w:t xml:space="preserve">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01B540B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622141">
        <w:rPr>
          <w:sz w:val="24"/>
          <w:szCs w:val="24"/>
        </w:rPr>
        <w:t>05.10.2026</w:t>
      </w:r>
      <w:r w:rsidR="00B577D3" w:rsidRPr="00B577D3">
        <w:rPr>
          <w:sz w:val="24"/>
          <w:szCs w:val="24"/>
        </w:rPr>
        <w:t>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9D5039D" w:rsidR="00D05A5D" w:rsidRPr="00DA5682" w:rsidRDefault="005E5653" w:rsidP="00CC14B6">
            <w:pPr>
              <w:rPr>
                <w:sz w:val="24"/>
                <w:szCs w:val="24"/>
              </w:rPr>
            </w:pPr>
            <w:r>
              <w:rPr>
                <w:sz w:val="24"/>
                <w:szCs w:val="24"/>
              </w:rPr>
              <w:t>Sara Hatcher</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0380DF2F" w:rsidR="00D05A5D" w:rsidRPr="00DA5682" w:rsidRDefault="00D50367" w:rsidP="00CC14B6">
            <w:pPr>
              <w:rPr>
                <w:sz w:val="24"/>
                <w:szCs w:val="24"/>
              </w:rPr>
            </w:pPr>
            <w:r>
              <w:rPr>
                <w:sz w:val="24"/>
                <w:szCs w:val="24"/>
              </w:rPr>
              <w:t>Disabilities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B5CC14F" w:rsidR="00D05A5D" w:rsidRPr="00DA5682" w:rsidRDefault="00D50367" w:rsidP="00CC14B6">
            <w:pPr>
              <w:rPr>
                <w:sz w:val="24"/>
                <w:szCs w:val="24"/>
              </w:rPr>
            </w:pPr>
            <w:r>
              <w:rPr>
                <w:sz w:val="24"/>
                <w:szCs w:val="24"/>
              </w:rPr>
              <w:t>Cara Evans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901D237" w:rsidR="00D05A5D" w:rsidRPr="00DA5682" w:rsidRDefault="008977A5" w:rsidP="00CC14B6">
            <w:pPr>
              <w:rPr>
                <w:sz w:val="24"/>
                <w:szCs w:val="24"/>
              </w:rPr>
            </w:pPr>
            <w:r>
              <w:rPr>
                <w:sz w:val="24"/>
                <w:szCs w:val="24"/>
              </w:rPr>
              <w:t>Lisa Hewson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3E993FE" w:rsidR="00D05A5D" w:rsidRPr="00DA5682" w:rsidRDefault="00D05A5D" w:rsidP="00D05A5D">
      <w:pPr>
        <w:rPr>
          <w:sz w:val="24"/>
          <w:szCs w:val="24"/>
        </w:rPr>
      </w:pPr>
      <w:r w:rsidRPr="00DA5682">
        <w:rPr>
          <w:sz w:val="24"/>
          <w:szCs w:val="24"/>
        </w:rPr>
        <w:t>Signed:</w:t>
      </w:r>
      <w:r w:rsidR="005C7643">
        <w:rPr>
          <w:sz w:val="24"/>
          <w:szCs w:val="24"/>
        </w:rPr>
        <w:t xml:space="preserve"> </w:t>
      </w:r>
      <w:r w:rsidR="005C7643">
        <w:rPr>
          <w:noProof/>
          <w:sz w:val="24"/>
          <w:szCs w:val="24"/>
        </w:rPr>
        <w:drawing>
          <wp:inline distT="0" distB="0" distL="0" distR="0" wp14:anchorId="1A461142" wp14:editId="1F3C42E0">
            <wp:extent cx="817245" cy="267970"/>
            <wp:effectExtent l="0" t="0" r="1905" b="0"/>
            <wp:docPr id="560482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817245" cy="267970"/>
                    </a:xfrm>
                    <a:prstGeom prst="rect">
                      <a:avLst/>
                    </a:prstGeom>
                    <a:noFill/>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Name:</w:t>
      </w:r>
      <w:r w:rsidR="005C7643">
        <w:rPr>
          <w:sz w:val="24"/>
          <w:szCs w:val="24"/>
        </w:rPr>
        <w:t xml:space="preserve"> S</w:t>
      </w:r>
      <w:r w:rsidR="00EE7C0F">
        <w:rPr>
          <w:sz w:val="24"/>
          <w:szCs w:val="24"/>
        </w:rPr>
        <w:t>ARA HATCHER</w:t>
      </w:r>
      <w:r w:rsidRPr="00DA5682">
        <w:rPr>
          <w:sz w:val="24"/>
          <w:szCs w:val="24"/>
        </w:rPr>
        <w:t>…… Date:</w:t>
      </w:r>
      <w:r w:rsidR="00F104F3">
        <w:rPr>
          <w:sz w:val="24"/>
          <w:szCs w:val="24"/>
        </w:rPr>
        <w:t xml:space="preserve"> </w:t>
      </w:r>
      <w:r w:rsidR="009769B8">
        <w:rPr>
          <w:sz w:val="24"/>
          <w:szCs w:val="24"/>
        </w:rPr>
        <w:t>23</w:t>
      </w:r>
      <w:r w:rsidR="00F104F3">
        <w:rPr>
          <w:sz w:val="24"/>
          <w:szCs w:val="24"/>
        </w:rPr>
        <w:t>/</w:t>
      </w:r>
      <w:r w:rsidR="00EE7C0F">
        <w:rPr>
          <w:sz w:val="24"/>
          <w:szCs w:val="24"/>
        </w:rPr>
        <w:t>10</w:t>
      </w:r>
      <w:r w:rsidR="00F104F3">
        <w:rPr>
          <w:sz w:val="24"/>
          <w:szCs w:val="24"/>
        </w:rPr>
        <w:t>/202</w:t>
      </w:r>
      <w:r w:rsidR="009769B8">
        <w:rPr>
          <w:sz w:val="24"/>
          <w:szCs w:val="24"/>
        </w:rPr>
        <w:t>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4455F7D2" w:rsidR="00D05A5D" w:rsidRPr="00DA5682" w:rsidRDefault="00D05A5D" w:rsidP="00D05A5D">
      <w:pPr>
        <w:rPr>
          <w:sz w:val="24"/>
          <w:szCs w:val="24"/>
        </w:rPr>
      </w:pPr>
      <w:r w:rsidRPr="00DA5682">
        <w:rPr>
          <w:sz w:val="24"/>
          <w:szCs w:val="24"/>
        </w:rPr>
        <w:t>Signed:</w:t>
      </w:r>
      <w:r w:rsidR="005D0596">
        <w:rPr>
          <w:sz w:val="24"/>
          <w:szCs w:val="24"/>
        </w:rPr>
        <w:t xml:space="preserve"> </w:t>
      </w:r>
      <w:r w:rsidR="00B46478">
        <w:rPr>
          <w:noProof/>
        </w:rPr>
        <w:drawing>
          <wp:inline distT="0" distB="0" distL="0" distR="0" wp14:anchorId="7224A8A3" wp14:editId="0366738C">
            <wp:extent cx="891540" cy="228600"/>
            <wp:effectExtent l="0" t="0" r="3810" b="0"/>
            <wp:docPr id="2064197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891540" cy="228600"/>
                    </a:xfrm>
                    <a:prstGeom prst="rect">
                      <a:avLst/>
                    </a:prstGeom>
                    <a:noFill/>
                    <a:ln>
                      <a:noFill/>
                    </a:ln>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Name:</w:t>
      </w:r>
      <w:r w:rsidR="00E85C57">
        <w:rPr>
          <w:sz w:val="24"/>
          <w:szCs w:val="24"/>
        </w:rPr>
        <w:t xml:space="preserve"> </w:t>
      </w:r>
      <w:r w:rsidR="00B46478">
        <w:rPr>
          <w:sz w:val="24"/>
          <w:szCs w:val="24"/>
        </w:rPr>
        <w:t>LISA HEWSON</w:t>
      </w:r>
      <w:r w:rsidRPr="00DA5682">
        <w:rPr>
          <w:sz w:val="24"/>
          <w:szCs w:val="24"/>
        </w:rPr>
        <w:t>…</w:t>
      </w:r>
      <w:proofErr w:type="gramStart"/>
      <w:r w:rsidRPr="00DA5682">
        <w:rPr>
          <w:sz w:val="24"/>
          <w:szCs w:val="24"/>
        </w:rPr>
        <w:t>….Date</w:t>
      </w:r>
      <w:proofErr w:type="gramEnd"/>
      <w:r w:rsidRPr="00DA5682">
        <w:rPr>
          <w:sz w:val="24"/>
          <w:szCs w:val="24"/>
        </w:rPr>
        <w:t>:</w:t>
      </w:r>
      <w:r w:rsidR="00E85C57">
        <w:rPr>
          <w:sz w:val="24"/>
          <w:szCs w:val="24"/>
        </w:rPr>
        <w:t xml:space="preserve"> </w:t>
      </w:r>
      <w:r w:rsidR="008977A5">
        <w:rPr>
          <w:sz w:val="24"/>
          <w:szCs w:val="24"/>
        </w:rPr>
        <w:t>06</w:t>
      </w:r>
      <w:r w:rsidR="00E85C57">
        <w:rPr>
          <w:sz w:val="24"/>
          <w:szCs w:val="24"/>
        </w:rPr>
        <w:t>/1</w:t>
      </w:r>
      <w:r w:rsidR="000E4327">
        <w:rPr>
          <w:sz w:val="24"/>
          <w:szCs w:val="24"/>
        </w:rPr>
        <w:t>1</w:t>
      </w:r>
      <w:r w:rsidR="00E85C57">
        <w:rPr>
          <w:sz w:val="24"/>
          <w:szCs w:val="24"/>
        </w:rPr>
        <w:t>/2025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3948117" w:rsidR="00D05A5D" w:rsidRPr="00DA5682" w:rsidRDefault="00D05A5D" w:rsidP="00D05A5D">
      <w:pPr>
        <w:rPr>
          <w:sz w:val="24"/>
          <w:szCs w:val="24"/>
        </w:rPr>
      </w:pPr>
      <w:r w:rsidRPr="00DA5682">
        <w:rPr>
          <w:sz w:val="24"/>
          <w:szCs w:val="24"/>
        </w:rPr>
        <w:t>Signed:</w:t>
      </w:r>
      <w:r w:rsidR="00EE7C0F">
        <w:rPr>
          <w:sz w:val="24"/>
          <w:szCs w:val="24"/>
        </w:rPr>
        <w:t xml:space="preserve"> </w:t>
      </w:r>
      <w:r w:rsidR="00EE7C0F">
        <w:rPr>
          <w:noProof/>
        </w:rPr>
        <w:drawing>
          <wp:inline distT="0" distB="0" distL="0" distR="0" wp14:anchorId="1ED130E0" wp14:editId="5A4CD585">
            <wp:extent cx="589273" cy="336550"/>
            <wp:effectExtent l="0" t="0" r="1905" b="6350"/>
            <wp:docPr id="1648881361" name="Picture 1648881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1325" cy="337722"/>
                    </a:xfrm>
                    <a:prstGeom prst="rect">
                      <a:avLst/>
                    </a:prstGeom>
                    <a:noFill/>
                    <a:ln>
                      <a:noFill/>
                    </a:ln>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Name:</w:t>
      </w:r>
      <w:r w:rsidR="00EE7C0F">
        <w:rPr>
          <w:sz w:val="24"/>
          <w:szCs w:val="24"/>
        </w:rPr>
        <w:t xml:space="preserve"> CARA EVANS</w:t>
      </w:r>
      <w:r w:rsidRPr="00DA5682">
        <w:rPr>
          <w:sz w:val="24"/>
          <w:szCs w:val="24"/>
        </w:rPr>
        <w:t>………</w:t>
      </w:r>
      <w:proofErr w:type="gramStart"/>
      <w:r w:rsidRPr="00DA5682">
        <w:rPr>
          <w:sz w:val="24"/>
          <w:szCs w:val="24"/>
        </w:rPr>
        <w:t>….Date</w:t>
      </w:r>
      <w:proofErr w:type="gramEnd"/>
      <w:r w:rsidRPr="00DA5682">
        <w:rPr>
          <w:sz w:val="24"/>
          <w:szCs w:val="24"/>
        </w:rPr>
        <w:t>:</w:t>
      </w:r>
      <w:r w:rsidR="00EE7C0F">
        <w:rPr>
          <w:sz w:val="24"/>
          <w:szCs w:val="24"/>
        </w:rPr>
        <w:t xml:space="preserve"> </w:t>
      </w:r>
      <w:r w:rsidR="002955BA">
        <w:rPr>
          <w:sz w:val="24"/>
          <w:szCs w:val="24"/>
        </w:rPr>
        <w:t>06</w:t>
      </w:r>
      <w:r w:rsidR="00EE7C0F">
        <w:rPr>
          <w:sz w:val="24"/>
          <w:szCs w:val="24"/>
        </w:rPr>
        <w:t>.1</w:t>
      </w:r>
      <w:r w:rsidR="002955BA">
        <w:rPr>
          <w:sz w:val="24"/>
          <w:szCs w:val="24"/>
        </w:rPr>
        <w:t>1</w:t>
      </w:r>
      <w:r w:rsidR="00EE7C0F">
        <w:rPr>
          <w:sz w:val="24"/>
          <w:szCs w:val="24"/>
        </w:rPr>
        <w:t>.202</w:t>
      </w:r>
      <w:r w:rsidR="009769B8">
        <w:rPr>
          <w:sz w:val="24"/>
          <w:szCs w:val="24"/>
        </w:rPr>
        <w:t>5</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3"/>
      <w:footerReference w:type="default" r:id="rId6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3A7F9" w14:textId="77777777" w:rsidR="001165EF" w:rsidRDefault="001165EF">
      <w:r>
        <w:separator/>
      </w:r>
    </w:p>
  </w:endnote>
  <w:endnote w:type="continuationSeparator" w:id="0">
    <w:p w14:paraId="0A284BBD" w14:textId="77777777" w:rsidR="001165EF" w:rsidRDefault="001165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590E8" w14:textId="77777777" w:rsidR="001165EF" w:rsidRDefault="001165EF">
      <w:r>
        <w:separator/>
      </w:r>
    </w:p>
  </w:footnote>
  <w:footnote w:type="continuationSeparator" w:id="0">
    <w:p w14:paraId="06C04E5C" w14:textId="77777777" w:rsidR="001165EF" w:rsidRDefault="001165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C137B3"/>
    <w:multiLevelType w:val="hybridMultilevel"/>
    <w:tmpl w:val="123C07EC"/>
    <w:lvl w:ilvl="0" w:tplc="7FD0B7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7682451"/>
    <w:multiLevelType w:val="hybridMultilevel"/>
    <w:tmpl w:val="0AF6C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1"/>
  </w:num>
  <w:num w:numId="10" w16cid:durableId="693307142">
    <w:abstractNumId w:val="35"/>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3"/>
  </w:num>
  <w:num w:numId="26" w16cid:durableId="1104690971">
    <w:abstractNumId w:val="37"/>
  </w:num>
  <w:num w:numId="27" w16cid:durableId="1201670287">
    <w:abstractNumId w:val="42"/>
  </w:num>
  <w:num w:numId="28" w16cid:durableId="598562144">
    <w:abstractNumId w:val="21"/>
  </w:num>
  <w:num w:numId="29" w16cid:durableId="871068292">
    <w:abstractNumId w:val="45"/>
  </w:num>
  <w:num w:numId="30" w16cid:durableId="482159744">
    <w:abstractNumId w:val="33"/>
  </w:num>
  <w:num w:numId="31" w16cid:durableId="1565527110">
    <w:abstractNumId w:val="13"/>
  </w:num>
  <w:num w:numId="32" w16cid:durableId="1175995731">
    <w:abstractNumId w:val="46"/>
  </w:num>
  <w:num w:numId="33" w16cid:durableId="694232600">
    <w:abstractNumId w:val="41"/>
  </w:num>
  <w:num w:numId="34" w16cid:durableId="1062095063">
    <w:abstractNumId w:val="6"/>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826585768">
    <w:abstractNumId w:val="30"/>
  </w:num>
  <w:num w:numId="55" w16cid:durableId="124934491">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9C2"/>
    <w:rsid w:val="000045B8"/>
    <w:rsid w:val="00011F6E"/>
    <w:rsid w:val="00012B16"/>
    <w:rsid w:val="00020EEC"/>
    <w:rsid w:val="0002440E"/>
    <w:rsid w:val="0002759A"/>
    <w:rsid w:val="00027B1F"/>
    <w:rsid w:val="0003088B"/>
    <w:rsid w:val="000325D9"/>
    <w:rsid w:val="000372B2"/>
    <w:rsid w:val="0004079F"/>
    <w:rsid w:val="000434B4"/>
    <w:rsid w:val="00043543"/>
    <w:rsid w:val="00045B87"/>
    <w:rsid w:val="00045C07"/>
    <w:rsid w:val="00045C40"/>
    <w:rsid w:val="00046861"/>
    <w:rsid w:val="00053959"/>
    <w:rsid w:val="00054A07"/>
    <w:rsid w:val="0005504D"/>
    <w:rsid w:val="00055D43"/>
    <w:rsid w:val="00056FAC"/>
    <w:rsid w:val="00057751"/>
    <w:rsid w:val="00062E39"/>
    <w:rsid w:val="00062FB3"/>
    <w:rsid w:val="00064063"/>
    <w:rsid w:val="0006581A"/>
    <w:rsid w:val="00072771"/>
    <w:rsid w:val="00074461"/>
    <w:rsid w:val="000766EC"/>
    <w:rsid w:val="0007745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C7614"/>
    <w:rsid w:val="000D0BB6"/>
    <w:rsid w:val="000D2ED2"/>
    <w:rsid w:val="000D6653"/>
    <w:rsid w:val="000E0D51"/>
    <w:rsid w:val="000E26B0"/>
    <w:rsid w:val="000E37C2"/>
    <w:rsid w:val="000E38C3"/>
    <w:rsid w:val="000E4327"/>
    <w:rsid w:val="000F1599"/>
    <w:rsid w:val="000F1769"/>
    <w:rsid w:val="000F1A97"/>
    <w:rsid w:val="000F42AE"/>
    <w:rsid w:val="000F6196"/>
    <w:rsid w:val="000F6BC3"/>
    <w:rsid w:val="0010312C"/>
    <w:rsid w:val="00105026"/>
    <w:rsid w:val="0010662B"/>
    <w:rsid w:val="00106DC7"/>
    <w:rsid w:val="00112391"/>
    <w:rsid w:val="00114F52"/>
    <w:rsid w:val="001165EF"/>
    <w:rsid w:val="00130119"/>
    <w:rsid w:val="00132812"/>
    <w:rsid w:val="001347F8"/>
    <w:rsid w:val="001359EE"/>
    <w:rsid w:val="00137BB5"/>
    <w:rsid w:val="00137E05"/>
    <w:rsid w:val="001447F6"/>
    <w:rsid w:val="00147DE3"/>
    <w:rsid w:val="00150794"/>
    <w:rsid w:val="001516A5"/>
    <w:rsid w:val="00151DA6"/>
    <w:rsid w:val="001544FD"/>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5E53"/>
    <w:rsid w:val="001E2EB6"/>
    <w:rsid w:val="001F4552"/>
    <w:rsid w:val="002019EB"/>
    <w:rsid w:val="00204B58"/>
    <w:rsid w:val="00205051"/>
    <w:rsid w:val="00211F65"/>
    <w:rsid w:val="00213D3B"/>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5BA"/>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4C96"/>
    <w:rsid w:val="002D5A92"/>
    <w:rsid w:val="002D65D2"/>
    <w:rsid w:val="002D6B31"/>
    <w:rsid w:val="002E6D17"/>
    <w:rsid w:val="002E7017"/>
    <w:rsid w:val="002E7F2C"/>
    <w:rsid w:val="002F1FC7"/>
    <w:rsid w:val="002F2185"/>
    <w:rsid w:val="002F4F6E"/>
    <w:rsid w:val="003015C3"/>
    <w:rsid w:val="003106DB"/>
    <w:rsid w:val="00311001"/>
    <w:rsid w:val="0031350A"/>
    <w:rsid w:val="00316815"/>
    <w:rsid w:val="003168CA"/>
    <w:rsid w:val="00321255"/>
    <w:rsid w:val="0032230D"/>
    <w:rsid w:val="00322A0B"/>
    <w:rsid w:val="00330881"/>
    <w:rsid w:val="00331CD2"/>
    <w:rsid w:val="00332426"/>
    <w:rsid w:val="00335C41"/>
    <w:rsid w:val="00335FC5"/>
    <w:rsid w:val="0033771E"/>
    <w:rsid w:val="00337FEF"/>
    <w:rsid w:val="00347425"/>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230"/>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3DB3"/>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D56D7"/>
    <w:rsid w:val="004E087B"/>
    <w:rsid w:val="004E09EF"/>
    <w:rsid w:val="004E35CC"/>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0648"/>
    <w:rsid w:val="005B271A"/>
    <w:rsid w:val="005B3A2D"/>
    <w:rsid w:val="005B4312"/>
    <w:rsid w:val="005C1567"/>
    <w:rsid w:val="005C28D3"/>
    <w:rsid w:val="005C6CE5"/>
    <w:rsid w:val="005C7643"/>
    <w:rsid w:val="005D0596"/>
    <w:rsid w:val="005D3F07"/>
    <w:rsid w:val="005D4A1E"/>
    <w:rsid w:val="005D4F72"/>
    <w:rsid w:val="005E13EA"/>
    <w:rsid w:val="005E17F1"/>
    <w:rsid w:val="005E5653"/>
    <w:rsid w:val="005F64AA"/>
    <w:rsid w:val="005F7851"/>
    <w:rsid w:val="00606E27"/>
    <w:rsid w:val="006108C9"/>
    <w:rsid w:val="00614DF7"/>
    <w:rsid w:val="00615FA3"/>
    <w:rsid w:val="006179BB"/>
    <w:rsid w:val="0062158D"/>
    <w:rsid w:val="00622141"/>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31F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28D"/>
    <w:rsid w:val="0072678F"/>
    <w:rsid w:val="007276E5"/>
    <w:rsid w:val="00727C4C"/>
    <w:rsid w:val="00734809"/>
    <w:rsid w:val="0073714E"/>
    <w:rsid w:val="007374EF"/>
    <w:rsid w:val="007406E1"/>
    <w:rsid w:val="00743E40"/>
    <w:rsid w:val="00745016"/>
    <w:rsid w:val="007451BE"/>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6E8E"/>
    <w:rsid w:val="007D0A07"/>
    <w:rsid w:val="007D0F11"/>
    <w:rsid w:val="007D133D"/>
    <w:rsid w:val="007D3EB4"/>
    <w:rsid w:val="007D3F16"/>
    <w:rsid w:val="007F10BD"/>
    <w:rsid w:val="007F312E"/>
    <w:rsid w:val="007F3F7E"/>
    <w:rsid w:val="007F4BA4"/>
    <w:rsid w:val="00805CE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6AA1"/>
    <w:rsid w:val="00861038"/>
    <w:rsid w:val="00865B58"/>
    <w:rsid w:val="00866B50"/>
    <w:rsid w:val="00867A63"/>
    <w:rsid w:val="008708F1"/>
    <w:rsid w:val="00871960"/>
    <w:rsid w:val="0087369F"/>
    <w:rsid w:val="00880539"/>
    <w:rsid w:val="008859E8"/>
    <w:rsid w:val="0088737B"/>
    <w:rsid w:val="00887A9C"/>
    <w:rsid w:val="00891078"/>
    <w:rsid w:val="00892716"/>
    <w:rsid w:val="00893067"/>
    <w:rsid w:val="008933DE"/>
    <w:rsid w:val="00895FCE"/>
    <w:rsid w:val="008977A5"/>
    <w:rsid w:val="00897F3E"/>
    <w:rsid w:val="008A21B4"/>
    <w:rsid w:val="008A4881"/>
    <w:rsid w:val="008B07DE"/>
    <w:rsid w:val="008B1309"/>
    <w:rsid w:val="008B28E7"/>
    <w:rsid w:val="008B67F6"/>
    <w:rsid w:val="008C0C25"/>
    <w:rsid w:val="008C10CD"/>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69B8"/>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3F7B"/>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4AEC"/>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3EF7"/>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6478"/>
    <w:rsid w:val="00B47734"/>
    <w:rsid w:val="00B50FBA"/>
    <w:rsid w:val="00B558EB"/>
    <w:rsid w:val="00B577D3"/>
    <w:rsid w:val="00B60466"/>
    <w:rsid w:val="00B6548F"/>
    <w:rsid w:val="00B71A32"/>
    <w:rsid w:val="00B71AFE"/>
    <w:rsid w:val="00B7502A"/>
    <w:rsid w:val="00B77305"/>
    <w:rsid w:val="00B774BD"/>
    <w:rsid w:val="00B82CC2"/>
    <w:rsid w:val="00B84A89"/>
    <w:rsid w:val="00B9256C"/>
    <w:rsid w:val="00B92BEF"/>
    <w:rsid w:val="00B94443"/>
    <w:rsid w:val="00B9689A"/>
    <w:rsid w:val="00B97056"/>
    <w:rsid w:val="00BA531E"/>
    <w:rsid w:val="00BA728B"/>
    <w:rsid w:val="00BB06CB"/>
    <w:rsid w:val="00BB25E3"/>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E7E"/>
    <w:rsid w:val="00BF0D6C"/>
    <w:rsid w:val="00C01D14"/>
    <w:rsid w:val="00C01D97"/>
    <w:rsid w:val="00C025B4"/>
    <w:rsid w:val="00C029EC"/>
    <w:rsid w:val="00C077B4"/>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5EC"/>
    <w:rsid w:val="00C63CAB"/>
    <w:rsid w:val="00C63D00"/>
    <w:rsid w:val="00C6441B"/>
    <w:rsid w:val="00C65921"/>
    <w:rsid w:val="00C7108B"/>
    <w:rsid w:val="00C75883"/>
    <w:rsid w:val="00C758B0"/>
    <w:rsid w:val="00C77FA5"/>
    <w:rsid w:val="00C8089F"/>
    <w:rsid w:val="00C835FE"/>
    <w:rsid w:val="00C836CC"/>
    <w:rsid w:val="00C852D6"/>
    <w:rsid w:val="00C87A74"/>
    <w:rsid w:val="00C92C71"/>
    <w:rsid w:val="00C93F8F"/>
    <w:rsid w:val="00CA0894"/>
    <w:rsid w:val="00CA2AAF"/>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E7FEF"/>
    <w:rsid w:val="00CF13BB"/>
    <w:rsid w:val="00CF2F8A"/>
    <w:rsid w:val="00CF3DB3"/>
    <w:rsid w:val="00D0274B"/>
    <w:rsid w:val="00D0503D"/>
    <w:rsid w:val="00D052BC"/>
    <w:rsid w:val="00D05A5D"/>
    <w:rsid w:val="00D07026"/>
    <w:rsid w:val="00D146AE"/>
    <w:rsid w:val="00D22C8F"/>
    <w:rsid w:val="00D3203C"/>
    <w:rsid w:val="00D33491"/>
    <w:rsid w:val="00D34305"/>
    <w:rsid w:val="00D3442D"/>
    <w:rsid w:val="00D36F00"/>
    <w:rsid w:val="00D44B67"/>
    <w:rsid w:val="00D44F8E"/>
    <w:rsid w:val="00D50367"/>
    <w:rsid w:val="00D51FD5"/>
    <w:rsid w:val="00D55DE0"/>
    <w:rsid w:val="00D607EF"/>
    <w:rsid w:val="00D60F88"/>
    <w:rsid w:val="00D646BD"/>
    <w:rsid w:val="00D65558"/>
    <w:rsid w:val="00D66551"/>
    <w:rsid w:val="00D71201"/>
    <w:rsid w:val="00D720C7"/>
    <w:rsid w:val="00D84350"/>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04BE"/>
    <w:rsid w:val="00E0524C"/>
    <w:rsid w:val="00E15751"/>
    <w:rsid w:val="00E17160"/>
    <w:rsid w:val="00E17D41"/>
    <w:rsid w:val="00E215CC"/>
    <w:rsid w:val="00E231D1"/>
    <w:rsid w:val="00E316FF"/>
    <w:rsid w:val="00E3288D"/>
    <w:rsid w:val="00E33BC3"/>
    <w:rsid w:val="00E35112"/>
    <w:rsid w:val="00E35BEC"/>
    <w:rsid w:val="00E41A6A"/>
    <w:rsid w:val="00E50821"/>
    <w:rsid w:val="00E51F91"/>
    <w:rsid w:val="00E53FDC"/>
    <w:rsid w:val="00E5498A"/>
    <w:rsid w:val="00E559CE"/>
    <w:rsid w:val="00E55B93"/>
    <w:rsid w:val="00E60F42"/>
    <w:rsid w:val="00E6746C"/>
    <w:rsid w:val="00E7086E"/>
    <w:rsid w:val="00E71248"/>
    <w:rsid w:val="00E73C41"/>
    <w:rsid w:val="00E75911"/>
    <w:rsid w:val="00E7598F"/>
    <w:rsid w:val="00E76F60"/>
    <w:rsid w:val="00E812B5"/>
    <w:rsid w:val="00E83D90"/>
    <w:rsid w:val="00E83F91"/>
    <w:rsid w:val="00E85C57"/>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5B8"/>
    <w:rsid w:val="00EC3A85"/>
    <w:rsid w:val="00EC4B89"/>
    <w:rsid w:val="00EC59A5"/>
    <w:rsid w:val="00EC6E15"/>
    <w:rsid w:val="00ED1B30"/>
    <w:rsid w:val="00ED5D03"/>
    <w:rsid w:val="00ED627F"/>
    <w:rsid w:val="00EE01ED"/>
    <w:rsid w:val="00EE1AC1"/>
    <w:rsid w:val="00EE2D06"/>
    <w:rsid w:val="00EE39D6"/>
    <w:rsid w:val="00EE52AD"/>
    <w:rsid w:val="00EE5BC3"/>
    <w:rsid w:val="00EE6FAB"/>
    <w:rsid w:val="00EE7C0F"/>
    <w:rsid w:val="00EF328C"/>
    <w:rsid w:val="00EF68BB"/>
    <w:rsid w:val="00F01F92"/>
    <w:rsid w:val="00F030D4"/>
    <w:rsid w:val="00F04053"/>
    <w:rsid w:val="00F06573"/>
    <w:rsid w:val="00F104F3"/>
    <w:rsid w:val="00F10A08"/>
    <w:rsid w:val="00F11EBC"/>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2A44"/>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05395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D665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full/10.3109/13561820.2012.756657" TargetMode="External"/><Relationship Id="rId21" Type="http://schemas.openxmlformats.org/officeDocument/2006/relationships/hyperlink" Target="https://academic.oup.com/bjsw/article/49/7/1856/5253793" TargetMode="External"/><Relationship Id="rId34" Type="http://schemas.openxmlformats.org/officeDocument/2006/relationships/hyperlink" Target="https://academic.oup.com/sw/article-abstract/41/3/296/1906090" TargetMode="External"/><Relationship Id="rId42" Type="http://schemas.openxmlformats.org/officeDocument/2006/relationships/hyperlink" Target="https://www.emerald.com/jap/article-abstract/19/6/312/205294/Social-workers-power-of-entry-in-adult?redirectedFrom=fulltext" TargetMode="External"/><Relationship Id="rId47" Type="http://schemas.openxmlformats.org/officeDocument/2006/relationships/hyperlink" Target="https://www.legislation.gov.uk/ukpga/2010/15/contents" TargetMode="External"/><Relationship Id="rId50" Type="http://schemas.openxmlformats.org/officeDocument/2006/relationships/hyperlink" Target="https://www.safeguarding.wales/en/adu-i/adu-i-a3pt1/a3pt1-p8/" TargetMode="External"/><Relationship Id="rId55" Type="http://schemas.openxmlformats.org/officeDocument/2006/relationships/hyperlink" Target="https://www.gov.wales/sites/default/files/publications/2019-05/part-11-code-of-practice-miscellaneous-and-general.pdf" TargetMode="External"/><Relationship Id="rId63"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gov.uk/government/publications/national-framework-for-nhs-continuing-healthcare-and-nhs-funded-nursing-care" TargetMode="External"/><Relationship Id="rId29" Type="http://schemas.openxmlformats.org/officeDocument/2006/relationships/hyperlink" Target="https://www.nice.org.uk/guidance/ng216/chapter/Recommendations" TargetMode="External"/><Relationship Id="rId11" Type="http://schemas.openxmlformats.org/officeDocument/2006/relationships/hyperlink" Target="https://www.rcslt.org/members/clinical-guidance/augmentative-and-alternative-communication/augmentative-and-alternative-communication-guidance/?utm" TargetMode="External"/><Relationship Id="rId24" Type="http://schemas.openxmlformats.org/officeDocument/2006/relationships/hyperlink" Target="https://doi.org/10.1111/cch.12227" TargetMode="External"/><Relationship Id="rId32" Type="http://schemas.openxmlformats.org/officeDocument/2006/relationships/hyperlink" Target="https://academic.oup.com/bjsw/article/56/4/1565/8315294" TargetMode="External"/><Relationship Id="rId37" Type="http://schemas.openxmlformats.org/officeDocument/2006/relationships/hyperlink" Target="https://socialcare.wales/resources-guidance/improving-care-and-support/people-with-dementia/effective-communication-with-people-with-dementia" TargetMode="External"/><Relationship Id="rId40" Type="http://schemas.openxmlformats.org/officeDocument/2006/relationships/hyperlink" Target="https://socialcare.wales/resources/practice-education-guidance-for-the-social-work-degree-in-wales" TargetMode="External"/><Relationship Id="rId45" Type="http://schemas.openxmlformats.org/officeDocument/2006/relationships/hyperlink" Target="https://safeguarding.wales/en/int-i/int-i-i1/i1-p1/" TargetMode="External"/><Relationship Id="rId53" Type="http://schemas.openxmlformats.org/officeDocument/2006/relationships/hyperlink" Target="https://www.legislation.gov.uk/mwa/2011/1/contents" TargetMode="External"/><Relationship Id="rId58" Type="http://schemas.openxmlformats.org/officeDocument/2006/relationships/hyperlink" Target="https://www.gov.wales/sites/default/files/publications/2019-06/volume-6-handling-individual-cases-to-protect-adults-at-risk.pdf" TargetMode="External"/><Relationship Id="rId66" Type="http://schemas.openxmlformats.org/officeDocument/2006/relationships/theme" Target="theme/theme1.xml"/><Relationship Id="rId5" Type="http://schemas.openxmlformats.org/officeDocument/2006/relationships/styles" Target="styles.xml"/><Relationship Id="rId61" Type="http://schemas.openxmlformats.org/officeDocument/2006/relationships/image" Target="media/image4.jpeg"/><Relationship Id="rId19" Type="http://schemas.openxmlformats.org/officeDocument/2006/relationships/hyperlink" Target="https://www.scirp.org/reference/referencespapers?referenceid=3955434" TargetMode="External"/><Relationship Id="rId14" Type="http://schemas.openxmlformats.org/officeDocument/2006/relationships/hyperlink" Target="https://www.legislation.gov.uk/ukpga/2018/12/contents" TargetMode="External"/><Relationship Id="rId22" Type="http://schemas.openxmlformats.org/officeDocument/2006/relationships/hyperlink" Target="https://localauthority.gov.uk" TargetMode="External"/><Relationship Id="rId27" Type="http://schemas.openxmlformats.org/officeDocument/2006/relationships/hyperlink" Target="https://www.nice.org.uk/guidance/ng76" TargetMode="External"/><Relationship Id="rId30" Type="http://schemas.openxmlformats.org/officeDocument/2006/relationships/hyperlink" Target="https://www.northwalessafeguardingboard.wales/wp-content/uploads/2022/11/NWSCB-Practice-Guidance-Professional-Curiosity-1.pdf" TargetMode="External"/><Relationship Id="rId35" Type="http://schemas.openxmlformats.org/officeDocument/2006/relationships/hyperlink" Target="https://socialcare.wales/cms-assets/documents/Code-of-Professional-Practice-for-Social-Care-web-version.pdf" TargetMode="External"/><Relationship Id="rId43" Type="http://schemas.openxmlformats.org/officeDocument/2006/relationships/hyperlink" Target="https://doi.org/10.1177/1468017319830593" TargetMode="External"/><Relationship Id="rId48" Type="http://schemas.openxmlformats.org/officeDocument/2006/relationships/hyperlink" Target="https://www.legislation.gov.uk/ukpga/2014/23/schedule/1" TargetMode="External"/><Relationship Id="rId56" Type="http://schemas.openxmlformats.org/officeDocument/2006/relationships/hyperlink" Target="https://www.legislation.gov.uk/wsi/2015/1335/contents/made" TargetMode="External"/><Relationship Id="rId64"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safeguarding.wales/en/int-i/int-i-i1/i1-p1/" TargetMode="External"/><Relationship Id="rId3" Type="http://schemas.openxmlformats.org/officeDocument/2006/relationships/customXml" Target="../customXml/item3.xml"/><Relationship Id="rId12" Type="http://schemas.openxmlformats.org/officeDocument/2006/relationships/hyperlink" Target="https://sussex.figshare.com/articles/journal_contribution/Autonomy_and_protection_in_self-neglect_work_the_ethical_complexity_of_decision-making/23441351?file=41152202" TargetMode="External"/><Relationship Id="rId17" Type="http://schemas.openxmlformats.org/officeDocument/2006/relationships/hyperlink" Target="https://www.gov.uk/government/publications/care-act-statutory-guidance/care-and-support-statutory-guidance" TargetMode="External"/><Relationship Id="rId25" Type="http://schemas.openxmlformats.org/officeDocument/2006/relationships/hyperlink" Target="https://www.legislation.gov.uk/ukpga/2005/9/section/3" TargetMode="External"/><Relationship Id="rId33" Type="http://schemas.openxmlformats.org/officeDocument/2006/relationships/hyperlink" Target="https://doi.org/10.1016/j.ptsp.2013.03.004" TargetMode="External"/><Relationship Id="rId38" Type="http://schemas.openxmlformats.org/officeDocument/2006/relationships/hyperlink" Target="https://socialcare.wales/codes-of-practice-and-guidance/code-of-professional-practice-for-social-care-workers" TargetMode="External"/><Relationship Id="rId46" Type="http://schemas.openxmlformats.org/officeDocument/2006/relationships/hyperlink" Target="https://www.legislation.gov.uk/ukpga/1998/42" TargetMode="External"/><Relationship Id="rId59" Type="http://schemas.openxmlformats.org/officeDocument/2006/relationships/image" Target="media/image2.jpeg"/><Relationship Id="rId20" Type="http://schemas.openxmlformats.org/officeDocument/2006/relationships/hyperlink" Target="https://www.tandfonline.com/doi/full/10.1080/13691457.2026.2659608" TargetMode="External"/><Relationship Id="rId41" Type="http://schemas.openxmlformats.org/officeDocument/2006/relationships/hyperlink" Target="https://www.legislation.gov.uk/anaw/2014/4/contents" TargetMode="External"/><Relationship Id="rId54" Type="http://schemas.openxmlformats.org/officeDocument/2006/relationships/hyperlink" Target="https://www.legislation.gov.uk/anaw/2014/4/contents" TargetMode="External"/><Relationship Id="rId62"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assets.publishing.service.gov.uk/media/5c62ae87ed915d04446a5739/stengths-based-approach-practice-framework-and-handbook.pdf" TargetMode="External"/><Relationship Id="rId23" Type="http://schemas.openxmlformats.org/officeDocument/2006/relationships/hyperlink" Target="https://www.local.gov.uk/sites/default/files/documents/National%20analysis%20of%20SARS%20-%20Stage%202%20%28branded%20and%20proofread%29%20v6-19.pdf" TargetMode="External"/><Relationship Id="rId28" Type="http://schemas.openxmlformats.org/officeDocument/2006/relationships/hyperlink" Target="https://www.nice.org.uk/guidance/NG108/chapter/recommendations" TargetMode="External"/><Relationship Id="rId36" Type="http://schemas.openxmlformats.org/officeDocument/2006/relationships/hyperlink" Target="https://socialcare.wales/resources-guidance/improving-care-and-support/strengths-based-practice/about-strengths-based-practice" TargetMode="External"/><Relationship Id="rId49" Type="http://schemas.openxmlformats.org/officeDocument/2006/relationships/hyperlink" Target="https://www.safeguarding.wales/en/adu-i/adu-i-a3pt1/a3pt1-p4/" TargetMode="External"/><Relationship Id="rId57" Type="http://schemas.openxmlformats.org/officeDocument/2006/relationships/hyperlink" Target="https://www.gov.wales/sites/default/files/publications/2019-05/part-3-code-of-practice-assessing-the-needs-of-individuals.pdf" TargetMode="External"/><Relationship Id="rId10" Type="http://schemas.openxmlformats.org/officeDocument/2006/relationships/image" Target="media/image1.png"/><Relationship Id="rId31" Type="http://schemas.openxmlformats.org/officeDocument/2006/relationships/hyperlink" Target="https://www.gov.uk/government/publications/mental-capacity-act-code-of-practice" TargetMode="External"/><Relationship Id="rId44" Type="http://schemas.openxmlformats.org/officeDocument/2006/relationships/hyperlink" Target="https://www.emerald.com/jap/article-abstract/21/5/252/193409/Could-curiosity-save-lives-An-exploration-into-the?redirectedFrom=fulltext" TargetMode="External"/><Relationship Id="rId52" Type="http://schemas.openxmlformats.org/officeDocument/2006/relationships/hyperlink" Target="https://www.safeguarding.wales/en/" TargetMode="External"/><Relationship Id="rId60" Type="http://schemas.openxmlformats.org/officeDocument/2006/relationships/image" Target="media/image3.png"/><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careinspectorate.wales/more-just-words-practice-guidance-html" TargetMode="External"/><Relationship Id="rId18" Type="http://schemas.openxmlformats.org/officeDocument/2006/relationships/hyperlink" Target="https://www.nuffieldtrust.org.uk/news-item/nhs-continuing-health-care-consigned-to-the-too-difficult-box" TargetMode="External"/><Relationship Id="rId39" Type="http://schemas.openxmlformats.org/officeDocument/2006/relationships/hyperlink" Target="https://socialcare.wales/cms-assets/documents/Codes-of-Professional-Practice/Social-Care-Practice-Guidance-EN.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4263</TotalTime>
  <Pages>21</Pages>
  <Words>5943</Words>
  <Characters>38456</Characters>
  <Application>Microsoft Office Word</Application>
  <DocSecurity>0</DocSecurity>
  <Lines>915</Lines>
  <Paragraphs>336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 Hatcher</cp:lastModifiedBy>
  <cp:revision>63</cp:revision>
  <cp:lastPrinted>2020-02-11T19:20:00Z</cp:lastPrinted>
  <dcterms:created xsi:type="dcterms:W3CDTF">2026-06-08T22:02:00Z</dcterms:created>
  <dcterms:modified xsi:type="dcterms:W3CDTF">2026-10-06T08:17:00Z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