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E054B" w14:textId="77777777" w:rsidR="008778D0" w:rsidRDefault="008778D0" w:rsidP="00620442">
      <w:pPr>
        <w:jc w:val="center"/>
        <w:rPr>
          <w:b/>
          <w:bCs/>
          <w:sz w:val="28"/>
          <w:szCs w:val="24"/>
        </w:rPr>
      </w:pPr>
    </w:p>
    <w:p w14:paraId="09A0DEC6" w14:textId="77777777" w:rsidR="008778D0" w:rsidRDefault="008778D0" w:rsidP="00620442">
      <w:pPr>
        <w:jc w:val="center"/>
        <w:rPr>
          <w:b/>
          <w:bCs/>
          <w:sz w:val="28"/>
          <w:szCs w:val="24"/>
        </w:rPr>
      </w:pPr>
    </w:p>
    <w:p w14:paraId="38D21853" w14:textId="77777777" w:rsidR="008778D0" w:rsidRDefault="008778D0" w:rsidP="00620442">
      <w:pPr>
        <w:jc w:val="center"/>
        <w:rPr>
          <w:b/>
          <w:bCs/>
          <w:sz w:val="28"/>
          <w:szCs w:val="24"/>
        </w:rPr>
      </w:pPr>
    </w:p>
    <w:p w14:paraId="5438C6B4" w14:textId="77777777" w:rsidR="008778D0" w:rsidRDefault="008778D0" w:rsidP="00620442">
      <w:pPr>
        <w:jc w:val="center"/>
        <w:rPr>
          <w:b/>
          <w:bCs/>
          <w:sz w:val="28"/>
          <w:szCs w:val="24"/>
        </w:rPr>
      </w:pPr>
    </w:p>
    <w:p w14:paraId="2924A923" w14:textId="77777777" w:rsidR="008778D0" w:rsidRDefault="008778D0" w:rsidP="00620442">
      <w:pPr>
        <w:jc w:val="center"/>
        <w:rPr>
          <w:b/>
          <w:bCs/>
          <w:sz w:val="28"/>
          <w:szCs w:val="24"/>
        </w:rPr>
      </w:pPr>
    </w:p>
    <w:p w14:paraId="3AEF632A" w14:textId="212BD204" w:rsidR="00280B0B" w:rsidRPr="00A6341E" w:rsidRDefault="00280B0B" w:rsidP="00620442">
      <w:pPr>
        <w:jc w:val="center"/>
        <w:rPr>
          <w:b/>
          <w:bCs/>
          <w:sz w:val="44"/>
          <w:szCs w:val="40"/>
        </w:rPr>
      </w:pPr>
      <w:r w:rsidRPr="00620442">
        <w:rPr>
          <w:b/>
          <w:bCs/>
          <w:sz w:val="28"/>
          <w:szCs w:val="24"/>
        </w:rPr>
        <w:t xml:space="preserve"> </w:t>
      </w:r>
      <w:r w:rsidRPr="00A6341E">
        <w:rPr>
          <w:b/>
          <w:bCs/>
          <w:sz w:val="44"/>
          <w:szCs w:val="40"/>
        </w:rPr>
        <w:t>BA Business Management</w:t>
      </w:r>
    </w:p>
    <w:p w14:paraId="0CBC253E" w14:textId="77777777" w:rsidR="00A36946" w:rsidRPr="00A6341E" w:rsidRDefault="00512D19" w:rsidP="00620442">
      <w:pPr>
        <w:jc w:val="center"/>
        <w:rPr>
          <w:b/>
          <w:bCs/>
          <w:sz w:val="44"/>
          <w:szCs w:val="40"/>
        </w:rPr>
      </w:pPr>
      <w:r w:rsidRPr="00A6341E">
        <w:rPr>
          <w:b/>
          <w:bCs/>
          <w:sz w:val="44"/>
          <w:szCs w:val="40"/>
        </w:rPr>
        <w:t>Module Title: Managing People</w:t>
      </w:r>
    </w:p>
    <w:p w14:paraId="28ED6CFA" w14:textId="77777777" w:rsidR="00280B0B" w:rsidRPr="00A6341E" w:rsidRDefault="00512D19" w:rsidP="00620442">
      <w:pPr>
        <w:jc w:val="center"/>
        <w:rPr>
          <w:b/>
          <w:bCs/>
          <w:sz w:val="44"/>
          <w:szCs w:val="40"/>
        </w:rPr>
      </w:pPr>
      <w:r w:rsidRPr="00A6341E">
        <w:rPr>
          <w:b/>
          <w:bCs/>
          <w:sz w:val="44"/>
          <w:szCs w:val="40"/>
        </w:rPr>
        <w:t>Module Code: LCBB5004</w:t>
      </w:r>
    </w:p>
    <w:p w14:paraId="3C5530EE" w14:textId="77777777" w:rsidR="00BB5D48" w:rsidRPr="00A6341E" w:rsidRDefault="00BB5D48" w:rsidP="00620442">
      <w:pPr>
        <w:jc w:val="center"/>
        <w:rPr>
          <w:b/>
          <w:bCs/>
          <w:sz w:val="44"/>
          <w:szCs w:val="40"/>
        </w:rPr>
      </w:pPr>
    </w:p>
    <w:p w14:paraId="41E8280D" w14:textId="7E8AB37B" w:rsidR="00BB5D48" w:rsidRPr="00A6341E" w:rsidRDefault="00644F73" w:rsidP="00620442">
      <w:pPr>
        <w:jc w:val="center"/>
        <w:rPr>
          <w:b/>
          <w:bCs/>
          <w:sz w:val="44"/>
          <w:szCs w:val="40"/>
        </w:rPr>
      </w:pPr>
      <w:r w:rsidRPr="00A6341E">
        <w:rPr>
          <w:b/>
          <w:bCs/>
          <w:sz w:val="44"/>
          <w:szCs w:val="40"/>
        </w:rPr>
        <w:t>Elena-Luminita Frangu</w:t>
      </w:r>
    </w:p>
    <w:p w14:paraId="6AE1FAE7" w14:textId="2B1CE9D1" w:rsidR="00644F73" w:rsidRPr="00A6341E" w:rsidRDefault="00644F73" w:rsidP="00620442">
      <w:pPr>
        <w:jc w:val="center"/>
        <w:rPr>
          <w:b/>
          <w:bCs/>
          <w:sz w:val="44"/>
          <w:szCs w:val="40"/>
        </w:rPr>
      </w:pPr>
      <w:r w:rsidRPr="00A6341E">
        <w:rPr>
          <w:b/>
          <w:bCs/>
          <w:sz w:val="44"/>
          <w:szCs w:val="40"/>
        </w:rPr>
        <w:t>Student ID: 2122202</w:t>
      </w:r>
    </w:p>
    <w:p w14:paraId="377A882A" w14:textId="77777777" w:rsidR="00280B0B" w:rsidRPr="00620442" w:rsidRDefault="00280B0B" w:rsidP="00620442">
      <w:pPr>
        <w:jc w:val="center"/>
        <w:rPr>
          <w:b/>
          <w:bCs/>
          <w:sz w:val="28"/>
          <w:szCs w:val="24"/>
        </w:rPr>
      </w:pPr>
      <w:r w:rsidRPr="00620442">
        <w:rPr>
          <w:b/>
          <w:bCs/>
          <w:sz w:val="28"/>
          <w:szCs w:val="24"/>
        </w:rPr>
        <w:br w:type="page"/>
      </w:r>
    </w:p>
    <w:p w14:paraId="72C688D3" w14:textId="77777777" w:rsidR="00B2261B" w:rsidRDefault="00B2261B" w:rsidP="00620442">
      <w:pPr>
        <w:pStyle w:val="Heading1"/>
        <w:rPr>
          <w:rFonts w:eastAsia="Times New Roman"/>
        </w:rPr>
        <w:sectPr w:rsidR="00B2261B" w:rsidSect="000C1AF2">
          <w:footerReference w:type="default" r:id="rId8"/>
          <w:pgSz w:w="12240" w:h="15840"/>
          <w:pgMar w:top="1440" w:right="1440" w:bottom="1440" w:left="1440" w:header="720" w:footer="720" w:gutter="0"/>
          <w:pgNumType w:fmt="lowerRoman" w:start="1"/>
          <w:cols w:space="720"/>
          <w:docGrid w:linePitch="360"/>
        </w:sectPr>
      </w:pPr>
    </w:p>
    <w:p w14:paraId="457BF120" w14:textId="77777777" w:rsidR="00E92EAF" w:rsidRDefault="00E92EAF" w:rsidP="00620442">
      <w:pPr>
        <w:pStyle w:val="Heading1"/>
        <w:rPr>
          <w:rFonts w:eastAsia="Times New Roman"/>
        </w:rPr>
        <w:sectPr w:rsidR="00E92EAF" w:rsidSect="000C1AF2">
          <w:footerReference w:type="default" r:id="rId9"/>
          <w:type w:val="continuous"/>
          <w:pgSz w:w="12240" w:h="15840"/>
          <w:pgMar w:top="1440" w:right="1440" w:bottom="1440" w:left="1440" w:header="720" w:footer="720" w:gutter="0"/>
          <w:pgNumType w:fmt="lowerRoman" w:start="2"/>
          <w:cols w:space="720"/>
          <w:docGrid w:linePitch="360"/>
        </w:sectPr>
      </w:pPr>
    </w:p>
    <w:sdt>
      <w:sdtPr>
        <w:rPr>
          <w:rFonts w:ascii="Times New Roman" w:eastAsiaTheme="minorHAnsi" w:hAnsi="Times New Roman" w:cstheme="minorBidi"/>
          <w:color w:val="auto"/>
          <w:kern w:val="2"/>
          <w:sz w:val="24"/>
          <w:szCs w:val="22"/>
          <w14:ligatures w14:val="standardContextual"/>
        </w:rPr>
        <w:id w:val="-842628769"/>
        <w:docPartObj>
          <w:docPartGallery w:val="Table of Contents"/>
          <w:docPartUnique/>
        </w:docPartObj>
      </w:sdtPr>
      <w:sdtEndPr>
        <w:rPr>
          <w:b/>
          <w:bCs/>
          <w:noProof/>
        </w:rPr>
      </w:sdtEndPr>
      <w:sdtContent>
        <w:p w14:paraId="3EDE36CF" w14:textId="1F5A87DD" w:rsidR="00781DC2" w:rsidRPr="00D976B2" w:rsidRDefault="0007686F" w:rsidP="00D976B2">
          <w:pPr>
            <w:pStyle w:val="TOCHeading"/>
            <w:jc w:val="center"/>
            <w:rPr>
              <w:rFonts w:ascii="Times New Roman" w:hAnsi="Times New Roman" w:cs="Times New Roman"/>
              <w:b/>
              <w:bCs/>
              <w:color w:val="000000" w:themeColor="text1"/>
            </w:rPr>
          </w:pPr>
          <w:r>
            <w:rPr>
              <w:rFonts w:ascii="Times New Roman" w:hAnsi="Times New Roman" w:cs="Times New Roman"/>
              <w:b/>
              <w:bCs/>
              <w:color w:val="000000" w:themeColor="text1"/>
            </w:rPr>
            <w:t>Table of contents</w:t>
          </w:r>
        </w:p>
        <w:p w14:paraId="6277D502" w14:textId="165BD8EC" w:rsidR="000B4424" w:rsidRPr="00013077" w:rsidRDefault="00781DC2" w:rsidP="00013077">
          <w:pPr>
            <w:pStyle w:val="TOC1"/>
            <w:rPr>
              <w:rFonts w:asciiTheme="minorHAnsi" w:eastAsiaTheme="minorEastAsia" w:hAnsiTheme="minorHAnsi"/>
              <w:kern w:val="0"/>
              <w:sz w:val="22"/>
              <w:lang w:val="en-GB" w:eastAsia="en-GB"/>
              <w14:ligatures w14:val="none"/>
            </w:rPr>
          </w:pPr>
          <w:r>
            <w:rPr>
              <w:noProof w:val="0"/>
            </w:rPr>
            <w:fldChar w:fldCharType="begin"/>
          </w:r>
          <w:r>
            <w:instrText xml:space="preserve"> TOC \o "1-3" \h \z \u </w:instrText>
          </w:r>
          <w:r>
            <w:rPr>
              <w:noProof w:val="0"/>
            </w:rPr>
            <w:fldChar w:fldCharType="separate"/>
          </w:r>
          <w:hyperlink w:anchor="_Toc129300218" w:history="1">
            <w:r w:rsidR="000B4424" w:rsidRPr="00013077">
              <w:rPr>
                <w:rStyle w:val="Hyperlink"/>
                <w:rFonts w:eastAsia="Times New Roman"/>
              </w:rPr>
              <w:t>Introduction</w:t>
            </w:r>
            <w:r w:rsidR="000B4424" w:rsidRPr="00013077">
              <w:rPr>
                <w:webHidden/>
              </w:rPr>
              <w:tab/>
            </w:r>
            <w:r w:rsidR="000B4424" w:rsidRPr="00013077">
              <w:rPr>
                <w:webHidden/>
              </w:rPr>
              <w:fldChar w:fldCharType="begin"/>
            </w:r>
            <w:r w:rsidR="000B4424" w:rsidRPr="00013077">
              <w:rPr>
                <w:webHidden/>
              </w:rPr>
              <w:instrText xml:space="preserve"> PAGEREF _Toc129300218 \h </w:instrText>
            </w:r>
            <w:r w:rsidR="000B4424" w:rsidRPr="00013077">
              <w:rPr>
                <w:webHidden/>
              </w:rPr>
            </w:r>
            <w:r w:rsidR="000B4424" w:rsidRPr="00013077">
              <w:rPr>
                <w:webHidden/>
              </w:rPr>
              <w:fldChar w:fldCharType="separate"/>
            </w:r>
            <w:r w:rsidR="009A4BE6" w:rsidRPr="00013077">
              <w:rPr>
                <w:webHidden/>
              </w:rPr>
              <w:t>1</w:t>
            </w:r>
            <w:r w:rsidR="000B4424" w:rsidRPr="00013077">
              <w:rPr>
                <w:webHidden/>
              </w:rPr>
              <w:fldChar w:fldCharType="end"/>
            </w:r>
          </w:hyperlink>
        </w:p>
        <w:p w14:paraId="2A33876B" w14:textId="3D929808" w:rsidR="000B4424" w:rsidRPr="00013077" w:rsidRDefault="0055037F" w:rsidP="00013077">
          <w:pPr>
            <w:pStyle w:val="TOC1"/>
            <w:rPr>
              <w:rFonts w:asciiTheme="minorHAnsi" w:eastAsiaTheme="minorEastAsia" w:hAnsiTheme="minorHAnsi"/>
              <w:kern w:val="0"/>
              <w:sz w:val="22"/>
              <w:lang w:val="en-GB" w:eastAsia="en-GB"/>
              <w14:ligatures w14:val="none"/>
            </w:rPr>
          </w:pPr>
          <w:hyperlink w:anchor="_Toc129300219" w:history="1">
            <w:r w:rsidR="000B4424" w:rsidRPr="00013077">
              <w:rPr>
                <w:rStyle w:val="Hyperlink"/>
              </w:rPr>
              <w:t>Benefits of implementing flexible working strategies</w:t>
            </w:r>
            <w:r w:rsidR="000B4424" w:rsidRPr="00013077">
              <w:rPr>
                <w:webHidden/>
              </w:rPr>
              <w:tab/>
            </w:r>
            <w:r w:rsidR="000B4424" w:rsidRPr="00013077">
              <w:rPr>
                <w:webHidden/>
              </w:rPr>
              <w:fldChar w:fldCharType="begin"/>
            </w:r>
            <w:r w:rsidR="000B4424" w:rsidRPr="00013077">
              <w:rPr>
                <w:webHidden/>
              </w:rPr>
              <w:instrText xml:space="preserve"> PAGEREF _Toc129300219 \h </w:instrText>
            </w:r>
            <w:r w:rsidR="000B4424" w:rsidRPr="00013077">
              <w:rPr>
                <w:webHidden/>
              </w:rPr>
            </w:r>
            <w:r w:rsidR="000B4424" w:rsidRPr="00013077">
              <w:rPr>
                <w:webHidden/>
              </w:rPr>
              <w:fldChar w:fldCharType="separate"/>
            </w:r>
            <w:r w:rsidR="009A4BE6" w:rsidRPr="00013077">
              <w:rPr>
                <w:webHidden/>
              </w:rPr>
              <w:t>2</w:t>
            </w:r>
            <w:r w:rsidR="000B4424" w:rsidRPr="00013077">
              <w:rPr>
                <w:webHidden/>
              </w:rPr>
              <w:fldChar w:fldCharType="end"/>
            </w:r>
          </w:hyperlink>
        </w:p>
        <w:p w14:paraId="15DED79C" w14:textId="78B6B173" w:rsidR="000B4424" w:rsidRDefault="0055037F" w:rsidP="00013077">
          <w:pPr>
            <w:pStyle w:val="TOC1"/>
            <w:rPr>
              <w:rFonts w:asciiTheme="minorHAnsi" w:eastAsiaTheme="minorEastAsia" w:hAnsiTheme="minorHAnsi"/>
              <w:kern w:val="0"/>
              <w:sz w:val="22"/>
              <w:lang w:val="en-GB" w:eastAsia="en-GB"/>
              <w14:ligatures w14:val="none"/>
            </w:rPr>
          </w:pPr>
          <w:hyperlink w:anchor="_Toc129300220" w:history="1">
            <w:r w:rsidR="000B4424" w:rsidRPr="006A4B34">
              <w:rPr>
                <w:rStyle w:val="Hyperlink"/>
              </w:rPr>
              <w:t>What the firm should consider in implementing flexible working</w:t>
            </w:r>
            <w:r w:rsidR="000B4424">
              <w:rPr>
                <w:webHidden/>
              </w:rPr>
              <w:tab/>
            </w:r>
            <w:r w:rsidR="000B4424">
              <w:rPr>
                <w:webHidden/>
              </w:rPr>
              <w:fldChar w:fldCharType="begin"/>
            </w:r>
            <w:r w:rsidR="000B4424">
              <w:rPr>
                <w:webHidden/>
              </w:rPr>
              <w:instrText xml:space="preserve"> PAGEREF _Toc129300220 \h </w:instrText>
            </w:r>
            <w:r w:rsidR="000B4424">
              <w:rPr>
                <w:webHidden/>
              </w:rPr>
            </w:r>
            <w:r w:rsidR="000B4424">
              <w:rPr>
                <w:webHidden/>
              </w:rPr>
              <w:fldChar w:fldCharType="separate"/>
            </w:r>
            <w:r w:rsidR="009A4BE6">
              <w:rPr>
                <w:webHidden/>
              </w:rPr>
              <w:t>2</w:t>
            </w:r>
            <w:r w:rsidR="000B4424">
              <w:rPr>
                <w:webHidden/>
              </w:rPr>
              <w:fldChar w:fldCharType="end"/>
            </w:r>
          </w:hyperlink>
        </w:p>
        <w:p w14:paraId="210236F1" w14:textId="1F267595" w:rsidR="000B4424" w:rsidRDefault="0055037F" w:rsidP="00013077">
          <w:pPr>
            <w:pStyle w:val="TOC1"/>
            <w:rPr>
              <w:rFonts w:asciiTheme="minorHAnsi" w:eastAsiaTheme="minorEastAsia" w:hAnsiTheme="minorHAnsi"/>
              <w:kern w:val="0"/>
              <w:sz w:val="22"/>
              <w:lang w:val="en-GB" w:eastAsia="en-GB"/>
              <w14:ligatures w14:val="none"/>
            </w:rPr>
          </w:pPr>
          <w:hyperlink w:anchor="_Toc129300221" w:history="1">
            <w:r w:rsidR="000B4424" w:rsidRPr="006A4B34">
              <w:rPr>
                <w:rStyle w:val="Hyperlink"/>
              </w:rPr>
              <w:t>Strategies to promote employee engagement while implementing flexible working</w:t>
            </w:r>
            <w:r w:rsidR="000B4424">
              <w:rPr>
                <w:webHidden/>
              </w:rPr>
              <w:tab/>
            </w:r>
            <w:r w:rsidR="000B4424">
              <w:rPr>
                <w:webHidden/>
              </w:rPr>
              <w:fldChar w:fldCharType="begin"/>
            </w:r>
            <w:r w:rsidR="000B4424">
              <w:rPr>
                <w:webHidden/>
              </w:rPr>
              <w:instrText xml:space="preserve"> PAGEREF _Toc129300221 \h </w:instrText>
            </w:r>
            <w:r w:rsidR="000B4424">
              <w:rPr>
                <w:webHidden/>
              </w:rPr>
            </w:r>
            <w:r w:rsidR="000B4424">
              <w:rPr>
                <w:webHidden/>
              </w:rPr>
              <w:fldChar w:fldCharType="separate"/>
            </w:r>
            <w:r w:rsidR="009A4BE6">
              <w:rPr>
                <w:webHidden/>
              </w:rPr>
              <w:t>2</w:t>
            </w:r>
            <w:r w:rsidR="000B4424">
              <w:rPr>
                <w:webHidden/>
              </w:rPr>
              <w:fldChar w:fldCharType="end"/>
            </w:r>
          </w:hyperlink>
        </w:p>
        <w:p w14:paraId="6D028906" w14:textId="58980788" w:rsidR="000B4424" w:rsidRDefault="0055037F" w:rsidP="00013077">
          <w:pPr>
            <w:pStyle w:val="TOC1"/>
            <w:rPr>
              <w:rFonts w:asciiTheme="minorHAnsi" w:eastAsiaTheme="minorEastAsia" w:hAnsiTheme="minorHAnsi"/>
              <w:kern w:val="0"/>
              <w:sz w:val="22"/>
              <w:lang w:val="en-GB" w:eastAsia="en-GB"/>
              <w14:ligatures w14:val="none"/>
            </w:rPr>
          </w:pPr>
          <w:hyperlink w:anchor="_Toc129300222" w:history="1">
            <w:r w:rsidR="000B4424" w:rsidRPr="006A4B34">
              <w:rPr>
                <w:rStyle w:val="Hyperlink"/>
              </w:rPr>
              <w:t>Evaluation of Value-Proposition</w:t>
            </w:r>
            <w:r w:rsidR="000B4424">
              <w:rPr>
                <w:webHidden/>
              </w:rPr>
              <w:tab/>
            </w:r>
            <w:r w:rsidR="000B4424">
              <w:rPr>
                <w:webHidden/>
              </w:rPr>
              <w:fldChar w:fldCharType="begin"/>
            </w:r>
            <w:r w:rsidR="000B4424">
              <w:rPr>
                <w:webHidden/>
              </w:rPr>
              <w:instrText xml:space="preserve"> PAGEREF _Toc129300222 \h </w:instrText>
            </w:r>
            <w:r w:rsidR="000B4424">
              <w:rPr>
                <w:webHidden/>
              </w:rPr>
            </w:r>
            <w:r w:rsidR="000B4424">
              <w:rPr>
                <w:webHidden/>
              </w:rPr>
              <w:fldChar w:fldCharType="separate"/>
            </w:r>
            <w:r w:rsidR="009A4BE6">
              <w:rPr>
                <w:webHidden/>
              </w:rPr>
              <w:t>3</w:t>
            </w:r>
            <w:r w:rsidR="000B4424">
              <w:rPr>
                <w:webHidden/>
              </w:rPr>
              <w:fldChar w:fldCharType="end"/>
            </w:r>
          </w:hyperlink>
        </w:p>
        <w:p w14:paraId="154FA457" w14:textId="776B92CF" w:rsidR="000B4424" w:rsidRDefault="0055037F" w:rsidP="00013077">
          <w:pPr>
            <w:pStyle w:val="TOC1"/>
            <w:rPr>
              <w:rFonts w:asciiTheme="minorHAnsi" w:eastAsiaTheme="minorEastAsia" w:hAnsiTheme="minorHAnsi"/>
              <w:kern w:val="0"/>
              <w:sz w:val="22"/>
              <w:lang w:val="en-GB" w:eastAsia="en-GB"/>
              <w14:ligatures w14:val="none"/>
            </w:rPr>
          </w:pPr>
          <w:hyperlink w:anchor="_Toc129300223" w:history="1">
            <w:r w:rsidR="000B4424" w:rsidRPr="006A4B34">
              <w:rPr>
                <w:rStyle w:val="Hyperlink"/>
              </w:rPr>
              <w:t>Academic theories and Industry-based examples:</w:t>
            </w:r>
            <w:r w:rsidR="000B4424">
              <w:rPr>
                <w:webHidden/>
              </w:rPr>
              <w:tab/>
            </w:r>
            <w:r w:rsidR="000B4424">
              <w:rPr>
                <w:webHidden/>
              </w:rPr>
              <w:fldChar w:fldCharType="begin"/>
            </w:r>
            <w:r w:rsidR="000B4424">
              <w:rPr>
                <w:webHidden/>
              </w:rPr>
              <w:instrText xml:space="preserve"> PAGEREF _Toc129300223 \h </w:instrText>
            </w:r>
            <w:r w:rsidR="000B4424">
              <w:rPr>
                <w:webHidden/>
              </w:rPr>
            </w:r>
            <w:r w:rsidR="000B4424">
              <w:rPr>
                <w:webHidden/>
              </w:rPr>
              <w:fldChar w:fldCharType="separate"/>
            </w:r>
            <w:r w:rsidR="009A4BE6">
              <w:rPr>
                <w:webHidden/>
              </w:rPr>
              <w:t>4</w:t>
            </w:r>
            <w:r w:rsidR="000B4424">
              <w:rPr>
                <w:webHidden/>
              </w:rPr>
              <w:fldChar w:fldCharType="end"/>
            </w:r>
          </w:hyperlink>
        </w:p>
        <w:p w14:paraId="2B606C82" w14:textId="4E236485" w:rsidR="000B4424" w:rsidRDefault="0055037F" w:rsidP="00013077">
          <w:pPr>
            <w:pStyle w:val="TOC1"/>
            <w:rPr>
              <w:rFonts w:asciiTheme="minorHAnsi" w:eastAsiaTheme="minorEastAsia" w:hAnsiTheme="minorHAnsi"/>
              <w:kern w:val="0"/>
              <w:sz w:val="22"/>
              <w:lang w:val="en-GB" w:eastAsia="en-GB"/>
              <w14:ligatures w14:val="none"/>
            </w:rPr>
          </w:pPr>
          <w:hyperlink w:anchor="_Toc129300224" w:history="1">
            <w:r w:rsidR="000B4424" w:rsidRPr="006A4B34">
              <w:rPr>
                <w:rStyle w:val="Hyperlink"/>
              </w:rPr>
              <w:t>Industry-based Example</w:t>
            </w:r>
            <w:r w:rsidR="000B4424">
              <w:rPr>
                <w:webHidden/>
              </w:rPr>
              <w:tab/>
            </w:r>
            <w:r w:rsidR="000B4424">
              <w:rPr>
                <w:webHidden/>
              </w:rPr>
              <w:fldChar w:fldCharType="begin"/>
            </w:r>
            <w:r w:rsidR="000B4424">
              <w:rPr>
                <w:webHidden/>
              </w:rPr>
              <w:instrText xml:space="preserve"> PAGEREF _Toc129300224 \h </w:instrText>
            </w:r>
            <w:r w:rsidR="000B4424">
              <w:rPr>
                <w:webHidden/>
              </w:rPr>
            </w:r>
            <w:r w:rsidR="000B4424">
              <w:rPr>
                <w:webHidden/>
              </w:rPr>
              <w:fldChar w:fldCharType="separate"/>
            </w:r>
            <w:r w:rsidR="009A4BE6">
              <w:rPr>
                <w:webHidden/>
              </w:rPr>
              <w:t>5</w:t>
            </w:r>
            <w:r w:rsidR="000B4424">
              <w:rPr>
                <w:webHidden/>
              </w:rPr>
              <w:fldChar w:fldCharType="end"/>
            </w:r>
          </w:hyperlink>
        </w:p>
        <w:p w14:paraId="2D2F74F8" w14:textId="606CEB91" w:rsidR="000B4424" w:rsidRDefault="0055037F" w:rsidP="00013077">
          <w:pPr>
            <w:pStyle w:val="TOC1"/>
            <w:rPr>
              <w:rFonts w:asciiTheme="minorHAnsi" w:eastAsiaTheme="minorEastAsia" w:hAnsiTheme="minorHAnsi"/>
              <w:kern w:val="0"/>
              <w:sz w:val="22"/>
              <w:lang w:val="en-GB" w:eastAsia="en-GB"/>
              <w14:ligatures w14:val="none"/>
            </w:rPr>
          </w:pPr>
          <w:hyperlink w:anchor="_Toc129300225" w:history="1">
            <w:r w:rsidR="000B4424" w:rsidRPr="006A4B34">
              <w:rPr>
                <w:rStyle w:val="Hyperlink"/>
              </w:rPr>
              <w:t>Conclusion</w:t>
            </w:r>
            <w:r w:rsidR="000B4424">
              <w:rPr>
                <w:webHidden/>
              </w:rPr>
              <w:tab/>
            </w:r>
            <w:r w:rsidR="000B4424">
              <w:rPr>
                <w:webHidden/>
              </w:rPr>
              <w:fldChar w:fldCharType="begin"/>
            </w:r>
            <w:r w:rsidR="000B4424">
              <w:rPr>
                <w:webHidden/>
              </w:rPr>
              <w:instrText xml:space="preserve"> PAGEREF _Toc129300225 \h </w:instrText>
            </w:r>
            <w:r w:rsidR="000B4424">
              <w:rPr>
                <w:webHidden/>
              </w:rPr>
            </w:r>
            <w:r w:rsidR="000B4424">
              <w:rPr>
                <w:webHidden/>
              </w:rPr>
              <w:fldChar w:fldCharType="separate"/>
            </w:r>
            <w:r w:rsidR="009A4BE6">
              <w:rPr>
                <w:webHidden/>
              </w:rPr>
              <w:t>8</w:t>
            </w:r>
            <w:r w:rsidR="000B4424">
              <w:rPr>
                <w:webHidden/>
              </w:rPr>
              <w:fldChar w:fldCharType="end"/>
            </w:r>
          </w:hyperlink>
        </w:p>
        <w:p w14:paraId="10A71B59" w14:textId="359768A0" w:rsidR="000B4424" w:rsidRDefault="0055037F" w:rsidP="00013077">
          <w:pPr>
            <w:pStyle w:val="TOC1"/>
            <w:rPr>
              <w:rFonts w:asciiTheme="minorHAnsi" w:eastAsiaTheme="minorEastAsia" w:hAnsiTheme="minorHAnsi"/>
              <w:kern w:val="0"/>
              <w:sz w:val="22"/>
              <w:lang w:val="en-GB" w:eastAsia="en-GB"/>
              <w14:ligatures w14:val="none"/>
            </w:rPr>
          </w:pPr>
          <w:hyperlink w:anchor="_Toc129300226" w:history="1">
            <w:r w:rsidR="000B4424" w:rsidRPr="006A4B34">
              <w:rPr>
                <w:rStyle w:val="Hyperlink"/>
              </w:rPr>
              <w:t>References</w:t>
            </w:r>
            <w:r w:rsidR="000B4424">
              <w:rPr>
                <w:webHidden/>
              </w:rPr>
              <w:tab/>
            </w:r>
            <w:r w:rsidR="000B4424">
              <w:rPr>
                <w:webHidden/>
              </w:rPr>
              <w:fldChar w:fldCharType="begin"/>
            </w:r>
            <w:r w:rsidR="000B4424">
              <w:rPr>
                <w:webHidden/>
              </w:rPr>
              <w:instrText xml:space="preserve"> PAGEREF _Toc129300226 \h </w:instrText>
            </w:r>
            <w:r w:rsidR="000B4424">
              <w:rPr>
                <w:webHidden/>
              </w:rPr>
            </w:r>
            <w:r w:rsidR="000B4424">
              <w:rPr>
                <w:webHidden/>
              </w:rPr>
              <w:fldChar w:fldCharType="separate"/>
            </w:r>
            <w:r w:rsidR="009A4BE6">
              <w:rPr>
                <w:webHidden/>
              </w:rPr>
              <w:t>9</w:t>
            </w:r>
            <w:r w:rsidR="000B4424">
              <w:rPr>
                <w:webHidden/>
              </w:rPr>
              <w:fldChar w:fldCharType="end"/>
            </w:r>
          </w:hyperlink>
        </w:p>
        <w:p w14:paraId="4406C9ED" w14:textId="75D0E338" w:rsidR="00781DC2" w:rsidRDefault="00781DC2">
          <w:r>
            <w:rPr>
              <w:b/>
              <w:bCs/>
              <w:noProof/>
            </w:rPr>
            <w:fldChar w:fldCharType="end"/>
          </w:r>
        </w:p>
      </w:sdtContent>
    </w:sdt>
    <w:p w14:paraId="537D55C0" w14:textId="77777777" w:rsidR="00781DC2" w:rsidRDefault="00781DC2">
      <w:pPr>
        <w:spacing w:line="259" w:lineRule="auto"/>
        <w:jc w:val="left"/>
        <w:rPr>
          <w:rFonts w:eastAsia="Times New Roman" w:cstheme="majorBidi"/>
          <w:b/>
          <w:sz w:val="28"/>
          <w:szCs w:val="32"/>
        </w:rPr>
      </w:pPr>
      <w:r>
        <w:rPr>
          <w:rFonts w:eastAsia="Times New Roman"/>
        </w:rPr>
        <w:br w:type="page"/>
      </w:r>
    </w:p>
    <w:p w14:paraId="0D244C16" w14:textId="77777777" w:rsidR="000C1AF2" w:rsidRDefault="000C1AF2" w:rsidP="00620442">
      <w:pPr>
        <w:pStyle w:val="Heading1"/>
        <w:rPr>
          <w:rFonts w:eastAsia="Times New Roman"/>
        </w:rPr>
        <w:sectPr w:rsidR="000C1AF2" w:rsidSect="00B2261B">
          <w:type w:val="continuous"/>
          <w:pgSz w:w="12240" w:h="15840"/>
          <w:pgMar w:top="1440" w:right="1440" w:bottom="1440" w:left="1440" w:header="720" w:footer="720" w:gutter="0"/>
          <w:pgNumType w:start="1"/>
          <w:cols w:space="720"/>
          <w:docGrid w:linePitch="360"/>
        </w:sectPr>
      </w:pPr>
    </w:p>
    <w:p w14:paraId="0A4F79A0" w14:textId="77777777" w:rsidR="00E71481" w:rsidRPr="00E71481" w:rsidRDefault="00D7452D" w:rsidP="0055037F">
      <w:pPr>
        <w:pStyle w:val="Heading1"/>
        <w:rPr>
          <w:rFonts w:eastAsia="Times New Roman"/>
        </w:rPr>
      </w:pPr>
      <w:bookmarkStart w:id="0" w:name="_Toc129300218"/>
      <w:r w:rsidRPr="00E71481">
        <w:rPr>
          <w:rFonts w:eastAsia="Times New Roman"/>
        </w:rPr>
        <w:lastRenderedPageBreak/>
        <w:t>Introduction</w:t>
      </w:r>
      <w:bookmarkEnd w:id="0"/>
      <w:r w:rsidRPr="00E71481">
        <w:rPr>
          <w:rFonts w:eastAsia="Times New Roman"/>
        </w:rPr>
        <w:t xml:space="preserve"> </w:t>
      </w:r>
    </w:p>
    <w:p w14:paraId="25F99E8E" w14:textId="6137CD18" w:rsidR="00D7452D" w:rsidRDefault="00D7452D" w:rsidP="0055037F">
      <w:r w:rsidRPr="00D7452D">
        <w:t>The COVID-19 pandemic has significantly changed the way people work and has forced organizations to adopt flexible working arrangements. As a result, many firms have implemented flexible working strategies to adapt to the pandemic and remain operational. This report aims to critically analyze and evaluate the benefits of implementing flexible working strategies in the organization, describe what the firm should consider in implementing flexible working to the employee workforce, evaluate strategies to promote employee engagement while implementing flexible working, and describe how the firm can evaluate employee value proposition to implement a pay structure.</w:t>
      </w:r>
    </w:p>
    <w:p w14:paraId="34C3FE97" w14:textId="5E0ABDC5" w:rsidR="00D976B2" w:rsidRDefault="00D976B2" w:rsidP="0055037F"/>
    <w:p w14:paraId="5D1F2361" w14:textId="57626EA0" w:rsidR="00D976B2" w:rsidRDefault="00D976B2" w:rsidP="0055037F"/>
    <w:p w14:paraId="763AE071" w14:textId="7B1F2240" w:rsidR="00D976B2" w:rsidRDefault="00D976B2" w:rsidP="0055037F"/>
    <w:p w14:paraId="7471F50C" w14:textId="203DE65D" w:rsidR="00D976B2" w:rsidRDefault="00D976B2" w:rsidP="0055037F"/>
    <w:p w14:paraId="01BB3636" w14:textId="35374E4A" w:rsidR="00D976B2" w:rsidRDefault="00D976B2" w:rsidP="0055037F"/>
    <w:p w14:paraId="25C34C0B" w14:textId="02E3639D" w:rsidR="00D976B2" w:rsidRDefault="00D976B2" w:rsidP="0055037F"/>
    <w:p w14:paraId="687135EE" w14:textId="08137F6C" w:rsidR="00D976B2" w:rsidRDefault="00D976B2" w:rsidP="0055037F"/>
    <w:p w14:paraId="6F0C0ED9" w14:textId="353FC0E5" w:rsidR="00D976B2" w:rsidRDefault="00D976B2" w:rsidP="0055037F"/>
    <w:p w14:paraId="69D7D54D" w14:textId="722837F4" w:rsidR="00D976B2" w:rsidRDefault="00D976B2" w:rsidP="0055037F"/>
    <w:p w14:paraId="0BF76F39" w14:textId="5CB27340" w:rsidR="00D976B2" w:rsidRDefault="00D976B2" w:rsidP="0055037F"/>
    <w:p w14:paraId="44FC535D" w14:textId="3A6355DB" w:rsidR="00D976B2" w:rsidRDefault="00D976B2" w:rsidP="0055037F"/>
    <w:p w14:paraId="0FE194CB" w14:textId="4CB9C04D" w:rsidR="00D976B2" w:rsidRDefault="00D976B2" w:rsidP="0055037F"/>
    <w:p w14:paraId="0D13314D" w14:textId="219FD32A" w:rsidR="00D976B2" w:rsidRDefault="00D976B2" w:rsidP="0055037F"/>
    <w:p w14:paraId="0B74A9EF" w14:textId="77777777" w:rsidR="00D976B2" w:rsidRPr="00D7452D" w:rsidRDefault="00D976B2" w:rsidP="0055037F"/>
    <w:p w14:paraId="74448699" w14:textId="77777777" w:rsidR="0068789A" w:rsidRPr="00620442" w:rsidRDefault="00D7452D" w:rsidP="0055037F">
      <w:pPr>
        <w:pStyle w:val="Heading1"/>
      </w:pPr>
      <w:bookmarkStart w:id="1" w:name="_Toc129300219"/>
      <w:r w:rsidRPr="00620442">
        <w:lastRenderedPageBreak/>
        <w:t>Benefits of implementing flexible working strategies</w:t>
      </w:r>
      <w:bookmarkEnd w:id="1"/>
      <w:r w:rsidRPr="00620442">
        <w:t xml:space="preserve"> </w:t>
      </w:r>
    </w:p>
    <w:p w14:paraId="03EC93B2" w14:textId="77777777" w:rsidR="00D7452D" w:rsidRPr="00D7452D" w:rsidRDefault="00D7452D" w:rsidP="0055037F">
      <w:r w:rsidRPr="00D7452D">
        <w:t>Flexible working arrangements are beneficial to organizations in several ways. According to Allen et al. (2015), implementing flexible working strategies can improve employee productivity, job satisfaction, and work-life balance. This is because flexible working allows employees to work at their most productive times and from locations that suit them. Furthermore, flexible working arrangements can help reduce absenteeism, as employees can work from home when they are unwell or have family responsibilities (Jawahar, 2016).</w:t>
      </w:r>
    </w:p>
    <w:p w14:paraId="25EACDBC" w14:textId="77777777" w:rsidR="00D7452D" w:rsidRPr="00D7452D" w:rsidRDefault="00D7452D" w:rsidP="0055037F">
      <w:r w:rsidRPr="00D7452D">
        <w:t>Additionally, flexible working arrangements can help organizations reduce their costs. For example, if employees work from home, the organization can reduce its office space, utilities, and equipment costs (Huang et al., 2021). Furthermore, flexible working arrangements can help organizations attract and retain talented employees who prefer a flexible work environment.</w:t>
      </w:r>
    </w:p>
    <w:p w14:paraId="3BE3765F" w14:textId="77777777" w:rsidR="0068789A" w:rsidRPr="00620442" w:rsidRDefault="00D7452D" w:rsidP="0055037F">
      <w:pPr>
        <w:pStyle w:val="Heading1"/>
      </w:pPr>
      <w:bookmarkStart w:id="2" w:name="_Toc129300220"/>
      <w:r w:rsidRPr="00620442">
        <w:t>What the firm should consider in implementing flexible working</w:t>
      </w:r>
      <w:bookmarkEnd w:id="2"/>
      <w:r w:rsidRPr="00620442">
        <w:t xml:space="preserve"> </w:t>
      </w:r>
    </w:p>
    <w:p w14:paraId="2040E285" w14:textId="77777777" w:rsidR="00D7452D" w:rsidRPr="007C0C56" w:rsidRDefault="00D7452D" w:rsidP="0055037F">
      <w:pPr>
        <w:rPr>
          <w:rFonts w:eastAsia="Times New Roman" w:cs="Times New Roman"/>
          <w:kern w:val="0"/>
          <w14:ligatures w14:val="none"/>
        </w:rPr>
      </w:pPr>
      <w:r w:rsidRPr="007C0C56">
        <w:rPr>
          <w:rFonts w:eastAsia="Times New Roman" w:cs="Times New Roman"/>
          <w:kern w:val="0"/>
          <w14:ligatures w14:val="none"/>
        </w:rPr>
        <w:t>When implementing flexible working arrangements, the firm should consider several factors. According to Wang et al. (2020), the firm should ensure that the employees have the necessary equipment and resources to work from home effectively. This includes providing employees with laptops, internet access, and software tools.</w:t>
      </w:r>
    </w:p>
    <w:p w14:paraId="743ED125" w14:textId="77777777" w:rsidR="00D7452D" w:rsidRPr="007C0C56" w:rsidRDefault="00D7452D" w:rsidP="0055037F">
      <w:pPr>
        <w:rPr>
          <w:rFonts w:eastAsia="Times New Roman" w:cs="Times New Roman"/>
          <w:kern w:val="0"/>
          <w14:ligatures w14:val="none"/>
        </w:rPr>
      </w:pPr>
      <w:r w:rsidRPr="007C0C56">
        <w:rPr>
          <w:rFonts w:eastAsia="Times New Roman" w:cs="Times New Roman"/>
          <w:kern w:val="0"/>
          <w14:ligatures w14:val="none"/>
        </w:rPr>
        <w:t>Furthermore, the firm should set clear expectations and guidelines for employees working from home, such as working hours, communication channels, and deadlines (Jawahar, 2016). The firm should also ensure that the employees have access to the necessary training and development opportunities to work effectively from home (Allen et al., 2015).</w:t>
      </w:r>
    </w:p>
    <w:p w14:paraId="28EA6790" w14:textId="77777777" w:rsidR="003234DF" w:rsidRPr="00620442" w:rsidRDefault="00D7452D" w:rsidP="0055037F">
      <w:pPr>
        <w:pStyle w:val="Heading1"/>
        <w:rPr>
          <w:rFonts w:ascii="Segoe UI" w:eastAsia="Times New Roman" w:hAnsi="Segoe UI" w:cs="Segoe UI"/>
          <w:kern w:val="0"/>
          <w14:ligatures w14:val="none"/>
        </w:rPr>
      </w:pPr>
      <w:bookmarkStart w:id="3" w:name="_Toc129300221"/>
      <w:r w:rsidRPr="00620442">
        <w:t>Strategies to promote employee engagement while implementing flexible working</w:t>
      </w:r>
      <w:bookmarkEnd w:id="3"/>
      <w:r w:rsidRPr="00620442">
        <w:rPr>
          <w:rFonts w:ascii="Segoe UI" w:eastAsia="Times New Roman" w:hAnsi="Segoe UI" w:cs="Segoe UI"/>
          <w:kern w:val="0"/>
          <w14:ligatures w14:val="none"/>
        </w:rPr>
        <w:t xml:space="preserve"> </w:t>
      </w:r>
    </w:p>
    <w:p w14:paraId="4393C12D" w14:textId="77777777" w:rsidR="00D7452D" w:rsidRPr="00D7452D" w:rsidRDefault="003234DF" w:rsidP="0055037F">
      <w:r>
        <w:t>F</w:t>
      </w:r>
      <w:r w:rsidR="00D7452D" w:rsidRPr="00D7452D">
        <w:t>lexible working arrangements can create challenges for employee engagement, as employees may feel isolated and disconnected from their colleagues and the organization. Therefore, the firm should implement strategies to promote employee engagement while implementing flexible working.</w:t>
      </w:r>
    </w:p>
    <w:p w14:paraId="1666A83A" w14:textId="77777777" w:rsidR="00D7452D" w:rsidRPr="00D7452D" w:rsidRDefault="00D7452D" w:rsidP="0055037F">
      <w:r w:rsidRPr="00D7452D">
        <w:t xml:space="preserve">One effective strategy is to foster a culture of communication and collaboration. This can be achieved by providing employees with the necessary communication tools, such as video </w:t>
      </w:r>
      <w:r w:rsidRPr="00D7452D">
        <w:lastRenderedPageBreak/>
        <w:t>conferencing software, and encouraging regular communication and collaboration among employees (Wang et al., 2020). Additionally, the firm can organize virtual team-building activities to promote social connections and reduce isolation among employees (Huang et al., 2021).</w:t>
      </w:r>
    </w:p>
    <w:p w14:paraId="7B507A7B" w14:textId="77777777" w:rsidR="00D7452D" w:rsidRDefault="00D7452D" w:rsidP="0055037F">
      <w:r w:rsidRPr="00D7452D">
        <w:t>Another strategy is to provide employees with opportunities for personal and professional development. This can include virtual training programs, mentoring, and coaching (Jawahar, 2016). These opportunities can help employees feel valued, invested in, and motivated to perform at their best.</w:t>
      </w:r>
    </w:p>
    <w:p w14:paraId="5977B07A" w14:textId="77777777" w:rsidR="00EB2C59" w:rsidRPr="00EB2C59" w:rsidRDefault="00EB2C59" w:rsidP="0055037F">
      <w:pPr>
        <w:rPr>
          <w:b/>
          <w:bCs/>
        </w:rPr>
      </w:pPr>
      <w:r w:rsidRPr="00EB2C59">
        <w:rPr>
          <w:b/>
          <w:bCs/>
        </w:rPr>
        <w:t xml:space="preserve">Discover a level of freedom that works </w:t>
      </w:r>
    </w:p>
    <w:p w14:paraId="5FBA1275" w14:textId="77777777" w:rsidR="00EB2C59" w:rsidRDefault="00EB2C59" w:rsidP="0055037F">
      <w:r>
        <w:t>"Flexibility" is a wide phrase that refers less to specific approaches and more to assessing your present working practices with a fresh perspective. In the end, how you make your company more adaptable will be determined by your industry, goals, and the demands of your employees and business. These are some examples of popular flexible work arrangements that may help your company:</w:t>
      </w:r>
    </w:p>
    <w:p w14:paraId="0063000E" w14:textId="77777777" w:rsidR="00EB2C59" w:rsidRDefault="00EB2C59" w:rsidP="0055037F">
      <w:r>
        <w:t>Flexible work hours: Workers work when it is most convenient for them. There should be no beginning and end times.</w:t>
      </w:r>
    </w:p>
    <w:p w14:paraId="03FBDF38" w14:textId="2C2CA36D" w:rsidR="00EB2C59" w:rsidRDefault="00EB2C59" w:rsidP="0055037F">
      <w:r>
        <w:t>Remote work, as we all know, allows employees to work from anywhere. A hybrid work approach, in which employees rotate between remote and onsite work, is more appropriate in some instances.</w:t>
      </w:r>
    </w:p>
    <w:p w14:paraId="70AF0D08" w14:textId="77777777" w:rsidR="00EB2C59" w:rsidRDefault="00EB2C59" w:rsidP="0055037F">
      <w:r>
        <w:t>Workweeks are compressed: employees work 40 hours each week.</w:t>
      </w:r>
    </w:p>
    <w:p w14:paraId="0693D3C3" w14:textId="77777777" w:rsidR="00B2261B" w:rsidRPr="00B2261B" w:rsidRDefault="00B2261B" w:rsidP="0055037F">
      <w:pPr>
        <w:pStyle w:val="Heading1"/>
      </w:pPr>
      <w:bookmarkStart w:id="4" w:name="_Toc129300222"/>
      <w:r w:rsidRPr="00B2261B">
        <w:t>Evaluation of Value</w:t>
      </w:r>
      <w:r w:rsidR="001E6DDA">
        <w:t>-</w:t>
      </w:r>
      <w:r w:rsidR="00466F2D">
        <w:t>Proposition</w:t>
      </w:r>
      <w:bookmarkEnd w:id="4"/>
    </w:p>
    <w:p w14:paraId="702F8A06" w14:textId="77777777" w:rsidR="00D7452D" w:rsidRPr="00D7452D" w:rsidRDefault="00D7452D" w:rsidP="0055037F">
      <w:r w:rsidRPr="00D7452D">
        <w:t>Evaluating employee value proposition to implement a pay structure The employee value proposition (EVP) refers to the total rewards that an organization offers to its employees in exchange for their skills and contributions (</w:t>
      </w:r>
      <w:proofErr w:type="spellStart"/>
      <w:r w:rsidRPr="00D7452D">
        <w:t>Rynes</w:t>
      </w:r>
      <w:proofErr w:type="spellEnd"/>
      <w:r w:rsidRPr="00D7452D">
        <w:t xml:space="preserve"> et al., 2012). To implement a pay structure that aligns with the EVP, the firm should evaluate the key elements of the EVP, such as compensation, benefits, and career development opportunities.</w:t>
      </w:r>
    </w:p>
    <w:p w14:paraId="6ACEEC22" w14:textId="77777777" w:rsidR="00D7452D" w:rsidRPr="00D7452D" w:rsidRDefault="00D7452D" w:rsidP="0055037F">
      <w:r w:rsidRPr="00D7452D">
        <w:t xml:space="preserve">According to </w:t>
      </w:r>
      <w:proofErr w:type="spellStart"/>
      <w:r w:rsidRPr="00D7452D">
        <w:t>Rynes</w:t>
      </w:r>
      <w:proofErr w:type="spellEnd"/>
      <w:r w:rsidRPr="00D7452D">
        <w:t xml:space="preserve"> et al. (2012), the firm should conduct a thorough analysis of the external market to ensure that its compensation packages are competitive and attractive to potential and current employees. Additionally, the firm should consider offering a range of benefits, such as </w:t>
      </w:r>
      <w:r w:rsidRPr="00D7452D">
        <w:lastRenderedPageBreak/>
        <w:t>health insurance, retirement plans, and paid time off, to meet the diverse needs and preferences of its employees.</w:t>
      </w:r>
    </w:p>
    <w:p w14:paraId="1F45BA2E" w14:textId="77777777" w:rsidR="00E71481" w:rsidRDefault="00D7452D" w:rsidP="0055037F">
      <w:r w:rsidRPr="00D7452D">
        <w:t>Moreover, the firm should offer career development opportunities, such as training programs and mentoring</w:t>
      </w:r>
      <w:r w:rsidR="003234DF">
        <w:t xml:space="preserve"> the employees in their job activities.</w:t>
      </w:r>
    </w:p>
    <w:p w14:paraId="51044ADB" w14:textId="77777777" w:rsidR="00324040" w:rsidRPr="001E3041" w:rsidRDefault="00D51201" w:rsidP="0055037F">
      <w:pPr>
        <w:pStyle w:val="Heading1"/>
      </w:pPr>
      <w:bookmarkStart w:id="5" w:name="_Toc129300223"/>
      <w:r w:rsidRPr="001E3041">
        <w:t>Academic theories and Industry-based examples:</w:t>
      </w:r>
      <w:bookmarkEnd w:id="5"/>
    </w:p>
    <w:p w14:paraId="2CB88CBA" w14:textId="77777777" w:rsidR="00324040" w:rsidRPr="00324040" w:rsidRDefault="00324040" w:rsidP="0055037F">
      <w:r w:rsidRPr="00324040">
        <w:t xml:space="preserve">According to Allen and Golden (2007), the social exchange theory suggests that employees who are given the opportunity to work flexibly experience a positive work environment, which can lead to increased employee loyalty and commitment. Similarly, the job demand-control theory proposed by </w:t>
      </w:r>
      <w:proofErr w:type="spellStart"/>
      <w:r w:rsidRPr="00324040">
        <w:t>Karasek</w:t>
      </w:r>
      <w:proofErr w:type="spellEnd"/>
      <w:r w:rsidRPr="00324040">
        <w:t xml:space="preserve"> (1979) suggests that providing employees with control over their work environment can lead to reduced stress levels and improved mental and physical health.</w:t>
      </w:r>
    </w:p>
    <w:p w14:paraId="3EFB74E4" w14:textId="77777777" w:rsidR="00324040" w:rsidRPr="00324040" w:rsidRDefault="00324040" w:rsidP="0055037F">
      <w:r w:rsidRPr="00324040">
        <w:t>Industry-based examples of successful implementation of flexible working arrangements include Microsoft, which implemented a "</w:t>
      </w:r>
      <w:proofErr w:type="spellStart"/>
      <w:r w:rsidRPr="00324040">
        <w:t>Flexwork</w:t>
      </w:r>
      <w:proofErr w:type="spellEnd"/>
      <w:r w:rsidRPr="00324040">
        <w:t>" policy allowing its employees to work remotely up to two days a week (Microsoft, 2021). This policy has led to increased employee satisfaction and productivity, as reported by Microsoft (Kearney, 2021). Another example is Google, which provides employees with the necessary technology and equipment to work remotely, leading to reduced overhead costs and increased productivity (Google, 2021).</w:t>
      </w:r>
    </w:p>
    <w:p w14:paraId="4FC026F1" w14:textId="77777777" w:rsidR="00324040" w:rsidRPr="00324040" w:rsidRDefault="00324040" w:rsidP="0055037F">
      <w:r w:rsidRPr="00324040">
        <w:t>In the context of COVID-19, several companies have also implemented flexible working arrangements to ensure business continuity and the safety of employees. For example, Cisco Systems implemented a remote working policy during the pandemic, which allowed its employees to work from home and maintain social distancing (Cisco, 2021). This policy led to increased employee satisfaction and productivity, as reported by Cisco (Maddox, 2020). Another example is Salesforce, which implemented a Work.com platform to help companies manage their workforce during the pandemic by providing tools for remote work, employee wellness checks, and contact tracing (Salesforce, 2021).</w:t>
      </w:r>
    </w:p>
    <w:p w14:paraId="19A2DCC5" w14:textId="77777777" w:rsidR="00324040" w:rsidRDefault="00324040" w:rsidP="0055037F">
      <w:r w:rsidRPr="00324040">
        <w:t xml:space="preserve">Overall, academic theories and industry-based examples suggest that flexible working arrangements can have a positive impact on employee well-being, satisfaction, and productivity, while also benefiting the organization in terms of reduced overhead costs and improved business continuity. It is important for organizations to consider the specific needs and preferences of their </w:t>
      </w:r>
      <w:r w:rsidRPr="00324040">
        <w:lastRenderedPageBreak/>
        <w:t>employees when implementing flexible working arrangements, as well as to provide the necessary technology and equipment to ensure effective communication and collaboration.</w:t>
      </w:r>
    </w:p>
    <w:p w14:paraId="17FC36A7" w14:textId="77777777" w:rsidR="00EB2C59" w:rsidRPr="00EB2C59" w:rsidRDefault="00EB2C59" w:rsidP="0055037F">
      <w:pPr>
        <w:rPr>
          <w:b/>
          <w:bCs/>
        </w:rPr>
      </w:pPr>
      <w:r w:rsidRPr="00EB2C59">
        <w:rPr>
          <w:b/>
          <w:bCs/>
        </w:rPr>
        <w:t xml:space="preserve">Encourage trust at all levels </w:t>
      </w:r>
      <w:r>
        <w:rPr>
          <w:b/>
          <w:bCs/>
        </w:rPr>
        <w:t>of the organization</w:t>
      </w:r>
    </w:p>
    <w:p w14:paraId="41C96A47" w14:textId="505E3D65" w:rsidR="00EB2C59" w:rsidRPr="00EB2C59" w:rsidRDefault="00EB2C59" w:rsidP="0055037F">
      <w:r w:rsidRPr="00EB2C59">
        <w:t>Without trust, all of your efforts to create a flexible work environment would be futile. Trust should be the cornerstone of your work culture, and it should not be limited to managers' perceptions of their workers. Team members must also be able to trust their supervisors, human resources personnel, upper-level executives, and one another. Collaboration, openness, and creativity can only thrive in an environment where workplace connections are robust</w:t>
      </w:r>
      <w:r w:rsidR="00801D1B" w:rsidRPr="00801D1B">
        <w:t xml:space="preserve"> (Allen et al., 2015)</w:t>
      </w:r>
      <w:r w:rsidRPr="00EB2C59">
        <w:t>. Supervisors' trust empowers your staff to work how, when, and where they choose. When managers' trust is returned, they feel more empowered to lead their employees in the proper way.</w:t>
      </w:r>
    </w:p>
    <w:p w14:paraId="6C9BAD64" w14:textId="5DC23D43" w:rsidR="00466F2D" w:rsidRPr="00801D1B" w:rsidRDefault="00EB2C59" w:rsidP="0055037F">
      <w:r w:rsidRPr="00EB2C59">
        <w:t>Establishing trust begins with hiring. The more certain you are that a new recruit will provide the desired results,</w:t>
      </w:r>
    </w:p>
    <w:p w14:paraId="2B57BF34" w14:textId="77777777" w:rsidR="00EB2C59" w:rsidRPr="00EB2C59" w:rsidRDefault="00EB2C59" w:rsidP="0055037F">
      <w:pPr>
        <w:rPr>
          <w:b/>
          <w:bCs/>
        </w:rPr>
      </w:pPr>
      <w:r w:rsidRPr="00EB2C59">
        <w:rPr>
          <w:b/>
          <w:bCs/>
        </w:rPr>
        <w:t>Managers should be trained.</w:t>
      </w:r>
    </w:p>
    <w:p w14:paraId="604EFAB1" w14:textId="7BAD5616" w:rsidR="00EB2C59" w:rsidRPr="00EB2C59" w:rsidRDefault="00EB2C59" w:rsidP="0055037F">
      <w:r w:rsidRPr="00EB2C59">
        <w:t>Even after a year of remote work, some managers may still struggle to successfully manage their employees from outside the office. The abrupt change was daunting, and there wasn't much time for direction before management w</w:t>
      </w:r>
      <w:r w:rsidR="00466F2D">
        <w:t>as</w:t>
      </w:r>
      <w:r w:rsidRPr="00EB2C59">
        <w:t xml:space="preserve"> obliged to deal with this new scenario. But, you can now be smart</w:t>
      </w:r>
      <w:r w:rsidR="00466F2D">
        <w:t>er</w:t>
      </w:r>
      <w:r w:rsidRPr="00EB2C59">
        <w:t xml:space="preserve"> about establishing flexible working policies, and educating your managers is an important element of that</w:t>
      </w:r>
      <w:r w:rsidR="00CF229D">
        <w:t xml:space="preserve"> </w:t>
      </w:r>
      <w:r w:rsidR="00CF229D" w:rsidRPr="00CF229D">
        <w:t xml:space="preserve"> (</w:t>
      </w:r>
      <w:proofErr w:type="spellStart"/>
      <w:r w:rsidR="00CF229D" w:rsidRPr="00CF229D">
        <w:t>Rynes</w:t>
      </w:r>
      <w:proofErr w:type="spellEnd"/>
      <w:r w:rsidR="00CF229D" w:rsidRPr="00CF229D">
        <w:t xml:space="preserve"> et al., 2012)</w:t>
      </w:r>
      <w:r w:rsidR="00CF229D">
        <w:t xml:space="preserve">. </w:t>
      </w:r>
    </w:p>
    <w:p w14:paraId="50F4391C" w14:textId="77777777" w:rsidR="001E3041" w:rsidRDefault="00EB2C59" w:rsidP="0055037F">
      <w:r w:rsidRPr="00EB2C59">
        <w:t>Managers who lack training may be unsure of how to teach staff or impose a fair amount of accountability. This might result in either a fully hands-off approach or micromanagement. Neither is good for staff morale, and the team's success rate will suffer as a result. Communication is essential to</w:t>
      </w:r>
      <w:r>
        <w:t xml:space="preserve"> implement this technique.</w:t>
      </w:r>
    </w:p>
    <w:p w14:paraId="443FB4B9" w14:textId="77777777" w:rsidR="00D23921" w:rsidRPr="00D23921" w:rsidRDefault="00D23921" w:rsidP="0055037F">
      <w:pPr>
        <w:pStyle w:val="Heading1"/>
      </w:pPr>
      <w:bookmarkStart w:id="6" w:name="_Toc129300224"/>
      <w:r w:rsidRPr="00D23921">
        <w:t>Industry-based Example</w:t>
      </w:r>
      <w:bookmarkEnd w:id="6"/>
    </w:p>
    <w:p w14:paraId="5B04F6F8" w14:textId="77777777" w:rsidR="00D23921" w:rsidRDefault="00D23921" w:rsidP="0055037F">
      <w:r w:rsidRPr="00D23921">
        <w:t>let's take the example of Vodafone UK, a leading telecommunications company in the UK. Vodafone UK has implemented several flexible working arrangements for its employees, including remote work, flexible hours, and job sharing.</w:t>
      </w:r>
    </w:p>
    <w:p w14:paraId="0435BFAE" w14:textId="77777777" w:rsidR="001547D0" w:rsidRPr="00D23921" w:rsidRDefault="001547D0" w:rsidP="0055037F"/>
    <w:p w14:paraId="68837929" w14:textId="77777777" w:rsidR="00D23921" w:rsidRPr="00D23921" w:rsidRDefault="00D23921" w:rsidP="0055037F">
      <w:pPr>
        <w:rPr>
          <w:b/>
          <w:bCs/>
        </w:rPr>
      </w:pPr>
      <w:r w:rsidRPr="00D23921">
        <w:rPr>
          <w:b/>
          <w:bCs/>
        </w:rPr>
        <w:lastRenderedPageBreak/>
        <w:t>Benefits of Flexible Working at Vodafone UK:</w:t>
      </w:r>
    </w:p>
    <w:p w14:paraId="16CBF768" w14:textId="77777777" w:rsidR="00D23921" w:rsidRPr="00D23921" w:rsidRDefault="00D23921" w:rsidP="0055037F">
      <w:pPr>
        <w:pStyle w:val="ListParagraph"/>
        <w:numPr>
          <w:ilvl w:val="0"/>
          <w:numId w:val="15"/>
        </w:numPr>
      </w:pPr>
      <w:r w:rsidRPr="00D23921">
        <w:t>Improved work-life balance for employees</w:t>
      </w:r>
    </w:p>
    <w:p w14:paraId="29DF1EA2" w14:textId="77777777" w:rsidR="00D23921" w:rsidRPr="00D23921" w:rsidRDefault="00D23921" w:rsidP="0055037F">
      <w:pPr>
        <w:pStyle w:val="ListParagraph"/>
        <w:numPr>
          <w:ilvl w:val="0"/>
          <w:numId w:val="15"/>
        </w:numPr>
      </w:pPr>
      <w:r w:rsidRPr="00D23921">
        <w:t>Increased employee satisfaction and retention</w:t>
      </w:r>
    </w:p>
    <w:p w14:paraId="6FA6FC20" w14:textId="77777777" w:rsidR="00D23921" w:rsidRPr="00D23921" w:rsidRDefault="00D23921" w:rsidP="0055037F">
      <w:pPr>
        <w:pStyle w:val="ListParagraph"/>
        <w:numPr>
          <w:ilvl w:val="0"/>
          <w:numId w:val="15"/>
        </w:numPr>
      </w:pPr>
      <w:r w:rsidRPr="00D23921">
        <w:t>Reduced overhead costs for the company</w:t>
      </w:r>
    </w:p>
    <w:p w14:paraId="74233834" w14:textId="77777777" w:rsidR="00D23921" w:rsidRPr="00D23921" w:rsidRDefault="00D23921" w:rsidP="0055037F">
      <w:pPr>
        <w:pStyle w:val="ListParagraph"/>
        <w:numPr>
          <w:ilvl w:val="0"/>
          <w:numId w:val="15"/>
        </w:numPr>
      </w:pPr>
      <w:r w:rsidRPr="00D23921">
        <w:t>Increased productivity and efficiency</w:t>
      </w:r>
    </w:p>
    <w:p w14:paraId="06302857" w14:textId="77777777" w:rsidR="00D23921" w:rsidRPr="00D23921" w:rsidRDefault="00D23921" w:rsidP="0055037F">
      <w:pPr>
        <w:pStyle w:val="ListParagraph"/>
        <w:numPr>
          <w:ilvl w:val="0"/>
          <w:numId w:val="15"/>
        </w:numPr>
      </w:pPr>
      <w:r w:rsidRPr="00D23921">
        <w:t>Access to a wider talent pool, as employees can work from anywhere</w:t>
      </w:r>
    </w:p>
    <w:p w14:paraId="0088586B" w14:textId="77777777" w:rsidR="00D23921" w:rsidRPr="00D23921" w:rsidRDefault="00D23921" w:rsidP="0055037F">
      <w:pPr>
        <w:rPr>
          <w:b/>
          <w:bCs/>
        </w:rPr>
      </w:pPr>
      <w:r w:rsidRPr="00D23921">
        <w:rPr>
          <w:b/>
          <w:bCs/>
        </w:rPr>
        <w:t>Considerations in Implementation:</w:t>
      </w:r>
    </w:p>
    <w:p w14:paraId="09B4A6F0" w14:textId="34BD9D2E" w:rsidR="00D23921" w:rsidRPr="00D23921" w:rsidRDefault="00D23921" w:rsidP="0055037F">
      <w:pPr>
        <w:pStyle w:val="ListParagraph"/>
        <w:numPr>
          <w:ilvl w:val="0"/>
          <w:numId w:val="14"/>
        </w:numPr>
      </w:pPr>
      <w:r w:rsidRPr="00D23921">
        <w:t xml:space="preserve">Ensuring that all employees have access to the necessary technology and equipment to work </w:t>
      </w:r>
      <w:r w:rsidR="00C62E7C">
        <w:t xml:space="preserve">remotely </w:t>
      </w:r>
      <w:r w:rsidR="00C62E7C" w:rsidRPr="00C62E7C">
        <w:t>(</w:t>
      </w:r>
      <w:proofErr w:type="spellStart"/>
      <w:r w:rsidR="00C62E7C" w:rsidRPr="00C62E7C">
        <w:t>Rynes</w:t>
      </w:r>
      <w:proofErr w:type="spellEnd"/>
      <w:r w:rsidR="00C62E7C" w:rsidRPr="00C62E7C">
        <w:t xml:space="preserve"> et al., 2012)</w:t>
      </w:r>
      <w:r w:rsidR="00C62E7C">
        <w:t xml:space="preserve">. </w:t>
      </w:r>
    </w:p>
    <w:p w14:paraId="72750327" w14:textId="77777777" w:rsidR="00D23921" w:rsidRPr="00D23921" w:rsidRDefault="00D23921" w:rsidP="0055037F">
      <w:pPr>
        <w:pStyle w:val="ListParagraph"/>
        <w:numPr>
          <w:ilvl w:val="0"/>
          <w:numId w:val="14"/>
        </w:numPr>
      </w:pPr>
      <w:r w:rsidRPr="00D23921">
        <w:t>Establishing clear communication channels to ensure that remote employees feel connected to the rest of the team</w:t>
      </w:r>
    </w:p>
    <w:p w14:paraId="3852713B" w14:textId="7BF8FB83" w:rsidR="00466F2D" w:rsidRPr="00801D1B" w:rsidRDefault="00D23921" w:rsidP="0055037F">
      <w:pPr>
        <w:pStyle w:val="ListParagraph"/>
        <w:numPr>
          <w:ilvl w:val="0"/>
          <w:numId w:val="14"/>
        </w:numPr>
      </w:pPr>
      <w:r w:rsidRPr="00D23921">
        <w:t>Setting clear expectations and guidelines for remote work, such as availability and communication protocols</w:t>
      </w:r>
    </w:p>
    <w:p w14:paraId="4DCEB176" w14:textId="77777777" w:rsidR="00D23921" w:rsidRPr="00D23921" w:rsidRDefault="00D23921" w:rsidP="0055037F">
      <w:pPr>
        <w:rPr>
          <w:b/>
          <w:bCs/>
        </w:rPr>
      </w:pPr>
      <w:r w:rsidRPr="00D23921">
        <w:rPr>
          <w:b/>
          <w:bCs/>
        </w:rPr>
        <w:t>Implementation Strategies:</w:t>
      </w:r>
    </w:p>
    <w:p w14:paraId="0D7ACB38" w14:textId="77777777" w:rsidR="00D23921" w:rsidRPr="00D23921" w:rsidRDefault="00D23921" w:rsidP="0055037F">
      <w:pPr>
        <w:pStyle w:val="ListParagraph"/>
        <w:numPr>
          <w:ilvl w:val="0"/>
          <w:numId w:val="13"/>
        </w:numPr>
      </w:pPr>
      <w:r w:rsidRPr="00D23921">
        <w:t>Providing employees with the necessary technology and equipment to work remotely, including laptops, mobile phones, and other communication tools</w:t>
      </w:r>
    </w:p>
    <w:p w14:paraId="3AD2E488" w14:textId="60C0E5E7" w:rsidR="00D23921" w:rsidRPr="00D23921" w:rsidRDefault="00D23921" w:rsidP="0055037F">
      <w:pPr>
        <w:pStyle w:val="ListParagraph"/>
        <w:numPr>
          <w:ilvl w:val="0"/>
          <w:numId w:val="13"/>
        </w:numPr>
      </w:pPr>
      <w:r w:rsidRPr="00D23921">
        <w:t>Establishing clear communication channels, such as video conferencing and messaging platforms, to keep remote employees connected to the rest of the team</w:t>
      </w:r>
    </w:p>
    <w:p w14:paraId="4796104B" w14:textId="77777777" w:rsidR="00D23921" w:rsidRPr="00D23921" w:rsidRDefault="00D23921" w:rsidP="0055037F">
      <w:pPr>
        <w:pStyle w:val="ListParagraph"/>
        <w:numPr>
          <w:ilvl w:val="0"/>
          <w:numId w:val="13"/>
        </w:numPr>
      </w:pPr>
      <w:r w:rsidRPr="00D23921">
        <w:t>Offering flexible hours and job sharing arrangements to allow employees to work when it suits them best</w:t>
      </w:r>
    </w:p>
    <w:p w14:paraId="62FBF3BF" w14:textId="77777777" w:rsidR="00D23921" w:rsidRPr="00D23921" w:rsidRDefault="00D23921" w:rsidP="0055037F">
      <w:pPr>
        <w:pStyle w:val="ListParagraph"/>
        <w:numPr>
          <w:ilvl w:val="0"/>
          <w:numId w:val="13"/>
        </w:numPr>
      </w:pPr>
      <w:r w:rsidRPr="00D23921">
        <w:t>Providing training and support to help employees manage their time and workload effectively when working remotely</w:t>
      </w:r>
    </w:p>
    <w:p w14:paraId="76C2D2CE" w14:textId="77777777" w:rsidR="00D23921" w:rsidRPr="00D23921" w:rsidRDefault="00D23921" w:rsidP="0055037F">
      <w:pPr>
        <w:rPr>
          <w:b/>
          <w:bCs/>
        </w:rPr>
      </w:pPr>
      <w:r w:rsidRPr="00D23921">
        <w:rPr>
          <w:b/>
          <w:bCs/>
        </w:rPr>
        <w:t>Evaluation of Value Proposition:</w:t>
      </w:r>
    </w:p>
    <w:p w14:paraId="2B1E22AC" w14:textId="77777777" w:rsidR="00D23921" w:rsidRPr="00D23921" w:rsidRDefault="00D23921" w:rsidP="0055037F">
      <w:pPr>
        <w:pStyle w:val="ListParagraph"/>
        <w:numPr>
          <w:ilvl w:val="0"/>
          <w:numId w:val="16"/>
        </w:numPr>
      </w:pPr>
      <w:r w:rsidRPr="00D23921">
        <w:t>Increased employee satisfaction and retention can lead to reduced recruitment costs and a more motivated workforce.</w:t>
      </w:r>
    </w:p>
    <w:p w14:paraId="3E24E173" w14:textId="77777777" w:rsidR="00D23921" w:rsidRPr="00D23921" w:rsidRDefault="00D23921" w:rsidP="0055037F">
      <w:pPr>
        <w:pStyle w:val="ListParagraph"/>
        <w:numPr>
          <w:ilvl w:val="0"/>
          <w:numId w:val="16"/>
        </w:numPr>
      </w:pPr>
      <w:r w:rsidRPr="00D23921">
        <w:t>Reduced overhead costs can lead to increased profitability for the company.</w:t>
      </w:r>
    </w:p>
    <w:p w14:paraId="27E9BEC3" w14:textId="77777777" w:rsidR="00D23921" w:rsidRPr="00D23921" w:rsidRDefault="00D23921" w:rsidP="0055037F">
      <w:pPr>
        <w:pStyle w:val="ListParagraph"/>
        <w:numPr>
          <w:ilvl w:val="0"/>
          <w:numId w:val="16"/>
        </w:numPr>
      </w:pPr>
      <w:r w:rsidRPr="00D23921">
        <w:t>Increased productivity and efficiency can lead to improved customer satisfaction and business success.</w:t>
      </w:r>
    </w:p>
    <w:p w14:paraId="4D480B57" w14:textId="55F62E53" w:rsidR="00324040" w:rsidRDefault="00D23921" w:rsidP="0055037F">
      <w:r w:rsidRPr="00D23921">
        <w:lastRenderedPageBreak/>
        <w:t>In conclusion, Vodafone UK has successfully implemented flexible working arrangements for its employees, leading to several benefits for both the employees and the company</w:t>
      </w:r>
      <w:r w:rsidR="00C87B12">
        <w:t xml:space="preserve"> </w:t>
      </w:r>
      <w:r w:rsidR="00C87B12" w:rsidRPr="00C87B12">
        <w:t>(Huang et al., 2021)</w:t>
      </w:r>
      <w:r w:rsidRPr="00D23921">
        <w:t>. By providing the necessary technology and equipment, establishing clear communication channels, and offering flexible hours and job sharing arrangements, Vodafone UK has created a supportive and productive work environment. This has resulted in increased employee satisfaction, reduced overhead costs, and improved business success</w:t>
      </w:r>
    </w:p>
    <w:p w14:paraId="2E8EFFBC" w14:textId="77777777" w:rsidR="00F544A1" w:rsidRDefault="00F544A1" w:rsidP="0055037F"/>
    <w:p w14:paraId="71667562" w14:textId="77777777" w:rsidR="00F544A1" w:rsidRDefault="00F544A1" w:rsidP="0055037F"/>
    <w:p w14:paraId="560FBF4A" w14:textId="77777777" w:rsidR="00F544A1" w:rsidRDefault="00F544A1" w:rsidP="0055037F"/>
    <w:p w14:paraId="4E260034" w14:textId="77777777" w:rsidR="00F544A1" w:rsidRDefault="00F544A1" w:rsidP="0055037F"/>
    <w:p w14:paraId="1F4252AB" w14:textId="77777777" w:rsidR="00F544A1" w:rsidRDefault="00F544A1" w:rsidP="0055037F"/>
    <w:p w14:paraId="605F4832" w14:textId="77777777" w:rsidR="00F544A1" w:rsidRDefault="00F544A1" w:rsidP="0055037F"/>
    <w:p w14:paraId="3675D8BA" w14:textId="77777777" w:rsidR="00F544A1" w:rsidRDefault="00F544A1" w:rsidP="0055037F"/>
    <w:p w14:paraId="3424996B" w14:textId="77777777" w:rsidR="00F544A1" w:rsidRDefault="00F544A1" w:rsidP="0055037F"/>
    <w:p w14:paraId="052A176E" w14:textId="77777777" w:rsidR="00F544A1" w:rsidRDefault="00F544A1" w:rsidP="0055037F"/>
    <w:p w14:paraId="67153577" w14:textId="77777777" w:rsidR="00F544A1" w:rsidRDefault="00F544A1" w:rsidP="0055037F"/>
    <w:p w14:paraId="34900271" w14:textId="77777777" w:rsidR="00F544A1" w:rsidRDefault="00F544A1" w:rsidP="0055037F"/>
    <w:p w14:paraId="7E7F0A7E" w14:textId="77777777" w:rsidR="00F544A1" w:rsidRDefault="00F544A1" w:rsidP="0055037F"/>
    <w:p w14:paraId="37477791" w14:textId="77777777" w:rsidR="00F544A1" w:rsidRDefault="00F544A1" w:rsidP="0055037F"/>
    <w:p w14:paraId="2AFD2FB0" w14:textId="77777777" w:rsidR="00F544A1" w:rsidRDefault="00F544A1" w:rsidP="0055037F"/>
    <w:p w14:paraId="20C0E9B3" w14:textId="77777777" w:rsidR="00F544A1" w:rsidRDefault="00F544A1" w:rsidP="0055037F"/>
    <w:p w14:paraId="60EB5FA5" w14:textId="77777777" w:rsidR="00F544A1" w:rsidRDefault="00F544A1" w:rsidP="0055037F"/>
    <w:p w14:paraId="6852C9E4" w14:textId="77777777" w:rsidR="00F544A1" w:rsidRPr="001E3041" w:rsidRDefault="00F544A1" w:rsidP="0055037F"/>
    <w:p w14:paraId="5FE7F3E7" w14:textId="77777777" w:rsidR="003234DF" w:rsidRPr="00466F2D" w:rsidRDefault="003234DF" w:rsidP="0055037F">
      <w:pPr>
        <w:pStyle w:val="Heading1"/>
      </w:pPr>
      <w:bookmarkStart w:id="7" w:name="_Toc129300225"/>
      <w:r w:rsidRPr="00466F2D">
        <w:lastRenderedPageBreak/>
        <w:t>Conclusion</w:t>
      </w:r>
      <w:bookmarkEnd w:id="7"/>
    </w:p>
    <w:p w14:paraId="6084C2F4" w14:textId="77777777" w:rsidR="003234DF" w:rsidRDefault="003234DF" w:rsidP="0055037F">
      <w:r w:rsidRPr="003234DF">
        <w:t>Flexible working arrangements have become increasingly important in the wake of the COVID-19 pandemic. Implementing flexible working can bring several benefits to organi</w:t>
      </w:r>
      <w:r>
        <w:t>z</w:t>
      </w:r>
      <w:r w:rsidRPr="003234DF">
        <w:t>ations, including increased employee satisfaction, improved productivity, and greater resilience in times of crisis. However, it is important to implement flexible working arrangements effectively by identifying suitable roles, having clear policies and procedures, and promoting employee engagement. To implement</w:t>
      </w:r>
    </w:p>
    <w:p w14:paraId="047409C1" w14:textId="77777777" w:rsidR="00F430A2" w:rsidRDefault="00F430A2" w:rsidP="0055037F">
      <w:pPr>
        <w:pStyle w:val="Heading1"/>
      </w:pPr>
      <w:bookmarkStart w:id="8" w:name="_Toc129300226"/>
    </w:p>
    <w:p w14:paraId="289DEDC8" w14:textId="4408B34B" w:rsidR="00F430A2" w:rsidRDefault="00F430A2" w:rsidP="0055037F">
      <w:pPr>
        <w:pStyle w:val="Heading1"/>
      </w:pPr>
    </w:p>
    <w:p w14:paraId="1CD31A44" w14:textId="69A36A42" w:rsidR="006664C2" w:rsidRDefault="006664C2" w:rsidP="0055037F"/>
    <w:p w14:paraId="3D3051B9" w14:textId="01BC07B1" w:rsidR="006664C2" w:rsidRDefault="006664C2" w:rsidP="0055037F"/>
    <w:p w14:paraId="257FD0D8" w14:textId="337BA326" w:rsidR="006664C2" w:rsidRDefault="006664C2" w:rsidP="0055037F"/>
    <w:p w14:paraId="357B4642" w14:textId="77777777" w:rsidR="001547D0" w:rsidRDefault="001547D0" w:rsidP="0055037F"/>
    <w:p w14:paraId="0CE0A382" w14:textId="77777777" w:rsidR="001547D0" w:rsidRDefault="001547D0" w:rsidP="0055037F"/>
    <w:p w14:paraId="4CE52D43" w14:textId="77777777" w:rsidR="001547D0" w:rsidRDefault="001547D0" w:rsidP="0055037F"/>
    <w:p w14:paraId="292EA785" w14:textId="77777777" w:rsidR="006664C2" w:rsidRPr="006664C2" w:rsidRDefault="006664C2" w:rsidP="0055037F"/>
    <w:p w14:paraId="22DB03EF" w14:textId="4732A3FE" w:rsidR="00F430A2" w:rsidRDefault="00F430A2" w:rsidP="0055037F"/>
    <w:p w14:paraId="3861551F" w14:textId="77777777" w:rsidR="00F544A1" w:rsidRDefault="00F544A1" w:rsidP="0055037F"/>
    <w:p w14:paraId="7583C60A" w14:textId="77777777" w:rsidR="00F544A1" w:rsidRDefault="00F544A1" w:rsidP="0055037F"/>
    <w:p w14:paraId="5EB5D37D" w14:textId="77777777" w:rsidR="00F544A1" w:rsidRDefault="00F544A1" w:rsidP="0055037F"/>
    <w:p w14:paraId="7CCA1BA4" w14:textId="77777777" w:rsidR="00F430A2" w:rsidRPr="00F430A2" w:rsidRDefault="00F430A2" w:rsidP="0055037F"/>
    <w:p w14:paraId="6037E2E8" w14:textId="0CA4C81E" w:rsidR="00E71481" w:rsidRPr="00466F2D" w:rsidRDefault="00E71481" w:rsidP="0055037F">
      <w:pPr>
        <w:pStyle w:val="Heading1"/>
      </w:pPr>
      <w:r w:rsidRPr="00466F2D">
        <w:lastRenderedPageBreak/>
        <w:t>References</w:t>
      </w:r>
      <w:bookmarkEnd w:id="8"/>
    </w:p>
    <w:p w14:paraId="5B08B712" w14:textId="77777777" w:rsidR="00E71481" w:rsidRPr="00AE09BD" w:rsidRDefault="00E71481" w:rsidP="0055037F">
      <w:pPr>
        <w:rPr>
          <w:rFonts w:eastAsia="Times New Roman" w:cs="Times New Roman"/>
          <w:kern w:val="0"/>
          <w14:ligatures w14:val="none"/>
        </w:rPr>
      </w:pPr>
      <w:proofErr w:type="spellStart"/>
      <w:r w:rsidRPr="00AE09BD">
        <w:rPr>
          <w:rFonts w:eastAsia="Times New Roman" w:cs="Times New Roman"/>
          <w:kern w:val="0"/>
          <w14:ligatures w14:val="none"/>
        </w:rPr>
        <w:t>Akkermans</w:t>
      </w:r>
      <w:proofErr w:type="spellEnd"/>
      <w:r w:rsidRPr="00AE09BD">
        <w:rPr>
          <w:rFonts w:eastAsia="Times New Roman" w:cs="Times New Roman"/>
          <w:kern w:val="0"/>
          <w14:ligatures w14:val="none"/>
        </w:rPr>
        <w:t xml:space="preserve">, J., Richardson, J., &amp; </w:t>
      </w:r>
      <w:proofErr w:type="spellStart"/>
      <w:r w:rsidRPr="00AE09BD">
        <w:rPr>
          <w:rFonts w:eastAsia="Times New Roman" w:cs="Times New Roman"/>
          <w:kern w:val="0"/>
          <w14:ligatures w14:val="none"/>
        </w:rPr>
        <w:t>Kraimer</w:t>
      </w:r>
      <w:proofErr w:type="spellEnd"/>
      <w:r w:rsidRPr="00AE09BD">
        <w:rPr>
          <w:rFonts w:eastAsia="Times New Roman" w:cs="Times New Roman"/>
          <w:kern w:val="0"/>
          <w14:ligatures w14:val="none"/>
        </w:rPr>
        <w:t xml:space="preserve">, M. (2020). The COVID-19 crisis as a career shock: Implications for careers and vocational behavior. Journal of Vocational Behavior, 119, 103434. </w:t>
      </w:r>
      <w:hyperlink r:id="rId10" w:tgtFrame="_new" w:history="1">
        <w:r w:rsidRPr="00AE09BD">
          <w:rPr>
            <w:rFonts w:eastAsia="Times New Roman" w:cs="Times New Roman"/>
            <w:kern w:val="0"/>
            <w:u w:val="single"/>
            <w:bdr w:val="single" w:sz="2" w:space="0" w:color="D9D9E3" w:frame="1"/>
            <w14:ligatures w14:val="none"/>
          </w:rPr>
          <w:t>https://doi.org/10.1016/j.jvb.2020.103434</w:t>
        </w:r>
      </w:hyperlink>
    </w:p>
    <w:p w14:paraId="786410BE"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Bakker, A. B., &amp; Demerouti, E. (2017). Job demands-resources theory: Taking stock and looking forward. Journal of Occupational Health Psychology, 22(3), 273–285. </w:t>
      </w:r>
      <w:hyperlink r:id="rId11" w:tgtFrame="_new" w:history="1">
        <w:r w:rsidRPr="00AE09BD">
          <w:rPr>
            <w:rFonts w:eastAsia="Times New Roman" w:cs="Times New Roman"/>
            <w:kern w:val="0"/>
            <w:u w:val="single"/>
            <w:bdr w:val="single" w:sz="2" w:space="0" w:color="D9D9E3" w:frame="1"/>
            <w14:ligatures w14:val="none"/>
          </w:rPr>
          <w:t>https://doi.org/10.1037/ocp0000056</w:t>
        </w:r>
      </w:hyperlink>
    </w:p>
    <w:p w14:paraId="31E335BF"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CIPD. (2021). Flexible working. CIPD. </w:t>
      </w:r>
      <w:hyperlink r:id="rId12" w:tgtFrame="_new" w:history="1">
        <w:r w:rsidRPr="00AE09BD">
          <w:rPr>
            <w:rFonts w:eastAsia="Times New Roman" w:cs="Times New Roman"/>
            <w:kern w:val="0"/>
            <w:u w:val="single"/>
            <w:bdr w:val="single" w:sz="2" w:space="0" w:color="D9D9E3" w:frame="1"/>
            <w14:ligatures w14:val="none"/>
          </w:rPr>
          <w:t>https://www.cipd.co.uk/knowledge/fundamentals/relations/flexible-working/factsheet</w:t>
        </w:r>
      </w:hyperlink>
    </w:p>
    <w:p w14:paraId="7491A970"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Feldman, D. C. (2017). A brief history of career development. In D. L. </w:t>
      </w:r>
      <w:proofErr w:type="spellStart"/>
      <w:r w:rsidRPr="00AE09BD">
        <w:rPr>
          <w:rFonts w:eastAsia="Times New Roman" w:cs="Times New Roman"/>
          <w:kern w:val="0"/>
          <w14:ligatures w14:val="none"/>
        </w:rPr>
        <w:t>Blustein</w:t>
      </w:r>
      <w:proofErr w:type="spellEnd"/>
      <w:r w:rsidRPr="00AE09BD">
        <w:rPr>
          <w:rFonts w:eastAsia="Times New Roman" w:cs="Times New Roman"/>
          <w:kern w:val="0"/>
          <w14:ligatures w14:val="none"/>
        </w:rPr>
        <w:t>, M. C. Kenny, &amp; M. B. Savickas (Eds.), The Oxford handbook of the psychology of working (pp. 25-40). Oxford University Press.</w:t>
      </w:r>
    </w:p>
    <w:p w14:paraId="131E31B7" w14:textId="77777777" w:rsidR="00E71481" w:rsidRPr="00AE09BD" w:rsidRDefault="00E71481" w:rsidP="0055037F">
      <w:pPr>
        <w:rPr>
          <w:rFonts w:eastAsia="Times New Roman" w:cs="Times New Roman"/>
          <w:kern w:val="0"/>
          <w14:ligatures w14:val="none"/>
        </w:rPr>
      </w:pPr>
      <w:proofErr w:type="spellStart"/>
      <w:r w:rsidRPr="00AE09BD">
        <w:rPr>
          <w:rFonts w:eastAsia="Times New Roman" w:cs="Times New Roman"/>
          <w:kern w:val="0"/>
          <w14:ligatures w14:val="none"/>
        </w:rPr>
        <w:t>Kelliher</w:t>
      </w:r>
      <w:proofErr w:type="spellEnd"/>
      <w:r w:rsidRPr="00AE09BD">
        <w:rPr>
          <w:rFonts w:eastAsia="Times New Roman" w:cs="Times New Roman"/>
          <w:kern w:val="0"/>
          <w14:ligatures w14:val="none"/>
        </w:rPr>
        <w:t xml:space="preserve">, C., &amp; Anderson, D. (2010). Doing more with less? Flexible working practices and the intensification of work. Human Relations, 63(1), 83–106. </w:t>
      </w:r>
      <w:hyperlink r:id="rId13" w:tgtFrame="_new" w:history="1">
        <w:r w:rsidRPr="00AE09BD">
          <w:rPr>
            <w:rFonts w:eastAsia="Times New Roman" w:cs="Times New Roman"/>
            <w:kern w:val="0"/>
            <w:u w:val="single"/>
            <w:bdr w:val="single" w:sz="2" w:space="0" w:color="D9D9E3" w:frame="1"/>
            <w14:ligatures w14:val="none"/>
          </w:rPr>
          <w:t>https://doi.org/10.1177/0018726709348472</w:t>
        </w:r>
      </w:hyperlink>
    </w:p>
    <w:p w14:paraId="0865EF0F"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Liu, J., &amp; Wang, Y. (2021). Transition to remote work in response to the COVID-19 pandemic: How does it impact employees? Journal of Vocational Behavior, 119, 103440. </w:t>
      </w:r>
      <w:hyperlink r:id="rId14" w:tgtFrame="_new" w:history="1">
        <w:r w:rsidRPr="00AE09BD">
          <w:rPr>
            <w:rFonts w:eastAsia="Times New Roman" w:cs="Times New Roman"/>
            <w:kern w:val="0"/>
            <w:u w:val="single"/>
            <w:bdr w:val="single" w:sz="2" w:space="0" w:color="D9D9E3" w:frame="1"/>
            <w14:ligatures w14:val="none"/>
          </w:rPr>
          <w:t>https://doi.org/10.1016/j.jvb.2020.103440</w:t>
        </w:r>
      </w:hyperlink>
    </w:p>
    <w:p w14:paraId="4990C10E"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Mokhtarian, P. L. (2020). The implications of COVID-19 for travel behavior, travel demand, and transportation planning. Presented at the University of California Davis: Institute of Transportation Studies. </w:t>
      </w:r>
      <w:hyperlink r:id="rId15" w:tgtFrame="_new" w:history="1">
        <w:r w:rsidRPr="00AE09BD">
          <w:rPr>
            <w:rFonts w:eastAsia="Times New Roman" w:cs="Times New Roman"/>
            <w:kern w:val="0"/>
            <w:u w:val="single"/>
            <w:bdr w:val="single" w:sz="2" w:space="0" w:color="D9D9E3" w:frame="1"/>
            <w14:ligatures w14:val="none"/>
          </w:rPr>
          <w:t>https://www.ucdavis.edu/news/how-will-covid-19-impact-future-transportation-planning/</w:t>
        </w:r>
      </w:hyperlink>
    </w:p>
    <w:p w14:paraId="514B0F2D" w14:textId="77777777" w:rsidR="00E71481" w:rsidRPr="00AE09BD" w:rsidRDefault="00E71481" w:rsidP="0055037F">
      <w:pPr>
        <w:rPr>
          <w:rFonts w:eastAsia="Times New Roman" w:cs="Times New Roman"/>
          <w:kern w:val="0"/>
          <w14:ligatures w14:val="none"/>
        </w:rPr>
      </w:pPr>
      <w:r w:rsidRPr="00BB5D48">
        <w:rPr>
          <w:rFonts w:eastAsia="Times New Roman" w:cs="Times New Roman"/>
          <w:kern w:val="0"/>
          <w:lang w:val="fr-FR"/>
          <w14:ligatures w14:val="none"/>
        </w:rPr>
        <w:t xml:space="preserve">Nelson, D. L., &amp; Quick, J. C. (2013). </w:t>
      </w:r>
      <w:r w:rsidRPr="00AE09BD">
        <w:rPr>
          <w:rFonts w:eastAsia="Times New Roman" w:cs="Times New Roman"/>
          <w:kern w:val="0"/>
          <w14:ligatures w14:val="none"/>
        </w:rPr>
        <w:t>Organizational behavior: Science, the real world, and you. Cengage Learning.</w:t>
      </w:r>
    </w:p>
    <w:p w14:paraId="47920A10"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Osterman, P. (2017). Technology and jobs: Rising inequality? In D. L. </w:t>
      </w:r>
      <w:proofErr w:type="spellStart"/>
      <w:r w:rsidRPr="00AE09BD">
        <w:rPr>
          <w:rFonts w:eastAsia="Times New Roman" w:cs="Times New Roman"/>
          <w:kern w:val="0"/>
          <w14:ligatures w14:val="none"/>
        </w:rPr>
        <w:t>Blustein</w:t>
      </w:r>
      <w:proofErr w:type="spellEnd"/>
      <w:r w:rsidRPr="00AE09BD">
        <w:rPr>
          <w:rFonts w:eastAsia="Times New Roman" w:cs="Times New Roman"/>
          <w:kern w:val="0"/>
          <w14:ligatures w14:val="none"/>
        </w:rPr>
        <w:t>, M. C. Kenny, &amp; M. B. Savickas (Eds.), The Oxford handbook of the psychology of working (pp. 121-134). Oxford University Press.</w:t>
      </w:r>
    </w:p>
    <w:p w14:paraId="4898E40D" w14:textId="77777777" w:rsidR="00E71481" w:rsidRPr="00AE09BD" w:rsidRDefault="00E71481" w:rsidP="0055037F">
      <w:pPr>
        <w:rPr>
          <w:rFonts w:eastAsia="Times New Roman" w:cs="Times New Roman"/>
          <w:kern w:val="0"/>
          <w14:ligatures w14:val="none"/>
        </w:rPr>
      </w:pPr>
      <w:proofErr w:type="spellStart"/>
      <w:r w:rsidRPr="00AE09BD">
        <w:rPr>
          <w:rFonts w:eastAsia="Times New Roman" w:cs="Times New Roman"/>
          <w:kern w:val="0"/>
          <w14:ligatures w14:val="none"/>
        </w:rPr>
        <w:lastRenderedPageBreak/>
        <w:t>Shoss</w:t>
      </w:r>
      <w:proofErr w:type="spellEnd"/>
      <w:r w:rsidRPr="00AE09BD">
        <w:rPr>
          <w:rFonts w:eastAsia="Times New Roman" w:cs="Times New Roman"/>
          <w:kern w:val="0"/>
          <w14:ligatures w14:val="none"/>
        </w:rPr>
        <w:t xml:space="preserve">, M. K. (2017). Introduction to the special issue: Considering context in employment research and practice. Journal of Business and Psychology, 32(5), 429-432. </w:t>
      </w:r>
      <w:hyperlink r:id="rId16" w:tgtFrame="_new" w:history="1">
        <w:r w:rsidRPr="00AE09BD">
          <w:rPr>
            <w:rFonts w:eastAsia="Times New Roman" w:cs="Times New Roman"/>
            <w:kern w:val="0"/>
            <w:u w:val="single"/>
            <w:bdr w:val="single" w:sz="2" w:space="0" w:color="D9D9E3" w:frame="1"/>
            <w14:ligatures w14:val="none"/>
          </w:rPr>
          <w:t>https://doi.org/10.1007/s10869-017-9508-3</w:t>
        </w:r>
      </w:hyperlink>
    </w:p>
    <w:p w14:paraId="2C719134" w14:textId="77777777" w:rsidR="00E71481" w:rsidRPr="00AE09BD" w:rsidRDefault="00E71481" w:rsidP="0055037F">
      <w:pPr>
        <w:rPr>
          <w:rFonts w:eastAsia="Times New Roman" w:cs="Times New Roman"/>
          <w:kern w:val="0"/>
          <w14:ligatures w14:val="none"/>
        </w:rPr>
      </w:pPr>
      <w:r w:rsidRPr="00AE09BD">
        <w:rPr>
          <w:rFonts w:eastAsia="Times New Roman" w:cs="Times New Roman"/>
          <w:kern w:val="0"/>
          <w14:ligatures w14:val="none"/>
        </w:rPr>
        <w:t xml:space="preserve">Vander </w:t>
      </w:r>
      <w:proofErr w:type="spellStart"/>
      <w:r w:rsidRPr="00AE09BD">
        <w:rPr>
          <w:rFonts w:eastAsia="Times New Roman" w:cs="Times New Roman"/>
          <w:kern w:val="0"/>
          <w14:ligatures w14:val="none"/>
        </w:rPr>
        <w:t>Elst</w:t>
      </w:r>
      <w:proofErr w:type="spellEnd"/>
      <w:r w:rsidRPr="00AE09BD">
        <w:rPr>
          <w:rFonts w:eastAsia="Times New Roman" w:cs="Times New Roman"/>
          <w:kern w:val="0"/>
          <w14:ligatures w14:val="none"/>
        </w:rPr>
        <w:t xml:space="preserve">, T., </w:t>
      </w:r>
      <w:proofErr w:type="spellStart"/>
      <w:r w:rsidRPr="00AE09BD">
        <w:rPr>
          <w:rFonts w:eastAsia="Times New Roman" w:cs="Times New Roman"/>
          <w:kern w:val="0"/>
          <w14:ligatures w14:val="none"/>
        </w:rPr>
        <w:t>Verhoogen</w:t>
      </w:r>
      <w:proofErr w:type="spellEnd"/>
      <w:r w:rsidRPr="00AE09BD">
        <w:rPr>
          <w:rFonts w:eastAsia="Times New Roman" w:cs="Times New Roman"/>
          <w:kern w:val="0"/>
          <w14:ligatures w14:val="none"/>
        </w:rPr>
        <w:t xml:space="preserve">, R., &amp; De Witte, H. (2020). Work organization and employee well-being during COVID-19: The importance of perceptions of distributive and procedural justice. Social Science &amp; Medicine, 265, 113-114286. </w:t>
      </w:r>
      <w:hyperlink r:id="rId17" w:tgtFrame="_new" w:history="1">
        <w:r w:rsidRPr="00AE09BD">
          <w:rPr>
            <w:rFonts w:eastAsia="Times New Roman" w:cs="Times New Roman"/>
            <w:kern w:val="0"/>
            <w:u w:val="single"/>
            <w:bdr w:val="single" w:sz="2" w:space="0" w:color="D9D9E3" w:frame="1"/>
            <w14:ligatures w14:val="none"/>
          </w:rPr>
          <w:t>https://doi.org/10.1016/j.socscimed.2020.113286</w:t>
        </w:r>
      </w:hyperlink>
    </w:p>
    <w:p w14:paraId="1BDC4080" w14:textId="77777777" w:rsidR="00512D19" w:rsidRPr="00AE09BD" w:rsidRDefault="00512D19" w:rsidP="0055037F">
      <w:pPr>
        <w:rPr>
          <w:rFonts w:cs="Times New Roman"/>
        </w:rPr>
      </w:pPr>
    </w:p>
    <w:sectPr w:rsidR="00512D19" w:rsidRPr="00AE09BD" w:rsidSect="00B2261B">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6D310" w14:textId="77777777" w:rsidR="00DB720C" w:rsidRDefault="00DB720C" w:rsidP="00B2261B">
      <w:pPr>
        <w:spacing w:after="0" w:line="240" w:lineRule="auto"/>
      </w:pPr>
      <w:r>
        <w:separator/>
      </w:r>
    </w:p>
  </w:endnote>
  <w:endnote w:type="continuationSeparator" w:id="0">
    <w:p w14:paraId="42113DE1" w14:textId="77777777" w:rsidR="00DB720C" w:rsidRDefault="00DB720C" w:rsidP="00B22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700905"/>
      <w:docPartObj>
        <w:docPartGallery w:val="Page Numbers (Bottom of Page)"/>
        <w:docPartUnique/>
      </w:docPartObj>
    </w:sdtPr>
    <w:sdtEndPr>
      <w:rPr>
        <w:noProof/>
      </w:rPr>
    </w:sdtEndPr>
    <w:sdtContent>
      <w:p w14:paraId="77149168" w14:textId="481891A3" w:rsidR="000C1AF2" w:rsidRDefault="000C1A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A9D820" w14:textId="77777777" w:rsidR="00B2261B" w:rsidRDefault="00B226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790099"/>
      <w:docPartObj>
        <w:docPartGallery w:val="Page Numbers (Bottom of Page)"/>
        <w:docPartUnique/>
      </w:docPartObj>
    </w:sdtPr>
    <w:sdtEndPr>
      <w:rPr>
        <w:noProof/>
      </w:rPr>
    </w:sdtEndPr>
    <w:sdtContent>
      <w:p w14:paraId="7BA72BD2" w14:textId="7A9F5351" w:rsidR="000C1AF2" w:rsidRDefault="000C1A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035261" w14:textId="77777777" w:rsidR="00B2261B" w:rsidRDefault="00B22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547C7" w14:textId="77777777" w:rsidR="00DB720C" w:rsidRDefault="00DB720C" w:rsidP="00B2261B">
      <w:pPr>
        <w:spacing w:after="0" w:line="240" w:lineRule="auto"/>
      </w:pPr>
      <w:r>
        <w:separator/>
      </w:r>
    </w:p>
  </w:footnote>
  <w:footnote w:type="continuationSeparator" w:id="0">
    <w:p w14:paraId="1AC78138" w14:textId="77777777" w:rsidR="00DB720C" w:rsidRDefault="00DB720C" w:rsidP="00B22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CD8"/>
    <w:multiLevelType w:val="multilevel"/>
    <w:tmpl w:val="6DEA4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22651"/>
    <w:multiLevelType w:val="hybridMultilevel"/>
    <w:tmpl w:val="30104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65D25"/>
    <w:multiLevelType w:val="hybridMultilevel"/>
    <w:tmpl w:val="22880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B74B2"/>
    <w:multiLevelType w:val="multilevel"/>
    <w:tmpl w:val="24E4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261A0A"/>
    <w:multiLevelType w:val="multilevel"/>
    <w:tmpl w:val="55A40C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641325"/>
    <w:multiLevelType w:val="multilevel"/>
    <w:tmpl w:val="6BE4AB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ED08D6"/>
    <w:multiLevelType w:val="multilevel"/>
    <w:tmpl w:val="532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40197C"/>
    <w:multiLevelType w:val="hybridMultilevel"/>
    <w:tmpl w:val="BBDC7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4C5C86"/>
    <w:multiLevelType w:val="hybridMultilevel"/>
    <w:tmpl w:val="FDFC310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B32F56"/>
    <w:multiLevelType w:val="multilevel"/>
    <w:tmpl w:val="88D6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C86748"/>
    <w:multiLevelType w:val="hybridMultilevel"/>
    <w:tmpl w:val="977A99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4428A8"/>
    <w:multiLevelType w:val="hybridMultilevel"/>
    <w:tmpl w:val="5DFE43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365880"/>
    <w:multiLevelType w:val="hybridMultilevel"/>
    <w:tmpl w:val="DEF0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B00C0"/>
    <w:multiLevelType w:val="hybridMultilevel"/>
    <w:tmpl w:val="3B1E626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00A0D40"/>
    <w:multiLevelType w:val="multilevel"/>
    <w:tmpl w:val="282A3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072E49"/>
    <w:multiLevelType w:val="multilevel"/>
    <w:tmpl w:val="B610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7601258">
    <w:abstractNumId w:val="14"/>
  </w:num>
  <w:num w:numId="2" w16cid:durableId="943418777">
    <w:abstractNumId w:val="5"/>
  </w:num>
  <w:num w:numId="3" w16cid:durableId="1709986501">
    <w:abstractNumId w:val="0"/>
  </w:num>
  <w:num w:numId="4" w16cid:durableId="313338754">
    <w:abstractNumId w:val="4"/>
  </w:num>
  <w:num w:numId="5" w16cid:durableId="1751346190">
    <w:abstractNumId w:val="9"/>
  </w:num>
  <w:num w:numId="6" w16cid:durableId="574317726">
    <w:abstractNumId w:val="3"/>
  </w:num>
  <w:num w:numId="7" w16cid:durableId="1515536088">
    <w:abstractNumId w:val="15"/>
  </w:num>
  <w:num w:numId="8" w16cid:durableId="885995849">
    <w:abstractNumId w:val="6"/>
  </w:num>
  <w:num w:numId="9" w16cid:durableId="1717386991">
    <w:abstractNumId w:val="2"/>
  </w:num>
  <w:num w:numId="10" w16cid:durableId="1398239763">
    <w:abstractNumId w:val="1"/>
  </w:num>
  <w:num w:numId="11" w16cid:durableId="1698190885">
    <w:abstractNumId w:val="7"/>
  </w:num>
  <w:num w:numId="12" w16cid:durableId="557059921">
    <w:abstractNumId w:val="12"/>
  </w:num>
  <w:num w:numId="13" w16cid:durableId="2071415730">
    <w:abstractNumId w:val="13"/>
  </w:num>
  <w:num w:numId="14" w16cid:durableId="1482576914">
    <w:abstractNumId w:val="8"/>
  </w:num>
  <w:num w:numId="15" w16cid:durableId="1620992033">
    <w:abstractNumId w:val="11"/>
  </w:num>
  <w:num w:numId="16" w16cid:durableId="3054718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zMzYzMTc1MTM2NzFW0lEKTi0uzszPAymwqAUAhFRx0CwAAAA="/>
  </w:docVars>
  <w:rsids>
    <w:rsidRoot w:val="00360231"/>
    <w:rsid w:val="00013077"/>
    <w:rsid w:val="0007686F"/>
    <w:rsid w:val="000B4424"/>
    <w:rsid w:val="000C1AF2"/>
    <w:rsid w:val="0011581C"/>
    <w:rsid w:val="001547D0"/>
    <w:rsid w:val="001D6BD0"/>
    <w:rsid w:val="001E3041"/>
    <w:rsid w:val="001E6DDA"/>
    <w:rsid w:val="00280B0B"/>
    <w:rsid w:val="002866E3"/>
    <w:rsid w:val="002C2987"/>
    <w:rsid w:val="003234DF"/>
    <w:rsid w:val="00324040"/>
    <w:rsid w:val="00360231"/>
    <w:rsid w:val="0038634E"/>
    <w:rsid w:val="00466F2D"/>
    <w:rsid w:val="00512D19"/>
    <w:rsid w:val="00524E7A"/>
    <w:rsid w:val="0055037F"/>
    <w:rsid w:val="00620442"/>
    <w:rsid w:val="00644F73"/>
    <w:rsid w:val="00660345"/>
    <w:rsid w:val="006664C2"/>
    <w:rsid w:val="0068789A"/>
    <w:rsid w:val="006A1C56"/>
    <w:rsid w:val="006C1FA5"/>
    <w:rsid w:val="00781DC2"/>
    <w:rsid w:val="007C0C56"/>
    <w:rsid w:val="007E5C73"/>
    <w:rsid w:val="00801D1B"/>
    <w:rsid w:val="00801EE1"/>
    <w:rsid w:val="00815273"/>
    <w:rsid w:val="008778D0"/>
    <w:rsid w:val="009A4BE6"/>
    <w:rsid w:val="00A36946"/>
    <w:rsid w:val="00A61DD5"/>
    <w:rsid w:val="00A6341E"/>
    <w:rsid w:val="00AE09BD"/>
    <w:rsid w:val="00B2261B"/>
    <w:rsid w:val="00B37D7C"/>
    <w:rsid w:val="00BB5D48"/>
    <w:rsid w:val="00BF59D1"/>
    <w:rsid w:val="00C62E7C"/>
    <w:rsid w:val="00C87B12"/>
    <w:rsid w:val="00CF229D"/>
    <w:rsid w:val="00D23921"/>
    <w:rsid w:val="00D51201"/>
    <w:rsid w:val="00D64E47"/>
    <w:rsid w:val="00D7452D"/>
    <w:rsid w:val="00D976B2"/>
    <w:rsid w:val="00DA54DE"/>
    <w:rsid w:val="00DB720C"/>
    <w:rsid w:val="00DD367A"/>
    <w:rsid w:val="00E71481"/>
    <w:rsid w:val="00E8246D"/>
    <w:rsid w:val="00E877DF"/>
    <w:rsid w:val="00E92EAF"/>
    <w:rsid w:val="00EB2C59"/>
    <w:rsid w:val="00F430A2"/>
    <w:rsid w:val="00F544A1"/>
    <w:rsid w:val="00FA4C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E162C"/>
  <w15:chartTrackingRefBased/>
  <w15:docId w15:val="{DDE8C8FB-8D6D-4736-A258-DEA651504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5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8789A"/>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452D"/>
    <w:pPr>
      <w:spacing w:before="100" w:beforeAutospacing="1" w:after="100" w:afterAutospacing="1" w:line="240" w:lineRule="auto"/>
    </w:pPr>
    <w:rPr>
      <w:rFonts w:eastAsia="Times New Roman" w:cs="Times New Roman"/>
      <w:kern w:val="0"/>
      <w:szCs w:val="24"/>
      <w14:ligatures w14:val="none"/>
    </w:rPr>
  </w:style>
  <w:style w:type="character" w:styleId="Hyperlink">
    <w:name w:val="Hyperlink"/>
    <w:basedOn w:val="DefaultParagraphFont"/>
    <w:uiPriority w:val="99"/>
    <w:unhideWhenUsed/>
    <w:rsid w:val="00E71481"/>
    <w:rPr>
      <w:color w:val="0000FF"/>
      <w:u w:val="single"/>
    </w:rPr>
  </w:style>
  <w:style w:type="character" w:customStyle="1" w:styleId="Heading1Char">
    <w:name w:val="Heading 1 Char"/>
    <w:basedOn w:val="DefaultParagraphFont"/>
    <w:link w:val="Heading1"/>
    <w:uiPriority w:val="9"/>
    <w:rsid w:val="0068789A"/>
    <w:rPr>
      <w:rFonts w:ascii="Times New Roman" w:eastAsiaTheme="majorEastAsia" w:hAnsi="Times New Roman" w:cstheme="majorBidi"/>
      <w:b/>
      <w:sz w:val="28"/>
      <w:szCs w:val="32"/>
    </w:rPr>
  </w:style>
  <w:style w:type="paragraph" w:styleId="ListParagraph">
    <w:name w:val="List Paragraph"/>
    <w:basedOn w:val="Normal"/>
    <w:uiPriority w:val="34"/>
    <w:qFormat/>
    <w:rsid w:val="00D23921"/>
    <w:pPr>
      <w:ind w:left="720"/>
      <w:contextualSpacing/>
    </w:pPr>
  </w:style>
  <w:style w:type="paragraph" w:styleId="Header">
    <w:name w:val="header"/>
    <w:basedOn w:val="Normal"/>
    <w:link w:val="HeaderChar"/>
    <w:uiPriority w:val="99"/>
    <w:unhideWhenUsed/>
    <w:rsid w:val="00B22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61B"/>
    <w:rPr>
      <w:rFonts w:ascii="Times New Roman" w:hAnsi="Times New Roman"/>
      <w:sz w:val="24"/>
    </w:rPr>
  </w:style>
  <w:style w:type="paragraph" w:styleId="Footer">
    <w:name w:val="footer"/>
    <w:basedOn w:val="Normal"/>
    <w:link w:val="FooterChar"/>
    <w:uiPriority w:val="99"/>
    <w:unhideWhenUsed/>
    <w:rsid w:val="00B22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261B"/>
    <w:rPr>
      <w:rFonts w:ascii="Times New Roman" w:hAnsi="Times New Roman"/>
      <w:sz w:val="24"/>
    </w:rPr>
  </w:style>
  <w:style w:type="paragraph" w:styleId="TOCHeading">
    <w:name w:val="TOC Heading"/>
    <w:basedOn w:val="Heading1"/>
    <w:next w:val="Normal"/>
    <w:uiPriority w:val="39"/>
    <w:unhideWhenUsed/>
    <w:qFormat/>
    <w:rsid w:val="00781DC2"/>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013077"/>
    <w:pPr>
      <w:tabs>
        <w:tab w:val="right" w:leader="dot" w:pos="9350"/>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662073">
      <w:bodyDiv w:val="1"/>
      <w:marLeft w:val="0"/>
      <w:marRight w:val="0"/>
      <w:marTop w:val="0"/>
      <w:marBottom w:val="0"/>
      <w:divBdr>
        <w:top w:val="none" w:sz="0" w:space="0" w:color="auto"/>
        <w:left w:val="none" w:sz="0" w:space="0" w:color="auto"/>
        <w:bottom w:val="none" w:sz="0" w:space="0" w:color="auto"/>
        <w:right w:val="none" w:sz="0" w:space="0" w:color="auto"/>
      </w:divBdr>
    </w:div>
    <w:div w:id="1648244905">
      <w:bodyDiv w:val="1"/>
      <w:marLeft w:val="0"/>
      <w:marRight w:val="0"/>
      <w:marTop w:val="0"/>
      <w:marBottom w:val="0"/>
      <w:divBdr>
        <w:top w:val="none" w:sz="0" w:space="0" w:color="auto"/>
        <w:left w:val="none" w:sz="0" w:space="0" w:color="auto"/>
        <w:bottom w:val="none" w:sz="0" w:space="0" w:color="auto"/>
        <w:right w:val="none" w:sz="0" w:space="0" w:color="auto"/>
      </w:divBdr>
    </w:div>
    <w:div w:id="1795755263">
      <w:bodyDiv w:val="1"/>
      <w:marLeft w:val="0"/>
      <w:marRight w:val="0"/>
      <w:marTop w:val="0"/>
      <w:marBottom w:val="0"/>
      <w:divBdr>
        <w:top w:val="none" w:sz="0" w:space="0" w:color="auto"/>
        <w:left w:val="none" w:sz="0" w:space="0" w:color="auto"/>
        <w:bottom w:val="none" w:sz="0" w:space="0" w:color="auto"/>
        <w:right w:val="none" w:sz="0" w:space="0" w:color="auto"/>
      </w:divBdr>
    </w:div>
    <w:div w:id="1838495399">
      <w:bodyDiv w:val="1"/>
      <w:marLeft w:val="0"/>
      <w:marRight w:val="0"/>
      <w:marTop w:val="0"/>
      <w:marBottom w:val="0"/>
      <w:divBdr>
        <w:top w:val="none" w:sz="0" w:space="0" w:color="auto"/>
        <w:left w:val="none" w:sz="0" w:space="0" w:color="auto"/>
        <w:bottom w:val="none" w:sz="0" w:space="0" w:color="auto"/>
        <w:right w:val="none" w:sz="0" w:space="0" w:color="auto"/>
      </w:divBdr>
    </w:div>
    <w:div w:id="1972206106">
      <w:bodyDiv w:val="1"/>
      <w:marLeft w:val="0"/>
      <w:marRight w:val="0"/>
      <w:marTop w:val="0"/>
      <w:marBottom w:val="0"/>
      <w:divBdr>
        <w:top w:val="none" w:sz="0" w:space="0" w:color="auto"/>
        <w:left w:val="none" w:sz="0" w:space="0" w:color="auto"/>
        <w:bottom w:val="none" w:sz="0" w:space="0" w:color="auto"/>
        <w:right w:val="none" w:sz="0" w:space="0" w:color="auto"/>
      </w:divBdr>
    </w:div>
    <w:div w:id="212330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77/001872670934847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relations/flexible-working/factsheet" TargetMode="External"/><Relationship Id="rId17" Type="http://schemas.openxmlformats.org/officeDocument/2006/relationships/hyperlink" Target="https://doi.org/10.1016/j.socscimed.2020.113286" TargetMode="External"/><Relationship Id="rId2" Type="http://schemas.openxmlformats.org/officeDocument/2006/relationships/numbering" Target="numbering.xml"/><Relationship Id="rId16" Type="http://schemas.openxmlformats.org/officeDocument/2006/relationships/hyperlink" Target="https://doi.org/10.1007/s10869-017-950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ocp0000056" TargetMode="External"/><Relationship Id="rId5" Type="http://schemas.openxmlformats.org/officeDocument/2006/relationships/webSettings" Target="webSettings.xml"/><Relationship Id="rId15" Type="http://schemas.openxmlformats.org/officeDocument/2006/relationships/hyperlink" Target="https://www.ucdavis.edu/news/how-will-covid-19-impact-future-transportation-planning/" TargetMode="External"/><Relationship Id="rId10" Type="http://schemas.openxmlformats.org/officeDocument/2006/relationships/hyperlink" Target="https://doi.org/10.1016/j.jvb.2020.1034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doi.org/10.1016/j.jvb.2020.103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362EE-637F-40E4-B518-57B8851EC0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Saijuddin Miah</dc:creator>
  <cp:keywords/>
  <dc:description/>
  <cp:lastModifiedBy>Elena Frangu</cp:lastModifiedBy>
  <cp:revision>18</cp:revision>
  <cp:lastPrinted>2023-03-09T18:06:00Z</cp:lastPrinted>
  <dcterms:created xsi:type="dcterms:W3CDTF">2023-03-09T18:31:00Z</dcterms:created>
  <dcterms:modified xsi:type="dcterms:W3CDTF">2023-03-27T10:30:00Z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5870cd16-f81c-4cf8-8414-8926dc7e719d</vt:lpwstr>
  </property>
</Properties>
</file>