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8DF3A" w14:textId="77777777" w:rsidR="006776B8" w:rsidRDefault="00000000" w:rsidP="00FA6E4A">
      <w:pPr>
        <w:spacing w:line="480" w:lineRule="auto"/>
        <w:jc w:val="center"/>
        <w:rPr>
          <w:b/>
          <w:bCs/>
        </w:rPr>
      </w:pPr>
      <w:r w:rsidRPr="006776B8">
        <w:rPr>
          <w:b/>
          <w:bCs/>
        </w:rPr>
        <w:t>Diabetes Management</w:t>
      </w:r>
    </w:p>
    <w:p w14:paraId="3CF87329" w14:textId="77777777" w:rsidR="006776B8" w:rsidRDefault="00000000" w:rsidP="00FA6E4A">
      <w:pPr>
        <w:spacing w:line="480" w:lineRule="auto"/>
        <w:jc w:val="center"/>
        <w:rPr>
          <w:b/>
          <w:bCs/>
        </w:rPr>
      </w:pPr>
      <w:r>
        <w:rPr>
          <w:b/>
          <w:bCs/>
        </w:rPr>
        <w:t>Student’s Name</w:t>
      </w:r>
    </w:p>
    <w:p w14:paraId="2266C37D" w14:textId="77777777" w:rsidR="006776B8" w:rsidRDefault="006776B8" w:rsidP="00FA6E4A">
      <w:pPr>
        <w:spacing w:line="480" w:lineRule="auto"/>
        <w:rPr>
          <w:b/>
          <w:bCs/>
        </w:rPr>
      </w:pPr>
    </w:p>
    <w:p w14:paraId="5B6652D9" w14:textId="77777777" w:rsidR="006776B8" w:rsidRDefault="006776B8" w:rsidP="00FA6E4A">
      <w:pPr>
        <w:spacing w:line="480" w:lineRule="auto"/>
        <w:rPr>
          <w:b/>
          <w:bCs/>
        </w:rPr>
      </w:pPr>
    </w:p>
    <w:p w14:paraId="7F8530C2" w14:textId="77777777" w:rsidR="006776B8" w:rsidRDefault="006776B8" w:rsidP="00FA6E4A">
      <w:pPr>
        <w:spacing w:line="480" w:lineRule="auto"/>
        <w:rPr>
          <w:b/>
          <w:bCs/>
        </w:rPr>
      </w:pPr>
    </w:p>
    <w:p w14:paraId="33AC9231" w14:textId="77777777" w:rsidR="006776B8" w:rsidRDefault="006776B8" w:rsidP="00FA6E4A">
      <w:pPr>
        <w:spacing w:line="480" w:lineRule="auto"/>
        <w:rPr>
          <w:b/>
          <w:bCs/>
        </w:rPr>
      </w:pPr>
    </w:p>
    <w:p w14:paraId="7E712442" w14:textId="77777777" w:rsidR="006776B8" w:rsidRDefault="006776B8" w:rsidP="00FA6E4A">
      <w:pPr>
        <w:spacing w:line="480" w:lineRule="auto"/>
        <w:rPr>
          <w:b/>
          <w:bCs/>
        </w:rPr>
      </w:pPr>
    </w:p>
    <w:p w14:paraId="5588FC99" w14:textId="77777777" w:rsidR="006776B8" w:rsidRDefault="006776B8" w:rsidP="00FA6E4A">
      <w:pPr>
        <w:spacing w:line="480" w:lineRule="auto"/>
        <w:rPr>
          <w:b/>
          <w:bCs/>
        </w:rPr>
      </w:pPr>
    </w:p>
    <w:p w14:paraId="034F66E8" w14:textId="77777777" w:rsidR="006776B8" w:rsidRDefault="006776B8" w:rsidP="00FA6E4A">
      <w:pPr>
        <w:spacing w:line="480" w:lineRule="auto"/>
        <w:rPr>
          <w:b/>
          <w:bCs/>
        </w:rPr>
      </w:pPr>
    </w:p>
    <w:p w14:paraId="182B8649" w14:textId="77777777" w:rsidR="006776B8" w:rsidRDefault="006776B8" w:rsidP="00FA6E4A">
      <w:pPr>
        <w:spacing w:line="480" w:lineRule="auto"/>
        <w:rPr>
          <w:b/>
          <w:bCs/>
        </w:rPr>
      </w:pPr>
    </w:p>
    <w:p w14:paraId="58CB543F" w14:textId="77777777" w:rsidR="006776B8" w:rsidRDefault="006776B8" w:rsidP="00FA6E4A">
      <w:pPr>
        <w:spacing w:line="480" w:lineRule="auto"/>
        <w:rPr>
          <w:b/>
          <w:bCs/>
        </w:rPr>
      </w:pPr>
    </w:p>
    <w:p w14:paraId="0B6BC86F" w14:textId="77777777" w:rsidR="006776B8" w:rsidRDefault="006776B8" w:rsidP="00FA6E4A">
      <w:pPr>
        <w:spacing w:line="480" w:lineRule="auto"/>
        <w:rPr>
          <w:b/>
          <w:bCs/>
        </w:rPr>
      </w:pPr>
    </w:p>
    <w:p w14:paraId="40F5121B" w14:textId="77777777" w:rsidR="006776B8" w:rsidRDefault="006776B8" w:rsidP="00FA6E4A">
      <w:pPr>
        <w:spacing w:line="480" w:lineRule="auto"/>
        <w:rPr>
          <w:b/>
          <w:bCs/>
        </w:rPr>
      </w:pPr>
    </w:p>
    <w:p w14:paraId="14C4701A" w14:textId="77777777" w:rsidR="006776B8" w:rsidRDefault="006776B8" w:rsidP="00FA6E4A">
      <w:pPr>
        <w:spacing w:line="480" w:lineRule="auto"/>
        <w:rPr>
          <w:b/>
          <w:bCs/>
        </w:rPr>
      </w:pPr>
    </w:p>
    <w:p w14:paraId="4F0D4433" w14:textId="77777777" w:rsidR="006776B8" w:rsidRDefault="006776B8" w:rsidP="00FA6E4A">
      <w:pPr>
        <w:spacing w:line="480" w:lineRule="auto"/>
        <w:rPr>
          <w:b/>
          <w:bCs/>
        </w:rPr>
      </w:pPr>
    </w:p>
    <w:p w14:paraId="4AFE3F8E" w14:textId="77777777" w:rsidR="006776B8" w:rsidRDefault="006776B8" w:rsidP="00FA6E4A">
      <w:pPr>
        <w:spacing w:line="480" w:lineRule="auto"/>
        <w:rPr>
          <w:b/>
          <w:bCs/>
        </w:rPr>
      </w:pPr>
    </w:p>
    <w:p w14:paraId="16D8FB10" w14:textId="77777777" w:rsidR="006776B8" w:rsidRDefault="006776B8" w:rsidP="00FA6E4A">
      <w:pPr>
        <w:spacing w:line="480" w:lineRule="auto"/>
        <w:rPr>
          <w:b/>
          <w:bCs/>
        </w:rPr>
      </w:pPr>
    </w:p>
    <w:p w14:paraId="1D244B70" w14:textId="77777777" w:rsidR="006776B8" w:rsidRDefault="006776B8" w:rsidP="00FA6E4A">
      <w:pPr>
        <w:spacing w:line="480" w:lineRule="auto"/>
        <w:rPr>
          <w:b/>
          <w:bCs/>
        </w:rPr>
      </w:pPr>
    </w:p>
    <w:p w14:paraId="146ECB20" w14:textId="77777777" w:rsidR="006776B8" w:rsidRDefault="006776B8" w:rsidP="00FA6E4A">
      <w:pPr>
        <w:spacing w:line="480" w:lineRule="auto"/>
        <w:rPr>
          <w:b/>
          <w:bCs/>
        </w:rPr>
      </w:pPr>
    </w:p>
    <w:p w14:paraId="79735061" w14:textId="77777777" w:rsidR="006776B8" w:rsidRDefault="006776B8" w:rsidP="00FA6E4A">
      <w:pPr>
        <w:spacing w:line="480" w:lineRule="auto"/>
        <w:rPr>
          <w:b/>
          <w:bCs/>
        </w:rPr>
      </w:pPr>
    </w:p>
    <w:p w14:paraId="57DF9D8F" w14:textId="77777777" w:rsidR="006776B8" w:rsidRDefault="006776B8" w:rsidP="00FA6E4A">
      <w:pPr>
        <w:spacing w:line="480" w:lineRule="auto"/>
        <w:rPr>
          <w:b/>
          <w:bCs/>
        </w:rPr>
      </w:pPr>
    </w:p>
    <w:p w14:paraId="38AC6EC3" w14:textId="77777777" w:rsidR="006776B8" w:rsidRDefault="006776B8" w:rsidP="00FA6E4A">
      <w:pPr>
        <w:spacing w:line="480" w:lineRule="auto"/>
        <w:rPr>
          <w:b/>
          <w:bCs/>
        </w:rPr>
      </w:pPr>
    </w:p>
    <w:p w14:paraId="4A21F353" w14:textId="77777777" w:rsidR="006776B8" w:rsidRDefault="006776B8" w:rsidP="00FA6E4A">
      <w:pPr>
        <w:spacing w:line="480" w:lineRule="auto"/>
        <w:rPr>
          <w:b/>
          <w:bCs/>
        </w:rPr>
      </w:pPr>
    </w:p>
    <w:p w14:paraId="138091BE" w14:textId="77777777" w:rsidR="006776B8" w:rsidRDefault="006776B8" w:rsidP="00FA6E4A">
      <w:pPr>
        <w:spacing w:line="480" w:lineRule="auto"/>
        <w:rPr>
          <w:b/>
          <w:bCs/>
        </w:rPr>
      </w:pPr>
    </w:p>
    <w:p w14:paraId="4663F0A7" w14:textId="77777777" w:rsidR="006776B8" w:rsidRDefault="006776B8" w:rsidP="00FA6E4A">
      <w:pPr>
        <w:spacing w:line="480" w:lineRule="auto"/>
        <w:rPr>
          <w:b/>
          <w:bCs/>
        </w:rPr>
      </w:pPr>
    </w:p>
    <w:p w14:paraId="03140D37" w14:textId="77777777" w:rsidR="006776B8" w:rsidRDefault="006776B8" w:rsidP="00FA6E4A">
      <w:pPr>
        <w:spacing w:line="480" w:lineRule="auto"/>
        <w:rPr>
          <w:b/>
          <w:bCs/>
        </w:rPr>
      </w:pPr>
    </w:p>
    <w:p w14:paraId="334BA297" w14:textId="77777777" w:rsidR="006776B8" w:rsidRDefault="006776B8" w:rsidP="00FA6E4A">
      <w:pPr>
        <w:spacing w:line="480" w:lineRule="auto"/>
        <w:rPr>
          <w:b/>
          <w:bCs/>
        </w:rPr>
      </w:pPr>
    </w:p>
    <w:p w14:paraId="77A949C1" w14:textId="77777777" w:rsidR="006776B8" w:rsidRDefault="006776B8" w:rsidP="00FA6E4A">
      <w:pPr>
        <w:spacing w:line="480" w:lineRule="auto"/>
        <w:rPr>
          <w:b/>
          <w:bCs/>
        </w:rPr>
      </w:pPr>
    </w:p>
    <w:p w14:paraId="347F6C39" w14:textId="77777777" w:rsidR="006776B8" w:rsidRDefault="006776B8" w:rsidP="00FA6E4A">
      <w:pPr>
        <w:spacing w:line="480" w:lineRule="auto"/>
        <w:rPr>
          <w:b/>
          <w:bCs/>
        </w:rPr>
      </w:pPr>
    </w:p>
    <w:p w14:paraId="17678AF8" w14:textId="77777777" w:rsidR="006776B8" w:rsidRDefault="006776B8" w:rsidP="00FA6E4A">
      <w:pPr>
        <w:spacing w:line="480" w:lineRule="auto"/>
      </w:pPr>
    </w:p>
    <w:p w14:paraId="7A4B11C6" w14:textId="77777777" w:rsidR="00867F90" w:rsidRDefault="00000000" w:rsidP="00FA6E4A">
      <w:pPr>
        <w:spacing w:line="480" w:lineRule="auto"/>
      </w:pPr>
      <w:r>
        <w:t>Introduction</w:t>
      </w:r>
    </w:p>
    <w:p w14:paraId="2CF5D649" w14:textId="6094FFB4" w:rsidR="00867F90" w:rsidRDefault="00000000" w:rsidP="00FA6E4A">
      <w:pPr>
        <w:spacing w:line="480" w:lineRule="auto"/>
      </w:pPr>
      <w:r>
        <w:t xml:space="preserve">This report examines the role of a practice nurse in a local general practice surgery to assist patients who have just been diagnosed with type 2 diabetes. </w:t>
      </w:r>
      <w:r w:rsidR="00FA6E4A">
        <w:t xml:space="preserve"> In this case, the study will consider a </w:t>
      </w:r>
      <w:r>
        <w:t xml:space="preserve">patient </w:t>
      </w:r>
      <w:r w:rsidR="00FA6E4A">
        <w:t>who is</w:t>
      </w:r>
      <w:r>
        <w:t xml:space="preserve"> 55-year-old man with the diagnosis of fasting glucose level 9.8 mmol/L, HbA1c 58 mmol/mol (7.5%), and BMI 32kg/m2, central obesity, an office job, and a minimum of 1 hour of exercise per week. The role of the nurse involves providing systematized education on blood glucose regulation, multidisciplinary care promotion, and sustainable changes in lifestyle, which helps to avoid complications.</w:t>
      </w:r>
    </w:p>
    <w:p w14:paraId="6E2A8403" w14:textId="77777777" w:rsidR="00867F90" w:rsidRDefault="00000000" w:rsidP="00FA6E4A">
      <w:pPr>
        <w:spacing w:line="480" w:lineRule="auto"/>
      </w:pPr>
      <w:r>
        <w:t xml:space="preserve">Diabetes mellitus refers to a long-standing metabolic condition characterized by incessant hyperglycaemia caused by insufficient insulin secretion or insufficient insulin effects or both (American Diabetes Association, 2024). The most significant ones are type 1 diabetes (auto-destructive destruction of pancreatic β-cells), type 2 diabetes (insulin resistance with a fatal </w:t>
      </w:r>
      <w:r>
        <w:lastRenderedPageBreak/>
        <w:t>loss of β-cells), and gestational diabetes (American Diabetes Association, 2024). In the UK, type 2 diabetes represents 90-95 percent of all cases (NICE, 2022).</w:t>
      </w:r>
    </w:p>
    <w:p w14:paraId="70174A98" w14:textId="50BD9513" w:rsidR="00867F90" w:rsidRDefault="00000000" w:rsidP="00FA6E4A">
      <w:pPr>
        <w:spacing w:line="480" w:lineRule="auto"/>
      </w:pPr>
      <w:r>
        <w:t xml:space="preserve">More than 45 years, family history, overweight/obesity (particularly abdominal), physical inactivity, unhealthy diet, smoking, hypertension, dyslipidaemia, polycystic ovary syndrome, and socioeconomic deprivation are considered as the key risk factors (Galicia-Garcia et al., 2020). The patient presents with various changes in the risks: obesity, inactive lifestyle, high carbohydrate food, moderate alcohol </w:t>
      </w:r>
      <w:proofErr w:type="gramStart"/>
      <w:r>
        <w:t>consumption ,</w:t>
      </w:r>
      <w:proofErr w:type="gramEnd"/>
      <w:r>
        <w:t xml:space="preserve"> chronic sleep deprivation (5 hours/night), and work-related stress.</w:t>
      </w:r>
    </w:p>
    <w:p w14:paraId="48958B73" w14:textId="77777777" w:rsidR="003D231E" w:rsidRDefault="00000000" w:rsidP="00FA6E4A">
      <w:pPr>
        <w:spacing w:line="480" w:lineRule="auto"/>
      </w:pPr>
      <w:r>
        <w:t>Diabetes, being an endocrine disease, interferes with the release of pancreatic hormones in the islets of Langerhans. Insulin decreases the blood glucose level, whereas glucagon increases it; the lack of balance causes metabolic anarchy (Roder et al., 2016). Figure 1 shows the glucose regulation in normal and diabetic individuals.</w:t>
      </w:r>
    </w:p>
    <w:p w14:paraId="2C1399B7" w14:textId="77777777" w:rsidR="00946890" w:rsidRPr="00946890" w:rsidRDefault="00000000" w:rsidP="00FA6E4A">
      <w:pPr>
        <w:spacing w:line="480" w:lineRule="auto"/>
        <w:rPr>
          <w:b/>
          <w:bCs/>
        </w:rPr>
      </w:pPr>
      <w:r w:rsidRPr="00946890">
        <w:rPr>
          <w:b/>
          <w:bCs/>
        </w:rPr>
        <w:t>Blood Sugar Regulation</w:t>
      </w:r>
    </w:p>
    <w:p w14:paraId="06FCBA48" w14:textId="77777777" w:rsidR="00946890" w:rsidRDefault="00000000" w:rsidP="00FA6E4A">
      <w:pPr>
        <w:spacing w:line="480" w:lineRule="auto"/>
      </w:pPr>
      <w:r>
        <w:t>To guarantee that the glucose-dependent tissues (brain, red blood cells) receive a constant energy supply, the human body keeps the level of blood glucose under a physiological range, which is 3.9-5.6 mmol/L before and below meals and can be lowered to less than 7.8 mmol/L two hours after meals (Roder et al., 2016). This masterful regulation is accomplished by a dynamic bidirectional negative-feedback mechanism that is primarily mediated by the endocrine pancreas, and other tissues, including the liver, gut, adipose tissue, skeletal muscles, and central nervous system, contribute to this masterful regulation.</w:t>
      </w:r>
    </w:p>
    <w:p w14:paraId="2883037F" w14:textId="77777777" w:rsidR="00946890" w:rsidRDefault="00000000" w:rsidP="00FA6E4A">
      <w:pPr>
        <w:spacing w:line="480" w:lineRule="auto"/>
      </w:pPr>
      <w:r>
        <w:t xml:space="preserve">After carbohydrate consumption, a biphasic increase in portal glucose concentrations induces the release of insulin by β-cells: the first-phase (those in bipolar granules) of secretion followed by sustained second-phase secretion stimulated by incretin hormones glucagon-like peptide-1 (GLP-1) and glucose-dependent insulinotropic polypeptide (GIP) released by </w:t>
      </w:r>
      <w:r>
        <w:lastRenderedPageBreak/>
        <w:t>intestinal L- and cells (Aronoff et al., 2004). The insulin in circulation interacts with tyrosine-kinase receptors in the target tissues to cause phosphorylation of insulin receptor substrates (IRS-1/2), PI3K-Akt pathway activation, and GLUT4 vesicle translocation to the plasma membrane in skeletal muscle and adipocytes to promote glucose uptake. Meanwhile, insulin represses the hepatic glucose synthesis by inhibiting the glycogenolysis and the gluconeogenesis via the phosphorylation of FOXO1 and enhancing the glycogenesis via the phosphorylation of glycogen synthase.</w:t>
      </w:r>
    </w:p>
    <w:p w14:paraId="4529E079" w14:textId="77777777" w:rsidR="00946890" w:rsidRDefault="00000000" w:rsidP="00FA6E4A">
      <w:pPr>
        <w:spacing w:line="480" w:lineRule="auto"/>
      </w:pPr>
      <w:r>
        <w:t>On the other hand, the decreasing glucose levels when fasting or exercising trigger the release of glucagon by the a-cells, which bind to the hepatic glucagon receptors, increasing cAMP and activating protein kinase A (PKA), inducing glycogenolysis and gluconeogenesis but inhibiting glycolysis (Roder et al., 2016). The paracrine inhibition of insulin secretion is caused by Somatostatin, provided by the d-cells, and amylin co-secretion. In extreme hypoglycaemia, the brain and specifically the ventromedial hypothalamus combines peripheral signals through glucokinase-expressing neurons and regulates counter-regulatory responses such as adrenaline, cortisol, and growth hormone.</w:t>
      </w:r>
    </w:p>
    <w:p w14:paraId="72956AC7" w14:textId="77777777" w:rsidR="00946890" w:rsidRDefault="00000000" w:rsidP="00FA6E4A">
      <w:pPr>
        <w:spacing w:line="480" w:lineRule="auto"/>
      </w:pPr>
      <w:r>
        <w:t xml:space="preserve">This carefully adjusted system does not work in T2DM on several levels. GLUT4 translocation and hepatic glucose suppression are impaired in peripheral insulin resistance in muscle, liver, and adipose tissue, which is caused by inflammatory cytokines (TNF-α, IL-6), ectopic lipid deposition, and endoplasmic reticulum stress. At the same time, β-cell malfunction lowers the release of insulin in the first phase, and α-cell malfunction leads to </w:t>
      </w:r>
      <w:r w:rsidR="006776B8">
        <w:t>hyperglucagonemia</w:t>
      </w:r>
      <w:r>
        <w:t xml:space="preserve"> even during the fed state (DeFronzo et al., 2015). Visceral adiposity of the patient causes the release of excess free fatty acids, which increases lipotoxicity, and the lack of muscle glucose uptake capacity is associated with sedentary behaviour.</w:t>
      </w:r>
      <w:r w:rsidR="006776B8">
        <w:t xml:space="preserve"> The figure below illustrates the insulin-glucagon feedback loop.</w:t>
      </w:r>
    </w:p>
    <w:p w14:paraId="692E58EA" w14:textId="77777777" w:rsidR="006776B8" w:rsidRDefault="00000000" w:rsidP="00FA6E4A">
      <w:pPr>
        <w:spacing w:line="480" w:lineRule="auto"/>
      </w:pPr>
      <w:r w:rsidRPr="006776B8">
        <w:rPr>
          <w:noProof/>
        </w:rPr>
        <w:lastRenderedPageBreak/>
        <w:drawing>
          <wp:inline distT="0" distB="0" distL="0" distR="0" wp14:anchorId="1BC3B90B" wp14:editId="3E9EA6D3">
            <wp:extent cx="5731510" cy="2747645"/>
            <wp:effectExtent l="0" t="0" r="2540" b="0"/>
            <wp:docPr id="367461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461177" name=""/>
                    <pic:cNvPicPr/>
                  </pic:nvPicPr>
                  <pic:blipFill>
                    <a:blip r:embed="rId7"/>
                    <a:stretch>
                      <a:fillRect/>
                    </a:stretch>
                  </pic:blipFill>
                  <pic:spPr>
                    <a:xfrm>
                      <a:off x="0" y="0"/>
                      <a:ext cx="5731510" cy="2747645"/>
                    </a:xfrm>
                    <a:prstGeom prst="rect">
                      <a:avLst/>
                    </a:prstGeom>
                  </pic:spPr>
                </pic:pic>
              </a:graphicData>
            </a:graphic>
          </wp:inline>
        </w:drawing>
      </w:r>
    </w:p>
    <w:p w14:paraId="3215F654" w14:textId="77777777" w:rsidR="00946890" w:rsidRPr="00946890" w:rsidRDefault="00000000" w:rsidP="00FA6E4A">
      <w:pPr>
        <w:spacing w:line="480" w:lineRule="auto"/>
        <w:rPr>
          <w:b/>
          <w:bCs/>
        </w:rPr>
      </w:pPr>
      <w:r w:rsidRPr="00946890">
        <w:rPr>
          <w:b/>
          <w:bCs/>
        </w:rPr>
        <w:t>Cellular Metabolism</w:t>
      </w:r>
    </w:p>
    <w:p w14:paraId="0F97CEE2" w14:textId="77777777" w:rsidR="00946890" w:rsidRDefault="00000000" w:rsidP="00FA6E4A">
      <w:pPr>
        <w:spacing w:line="480" w:lineRule="auto"/>
      </w:pPr>
      <w:r>
        <w:t>The lifestyle profile of the patient dramatically interferes with the metabolism of cellular energy, converting glucose-utilising tissues into glucose-exporting ones and creating a vicious cycle of further increase in insulin resistance and β-cell failure. Under physiological circumstances, the binding of insulin triggers a cascade that culminates in the entry of glucose mediated by GLUT4, the ensuing glycolysis, pyruvate oxidation in the tricarboxylic acid (TCA) cycle, and oxidative phosphorylation in mitochondria to produce ATP (Yaribeygi et al., 2019). Nevertheless, long-term overdose of nutrients and physical inactivity initiates various molecular pathologies.</w:t>
      </w:r>
    </w:p>
    <w:p w14:paraId="4DE869D3" w14:textId="77777777" w:rsidR="00946890" w:rsidRDefault="00000000" w:rsidP="00FA6E4A">
      <w:pPr>
        <w:spacing w:line="480" w:lineRule="auto"/>
      </w:pPr>
      <w:r>
        <w:t xml:space="preserve">The overload of free fatty acids in central adiposity is released in the non-adipose tissues, which are stored as diacylglycerol and ceramides. These lipid intermediates stimulate the protein kinase C-th (PKC-th) that serine-phosphorylates IRS-1 at Ser307/312, inhibiting tyrosine phosphorylation and PI3K-Akt downstream signalling, and blocking GLUT4 translocation (Galicia-Garcia et al., 2020). At the same time, TNF-α and IL-6 released by inflamed adipose tissue activate JNK and IKK-β pathways that further phosphorylate IRS-1, which increases resistance. The dysfunction of the mitochondria, manifested by the low </w:t>
      </w:r>
      <w:r>
        <w:lastRenderedPageBreak/>
        <w:t>activity of the complex I/III, causes the generation of reactive oxygen species (ROS), which leads to oxidative stress and the activation of stress kinases, which propagate inflammation (Newsholme et al., 2019).</w:t>
      </w:r>
    </w:p>
    <w:p w14:paraId="6830A68E" w14:textId="77777777" w:rsidR="00946890" w:rsidRDefault="00000000" w:rsidP="00FA6E4A">
      <w:pPr>
        <w:spacing w:line="480" w:lineRule="auto"/>
      </w:pPr>
      <w:r>
        <w:t>Chronic hyperglycaemia at the β-cell stage results in hyperglycaemia due to glucotoxicity by O-GlcNAcylation of transcription factors (PDX-1, MafA), inhibition of insulin gene expression, and lipotoxicity due to endoplasmic reticulum stress and unfolded protein response leading to apoptosis, involving CHOP and caspase-12 pathways. The lifestyle factors that affect the patient in particular include:</w:t>
      </w:r>
    </w:p>
    <w:p w14:paraId="2D728CCC" w14:textId="77777777" w:rsidR="00946890" w:rsidRDefault="00000000" w:rsidP="00FA6E4A">
      <w:pPr>
        <w:pStyle w:val="ListParagraph"/>
        <w:numPr>
          <w:ilvl w:val="0"/>
          <w:numId w:val="1"/>
        </w:numPr>
        <w:spacing w:line="480" w:lineRule="auto"/>
      </w:pPr>
      <w:r w:rsidRPr="006776B8">
        <w:rPr>
          <w:b/>
          <w:bCs/>
        </w:rPr>
        <w:t>Exercise intensities</w:t>
      </w:r>
      <w:r>
        <w:t>: &lt;30 min/week organized exercises decrease muscle capillary density, AMPK activity, and GLUT4 expression, decreasing glucose disposal by approximately half.</w:t>
      </w:r>
    </w:p>
    <w:p w14:paraId="1E904793" w14:textId="77777777" w:rsidR="00946890" w:rsidRDefault="00000000" w:rsidP="00FA6E4A">
      <w:pPr>
        <w:pStyle w:val="ListParagraph"/>
        <w:numPr>
          <w:ilvl w:val="0"/>
          <w:numId w:val="1"/>
        </w:numPr>
        <w:spacing w:line="480" w:lineRule="auto"/>
      </w:pPr>
      <w:r w:rsidRPr="006776B8">
        <w:rPr>
          <w:b/>
          <w:bCs/>
        </w:rPr>
        <w:t>Nutrition</w:t>
      </w:r>
      <w:r>
        <w:t>: There is a stimulation of glycation and oxidative stress by repeated post-prandial hyperglycaemia (&gt;11 mmol/L) caused by high glycaemic load meals.</w:t>
      </w:r>
    </w:p>
    <w:p w14:paraId="2016A799" w14:textId="77777777" w:rsidR="00946890" w:rsidRDefault="00000000" w:rsidP="00FA6E4A">
      <w:pPr>
        <w:pStyle w:val="ListParagraph"/>
        <w:numPr>
          <w:ilvl w:val="0"/>
          <w:numId w:val="1"/>
        </w:numPr>
        <w:spacing w:line="480" w:lineRule="auto"/>
      </w:pPr>
      <w:r w:rsidRPr="006776B8">
        <w:rPr>
          <w:b/>
          <w:bCs/>
        </w:rPr>
        <w:t>Alcohol intake:</w:t>
      </w:r>
      <w:r>
        <w:t xml:space="preserve"> 14-18 units/week stimulates the processes of hepatic gluconeogenesis and triglyceride production, aggravating steatosis.</w:t>
      </w:r>
    </w:p>
    <w:p w14:paraId="20286037" w14:textId="77777777" w:rsidR="00946890" w:rsidRDefault="00000000" w:rsidP="00FA6E4A">
      <w:pPr>
        <w:pStyle w:val="ListParagraph"/>
        <w:numPr>
          <w:ilvl w:val="0"/>
          <w:numId w:val="1"/>
        </w:numPr>
        <w:spacing w:line="480" w:lineRule="auto"/>
      </w:pPr>
      <w:r w:rsidRPr="006776B8">
        <w:rPr>
          <w:b/>
          <w:bCs/>
        </w:rPr>
        <w:t>Status about smoking</w:t>
      </w:r>
      <w:r>
        <w:t>: Non-smoker (protective factor).</w:t>
      </w:r>
    </w:p>
    <w:p w14:paraId="47FFEA55" w14:textId="77777777" w:rsidR="00946890" w:rsidRDefault="00000000" w:rsidP="00FA6E4A">
      <w:pPr>
        <w:pStyle w:val="ListParagraph"/>
        <w:numPr>
          <w:ilvl w:val="0"/>
          <w:numId w:val="1"/>
        </w:numPr>
        <w:spacing w:line="480" w:lineRule="auto"/>
      </w:pPr>
      <w:r w:rsidRPr="006776B8">
        <w:rPr>
          <w:b/>
          <w:bCs/>
        </w:rPr>
        <w:t>Sleep</w:t>
      </w:r>
      <w:r>
        <w:t>: This reduces a 5-hour chronic restriction of sleep that raises evening cortisol and growth hormone, heightening hepatic glucose production by 20-30%.</w:t>
      </w:r>
    </w:p>
    <w:p w14:paraId="3FCD9C3D" w14:textId="77777777" w:rsidR="00946890" w:rsidRDefault="00000000" w:rsidP="00FA6E4A">
      <w:pPr>
        <w:pStyle w:val="ListParagraph"/>
        <w:numPr>
          <w:ilvl w:val="0"/>
          <w:numId w:val="1"/>
        </w:numPr>
        <w:spacing w:line="480" w:lineRule="auto"/>
      </w:pPr>
      <w:r w:rsidRPr="006776B8">
        <w:rPr>
          <w:b/>
          <w:bCs/>
        </w:rPr>
        <w:t>Social interaction</w:t>
      </w:r>
      <w:r>
        <w:t>: Restricted social support systems are associated with increased perceived stress and HbA1c provisions in addition to HbA1c (0.4-0.8%).</w:t>
      </w:r>
    </w:p>
    <w:p w14:paraId="4DEFB670" w14:textId="77777777" w:rsidR="0032213B" w:rsidRDefault="00000000" w:rsidP="00FA6E4A">
      <w:pPr>
        <w:pStyle w:val="ListParagraph"/>
        <w:numPr>
          <w:ilvl w:val="0"/>
          <w:numId w:val="1"/>
        </w:numPr>
        <w:spacing w:line="480" w:lineRule="auto"/>
      </w:pPr>
      <w:r w:rsidRPr="006776B8">
        <w:rPr>
          <w:b/>
          <w:bCs/>
        </w:rPr>
        <w:t>Current health concerns</w:t>
      </w:r>
      <w:r>
        <w:t>: Hypertension is a sign of endothelial malfunction and a high risk of cardiovascular disease (2-4-fold).</w:t>
      </w:r>
    </w:p>
    <w:p w14:paraId="0036BE35" w14:textId="77777777" w:rsidR="0032213B" w:rsidRPr="0032213B" w:rsidRDefault="00000000" w:rsidP="00FA6E4A">
      <w:pPr>
        <w:spacing w:line="480" w:lineRule="auto"/>
        <w:rPr>
          <w:b/>
          <w:bCs/>
        </w:rPr>
      </w:pPr>
      <w:r w:rsidRPr="0032213B">
        <w:rPr>
          <w:b/>
          <w:bCs/>
        </w:rPr>
        <w:t>Measuring and monitoring the level of blood sugar in Type 2 Diabetes.</w:t>
      </w:r>
    </w:p>
    <w:p w14:paraId="4F2BB0B9" w14:textId="77777777" w:rsidR="0032213B" w:rsidRDefault="00000000" w:rsidP="00FA6E4A">
      <w:pPr>
        <w:spacing w:line="480" w:lineRule="auto"/>
      </w:pPr>
      <w:r>
        <w:lastRenderedPageBreak/>
        <w:t>To be able to safely self-manage, structured self-monitoring of blood glucose (SMBG) or continuous glucose monitoring (CGM) is necessary. NICE (2022) suggests that SMBG should be used in patients at the beginning of a sulfonylurea, insulin, or having HbA1c &gt;58 mmol/mol. The patterns should be recognized and used to make changes.</w:t>
      </w:r>
    </w:p>
    <w:p w14:paraId="5A278F42" w14:textId="77777777" w:rsidR="0032213B" w:rsidRPr="00946890" w:rsidRDefault="00000000" w:rsidP="00FA6E4A">
      <w:pPr>
        <w:spacing w:line="480" w:lineRule="auto"/>
        <w:rPr>
          <w:b/>
          <w:bCs/>
        </w:rPr>
      </w:pPr>
      <w:r w:rsidRPr="00946890">
        <w:rPr>
          <w:b/>
          <w:bCs/>
        </w:rPr>
        <w:t>Benefits include:</w:t>
      </w:r>
    </w:p>
    <w:p w14:paraId="3AAFCE57" w14:textId="77777777" w:rsidR="0032213B" w:rsidRDefault="00000000" w:rsidP="00FA6E4A">
      <w:pPr>
        <w:spacing w:line="480" w:lineRule="auto"/>
      </w:pPr>
      <w:r>
        <w:t>Identification of hyper/hypoglycaemia.</w:t>
      </w:r>
    </w:p>
    <w:p w14:paraId="058BA0A6" w14:textId="77777777" w:rsidR="0032213B" w:rsidRDefault="00000000" w:rsidP="00FA6E4A">
      <w:pPr>
        <w:spacing w:line="480" w:lineRule="auto"/>
      </w:pPr>
      <w:r>
        <w:t>Educated eating behaviors (e.g., cutback of refined carbs).</w:t>
      </w:r>
    </w:p>
    <w:p w14:paraId="589EA6E4" w14:textId="77777777" w:rsidR="0032213B" w:rsidRPr="00946890" w:rsidRDefault="00000000" w:rsidP="00FA6E4A">
      <w:pPr>
        <w:spacing w:line="480" w:lineRule="auto"/>
        <w:rPr>
          <w:b/>
          <w:bCs/>
        </w:rPr>
      </w:pPr>
      <w:r w:rsidRPr="00946890">
        <w:rPr>
          <w:b/>
          <w:bCs/>
        </w:rPr>
        <w:t>Medication titration</w:t>
      </w:r>
    </w:p>
    <w:p w14:paraId="59756792" w14:textId="77777777" w:rsidR="0032213B" w:rsidRDefault="00000000" w:rsidP="00FA6E4A">
      <w:pPr>
        <w:spacing w:line="480" w:lineRule="auto"/>
      </w:pPr>
      <w:r>
        <w:t>Improved self-efficacy and decreased HbA1c 0.3-0.5 (Malanda et al., 2012; Young et al., 2017).</w:t>
      </w:r>
    </w:p>
    <w:p w14:paraId="081337B7" w14:textId="77777777" w:rsidR="0032213B" w:rsidRDefault="00000000" w:rsidP="00FA6E4A">
      <w:pPr>
        <w:spacing w:line="480" w:lineRule="auto"/>
      </w:pPr>
      <w:r>
        <w:t>CGM has shown time-in-range (TIR &gt;70% at 3.9-10 mmol/L), glycaemic variability, and ambulatory glucose profiles, decreasing HbA1c by 0.6% when compared to SMBG in non-insulin users (Beck et al., 2017).</w:t>
      </w:r>
    </w:p>
    <w:p w14:paraId="644D1BA1" w14:textId="77777777" w:rsidR="0032213B" w:rsidRDefault="00000000" w:rsidP="00FA6E4A">
      <w:pPr>
        <w:spacing w:line="480" w:lineRule="auto"/>
      </w:pPr>
      <w:r>
        <w:t>In the absence of monitoring, asymptomatic hyperglycaemia increases the rate of microvascular (retinopathy, nephropathy, neuropathy) and macrovascular (myocardial infarction, stroke) damage. Mismatched insulin/oral agent increases the risk of hypoglycaemia. The practice nurse will need to educate on proper technique, interpretation of logs, and hypoglycaemia (15 g fast-acting carbohydrate - retest after 15 min).</w:t>
      </w:r>
    </w:p>
    <w:p w14:paraId="7D29D982" w14:textId="77777777" w:rsidR="000306BF" w:rsidRPr="000306BF" w:rsidRDefault="00000000" w:rsidP="00FA6E4A">
      <w:pPr>
        <w:spacing w:line="480" w:lineRule="auto"/>
        <w:rPr>
          <w:b/>
          <w:bCs/>
        </w:rPr>
      </w:pPr>
      <w:r w:rsidRPr="000306BF">
        <w:rPr>
          <w:b/>
          <w:bCs/>
        </w:rPr>
        <w:t>Recommendations</w:t>
      </w:r>
    </w:p>
    <w:p w14:paraId="498A5141" w14:textId="77777777" w:rsidR="000306BF" w:rsidRDefault="00000000" w:rsidP="00FA6E4A">
      <w:pPr>
        <w:spacing w:line="480" w:lineRule="auto"/>
      </w:pPr>
      <w:r>
        <w:t>Evidence-based practices have to follow a biopsychosocial, person-centred approach that incorporates health promotion, social care, behavioural psychology, and pharmacotherapy (American Diabetes Association, 2024; NICE, 2022).</w:t>
      </w:r>
    </w:p>
    <w:p w14:paraId="5A5BFC5C" w14:textId="77777777" w:rsidR="000306BF" w:rsidRDefault="00000000" w:rsidP="00FA6E4A">
      <w:pPr>
        <w:spacing w:line="480" w:lineRule="auto"/>
      </w:pPr>
      <w:r>
        <w:lastRenderedPageBreak/>
        <w:t>One option is Medical Nutrition Therapy (MNT).</w:t>
      </w:r>
    </w:p>
    <w:p w14:paraId="15ED35C8" w14:textId="77777777" w:rsidR="000306BF" w:rsidRDefault="00000000" w:rsidP="00FA6E4A">
      <w:pPr>
        <w:spacing w:line="480" w:lineRule="auto"/>
      </w:pPr>
      <w:r>
        <w:t xml:space="preserve">Referral to a registered dietitian for an individualised Mediterranean or low-carbohydrate (50-130 g/day) diet plan with emphasis on </w:t>
      </w:r>
      <w:r w:rsidR="006776B8">
        <w:t xml:space="preserve">more than </w:t>
      </w:r>
      <w:r>
        <w:t>eight portions of non-starchy vegetables, 30g fibre/day, nuts/seeds, extra-virgin olive oil, oily fish 2 times per week, and legumes. Use the plate method (1/2 plate vegetables, 1/4 lean protein, 1/4 complex carbohydrate) and the carb-counting apps. 10 to 10 percent total energy and saturated fats. Proper results: 5-10 percent of weight loss, HbA1c pure 1.0-2.0 percent (Evert et al., 2019).</w:t>
      </w:r>
    </w:p>
    <w:p w14:paraId="483503C3" w14:textId="77777777" w:rsidR="000306BF" w:rsidRDefault="00000000" w:rsidP="00FA6E4A">
      <w:pPr>
        <w:spacing w:line="480" w:lineRule="auto"/>
      </w:pPr>
      <w:r>
        <w:t>Physical Education Prescription.</w:t>
      </w:r>
    </w:p>
    <w:p w14:paraId="34DE1BF8" w14:textId="77777777" w:rsidR="000306BF" w:rsidRDefault="00000000" w:rsidP="00FA6E4A">
      <w:pPr>
        <w:spacing w:line="480" w:lineRule="auto"/>
      </w:pPr>
      <w:r>
        <w:t>150 min/week moderate aerobic exercise (brisk walking, bicycling) with major muscle group resistance exercise 2-3 times/week. HIIT-like regimens (i.e., 4 x 4-min intervals at 90% HRmax) increase VO2max and insulin sensitivity by 15-20 per cent compared to steady-state training (Way et al., 2019). Signpost to local authority exercise referral schemes of Diabetes UK Walking Chatting Diabetes UK Walking Health.</w:t>
      </w:r>
    </w:p>
    <w:p w14:paraId="47E3C18D" w14:textId="77777777" w:rsidR="000306BF" w:rsidRDefault="00000000" w:rsidP="00FA6E4A">
      <w:pPr>
        <w:spacing w:line="480" w:lineRule="auto"/>
      </w:pPr>
      <w:r>
        <w:t>Weight Management</w:t>
      </w:r>
    </w:p>
    <w:p w14:paraId="07850A81" w14:textId="77777777" w:rsidR="000306BF" w:rsidRDefault="00000000" w:rsidP="00FA6E4A">
      <w:pPr>
        <w:spacing w:line="480" w:lineRule="auto"/>
      </w:pPr>
      <w:r>
        <w:t>Losses in 3 months [5%, in 12 months 10-15%. Provide NHS Tier 3 weight management care or weigh 12-week total diet replacement (800-850 kcal/day) with nutritionally complete formula products, which have T2DM remission (HbA1c &lt;48 mmol/mol off medication) in 46-86% of patients diagnosed with T2DM under the age of 6 (Lean et al., 2019).</w:t>
      </w:r>
    </w:p>
    <w:p w14:paraId="15F0A6E5" w14:textId="77777777" w:rsidR="000306BF" w:rsidRDefault="00000000" w:rsidP="00FA6E4A">
      <w:pPr>
        <w:spacing w:line="480" w:lineRule="auto"/>
      </w:pPr>
      <w:r>
        <w:t>Formal Education and Psychological Intervention.</w:t>
      </w:r>
    </w:p>
    <w:p w14:paraId="4C3F633A" w14:textId="77777777" w:rsidR="000306BF" w:rsidRDefault="00000000" w:rsidP="00FA6E4A">
      <w:pPr>
        <w:spacing w:line="480" w:lineRule="auto"/>
      </w:pPr>
      <w:r>
        <w:t>Complete DESMOND or X-PERT programmes within 4 weeks of diagnosis. Reviews on a monthly basis led by nurses and include CGM data downloads, shared decision-making, and goal-setting based on SMART. Screen for diabetes distress [PAID scale] and depression [PHQ-9]; refer to IAPT in case of a score of more than 10.</w:t>
      </w:r>
    </w:p>
    <w:p w14:paraId="36CE7F36" w14:textId="77777777" w:rsidR="000306BF" w:rsidRDefault="00000000" w:rsidP="00FA6E4A">
      <w:pPr>
        <w:spacing w:line="480" w:lineRule="auto"/>
      </w:pPr>
      <w:r>
        <w:lastRenderedPageBreak/>
        <w:t>Sleep and Stress Management</w:t>
      </w:r>
    </w:p>
    <w:p w14:paraId="2AF31DF9" w14:textId="77777777" w:rsidR="000306BF" w:rsidRDefault="00000000" w:rsidP="00FA6E4A">
      <w:pPr>
        <w:spacing w:line="480" w:lineRule="auto"/>
      </w:pPr>
      <w:r>
        <w:t>The 7-9/night sleep hygiene education. Where necessary, cognitive behavioural therapy for insomnia (CBT-I). Stress reduction on Mindfulness-based (MBSR) or acceptance and commitment therapy (ACT) decreases HbA1C by 0.5-0.8 percentage points (Whitehead et al., 2022).</w:t>
      </w:r>
    </w:p>
    <w:p w14:paraId="4BD1ADC0" w14:textId="77777777" w:rsidR="000306BF" w:rsidRDefault="00000000" w:rsidP="00FA6E4A">
      <w:pPr>
        <w:spacing w:line="480" w:lineRule="auto"/>
      </w:pPr>
      <w:r>
        <w:t>Social Care Integration</w:t>
      </w:r>
    </w:p>
    <w:p w14:paraId="460385DA" w14:textId="77777777" w:rsidR="000306BF" w:rsidRDefault="00000000" w:rsidP="00FA6E4A">
      <w:pPr>
        <w:spacing w:line="480" w:lineRule="auto"/>
      </w:pPr>
      <w:r>
        <w:t>Refer to community peer-support groups, food co-ops with affordable healthy food, and benefits counseling to work on socioeconomic determinants. Promote family participation in educational programs to boost social support.</w:t>
      </w:r>
    </w:p>
    <w:p w14:paraId="1032D3A4" w14:textId="77777777" w:rsidR="000306BF" w:rsidRDefault="00000000" w:rsidP="00FA6E4A">
      <w:pPr>
        <w:spacing w:line="480" w:lineRule="auto"/>
      </w:pPr>
      <w:r>
        <w:t>Pharmacotherapy &amp; Technology.</w:t>
      </w:r>
    </w:p>
    <w:p w14:paraId="08EDED15" w14:textId="77777777" w:rsidR="000306BF" w:rsidRDefault="00000000" w:rsidP="00FA6E4A">
      <w:pPr>
        <w:spacing w:line="480" w:lineRule="auto"/>
      </w:pPr>
      <w:r>
        <w:t>Initiate metformin 500 mg BD, increase to 1g BD. In case of HbA1c, ongoing levels of &gt;58 mmol/mol with lifestyle optimisation after 3 months, add GLP-1 receptor agonist (semaglutide 1 mg weekly) or SGLT2 inhibitor (empagliflozin 10 mg), both to protect the heart and reduce weight. Funding is CGM (Freestyle Libre) through NHS criteria.</w:t>
      </w:r>
    </w:p>
    <w:p w14:paraId="2AAD0271" w14:textId="77777777" w:rsidR="000306BF" w:rsidRDefault="00000000" w:rsidP="00FA6E4A">
      <w:pPr>
        <w:spacing w:line="480" w:lineRule="auto"/>
      </w:pPr>
      <w:r>
        <w:t>Health Promotion, prevention.</w:t>
      </w:r>
    </w:p>
    <w:p w14:paraId="4A436B49" w14:textId="77777777" w:rsidR="000306BF" w:rsidRDefault="00000000" w:rsidP="00FA6E4A">
      <w:pPr>
        <w:spacing w:line="480" w:lineRule="auto"/>
      </w:pPr>
      <w:r>
        <w:t>Yearly retinal check, foot checks, urine ACR, lipid profile, and blood pressure less than 140/80 mmHg. Influenza/pneumococcal vaccination. Non-smoker smoking advice (but non-smoking).</w:t>
      </w:r>
    </w:p>
    <w:p w14:paraId="1777BF3E" w14:textId="77777777" w:rsidR="000306BF" w:rsidRDefault="00000000" w:rsidP="00FA6E4A">
      <w:pPr>
        <w:spacing w:line="480" w:lineRule="auto"/>
      </w:pPr>
      <w:r>
        <w:t>These multi-dimensional interventions, provided in partnership, are capable of remitting T2DM in up to 60 percent of all eligible patients, reducing cardiovascular events by 20-30 percent, and increasing quality-adjusted life years by 3-5 years.</w:t>
      </w:r>
    </w:p>
    <w:p w14:paraId="67F05A54" w14:textId="77777777" w:rsidR="000306BF" w:rsidRPr="000306BF" w:rsidRDefault="00000000" w:rsidP="00FA6E4A">
      <w:pPr>
        <w:spacing w:line="480" w:lineRule="auto"/>
        <w:rPr>
          <w:b/>
          <w:bCs/>
        </w:rPr>
      </w:pPr>
      <w:r w:rsidRPr="000306BF">
        <w:rPr>
          <w:b/>
          <w:bCs/>
        </w:rPr>
        <w:t>Conclusion</w:t>
      </w:r>
    </w:p>
    <w:p w14:paraId="5E859716" w14:textId="77777777" w:rsidR="002C334C" w:rsidRDefault="002C334C" w:rsidP="002C334C">
      <w:pPr>
        <w:spacing w:line="480" w:lineRule="auto"/>
      </w:pPr>
      <w:r>
        <w:lastRenderedPageBreak/>
        <w:t>This detailed report has illuminated the importance of practice nurses, in terms of their contribution during the management of type 2 diabetes in the primary care setting. Starting with the description of the diabetes pathophysiology and endocrine foundations of diabetes, the discussion has progressively moved on to the numerous mechanisms, in detail, by which glucose in blood is regulated, and the dramatic metabolic imbalances that have developed in the cell, which is caused by the poor lifestyle modifications the patient had to endure. The paramount significance of conscious self-observation was highlighted, and the disastrous outcomes of the failure to do it. Last but not least, a comprehensive and evidence-based set of recommendations that cut across the medical nutrition therapy, physical activities, weight control, psychological support, social care integration, and pharmacotherapy were also given.</w:t>
      </w:r>
    </w:p>
    <w:p w14:paraId="4602192F" w14:textId="77777777" w:rsidR="002C334C" w:rsidRDefault="002C334C" w:rsidP="002C334C">
      <w:pPr>
        <w:spacing w:line="480" w:lineRule="auto"/>
      </w:pPr>
      <w:r>
        <w:t>Such strategies can help the patient to regain control over their metabolism, prevent debilitating complications, and, in most instances, fully remit type 2 diabetes in a manner that is possible through the application of the strategies with an understanding of culture, empathy, and continuity of care. The practice nurse is at the heart of this transformative activity and a mediator between the science of medicine and the experience of being a human so as to offer genuinely holistic and person-focused care that will not only stretch but renew quality of life.</w:t>
      </w:r>
    </w:p>
    <w:p w14:paraId="04AF9FF0" w14:textId="77777777" w:rsidR="000306BF" w:rsidRDefault="000306BF" w:rsidP="00FA6E4A">
      <w:pPr>
        <w:spacing w:line="480" w:lineRule="auto"/>
      </w:pPr>
    </w:p>
    <w:p w14:paraId="60975F46" w14:textId="77777777" w:rsidR="000306BF" w:rsidRDefault="000306BF" w:rsidP="00FA6E4A">
      <w:pPr>
        <w:spacing w:line="480" w:lineRule="auto"/>
      </w:pPr>
    </w:p>
    <w:p w14:paraId="2A2EFD43" w14:textId="77777777" w:rsidR="000306BF" w:rsidRDefault="000306BF" w:rsidP="00FA6E4A">
      <w:pPr>
        <w:spacing w:line="480" w:lineRule="auto"/>
      </w:pPr>
    </w:p>
    <w:p w14:paraId="67B6BE57" w14:textId="77777777" w:rsidR="000306BF" w:rsidRDefault="000306BF" w:rsidP="00FA6E4A">
      <w:pPr>
        <w:spacing w:line="480" w:lineRule="auto"/>
      </w:pPr>
    </w:p>
    <w:p w14:paraId="68B108FD" w14:textId="77777777" w:rsidR="000306BF" w:rsidRDefault="000306BF" w:rsidP="00FA6E4A">
      <w:pPr>
        <w:spacing w:line="480" w:lineRule="auto"/>
      </w:pPr>
    </w:p>
    <w:p w14:paraId="6AB2B5A3" w14:textId="77777777" w:rsidR="000306BF" w:rsidRDefault="000306BF" w:rsidP="00FA6E4A">
      <w:pPr>
        <w:spacing w:line="480" w:lineRule="auto"/>
      </w:pPr>
    </w:p>
    <w:p w14:paraId="64EF2559" w14:textId="77777777" w:rsidR="000306BF" w:rsidRDefault="000306BF" w:rsidP="00FA6E4A">
      <w:pPr>
        <w:spacing w:line="480" w:lineRule="auto"/>
      </w:pPr>
    </w:p>
    <w:p w14:paraId="4578C031" w14:textId="77777777" w:rsidR="000306BF" w:rsidRDefault="000306BF" w:rsidP="00FA6E4A">
      <w:pPr>
        <w:spacing w:line="480" w:lineRule="auto"/>
      </w:pPr>
    </w:p>
    <w:p w14:paraId="4471F11E" w14:textId="77777777" w:rsidR="000306BF" w:rsidRDefault="000306BF" w:rsidP="00FA6E4A">
      <w:pPr>
        <w:spacing w:line="480" w:lineRule="auto"/>
      </w:pPr>
    </w:p>
    <w:p w14:paraId="623BD327" w14:textId="77777777" w:rsidR="000306BF" w:rsidRDefault="000306BF" w:rsidP="00FA6E4A">
      <w:pPr>
        <w:spacing w:line="480" w:lineRule="auto"/>
      </w:pPr>
    </w:p>
    <w:p w14:paraId="2C207568" w14:textId="77777777" w:rsidR="000306BF" w:rsidRDefault="000306BF" w:rsidP="00FA6E4A">
      <w:pPr>
        <w:spacing w:line="480" w:lineRule="auto"/>
      </w:pPr>
    </w:p>
    <w:p w14:paraId="7444E262" w14:textId="77777777" w:rsidR="000306BF" w:rsidRDefault="000306BF" w:rsidP="00FA6E4A">
      <w:pPr>
        <w:spacing w:line="480" w:lineRule="auto"/>
      </w:pPr>
    </w:p>
    <w:p w14:paraId="11ADAE02" w14:textId="77777777" w:rsidR="000306BF" w:rsidRDefault="000306BF" w:rsidP="00FA6E4A">
      <w:pPr>
        <w:spacing w:line="480" w:lineRule="auto"/>
      </w:pPr>
    </w:p>
    <w:p w14:paraId="4EF9457D" w14:textId="77777777" w:rsidR="000306BF" w:rsidRDefault="000306BF" w:rsidP="00FA6E4A">
      <w:pPr>
        <w:spacing w:line="480" w:lineRule="auto"/>
      </w:pPr>
    </w:p>
    <w:p w14:paraId="4BEBA02E" w14:textId="77777777" w:rsidR="000306BF" w:rsidRDefault="000306BF" w:rsidP="00FA6E4A">
      <w:pPr>
        <w:spacing w:line="480" w:lineRule="auto"/>
      </w:pPr>
    </w:p>
    <w:p w14:paraId="296CE166" w14:textId="77777777" w:rsidR="000306BF" w:rsidRDefault="000306BF" w:rsidP="00FA6E4A">
      <w:pPr>
        <w:spacing w:line="480" w:lineRule="auto"/>
      </w:pPr>
    </w:p>
    <w:p w14:paraId="510FD3FB" w14:textId="77777777" w:rsidR="000306BF" w:rsidRDefault="00000000" w:rsidP="00FA6E4A">
      <w:pPr>
        <w:spacing w:line="480" w:lineRule="auto"/>
      </w:pPr>
      <w:r>
        <w:t>References</w:t>
      </w:r>
    </w:p>
    <w:p w14:paraId="67441A6D" w14:textId="77777777" w:rsidR="000306BF" w:rsidRPr="000306BF" w:rsidRDefault="00000000" w:rsidP="00FA6E4A">
      <w:pPr>
        <w:spacing w:line="480" w:lineRule="auto"/>
      </w:pPr>
      <w:r w:rsidRPr="000306BF">
        <w:t xml:space="preserve">American Diabetes Association. (2024). Standards of medical care in diabetes—2024. </w:t>
      </w:r>
      <w:r w:rsidRPr="000306BF">
        <w:rPr>
          <w:i/>
          <w:iCs/>
        </w:rPr>
        <w:t>Diabetes Care</w:t>
      </w:r>
      <w:r w:rsidRPr="000306BF">
        <w:t xml:space="preserve">, 47(Suppl. 1), S1–S322. </w:t>
      </w:r>
      <w:hyperlink r:id="rId8" w:tgtFrame="_blank" w:history="1">
        <w:r w:rsidR="000306BF" w:rsidRPr="000306BF">
          <w:rPr>
            <w:rStyle w:val="Hyperlink"/>
          </w:rPr>
          <w:t>https://doi.org/10.2337/dc24-SINT</w:t>
        </w:r>
      </w:hyperlink>
    </w:p>
    <w:p w14:paraId="3AB6A40F" w14:textId="77777777" w:rsidR="000306BF" w:rsidRPr="000306BF" w:rsidRDefault="00000000" w:rsidP="00FA6E4A">
      <w:pPr>
        <w:spacing w:line="480" w:lineRule="auto"/>
      </w:pPr>
      <w:r w:rsidRPr="000306BF">
        <w:t xml:space="preserve">Aronoff, S. L., Berkowitz, K., Shreiner, B., &amp; Want, L. (2004). Glucose metabolism and regulation of cell proliferation. </w:t>
      </w:r>
      <w:r w:rsidRPr="000306BF">
        <w:rPr>
          <w:i/>
          <w:iCs/>
        </w:rPr>
        <w:t>Diabetes Spectrum</w:t>
      </w:r>
      <w:r w:rsidRPr="000306BF">
        <w:t xml:space="preserve">, 17(3), 183–190. </w:t>
      </w:r>
      <w:hyperlink r:id="rId9" w:tgtFrame="_blank" w:history="1">
        <w:r w:rsidR="000306BF" w:rsidRPr="000306BF">
          <w:rPr>
            <w:rStyle w:val="Hyperlink"/>
          </w:rPr>
          <w:t>https://doi.org/10.2337/diaspect.17.3.183</w:t>
        </w:r>
      </w:hyperlink>
    </w:p>
    <w:p w14:paraId="0BC0B2D6" w14:textId="77777777" w:rsidR="000306BF" w:rsidRPr="000306BF" w:rsidRDefault="00000000" w:rsidP="00FA6E4A">
      <w:pPr>
        <w:spacing w:line="480" w:lineRule="auto"/>
      </w:pPr>
      <w:r w:rsidRPr="000306BF">
        <w:t xml:space="preserve">Beck, R. W., Riddlesworth, T., Ruedy, K., Ahmann, A., Bergenstal, R., Haller, S., ... &amp; DIAMOND Study Group. (2017). Effect of continuous glucose monitoring on glycemic control in adults with type 2 diabetes using insulin injections. </w:t>
      </w:r>
      <w:r w:rsidRPr="000306BF">
        <w:rPr>
          <w:i/>
          <w:iCs/>
        </w:rPr>
        <w:t>JAMA</w:t>
      </w:r>
      <w:r w:rsidRPr="000306BF">
        <w:t xml:space="preserve">, 317(4), 371–378. </w:t>
      </w:r>
      <w:hyperlink r:id="rId10" w:tgtFrame="_blank" w:history="1">
        <w:r w:rsidR="000306BF" w:rsidRPr="000306BF">
          <w:rPr>
            <w:rStyle w:val="Hyperlink"/>
          </w:rPr>
          <w:t>https://doi.org/10.1001/jama.2016.19975</w:t>
        </w:r>
      </w:hyperlink>
    </w:p>
    <w:p w14:paraId="7A9977FB" w14:textId="77777777" w:rsidR="000306BF" w:rsidRPr="000306BF" w:rsidRDefault="00000000" w:rsidP="00FA6E4A">
      <w:pPr>
        <w:spacing w:line="480" w:lineRule="auto"/>
      </w:pPr>
      <w:r w:rsidRPr="000306BF">
        <w:lastRenderedPageBreak/>
        <w:t xml:space="preserve">Beulens, J. W. J., et al. (2022). Environmental risk factors of type 2 diabetes—an exposome approach. </w:t>
      </w:r>
      <w:r w:rsidRPr="000306BF">
        <w:rPr>
          <w:i/>
          <w:iCs/>
        </w:rPr>
        <w:t>Diabetologia</w:t>
      </w:r>
      <w:r w:rsidRPr="000306BF">
        <w:t xml:space="preserve">, 65(2), 263–274. </w:t>
      </w:r>
      <w:hyperlink r:id="rId11" w:tgtFrame="_blank" w:history="1">
        <w:r w:rsidR="000306BF" w:rsidRPr="000306BF">
          <w:rPr>
            <w:rStyle w:val="Hyperlink"/>
          </w:rPr>
          <w:t>https://doi.org/10.1007/s00125-021-05618-w</w:t>
        </w:r>
      </w:hyperlink>
    </w:p>
    <w:p w14:paraId="6C9CD9E2" w14:textId="77777777" w:rsidR="000306BF" w:rsidRPr="000306BF" w:rsidRDefault="00000000" w:rsidP="00FA6E4A">
      <w:pPr>
        <w:spacing w:line="480" w:lineRule="auto"/>
      </w:pPr>
      <w:r w:rsidRPr="000306BF">
        <w:t xml:space="preserve">DeFronzo, R. A., Ferrannini, E., Groop, L., et al. (2015). Type 2 diabetes mellitus. </w:t>
      </w:r>
      <w:r w:rsidRPr="000306BF">
        <w:rPr>
          <w:i/>
          <w:iCs/>
        </w:rPr>
        <w:t>Nature Reviews Disease Primers</w:t>
      </w:r>
      <w:r w:rsidRPr="000306BF">
        <w:t xml:space="preserve">, 1, 15019. </w:t>
      </w:r>
      <w:hyperlink r:id="rId12" w:tgtFrame="_blank" w:history="1">
        <w:r w:rsidR="000306BF" w:rsidRPr="000306BF">
          <w:rPr>
            <w:rStyle w:val="Hyperlink"/>
          </w:rPr>
          <w:t>https://doi.org/10.1038/nrdp.2015.19</w:t>
        </w:r>
      </w:hyperlink>
    </w:p>
    <w:p w14:paraId="585F9D20" w14:textId="77777777" w:rsidR="000306BF" w:rsidRPr="000306BF" w:rsidRDefault="00000000" w:rsidP="00FA6E4A">
      <w:pPr>
        <w:spacing w:line="480" w:lineRule="auto"/>
      </w:pPr>
      <w:r w:rsidRPr="000306BF">
        <w:t xml:space="preserve">Evert, A. B., Dennison, M., Gardner, C. D., et al. (2019). Nutrition therapy for adults with diabetes or prediabetes: A consensus report. </w:t>
      </w:r>
      <w:r w:rsidRPr="000306BF">
        <w:rPr>
          <w:i/>
          <w:iCs/>
        </w:rPr>
        <w:t>Diabetes Care</w:t>
      </w:r>
      <w:r w:rsidRPr="000306BF">
        <w:t xml:space="preserve">, 42(5), 731–754. </w:t>
      </w:r>
      <w:hyperlink r:id="rId13" w:tgtFrame="_blank" w:history="1">
        <w:r w:rsidR="000306BF" w:rsidRPr="000306BF">
          <w:rPr>
            <w:rStyle w:val="Hyperlink"/>
          </w:rPr>
          <w:t>https://doi.org/10.2337/dci19-0014</w:t>
        </w:r>
      </w:hyperlink>
    </w:p>
    <w:p w14:paraId="671BAF5C" w14:textId="77777777" w:rsidR="000306BF" w:rsidRPr="000306BF" w:rsidRDefault="00000000" w:rsidP="00FA6E4A">
      <w:pPr>
        <w:spacing w:line="480" w:lineRule="auto"/>
      </w:pPr>
      <w:r w:rsidRPr="000306BF">
        <w:t xml:space="preserve">Galicia-Garcia, U., Benito-Vicente, A., Jebari, S., et al. (2020). Pathophysiology of type 2 diabetes mellitus. </w:t>
      </w:r>
      <w:r w:rsidRPr="000306BF">
        <w:rPr>
          <w:i/>
          <w:iCs/>
        </w:rPr>
        <w:t>International Journal of Molecular Sciences</w:t>
      </w:r>
      <w:r w:rsidRPr="000306BF">
        <w:t xml:space="preserve">, 21(17), 6275. </w:t>
      </w:r>
      <w:hyperlink r:id="rId14" w:tgtFrame="_blank" w:history="1">
        <w:r w:rsidR="000306BF" w:rsidRPr="000306BF">
          <w:rPr>
            <w:rStyle w:val="Hyperlink"/>
          </w:rPr>
          <w:t>https://doi.org/10.3390/ijms21176275</w:t>
        </w:r>
      </w:hyperlink>
    </w:p>
    <w:p w14:paraId="2C235B5A" w14:textId="77777777" w:rsidR="000306BF" w:rsidRPr="000306BF" w:rsidRDefault="00000000" w:rsidP="00FA6E4A">
      <w:pPr>
        <w:spacing w:line="480" w:lineRule="auto"/>
      </w:pPr>
      <w:r w:rsidRPr="000306BF">
        <w:t xml:space="preserve">Kolb, H., &amp; Martin, S. (2017). Environmental/lifestyle factors in the pathogenesis and prevention of type 2 diabetes. </w:t>
      </w:r>
      <w:r w:rsidRPr="000306BF">
        <w:rPr>
          <w:i/>
          <w:iCs/>
        </w:rPr>
        <w:t>BMC Medicine</w:t>
      </w:r>
      <w:r w:rsidRPr="000306BF">
        <w:t xml:space="preserve">, 15(1), 131. </w:t>
      </w:r>
      <w:hyperlink r:id="rId15" w:tgtFrame="_blank" w:history="1">
        <w:r w:rsidR="000306BF" w:rsidRPr="000306BF">
          <w:rPr>
            <w:rStyle w:val="Hyperlink"/>
          </w:rPr>
          <w:t>https://doi.org/10.1186/s12916-017-0901-x</w:t>
        </w:r>
      </w:hyperlink>
    </w:p>
    <w:p w14:paraId="637459FE" w14:textId="77777777" w:rsidR="000306BF" w:rsidRPr="000306BF" w:rsidRDefault="00000000" w:rsidP="00FA6E4A">
      <w:pPr>
        <w:spacing w:line="480" w:lineRule="auto"/>
      </w:pPr>
      <w:r w:rsidRPr="000306BF">
        <w:t xml:space="preserve">Lean, M. E., Leslie, W. S., Barnes, A. C., et al. (2019). Durability of a primary care-led weight-management intervention for remission of type 2 diabetes. </w:t>
      </w:r>
      <w:r w:rsidRPr="000306BF">
        <w:rPr>
          <w:i/>
          <w:iCs/>
        </w:rPr>
        <w:t>The Lancet Diabetes &amp; Endocrinology</w:t>
      </w:r>
      <w:r w:rsidRPr="000306BF">
        <w:t xml:space="preserve">, 7(5), 344–355. </w:t>
      </w:r>
      <w:hyperlink r:id="rId16" w:tgtFrame="_blank" w:history="1">
        <w:r w:rsidR="000306BF" w:rsidRPr="000306BF">
          <w:rPr>
            <w:rStyle w:val="Hyperlink"/>
          </w:rPr>
          <w:t>https://doi.org/10.1016/S2213-8587(19)30068-3</w:t>
        </w:r>
      </w:hyperlink>
    </w:p>
    <w:p w14:paraId="01AD5E5D" w14:textId="77777777" w:rsidR="000306BF" w:rsidRPr="000306BF" w:rsidRDefault="00000000" w:rsidP="00FA6E4A">
      <w:pPr>
        <w:spacing w:line="480" w:lineRule="auto"/>
      </w:pPr>
      <w:r w:rsidRPr="000306BF">
        <w:t xml:space="preserve">Malanda, U. L., Welschen, L. M., Riphagen, I. I., et al. (2012). Self-monitoring of blood glucose in patients with type 2 diabetes mellitus who are not using insulin. </w:t>
      </w:r>
      <w:r w:rsidRPr="000306BF">
        <w:rPr>
          <w:i/>
          <w:iCs/>
        </w:rPr>
        <w:t>Cochrane Database of Systematic Reviews</w:t>
      </w:r>
      <w:r w:rsidRPr="000306BF">
        <w:t xml:space="preserve">, (1), CD005060. </w:t>
      </w:r>
      <w:hyperlink r:id="rId17" w:tgtFrame="_blank" w:history="1">
        <w:r w:rsidR="000306BF" w:rsidRPr="000306BF">
          <w:rPr>
            <w:rStyle w:val="Hyperlink"/>
          </w:rPr>
          <w:t>https://doi.org/10.1002/14651858.CD005060.pub3</w:t>
        </w:r>
      </w:hyperlink>
    </w:p>
    <w:p w14:paraId="7309B746" w14:textId="77777777" w:rsidR="000306BF" w:rsidRPr="000306BF" w:rsidRDefault="00000000" w:rsidP="00FA6E4A">
      <w:pPr>
        <w:spacing w:line="480" w:lineRule="auto"/>
      </w:pPr>
      <w:r w:rsidRPr="000306BF">
        <w:t xml:space="preserve">Martens, T., Beck, R. W., Bailey, R., et al. (2021). Effect of continuous glucose monitoring on glycemic control in patients with type 2 diabetes treated with basal insulin. </w:t>
      </w:r>
      <w:r w:rsidRPr="000306BF">
        <w:rPr>
          <w:i/>
          <w:iCs/>
        </w:rPr>
        <w:t>JAMA</w:t>
      </w:r>
      <w:r w:rsidRPr="000306BF">
        <w:t xml:space="preserve">, 325(22), 2262–2272. </w:t>
      </w:r>
      <w:hyperlink r:id="rId18" w:tgtFrame="_blank" w:history="1">
        <w:r w:rsidR="000306BF" w:rsidRPr="000306BF">
          <w:rPr>
            <w:rStyle w:val="Hyperlink"/>
          </w:rPr>
          <w:t>https://doi.org/10.1001/jama.2021.7444</w:t>
        </w:r>
      </w:hyperlink>
    </w:p>
    <w:p w14:paraId="56C9000D" w14:textId="77777777" w:rsidR="000306BF" w:rsidRPr="000306BF" w:rsidRDefault="00000000" w:rsidP="00FA6E4A">
      <w:pPr>
        <w:spacing w:line="480" w:lineRule="auto"/>
      </w:pPr>
      <w:r w:rsidRPr="000306BF">
        <w:lastRenderedPageBreak/>
        <w:t xml:space="preserve">Newsholme, P., Keane, K., Carlessi, R., &amp; Cruzat, V. (2019). Oxidative stress pathways in pancreatic β-cells and skeletal muscle. </w:t>
      </w:r>
      <w:r w:rsidRPr="000306BF">
        <w:rPr>
          <w:i/>
          <w:iCs/>
        </w:rPr>
        <w:t>Cellular and Molecular Life Sciences</w:t>
      </w:r>
      <w:r w:rsidRPr="000306BF">
        <w:t xml:space="preserve">, 76(21), 4259–4275. </w:t>
      </w:r>
      <w:hyperlink r:id="rId19" w:tgtFrame="_blank" w:history="1">
        <w:r w:rsidR="000306BF" w:rsidRPr="000306BF">
          <w:rPr>
            <w:rStyle w:val="Hyperlink"/>
          </w:rPr>
          <w:t>https://doi.org/10.1007/s00018-019-03203-8</w:t>
        </w:r>
      </w:hyperlink>
    </w:p>
    <w:p w14:paraId="7813DACC" w14:textId="77777777" w:rsidR="000306BF" w:rsidRPr="000306BF" w:rsidRDefault="00000000" w:rsidP="00FA6E4A">
      <w:pPr>
        <w:spacing w:line="480" w:lineRule="auto"/>
      </w:pPr>
      <w:r w:rsidRPr="000306BF">
        <w:t xml:space="preserve">NICE. (2022). </w:t>
      </w:r>
      <w:r w:rsidRPr="000306BF">
        <w:rPr>
          <w:i/>
          <w:iCs/>
        </w:rPr>
        <w:t>Type 2 diabetes in adults: Management (NG28)</w:t>
      </w:r>
      <w:r w:rsidRPr="000306BF">
        <w:t xml:space="preserve">. National Institute for Health and Care Excellence. </w:t>
      </w:r>
      <w:hyperlink r:id="rId20" w:tgtFrame="_blank" w:history="1">
        <w:r w:rsidR="000306BF" w:rsidRPr="000306BF">
          <w:rPr>
            <w:rStyle w:val="Hyperlink"/>
          </w:rPr>
          <w:t>https://www.nice.org.uk/guidance/ng28</w:t>
        </w:r>
      </w:hyperlink>
    </w:p>
    <w:p w14:paraId="2CBDA96A" w14:textId="77777777" w:rsidR="000306BF" w:rsidRPr="000306BF" w:rsidRDefault="00000000" w:rsidP="00FA6E4A">
      <w:pPr>
        <w:spacing w:line="480" w:lineRule="auto"/>
      </w:pPr>
      <w:r w:rsidRPr="000306BF">
        <w:t xml:space="preserve">Röder, P. V., Wu, B., Liu, Y., &amp; Han, W. (2016). Pancreatic regulation of glucose homeostasis. </w:t>
      </w:r>
      <w:r w:rsidRPr="000306BF">
        <w:rPr>
          <w:i/>
          <w:iCs/>
        </w:rPr>
        <w:t>Experimental &amp; Molecular Medicine</w:t>
      </w:r>
      <w:r w:rsidRPr="000306BF">
        <w:t xml:space="preserve">, 48(3), e219. </w:t>
      </w:r>
      <w:hyperlink r:id="rId21" w:tgtFrame="_blank" w:history="1">
        <w:r w:rsidR="000306BF" w:rsidRPr="000306BF">
          <w:rPr>
            <w:rStyle w:val="Hyperlink"/>
          </w:rPr>
          <w:t>https://doi.org/10.1038/emm.2016.6</w:t>
        </w:r>
      </w:hyperlink>
    </w:p>
    <w:p w14:paraId="0319112B" w14:textId="77777777" w:rsidR="000306BF" w:rsidRPr="000306BF" w:rsidRDefault="00000000" w:rsidP="00FA6E4A">
      <w:pPr>
        <w:spacing w:line="480" w:lineRule="auto"/>
      </w:pPr>
      <w:r w:rsidRPr="000306BF">
        <w:t xml:space="preserve">Way, K. L., Hackett, D. A., Baker, M. K., &amp; Johnson, N. A. (2019). The effect of high-intensity interval training versus moderate-intensity continuous training on cardiorespiratory fitness in type 2 diabetes. </w:t>
      </w:r>
      <w:r w:rsidRPr="000306BF">
        <w:rPr>
          <w:i/>
          <w:iCs/>
        </w:rPr>
        <w:t>Sports Medicine</w:t>
      </w:r>
      <w:r w:rsidRPr="000306BF">
        <w:t xml:space="preserve">, 49(10), 1655–1670. </w:t>
      </w:r>
      <w:hyperlink r:id="rId22" w:tgtFrame="_blank" w:history="1">
        <w:r w:rsidR="000306BF" w:rsidRPr="000306BF">
          <w:rPr>
            <w:rStyle w:val="Hyperlink"/>
          </w:rPr>
          <w:t>https://doi.org/10.1007/s40279-019-01155-2</w:t>
        </w:r>
      </w:hyperlink>
    </w:p>
    <w:p w14:paraId="73B440EF" w14:textId="77777777" w:rsidR="000306BF" w:rsidRPr="000306BF" w:rsidRDefault="00000000" w:rsidP="00FA6E4A">
      <w:pPr>
        <w:spacing w:line="480" w:lineRule="auto"/>
      </w:pPr>
      <w:r w:rsidRPr="000306BF">
        <w:t xml:space="preserve">Whitehead, L., Glass, C. C., &amp; Abel, S. (2022). Mindfulness-based interventions for people with diabetes and psychological distress. </w:t>
      </w:r>
      <w:r w:rsidRPr="000306BF">
        <w:rPr>
          <w:i/>
          <w:iCs/>
        </w:rPr>
        <w:t>Diabetes Research and Clinical Practice</w:t>
      </w:r>
      <w:r w:rsidRPr="000306BF">
        <w:t xml:space="preserve">, 184, 109192. </w:t>
      </w:r>
      <w:hyperlink r:id="rId23" w:tgtFrame="_blank" w:history="1">
        <w:r w:rsidR="000306BF" w:rsidRPr="000306BF">
          <w:rPr>
            <w:rStyle w:val="Hyperlink"/>
          </w:rPr>
          <w:t>https://doi.org/10.1016/j.diabres.2022.109192</w:t>
        </w:r>
      </w:hyperlink>
    </w:p>
    <w:p w14:paraId="652C185F" w14:textId="77777777" w:rsidR="000306BF" w:rsidRPr="000306BF" w:rsidRDefault="00000000" w:rsidP="00FA6E4A">
      <w:pPr>
        <w:spacing w:line="480" w:lineRule="auto"/>
      </w:pPr>
      <w:r w:rsidRPr="000306BF">
        <w:t xml:space="preserve">Yaribeygi, H., Farrokhi, F. R., Butler, A. E., &amp; Sahebkar, A. (2019). Insulin resistance: Review of the underlying molecular mechanisms. </w:t>
      </w:r>
      <w:r w:rsidRPr="000306BF">
        <w:rPr>
          <w:i/>
          <w:iCs/>
        </w:rPr>
        <w:t>Journal of Cellular Physiology</w:t>
      </w:r>
      <w:r w:rsidRPr="000306BF">
        <w:t xml:space="preserve">, 234(6), 8152–8161. </w:t>
      </w:r>
      <w:hyperlink r:id="rId24" w:tgtFrame="_blank" w:history="1">
        <w:r w:rsidR="000306BF" w:rsidRPr="000306BF">
          <w:rPr>
            <w:rStyle w:val="Hyperlink"/>
          </w:rPr>
          <w:t>https://doi.org/10.1002/jcp.27603</w:t>
        </w:r>
      </w:hyperlink>
    </w:p>
    <w:p w14:paraId="67AFD58B" w14:textId="77777777" w:rsidR="000306BF" w:rsidRPr="000306BF" w:rsidRDefault="00000000" w:rsidP="00FA6E4A">
      <w:pPr>
        <w:spacing w:line="480" w:lineRule="auto"/>
      </w:pPr>
      <w:r w:rsidRPr="000306BF">
        <w:t xml:space="preserve">Young, L. A., Buse, J. B., Weaver, M. A., et al. (2017). Glucose self-monitoring in non-insulin-treated type 2 diabetes. </w:t>
      </w:r>
      <w:r w:rsidRPr="000306BF">
        <w:rPr>
          <w:i/>
          <w:iCs/>
        </w:rPr>
        <w:t>JAMA Internal Medicine</w:t>
      </w:r>
      <w:r w:rsidRPr="000306BF">
        <w:t xml:space="preserve">, 177(8), 1127–1135. </w:t>
      </w:r>
      <w:hyperlink r:id="rId25" w:tgtFrame="_blank" w:history="1">
        <w:r w:rsidR="000306BF" w:rsidRPr="000306BF">
          <w:rPr>
            <w:rStyle w:val="Hyperlink"/>
          </w:rPr>
          <w:t>https://doi.org/10.1001/jamainternmed.2017.1233</w:t>
        </w:r>
      </w:hyperlink>
    </w:p>
    <w:p w14:paraId="5FA017F3" w14:textId="77777777" w:rsidR="000306BF" w:rsidRDefault="000306BF" w:rsidP="00FA6E4A">
      <w:pPr>
        <w:spacing w:line="480" w:lineRule="auto"/>
      </w:pPr>
    </w:p>
    <w:sectPr w:rsidR="000306BF">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ACED1" w14:textId="77777777" w:rsidR="00D40688" w:rsidRDefault="00D40688">
      <w:pPr>
        <w:spacing w:after="0" w:line="240" w:lineRule="auto"/>
      </w:pPr>
      <w:r>
        <w:separator/>
      </w:r>
    </w:p>
  </w:endnote>
  <w:endnote w:type="continuationSeparator" w:id="0">
    <w:p w14:paraId="68939C8C" w14:textId="77777777" w:rsidR="00D40688" w:rsidRDefault="00D40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13028" w14:textId="77777777" w:rsidR="00D40688" w:rsidRDefault="00D40688">
      <w:pPr>
        <w:spacing w:after="0" w:line="240" w:lineRule="auto"/>
      </w:pPr>
      <w:r>
        <w:separator/>
      </w:r>
    </w:p>
  </w:footnote>
  <w:footnote w:type="continuationSeparator" w:id="0">
    <w:p w14:paraId="47DD13EE" w14:textId="77777777" w:rsidR="00D40688" w:rsidRDefault="00D40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594296"/>
      <w:docPartObj>
        <w:docPartGallery w:val="Page Numbers (Top of Page)"/>
        <w:docPartUnique/>
      </w:docPartObj>
    </w:sdtPr>
    <w:sdtEndPr>
      <w:rPr>
        <w:noProof/>
      </w:rPr>
    </w:sdtEndPr>
    <w:sdtContent>
      <w:p w14:paraId="67F09476" w14:textId="77777777" w:rsidR="006776B8"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7C51F4" w14:textId="77777777" w:rsidR="006776B8" w:rsidRDefault="006776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355BB3"/>
    <w:multiLevelType w:val="hybridMultilevel"/>
    <w:tmpl w:val="5D90F458"/>
    <w:lvl w:ilvl="0" w:tplc="438CD500">
      <w:start w:val="1"/>
      <w:numFmt w:val="bullet"/>
      <w:lvlText w:val=""/>
      <w:lvlJc w:val="left"/>
      <w:pPr>
        <w:ind w:left="720" w:hanging="360"/>
      </w:pPr>
      <w:rPr>
        <w:rFonts w:ascii="Symbol" w:hAnsi="Symbol" w:hint="default"/>
      </w:rPr>
    </w:lvl>
    <w:lvl w:ilvl="1" w:tplc="FE407D08" w:tentative="1">
      <w:start w:val="1"/>
      <w:numFmt w:val="bullet"/>
      <w:lvlText w:val="o"/>
      <w:lvlJc w:val="left"/>
      <w:pPr>
        <w:ind w:left="1440" w:hanging="360"/>
      </w:pPr>
      <w:rPr>
        <w:rFonts w:ascii="Courier New" w:hAnsi="Courier New" w:cs="Courier New" w:hint="default"/>
      </w:rPr>
    </w:lvl>
    <w:lvl w:ilvl="2" w:tplc="2BB662A8" w:tentative="1">
      <w:start w:val="1"/>
      <w:numFmt w:val="bullet"/>
      <w:lvlText w:val=""/>
      <w:lvlJc w:val="left"/>
      <w:pPr>
        <w:ind w:left="2160" w:hanging="360"/>
      </w:pPr>
      <w:rPr>
        <w:rFonts w:ascii="Wingdings" w:hAnsi="Wingdings" w:hint="default"/>
      </w:rPr>
    </w:lvl>
    <w:lvl w:ilvl="3" w:tplc="53A2E09C" w:tentative="1">
      <w:start w:val="1"/>
      <w:numFmt w:val="bullet"/>
      <w:lvlText w:val=""/>
      <w:lvlJc w:val="left"/>
      <w:pPr>
        <w:ind w:left="2880" w:hanging="360"/>
      </w:pPr>
      <w:rPr>
        <w:rFonts w:ascii="Symbol" w:hAnsi="Symbol" w:hint="default"/>
      </w:rPr>
    </w:lvl>
    <w:lvl w:ilvl="4" w:tplc="7F2EA0E6" w:tentative="1">
      <w:start w:val="1"/>
      <w:numFmt w:val="bullet"/>
      <w:lvlText w:val="o"/>
      <w:lvlJc w:val="left"/>
      <w:pPr>
        <w:ind w:left="3600" w:hanging="360"/>
      </w:pPr>
      <w:rPr>
        <w:rFonts w:ascii="Courier New" w:hAnsi="Courier New" w:cs="Courier New" w:hint="default"/>
      </w:rPr>
    </w:lvl>
    <w:lvl w:ilvl="5" w:tplc="1AD2731E" w:tentative="1">
      <w:start w:val="1"/>
      <w:numFmt w:val="bullet"/>
      <w:lvlText w:val=""/>
      <w:lvlJc w:val="left"/>
      <w:pPr>
        <w:ind w:left="4320" w:hanging="360"/>
      </w:pPr>
      <w:rPr>
        <w:rFonts w:ascii="Wingdings" w:hAnsi="Wingdings" w:hint="default"/>
      </w:rPr>
    </w:lvl>
    <w:lvl w:ilvl="6" w:tplc="B350B162" w:tentative="1">
      <w:start w:val="1"/>
      <w:numFmt w:val="bullet"/>
      <w:lvlText w:val=""/>
      <w:lvlJc w:val="left"/>
      <w:pPr>
        <w:ind w:left="5040" w:hanging="360"/>
      </w:pPr>
      <w:rPr>
        <w:rFonts w:ascii="Symbol" w:hAnsi="Symbol" w:hint="default"/>
      </w:rPr>
    </w:lvl>
    <w:lvl w:ilvl="7" w:tplc="934A1400" w:tentative="1">
      <w:start w:val="1"/>
      <w:numFmt w:val="bullet"/>
      <w:lvlText w:val="o"/>
      <w:lvlJc w:val="left"/>
      <w:pPr>
        <w:ind w:left="5760" w:hanging="360"/>
      </w:pPr>
      <w:rPr>
        <w:rFonts w:ascii="Courier New" w:hAnsi="Courier New" w:cs="Courier New" w:hint="default"/>
      </w:rPr>
    </w:lvl>
    <w:lvl w:ilvl="8" w:tplc="819A83FE" w:tentative="1">
      <w:start w:val="1"/>
      <w:numFmt w:val="bullet"/>
      <w:lvlText w:val=""/>
      <w:lvlJc w:val="left"/>
      <w:pPr>
        <w:ind w:left="6480" w:hanging="360"/>
      </w:pPr>
      <w:rPr>
        <w:rFonts w:ascii="Wingdings" w:hAnsi="Wingdings" w:hint="default"/>
      </w:rPr>
    </w:lvl>
  </w:abstractNum>
  <w:num w:numId="1" w16cid:durableId="734396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F90"/>
    <w:rsid w:val="000306BF"/>
    <w:rsid w:val="000B25C2"/>
    <w:rsid w:val="00253B02"/>
    <w:rsid w:val="002C334C"/>
    <w:rsid w:val="0032213B"/>
    <w:rsid w:val="003D231E"/>
    <w:rsid w:val="0041646C"/>
    <w:rsid w:val="004A1FBB"/>
    <w:rsid w:val="0054731E"/>
    <w:rsid w:val="006776B8"/>
    <w:rsid w:val="00867F90"/>
    <w:rsid w:val="00946890"/>
    <w:rsid w:val="00A3099E"/>
    <w:rsid w:val="00B56666"/>
    <w:rsid w:val="00D40688"/>
    <w:rsid w:val="00FA6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6A54C"/>
  <w15:chartTrackingRefBased/>
  <w15:docId w15:val="{2C1B20DF-2DD6-476F-B7EB-9CD15DAAB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F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67F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7F9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7F9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7F9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67F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7F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7F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7F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F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67F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7F90"/>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7F9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867F9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867F9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67F9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67F9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67F9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67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F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F9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67F90"/>
    <w:pPr>
      <w:spacing w:before="160"/>
      <w:jc w:val="center"/>
    </w:pPr>
    <w:rPr>
      <w:i/>
      <w:iCs/>
      <w:color w:val="404040" w:themeColor="text1" w:themeTint="BF"/>
    </w:rPr>
  </w:style>
  <w:style w:type="character" w:customStyle="1" w:styleId="QuoteChar">
    <w:name w:val="Quote Char"/>
    <w:basedOn w:val="DefaultParagraphFont"/>
    <w:link w:val="Quote"/>
    <w:uiPriority w:val="29"/>
    <w:rsid w:val="00867F90"/>
    <w:rPr>
      <w:i/>
      <w:iCs/>
      <w:color w:val="404040" w:themeColor="text1" w:themeTint="BF"/>
    </w:rPr>
  </w:style>
  <w:style w:type="paragraph" w:styleId="ListParagraph">
    <w:name w:val="List Paragraph"/>
    <w:basedOn w:val="Normal"/>
    <w:uiPriority w:val="34"/>
    <w:qFormat/>
    <w:rsid w:val="00867F90"/>
    <w:pPr>
      <w:ind w:left="720"/>
      <w:contextualSpacing/>
    </w:pPr>
  </w:style>
  <w:style w:type="character" w:styleId="IntenseEmphasis">
    <w:name w:val="Intense Emphasis"/>
    <w:basedOn w:val="DefaultParagraphFont"/>
    <w:uiPriority w:val="21"/>
    <w:qFormat/>
    <w:rsid w:val="00867F90"/>
    <w:rPr>
      <w:i/>
      <w:iCs/>
      <w:color w:val="2F5496" w:themeColor="accent1" w:themeShade="BF"/>
    </w:rPr>
  </w:style>
  <w:style w:type="paragraph" w:styleId="IntenseQuote">
    <w:name w:val="Intense Quote"/>
    <w:basedOn w:val="Normal"/>
    <w:next w:val="Normal"/>
    <w:link w:val="IntenseQuoteChar"/>
    <w:uiPriority w:val="30"/>
    <w:qFormat/>
    <w:rsid w:val="00867F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7F90"/>
    <w:rPr>
      <w:i/>
      <w:iCs/>
      <w:color w:val="2F5496" w:themeColor="accent1" w:themeShade="BF"/>
    </w:rPr>
  </w:style>
  <w:style w:type="character" w:styleId="IntenseReference">
    <w:name w:val="Intense Reference"/>
    <w:basedOn w:val="DefaultParagraphFont"/>
    <w:uiPriority w:val="32"/>
    <w:qFormat/>
    <w:rsid w:val="00867F90"/>
    <w:rPr>
      <w:b/>
      <w:bCs/>
      <w:smallCaps/>
      <w:color w:val="2F5496" w:themeColor="accent1" w:themeShade="BF"/>
      <w:spacing w:val="5"/>
    </w:rPr>
  </w:style>
  <w:style w:type="character" w:styleId="Hyperlink">
    <w:name w:val="Hyperlink"/>
    <w:basedOn w:val="DefaultParagraphFont"/>
    <w:uiPriority w:val="99"/>
    <w:unhideWhenUsed/>
    <w:rsid w:val="000306BF"/>
    <w:rPr>
      <w:color w:val="0563C1" w:themeColor="hyperlink"/>
      <w:u w:val="single"/>
    </w:rPr>
  </w:style>
  <w:style w:type="character" w:styleId="UnresolvedMention">
    <w:name w:val="Unresolved Mention"/>
    <w:basedOn w:val="DefaultParagraphFont"/>
    <w:uiPriority w:val="99"/>
    <w:semiHidden/>
    <w:unhideWhenUsed/>
    <w:rsid w:val="000306BF"/>
    <w:rPr>
      <w:color w:val="605E5C"/>
      <w:shd w:val="clear" w:color="auto" w:fill="E1DFDD"/>
    </w:rPr>
  </w:style>
  <w:style w:type="paragraph" w:styleId="Header">
    <w:name w:val="header"/>
    <w:basedOn w:val="Normal"/>
    <w:link w:val="HeaderChar"/>
    <w:uiPriority w:val="99"/>
    <w:unhideWhenUsed/>
    <w:rsid w:val="00677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6B8"/>
  </w:style>
  <w:style w:type="paragraph" w:styleId="Footer">
    <w:name w:val="footer"/>
    <w:basedOn w:val="Normal"/>
    <w:link w:val="FooterChar"/>
    <w:uiPriority w:val="99"/>
    <w:unhideWhenUsed/>
    <w:rsid w:val="00677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24-SINT" TargetMode="External"/><Relationship Id="rId13" Type="http://schemas.openxmlformats.org/officeDocument/2006/relationships/hyperlink" Target="https://doi.org/10.2337/dci19-0014" TargetMode="External"/><Relationship Id="rId18" Type="http://schemas.openxmlformats.org/officeDocument/2006/relationships/hyperlink" Target="https://doi.org/10.1001/jama.2021.7444"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38/emm.2016.6" TargetMode="External"/><Relationship Id="rId7" Type="http://schemas.openxmlformats.org/officeDocument/2006/relationships/image" Target="media/image1.png"/><Relationship Id="rId12" Type="http://schemas.openxmlformats.org/officeDocument/2006/relationships/hyperlink" Target="https://doi.org/10.1038/nrdp.2015.19" TargetMode="External"/><Relationship Id="rId17" Type="http://schemas.openxmlformats.org/officeDocument/2006/relationships/hyperlink" Target="https://doi.org/10.1002/14651858.CD005060.pub3" TargetMode="External"/><Relationship Id="rId25" Type="http://schemas.openxmlformats.org/officeDocument/2006/relationships/hyperlink" Target="https://doi.org/10.1001/jamainternmed.2017.1233" TargetMode="External"/><Relationship Id="rId2" Type="http://schemas.openxmlformats.org/officeDocument/2006/relationships/styles" Target="styles.xml"/><Relationship Id="rId16" Type="http://schemas.openxmlformats.org/officeDocument/2006/relationships/hyperlink" Target="https://doi.org/10.1016/S2213-8587(19)30068-3" TargetMode="External"/><Relationship Id="rId20" Type="http://schemas.openxmlformats.org/officeDocument/2006/relationships/hyperlink" Target="https://www.nice.org.uk/guidance/ng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00125-021-05618-w" TargetMode="External"/><Relationship Id="rId24" Type="http://schemas.openxmlformats.org/officeDocument/2006/relationships/hyperlink" Target="https://doi.org/10.1002/jcp.27603" TargetMode="External"/><Relationship Id="rId5" Type="http://schemas.openxmlformats.org/officeDocument/2006/relationships/footnotes" Target="footnotes.xml"/><Relationship Id="rId15" Type="http://schemas.openxmlformats.org/officeDocument/2006/relationships/hyperlink" Target="https://doi.org/10.1186/s12916-017-0901-x" TargetMode="External"/><Relationship Id="rId23" Type="http://schemas.openxmlformats.org/officeDocument/2006/relationships/hyperlink" Target="https://doi.org/10.1016/j.diabres.2022.109192" TargetMode="External"/><Relationship Id="rId28" Type="http://schemas.openxmlformats.org/officeDocument/2006/relationships/theme" Target="theme/theme1.xml"/><Relationship Id="rId10" Type="http://schemas.openxmlformats.org/officeDocument/2006/relationships/hyperlink" Target="https://doi.org/10.1001/jama.2016.19975" TargetMode="External"/><Relationship Id="rId19" Type="http://schemas.openxmlformats.org/officeDocument/2006/relationships/hyperlink" Target="https://doi.org/10.1007/s00018-019-03203-8" TargetMode="External"/><Relationship Id="rId4" Type="http://schemas.openxmlformats.org/officeDocument/2006/relationships/webSettings" Target="webSettings.xml"/><Relationship Id="rId9" Type="http://schemas.openxmlformats.org/officeDocument/2006/relationships/hyperlink" Target="https://doi.org/10.2337/diaspect.17.3.183" TargetMode="External"/><Relationship Id="rId14" Type="http://schemas.openxmlformats.org/officeDocument/2006/relationships/hyperlink" Target="https://doi.org/10.3390/ijms21176275" TargetMode="External"/><Relationship Id="rId22" Type="http://schemas.openxmlformats.org/officeDocument/2006/relationships/hyperlink" Target="https://doi.org/10.1007/s40279-019-01155-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2863</Words>
  <Characters>16322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Admin</cp:lastModifiedBy>
  <cp:revision>2</cp:revision>
  <dcterms:created xsi:type="dcterms:W3CDTF">2025-11-13T12:19:00Z</dcterms:created>
  <dcterms:modified xsi:type="dcterms:W3CDTF">2025-11-13T12:19:00Z</dcterms:modified>
</cp:coreProperties>
</file>