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5317D" w14:textId="77777777" w:rsidR="002B25E2" w:rsidRDefault="002B25E2" w:rsidP="00053B97">
      <w:pPr>
        <w:spacing w:line="360" w:lineRule="auto"/>
        <w:rPr>
          <w:b/>
          <w:bCs/>
          <w:sz w:val="24"/>
          <w:szCs w:val="24"/>
        </w:rPr>
      </w:pPr>
    </w:p>
    <w:p w14:paraId="048117CE" w14:textId="77777777" w:rsidR="002B25E2" w:rsidRDefault="002B25E2" w:rsidP="00053B97">
      <w:pPr>
        <w:spacing w:line="360" w:lineRule="auto"/>
        <w:rPr>
          <w:b/>
          <w:bCs/>
          <w:sz w:val="24"/>
          <w:szCs w:val="24"/>
        </w:rPr>
      </w:pPr>
    </w:p>
    <w:p w14:paraId="730E5ACD" w14:textId="77777777" w:rsidR="002B25E2" w:rsidRDefault="002B25E2" w:rsidP="00053B97">
      <w:pPr>
        <w:spacing w:line="360" w:lineRule="auto"/>
        <w:rPr>
          <w:b/>
          <w:bCs/>
          <w:sz w:val="24"/>
          <w:szCs w:val="24"/>
        </w:rPr>
      </w:pPr>
    </w:p>
    <w:tbl>
      <w:tblPr>
        <w:tblStyle w:val="TableGrid"/>
        <w:tblpPr w:leftFromText="180" w:rightFromText="180" w:vertAnchor="page" w:horzAnchor="margin" w:tblpY="3373"/>
        <w:tblW w:w="0" w:type="auto"/>
        <w:tblLook w:val="04A0" w:firstRow="1" w:lastRow="0" w:firstColumn="1" w:lastColumn="0" w:noHBand="0" w:noVBand="1"/>
      </w:tblPr>
      <w:tblGrid>
        <w:gridCol w:w="4500"/>
        <w:gridCol w:w="4505"/>
      </w:tblGrid>
      <w:tr w:rsidR="002B25E2" w:rsidRPr="002B4C1B" w14:paraId="19AFF157" w14:textId="77777777" w:rsidTr="00B376D8">
        <w:trPr>
          <w:trHeight w:val="1068"/>
        </w:trPr>
        <w:tc>
          <w:tcPr>
            <w:tcW w:w="4500" w:type="dxa"/>
            <w:shd w:val="clear" w:color="auto" w:fill="D9D9D9" w:themeFill="background1" w:themeFillShade="D9"/>
          </w:tcPr>
          <w:p w14:paraId="444A245B" w14:textId="77777777" w:rsidR="002B25E2" w:rsidRPr="002B4C1B" w:rsidRDefault="002B25E2" w:rsidP="00B376D8">
            <w:pPr>
              <w:pStyle w:val="Title"/>
              <w:spacing w:line="360" w:lineRule="auto"/>
              <w:rPr>
                <w:rFonts w:ascii="Arial" w:hAnsi="Arial" w:cs="Arial"/>
                <w:b/>
                <w:bCs/>
                <w:sz w:val="28"/>
                <w:szCs w:val="28"/>
              </w:rPr>
            </w:pPr>
            <w:r w:rsidRPr="002B4C1B">
              <w:rPr>
                <w:rFonts w:ascii="Arial" w:hAnsi="Arial" w:cs="Arial"/>
                <w:b/>
                <w:bCs/>
                <w:sz w:val="28"/>
                <w:szCs w:val="28"/>
              </w:rPr>
              <w:t>Student Name:</w:t>
            </w:r>
          </w:p>
        </w:tc>
        <w:tc>
          <w:tcPr>
            <w:tcW w:w="4505" w:type="dxa"/>
          </w:tcPr>
          <w:p w14:paraId="6B619577" w14:textId="77777777" w:rsidR="002B25E2" w:rsidRPr="002B4C1B" w:rsidRDefault="002B25E2" w:rsidP="00B376D8">
            <w:pPr>
              <w:pStyle w:val="Title"/>
              <w:spacing w:line="360" w:lineRule="auto"/>
              <w:rPr>
                <w:rFonts w:ascii="Arial" w:hAnsi="Arial" w:cs="Arial"/>
                <w:b/>
                <w:bCs/>
                <w:sz w:val="28"/>
                <w:szCs w:val="28"/>
              </w:rPr>
            </w:pPr>
            <w:r w:rsidRPr="002B4C1B">
              <w:rPr>
                <w:rFonts w:ascii="Arial" w:hAnsi="Arial" w:cs="Arial"/>
                <w:b/>
                <w:bCs/>
                <w:sz w:val="28"/>
                <w:szCs w:val="28"/>
              </w:rPr>
              <w:t>Fateha Nasrin Altafi</w:t>
            </w:r>
          </w:p>
        </w:tc>
      </w:tr>
      <w:tr w:rsidR="002B25E2" w:rsidRPr="002B4C1B" w14:paraId="2EA1DFDF" w14:textId="77777777" w:rsidTr="00B376D8">
        <w:trPr>
          <w:trHeight w:val="1224"/>
        </w:trPr>
        <w:tc>
          <w:tcPr>
            <w:tcW w:w="4500" w:type="dxa"/>
            <w:shd w:val="clear" w:color="auto" w:fill="D9D9D9" w:themeFill="background1" w:themeFillShade="D9"/>
          </w:tcPr>
          <w:p w14:paraId="0DCA5ADE" w14:textId="77777777" w:rsidR="002B25E2" w:rsidRPr="002B4C1B" w:rsidRDefault="002B25E2" w:rsidP="00B376D8">
            <w:pPr>
              <w:pStyle w:val="Title"/>
              <w:spacing w:line="360" w:lineRule="auto"/>
              <w:rPr>
                <w:rFonts w:ascii="Arial" w:hAnsi="Arial" w:cs="Arial"/>
                <w:b/>
                <w:bCs/>
                <w:sz w:val="32"/>
                <w:szCs w:val="32"/>
              </w:rPr>
            </w:pPr>
            <w:r w:rsidRPr="002B4C1B">
              <w:rPr>
                <w:rFonts w:ascii="Arial" w:hAnsi="Arial" w:cs="Arial"/>
                <w:b/>
                <w:bCs/>
                <w:sz w:val="28"/>
                <w:szCs w:val="28"/>
              </w:rPr>
              <w:t>Student ID</w:t>
            </w:r>
            <w:r w:rsidRPr="002B4C1B">
              <w:rPr>
                <w:rFonts w:ascii="Arial" w:hAnsi="Arial" w:cs="Arial"/>
                <w:b/>
                <w:bCs/>
                <w:sz w:val="32"/>
                <w:szCs w:val="32"/>
              </w:rPr>
              <w:t>:</w:t>
            </w:r>
          </w:p>
        </w:tc>
        <w:tc>
          <w:tcPr>
            <w:tcW w:w="4505" w:type="dxa"/>
          </w:tcPr>
          <w:p w14:paraId="270CBC55" w14:textId="77777777" w:rsidR="002B25E2" w:rsidRPr="002B4C1B" w:rsidRDefault="002B25E2" w:rsidP="00B376D8">
            <w:pPr>
              <w:pStyle w:val="Title"/>
              <w:spacing w:line="360" w:lineRule="auto"/>
              <w:rPr>
                <w:rFonts w:ascii="Arial" w:hAnsi="Arial" w:cs="Arial"/>
                <w:b/>
                <w:bCs/>
                <w:sz w:val="28"/>
                <w:szCs w:val="28"/>
              </w:rPr>
            </w:pPr>
            <w:r w:rsidRPr="002B4C1B">
              <w:rPr>
                <w:rFonts w:ascii="Arial" w:hAnsi="Arial" w:cs="Arial"/>
                <w:b/>
                <w:bCs/>
                <w:sz w:val="28"/>
                <w:szCs w:val="28"/>
              </w:rPr>
              <w:t>2309157</w:t>
            </w:r>
          </w:p>
        </w:tc>
      </w:tr>
      <w:tr w:rsidR="002B25E2" w:rsidRPr="002B4C1B" w14:paraId="4BD676E5" w14:textId="77777777" w:rsidTr="00B376D8">
        <w:trPr>
          <w:trHeight w:val="2158"/>
        </w:trPr>
        <w:tc>
          <w:tcPr>
            <w:tcW w:w="4500" w:type="dxa"/>
            <w:shd w:val="clear" w:color="auto" w:fill="D9D9D9" w:themeFill="background1" w:themeFillShade="D9"/>
          </w:tcPr>
          <w:p w14:paraId="1316436F" w14:textId="77777777" w:rsidR="002B25E2" w:rsidRPr="002B4C1B" w:rsidRDefault="002B25E2" w:rsidP="002B25E2">
            <w:pPr>
              <w:pStyle w:val="Title"/>
              <w:spacing w:line="360" w:lineRule="auto"/>
              <w:rPr>
                <w:rFonts w:ascii="Arial" w:hAnsi="Arial" w:cs="Arial"/>
                <w:b/>
                <w:bCs/>
                <w:sz w:val="28"/>
                <w:szCs w:val="28"/>
              </w:rPr>
            </w:pPr>
            <w:r w:rsidRPr="002B4C1B">
              <w:rPr>
                <w:rFonts w:ascii="Arial" w:hAnsi="Arial" w:cs="Arial"/>
                <w:b/>
                <w:bCs/>
                <w:sz w:val="28"/>
                <w:szCs w:val="28"/>
              </w:rPr>
              <w:t>Module/Code:</w:t>
            </w:r>
          </w:p>
        </w:tc>
        <w:tc>
          <w:tcPr>
            <w:tcW w:w="4505" w:type="dxa"/>
          </w:tcPr>
          <w:p w14:paraId="266A9841" w14:textId="77777777" w:rsidR="007F28DE" w:rsidRDefault="002B25E2" w:rsidP="002B25E2">
            <w:pPr>
              <w:pStyle w:val="Title"/>
              <w:spacing w:line="360" w:lineRule="auto"/>
              <w:rPr>
                <w:rFonts w:ascii="Arial" w:hAnsi="Arial" w:cs="Arial"/>
                <w:b/>
                <w:bCs/>
                <w:sz w:val="28"/>
                <w:szCs w:val="28"/>
              </w:rPr>
            </w:pPr>
            <w:r w:rsidRPr="002B25E2">
              <w:rPr>
                <w:rFonts w:ascii="Arial" w:hAnsi="Arial" w:cs="Arial"/>
                <w:b/>
                <w:bCs/>
                <w:sz w:val="28"/>
                <w:szCs w:val="28"/>
              </w:rPr>
              <w:t>Psychological Classifications and Provisions</w:t>
            </w:r>
            <w:r>
              <w:rPr>
                <w:rFonts w:ascii="Arial" w:hAnsi="Arial" w:cs="Arial"/>
                <w:b/>
                <w:bCs/>
                <w:sz w:val="28"/>
                <w:szCs w:val="28"/>
              </w:rPr>
              <w:t xml:space="preserve"> </w:t>
            </w:r>
          </w:p>
          <w:p w14:paraId="38CA817D" w14:textId="199C90C5" w:rsidR="002B25E2" w:rsidRPr="002B4C1B" w:rsidRDefault="002B25E2" w:rsidP="002B25E2">
            <w:pPr>
              <w:pStyle w:val="Title"/>
              <w:spacing w:line="360" w:lineRule="auto"/>
              <w:rPr>
                <w:rFonts w:ascii="Arial" w:hAnsi="Arial" w:cs="Arial"/>
                <w:b/>
                <w:bCs/>
                <w:sz w:val="28"/>
                <w:szCs w:val="28"/>
              </w:rPr>
            </w:pPr>
            <w:r>
              <w:rPr>
                <w:rFonts w:ascii="Arial" w:hAnsi="Arial" w:cs="Arial"/>
                <w:b/>
                <w:bCs/>
                <w:sz w:val="28"/>
                <w:szCs w:val="28"/>
              </w:rPr>
              <w:t>BMHP6029</w:t>
            </w:r>
          </w:p>
        </w:tc>
      </w:tr>
      <w:tr w:rsidR="002B25E2" w:rsidRPr="002B4C1B" w14:paraId="6D555858" w14:textId="77777777" w:rsidTr="00B376D8">
        <w:trPr>
          <w:trHeight w:val="1116"/>
        </w:trPr>
        <w:tc>
          <w:tcPr>
            <w:tcW w:w="4500" w:type="dxa"/>
            <w:shd w:val="clear" w:color="auto" w:fill="D9D9D9" w:themeFill="background1" w:themeFillShade="D9"/>
          </w:tcPr>
          <w:p w14:paraId="7D9C0AE6" w14:textId="77777777" w:rsidR="002B25E2" w:rsidRPr="00A9752C" w:rsidRDefault="002B25E2" w:rsidP="002B25E2">
            <w:pPr>
              <w:spacing w:before="120" w:after="120"/>
              <w:rPr>
                <w:b/>
                <w:sz w:val="28"/>
                <w:szCs w:val="28"/>
              </w:rPr>
            </w:pPr>
            <w:r w:rsidRPr="00A9752C">
              <w:rPr>
                <w:rFonts w:ascii="Arial" w:hAnsi="Arial" w:cs="Arial"/>
                <w:b/>
                <w:sz w:val="28"/>
                <w:szCs w:val="28"/>
              </w:rPr>
              <w:t>Assignment Title:</w:t>
            </w:r>
          </w:p>
          <w:p w14:paraId="665B2658" w14:textId="77777777" w:rsidR="002B25E2" w:rsidRPr="00A9752C" w:rsidRDefault="002B25E2" w:rsidP="002B25E2">
            <w:pPr>
              <w:pStyle w:val="Title"/>
              <w:spacing w:line="360" w:lineRule="auto"/>
              <w:rPr>
                <w:rFonts w:ascii="Arial" w:hAnsi="Arial" w:cs="Arial"/>
                <w:b/>
                <w:bCs/>
                <w:sz w:val="28"/>
                <w:szCs w:val="28"/>
              </w:rPr>
            </w:pPr>
          </w:p>
        </w:tc>
        <w:tc>
          <w:tcPr>
            <w:tcW w:w="4505" w:type="dxa"/>
          </w:tcPr>
          <w:p w14:paraId="62BFDFA9" w14:textId="77777777" w:rsidR="002B25E2" w:rsidRPr="002B25E2" w:rsidRDefault="002B25E2" w:rsidP="002B25E2">
            <w:pPr>
              <w:pStyle w:val="Title"/>
              <w:spacing w:line="360" w:lineRule="auto"/>
              <w:rPr>
                <w:rFonts w:ascii="Arial" w:hAnsi="Arial" w:cs="Arial"/>
                <w:b/>
                <w:bCs/>
                <w:sz w:val="28"/>
                <w:szCs w:val="28"/>
              </w:rPr>
            </w:pPr>
            <w:r w:rsidRPr="002B25E2">
              <w:rPr>
                <w:rFonts w:ascii="Arial" w:hAnsi="Arial" w:cs="Arial"/>
                <w:b/>
                <w:bCs/>
                <w:sz w:val="28"/>
                <w:szCs w:val="28"/>
              </w:rPr>
              <w:t xml:space="preserve">Component 2: </w:t>
            </w:r>
          </w:p>
          <w:p w14:paraId="55565DB2" w14:textId="415B32FD" w:rsidR="002B25E2" w:rsidRPr="00A9752C" w:rsidRDefault="002B25E2" w:rsidP="002B25E2">
            <w:pPr>
              <w:pStyle w:val="Title"/>
              <w:spacing w:line="360" w:lineRule="auto"/>
              <w:rPr>
                <w:rFonts w:ascii="Arial" w:hAnsi="Arial" w:cs="Arial"/>
                <w:b/>
                <w:bCs/>
                <w:sz w:val="28"/>
                <w:szCs w:val="28"/>
              </w:rPr>
            </w:pPr>
            <w:r w:rsidRPr="002B25E2">
              <w:rPr>
                <w:rFonts w:ascii="Arial" w:hAnsi="Arial" w:cs="Arial"/>
                <w:b/>
                <w:bCs/>
                <w:sz w:val="28"/>
                <w:szCs w:val="28"/>
              </w:rPr>
              <w:t>Written Assignment (Report)</w:t>
            </w:r>
          </w:p>
        </w:tc>
      </w:tr>
      <w:tr w:rsidR="002B25E2" w:rsidRPr="002B4C1B" w14:paraId="3774891F" w14:textId="77777777" w:rsidTr="00B376D8">
        <w:trPr>
          <w:trHeight w:val="1068"/>
        </w:trPr>
        <w:tc>
          <w:tcPr>
            <w:tcW w:w="4500" w:type="dxa"/>
            <w:shd w:val="clear" w:color="auto" w:fill="D9D9D9" w:themeFill="background1" w:themeFillShade="D9"/>
          </w:tcPr>
          <w:p w14:paraId="7E2B0A45" w14:textId="77777777" w:rsidR="002B25E2" w:rsidRPr="002B4C1B" w:rsidRDefault="002B25E2" w:rsidP="002B25E2">
            <w:pPr>
              <w:pStyle w:val="Title"/>
              <w:spacing w:line="360" w:lineRule="auto"/>
              <w:rPr>
                <w:rFonts w:ascii="Arial" w:hAnsi="Arial" w:cs="Arial"/>
                <w:b/>
                <w:bCs/>
                <w:sz w:val="28"/>
                <w:szCs w:val="28"/>
              </w:rPr>
            </w:pPr>
            <w:r w:rsidRPr="002B4C1B">
              <w:rPr>
                <w:rFonts w:ascii="Arial" w:hAnsi="Arial" w:cs="Arial"/>
                <w:b/>
                <w:bCs/>
                <w:sz w:val="28"/>
                <w:szCs w:val="28"/>
              </w:rPr>
              <w:t>Lecturer:</w:t>
            </w:r>
          </w:p>
        </w:tc>
        <w:tc>
          <w:tcPr>
            <w:tcW w:w="4505" w:type="dxa"/>
          </w:tcPr>
          <w:p w14:paraId="54360542" w14:textId="506278D1" w:rsidR="002B25E2" w:rsidRPr="002B4C1B" w:rsidRDefault="002B25E2" w:rsidP="002B25E2">
            <w:pPr>
              <w:pStyle w:val="Title"/>
              <w:spacing w:line="360" w:lineRule="auto"/>
              <w:rPr>
                <w:rFonts w:ascii="Arial" w:hAnsi="Arial" w:cs="Arial"/>
                <w:b/>
                <w:bCs/>
                <w:sz w:val="28"/>
                <w:szCs w:val="28"/>
              </w:rPr>
            </w:pPr>
            <w:r>
              <w:rPr>
                <w:rFonts w:ascii="Arial" w:hAnsi="Arial" w:cs="Arial"/>
                <w:b/>
                <w:bCs/>
                <w:sz w:val="28"/>
                <w:szCs w:val="28"/>
              </w:rPr>
              <w:t>Neale Haddon</w:t>
            </w:r>
          </w:p>
        </w:tc>
      </w:tr>
    </w:tbl>
    <w:p w14:paraId="07B9B285" w14:textId="77777777" w:rsidR="002B25E2" w:rsidRDefault="002B25E2" w:rsidP="00053B97">
      <w:pPr>
        <w:spacing w:line="360" w:lineRule="auto"/>
        <w:rPr>
          <w:b/>
          <w:bCs/>
          <w:sz w:val="24"/>
          <w:szCs w:val="24"/>
        </w:rPr>
      </w:pPr>
    </w:p>
    <w:p w14:paraId="4308F49A" w14:textId="77777777" w:rsidR="002B25E2" w:rsidRDefault="002B25E2" w:rsidP="00053B97">
      <w:pPr>
        <w:spacing w:line="360" w:lineRule="auto"/>
        <w:rPr>
          <w:b/>
          <w:bCs/>
          <w:sz w:val="24"/>
          <w:szCs w:val="24"/>
        </w:rPr>
      </w:pPr>
    </w:p>
    <w:p w14:paraId="17049885" w14:textId="77777777" w:rsidR="002B25E2" w:rsidRDefault="002B25E2" w:rsidP="00053B97">
      <w:pPr>
        <w:spacing w:line="360" w:lineRule="auto"/>
        <w:rPr>
          <w:b/>
          <w:bCs/>
          <w:sz w:val="24"/>
          <w:szCs w:val="24"/>
        </w:rPr>
      </w:pPr>
    </w:p>
    <w:p w14:paraId="30B8A4A3" w14:textId="77777777" w:rsidR="002B25E2" w:rsidRDefault="002B25E2" w:rsidP="00053B97">
      <w:pPr>
        <w:spacing w:line="360" w:lineRule="auto"/>
        <w:rPr>
          <w:b/>
          <w:bCs/>
          <w:sz w:val="24"/>
          <w:szCs w:val="24"/>
        </w:rPr>
      </w:pPr>
    </w:p>
    <w:p w14:paraId="6DF6FC58" w14:textId="77777777" w:rsidR="002B25E2" w:rsidRDefault="002B25E2" w:rsidP="00053B97">
      <w:pPr>
        <w:spacing w:line="360" w:lineRule="auto"/>
        <w:rPr>
          <w:b/>
          <w:bCs/>
          <w:sz w:val="24"/>
          <w:szCs w:val="24"/>
        </w:rPr>
      </w:pPr>
    </w:p>
    <w:p w14:paraId="04B82EE6" w14:textId="77777777" w:rsidR="002B25E2" w:rsidRDefault="002B25E2" w:rsidP="00053B97">
      <w:pPr>
        <w:spacing w:line="360" w:lineRule="auto"/>
        <w:rPr>
          <w:b/>
          <w:bCs/>
          <w:sz w:val="24"/>
          <w:szCs w:val="24"/>
        </w:rPr>
      </w:pPr>
    </w:p>
    <w:p w14:paraId="7A2238B9" w14:textId="77777777" w:rsidR="002B25E2" w:rsidRDefault="002B25E2" w:rsidP="00053B97">
      <w:pPr>
        <w:spacing w:line="360" w:lineRule="auto"/>
        <w:rPr>
          <w:b/>
          <w:bCs/>
          <w:sz w:val="24"/>
          <w:szCs w:val="24"/>
        </w:rPr>
      </w:pPr>
    </w:p>
    <w:p w14:paraId="69E8016F" w14:textId="77777777" w:rsidR="0091519B" w:rsidRDefault="0091519B" w:rsidP="00053B97">
      <w:pPr>
        <w:spacing w:line="360" w:lineRule="auto"/>
        <w:rPr>
          <w:b/>
          <w:bCs/>
          <w:sz w:val="24"/>
          <w:szCs w:val="24"/>
        </w:rPr>
      </w:pPr>
    </w:p>
    <w:p w14:paraId="07588C6E" w14:textId="77777777" w:rsidR="0091519B" w:rsidRDefault="0091519B" w:rsidP="00053B97">
      <w:pPr>
        <w:spacing w:line="360" w:lineRule="auto"/>
        <w:rPr>
          <w:b/>
          <w:bCs/>
          <w:sz w:val="24"/>
          <w:szCs w:val="24"/>
        </w:rPr>
      </w:pPr>
    </w:p>
    <w:p w14:paraId="0021774E" w14:textId="6D9FAB22" w:rsidR="00053B97" w:rsidRPr="00053B97" w:rsidRDefault="00053B97" w:rsidP="00053B97">
      <w:pPr>
        <w:spacing w:line="360" w:lineRule="auto"/>
        <w:rPr>
          <w:b/>
          <w:bCs/>
        </w:rPr>
      </w:pPr>
      <w:r w:rsidRPr="00053B97">
        <w:rPr>
          <w:b/>
          <w:bCs/>
        </w:rPr>
        <w:lastRenderedPageBreak/>
        <w:t>Obsessive-Compulsive Disorder: Classification, Diagnosis, Treatment, Rehabilitation, and Contemporary Debates</w:t>
      </w:r>
    </w:p>
    <w:p w14:paraId="1EEAAB54" w14:textId="77777777" w:rsidR="00053B97" w:rsidRPr="00053B97" w:rsidRDefault="00053B97" w:rsidP="00053B97">
      <w:pPr>
        <w:spacing w:line="360" w:lineRule="auto"/>
        <w:rPr>
          <w:b/>
          <w:bCs/>
        </w:rPr>
      </w:pPr>
      <w:r w:rsidRPr="00053B97">
        <w:rPr>
          <w:b/>
          <w:bCs/>
        </w:rPr>
        <w:t>Introduction</w:t>
      </w:r>
    </w:p>
    <w:p w14:paraId="6F7F91CF" w14:textId="77777777" w:rsidR="00A7282C" w:rsidRPr="007F28DE" w:rsidRDefault="00A7282C" w:rsidP="00053B97">
      <w:pPr>
        <w:spacing w:line="360" w:lineRule="auto"/>
      </w:pPr>
      <w:r w:rsidRPr="007F28DE">
        <w:t>Obsessive-Compulsive Disorder (OCD) is a long-term, debilitating, and frequently misconstrued mental health disorder that keeps drawing a lot of academic and clinical attention because it has a complicated way of showing itself, different ways it shows its symptoms, and different ways it responds to treatment. Classified under the Obsessive-Compulsive and Related Disorders (OCRDs) group in the ICD-11, OCD is defined by intrusive, unwanted thoughts, images or urges (obsessions) and repetitive physical or mental behaviours meant to neutralise discomfort or prevent perceived harm (World Health Organization, 2019). Affecting around 1–3% of the world's population, OCD is linked with high levels of distress, functional impairment, and comorbidities including sadness, anxiety, and autism spectrum disorders (Fineberg et al., 2021). Although treatments work, many people still have long-term problems, so it's important to look carefully at how it's classified, diagnosed, treated, and rehabilitated, as well as the new arguments that change how we think about it today. Following ICD-11, this study offers a critical and research-driven look at OCD. It also reviews the data on rehabilitation and treatment methods and addresses current issues including reclassification concerns, neurodiversity, and cultural diversity as well as ongoing disputes including neurodiversity, cultural variation, and reclassification challenges. The study finishes with recommendations based on facts meant to advance research, legislation, and practice pertaining to OCD.</w:t>
      </w:r>
    </w:p>
    <w:p w14:paraId="0B350EB3" w14:textId="3AB5E784" w:rsidR="00053B97" w:rsidRPr="00053B97" w:rsidRDefault="00053B97" w:rsidP="00053B97">
      <w:pPr>
        <w:spacing w:line="360" w:lineRule="auto"/>
        <w:rPr>
          <w:b/>
          <w:bCs/>
        </w:rPr>
      </w:pPr>
      <w:r w:rsidRPr="00053B97">
        <w:rPr>
          <w:b/>
          <w:bCs/>
        </w:rPr>
        <w:t>Classification and Diagnosis</w:t>
      </w:r>
    </w:p>
    <w:p w14:paraId="2889F837" w14:textId="77777777" w:rsidR="00A7282C" w:rsidRPr="007F28DE" w:rsidRDefault="00A7282C" w:rsidP="00A7282C">
      <w:pPr>
        <w:spacing w:line="360" w:lineRule="auto"/>
      </w:pPr>
      <w:r w:rsidRPr="007F28DE">
        <w:t xml:space="preserve">Obsessive-Compulsive Disorder (OCD) is categorized in the ICD-11 by the code 6B20, and it falls under the larger group of Obsessive-Compulsive and Related Disorders. This category of diagnosis represents a notable change from ICD-10, in which OCD was classified among anxiety disorders. The reclassification in ICD-11 indicates a growing agreement that obsessive-compulsive disorder (OCD) is characterized by unique neurobiological, cognitive, and behavioral processes that set it apart from generalized anxiety disorders, despite the fact that anxiety is still a key component of its symptoms (Stein et al. , 2020). By placing OCD next to similar disorders like Body Dysmorphic Disorder and Hoarding Disorder, ICD-11 points out common features like compulsive actions, unwanted thoughts, and repeated behaviors, while also recognizing the subjective experiences and functional distinctions that exist between these disorders. Significantly, ICD-11 clearly utilizes the term "disorder," which has drawn criticism from academics who contend that biomedical language may distort distress experiences and potentially overlook neurodivergent </w:t>
      </w:r>
      <w:r w:rsidRPr="007F28DE">
        <w:lastRenderedPageBreak/>
        <w:t>perspectives on mental health (Cromby and Harper, 2021). Nevertheless, the language continues to be consistent with public health standards, international clinical guidelines, and worldwide disease tracking.</w:t>
      </w:r>
    </w:p>
    <w:p w14:paraId="5004131F" w14:textId="77777777" w:rsidR="00A7282C" w:rsidRPr="007F28DE" w:rsidRDefault="00A7282C" w:rsidP="00A7282C">
      <w:pPr>
        <w:spacing w:line="360" w:lineRule="auto"/>
      </w:pPr>
      <w:r w:rsidRPr="007F28DE">
        <w:t>The diagnostic criteria for Obsessive-Compulsive Disorder (OCD) in ICD-11 state that individuals must experience obsessions, compulsions, or a combination of both most days for a duration of at least two weeks. Furthermore, these symptoms must lead to considerable distress or hinder social, academic, or occupational performance (WHO, 2019). Obsessions are characterized by repeated and unwanted thoughts, images, or urges that are hard to manage, while compulsions involve repetitive actions, either physical or mental, carried out in reaction to these obsessions or based on strict guidelines. ICD-11 also contains a specifier concerning insight, acknowledging that people may possess good, limited, or no insight at all about the irrational nature of their obsessions and compulsions. This difference is important in a clinical setting because having lower levels of insight is linked to more serious symptoms, less effective treatment results, and a higher chance of having additional psychosis-related traits (Fineberg et al. , 2021).</w:t>
      </w:r>
    </w:p>
    <w:p w14:paraId="475E6E7E" w14:textId="362C03E6" w:rsidR="00A7282C" w:rsidRPr="007F28DE" w:rsidRDefault="00A7282C" w:rsidP="00A7282C">
      <w:pPr>
        <w:spacing w:line="360" w:lineRule="auto"/>
      </w:pPr>
      <w:r w:rsidRPr="007F28DE">
        <w:t xml:space="preserve">The diagnosis of OCD usually involves a systematic clinical interview, observation of behavior, assessment of functionality, and the application of approved psychological measurement tools. The Yale-Brown Obsessive Compulsive Scale (Y-BOCS) continues to be the </w:t>
      </w:r>
      <w:r w:rsidR="0039102B" w:rsidRPr="007F28DE">
        <w:t>most utilized</w:t>
      </w:r>
      <w:r w:rsidRPr="007F28DE">
        <w:t xml:space="preserve"> tool for evaluating the severity of symptoms and tracking treatment results, owing to its effectiveness in detecting changes and its comprehensive representation of various symptom areas (Storch et al. , 2022). Healthcare professionals need to evaluate the nature of intrusive thoughts, how often and how intensely compulsions occur, the degree of avoidance behavior, and the level of functional impairment experienced by the individual. Differential diagnosis poses significant difficulties because the symptoms of OCD can be similar to those of psychotic disorders, especially when individuals have disturbing thoughts that are violent or socially unacceptable. In contrast to delusions, people acknowledge that obsessions come from their own thoughts, even though they may feel difficult to control (Abramowitz and Jacoby, 2015).</w:t>
      </w:r>
    </w:p>
    <w:p w14:paraId="4B9AA0D1" w14:textId="6F24D898" w:rsidR="00A7282C" w:rsidRPr="007F28DE" w:rsidRDefault="00A7282C" w:rsidP="00A7282C">
      <w:pPr>
        <w:spacing w:line="360" w:lineRule="auto"/>
      </w:pPr>
      <w:r w:rsidRPr="007F28DE">
        <w:t xml:space="preserve">Another significant diagnostic challenge relates to the similarities between Obsessive-Compulsive Disorder (OCD) and Autism Spectrum Disorder (ASD). Individuals with autism often display repetitive behaviors and strong passions, which may at first glance appear similar to compulsions; however, these actions generally fulfil regulatory or sensory purposes instead of aiming to alleviate anxiety or prevent harm (Schwartzman et al. , 2021). Cultural background adds additional challenges to the process of diagnosis. For instance, religious obsessions, frequently referred to as "scrupulosity," may be accepted in very religious </w:t>
      </w:r>
      <w:r w:rsidRPr="007F28DE">
        <w:lastRenderedPageBreak/>
        <w:t>communities. Meanwhile, somatic obsessions tend to be more prevalent in East Asian populations, prompting inquiries regarding whether the ICD-11 sufficiently accounts for cultural differences (Hickman et al. , 2020). While ICD-11 is designed for use worldwide, certain researchers contend that its descriptive standards are rooted in Western ideas, which may limit the precision of diagnoses in non-Western settings (Kardoulis et al. , 2022).</w:t>
      </w:r>
    </w:p>
    <w:p w14:paraId="040D74DF" w14:textId="7E883D0A" w:rsidR="00053B97" w:rsidRPr="00053B97" w:rsidRDefault="00053B97" w:rsidP="00A7282C">
      <w:pPr>
        <w:spacing w:line="360" w:lineRule="auto"/>
        <w:rPr>
          <w:b/>
          <w:bCs/>
        </w:rPr>
      </w:pPr>
      <w:r w:rsidRPr="00053B97">
        <w:rPr>
          <w:b/>
          <w:bCs/>
        </w:rPr>
        <w:t>Treatment and Rehabilitation</w:t>
      </w:r>
    </w:p>
    <w:p w14:paraId="1FA64196" w14:textId="77777777" w:rsidR="00A7282C" w:rsidRPr="007F28DE" w:rsidRDefault="00A7282C" w:rsidP="00A7282C">
      <w:pPr>
        <w:spacing w:line="360" w:lineRule="auto"/>
      </w:pPr>
      <w:r w:rsidRPr="007F28DE">
        <w:t>The management of obsessive-compulsive disorder (OCD) generally includes psychological therapy, medication, or a combination of the two approaches. The strong agreement among current studies indicates that Cognitive Behavioral Therapy combined with Exposure and Response Prevention (CBT-ERP) is the most effective psychological treatment available. ERP consists of a structured approach to facing feared objects, scenarios, or thoughts, while simultaneously inhibiting the compulsive actions that individuals typically engage in to alleviate their anxiety. This procedure interrupts the reinforcement cycle that sustains OCD symptoms and promotes adjustment to anxiety triggers (McKay et al. , 2019). A significant amount of meta-analytic research shows that ERP results in considerable symptom reduction for most people, with lasting improvements frequently observed well beyond the conclusion of treatment (Ong et al. , 2022). However, ERP does not work effectively for everyone. Approximately one-third of people decline, stop, or experience minimal advantages from ERP because of the significant emotional challenges it presents. Such restrictions underline the necessity for different or adjusted methods, especially for people with neurodivergent thinking patterns or additional health issues.</w:t>
      </w:r>
    </w:p>
    <w:p w14:paraId="482EC918" w14:textId="77777777" w:rsidR="00A7282C" w:rsidRPr="007F28DE" w:rsidRDefault="00A7282C" w:rsidP="00A7282C">
      <w:pPr>
        <w:spacing w:line="360" w:lineRule="auto"/>
      </w:pPr>
      <w:r w:rsidRPr="007F28DE">
        <w:t xml:space="preserve">Pharmacological therapy typically includes Selective Serotonin Reuptake Inhibitors (SSRIs) like sertraline, fluoxetine, fluvoxamine, and paroxetine. Selective serotonin reuptake inhibitors (SSRIs) are useful in alleviating symptoms of obsessive-compulsive disorder (OCD); however, they usually necessitate larger doses and extended treatment periods compared to their application in treating depression (Fineberg et al. , 2021). Around 40–60% of patients achieve either partial or complete remission when treated with SSRIs. However, issues such as side effects, lengthy trial periods, and low adherence to treatment can make results more complex. For individuals with OCD that does not respond to standard treatments, healthcare providers may recommend clomipramine, a type of tricyclic antidepressant known for its significant effects on serotonin, or they may utilize additional methods that include atypical antipsychotic medications. New therapies like glutamate modulators, ketamine infusions, and neuromodulation methods such as Deep Brain Stimulation (DBS) and Transcranial Magnetic Stimulation (TMS) show potential but also </w:t>
      </w:r>
      <w:r w:rsidRPr="007F28DE">
        <w:lastRenderedPageBreak/>
        <w:t>bring up worries about their invasiveness, expense, and unclear long-term impacts (Denys et al. , 2020).</w:t>
      </w:r>
    </w:p>
    <w:p w14:paraId="659D1D5F" w14:textId="77777777" w:rsidR="00A7282C" w:rsidRPr="007F28DE" w:rsidRDefault="00A7282C" w:rsidP="00A7282C">
      <w:pPr>
        <w:spacing w:line="360" w:lineRule="auto"/>
      </w:pPr>
      <w:r w:rsidRPr="007F28DE">
        <w:t>Rehabilitation is a crucial aspect of treating OCD that has often been overlooked in the past. While ICD-11 recognizes the significance of interventions based on services, it offers limited recommendations regarding rehabilitation practices, resulting in considerable differences among health systems. In medical environments, rehabilitation seeks to bring back abilities, promote independence, and encourage social participation. This could include occupational therapy to establish daily routines and enhance life skills, social skills training to tackle interpersonal challenges, and vocational rehabilitation to assist individuals in resuming work or education (Steketee and Frost, 2019). Psychoeducation is essential because it assists individuals and families in recognizing patterns of symptoms, identifying triggers, and understanding the significance of not providing reassurance or “family accommodation. ” Research indicates that such behaviors can often lead to ongoing symptoms (Calvocoressi et al. , 2020). Cognitive rehabilitation might be helpful, as people with OCD often show weaknesses in executive functioning, decision-making, and cognitive flexibility. These issues can lead to difficulties in their everyday lives (Abramovitch et al. , 2021). However, access to rehabilitation services is still restricted, as numerous areas do not have specialized programs or resources. This situation leads to health disparities and prolonged treatment wait times (NICE, 2022).</w:t>
      </w:r>
    </w:p>
    <w:p w14:paraId="547E47F9" w14:textId="1092AA54" w:rsidR="00053B97" w:rsidRPr="00053B97" w:rsidRDefault="00053B97" w:rsidP="00A7282C">
      <w:pPr>
        <w:spacing w:line="360" w:lineRule="auto"/>
        <w:rPr>
          <w:b/>
          <w:bCs/>
        </w:rPr>
      </w:pPr>
      <w:r w:rsidRPr="00053B97">
        <w:rPr>
          <w:b/>
          <w:bCs/>
        </w:rPr>
        <w:t>Current Debates and Emerging Issues</w:t>
      </w:r>
    </w:p>
    <w:p w14:paraId="444159B9" w14:textId="77777777" w:rsidR="00A7282C" w:rsidRPr="007F28DE" w:rsidRDefault="00A7282C" w:rsidP="00A7282C">
      <w:pPr>
        <w:spacing w:line="360" w:lineRule="auto"/>
      </w:pPr>
      <w:r w:rsidRPr="007F28DE">
        <w:t>Current discussions in OCD literature involve issues regarding reclassification, neurodiversity, cultural variations, and ethical considerations in treatment. The reclassification of obsessive-compulsive disorder (OCD) in both ICD-11 and DSM-5 remains a topic of much debate among researchers. Advocates claim that categorizing OCD under Obsessive-Compulsive and Related Disorders demonstrates common causes, different types of compulsive behavior, and similar brain functions among these disorders (Stein et al. , 2020). Critics assert that the strong link between OCD and anxiety processes, such as the assessment of catastrophic threats and avoidance behaviors, indicates that removing OCD from the anxiety disorders category may lead to conceptual disarray and could confuse clinicians (Abramowitz and Jacoby, 2015). This discussion is not just academic; it impacts how services are organized, how clinicians are trained, and the methods used for diagnosis.</w:t>
      </w:r>
    </w:p>
    <w:p w14:paraId="1A1BE547" w14:textId="45233BD9" w:rsidR="00A7282C" w:rsidRPr="007F28DE" w:rsidRDefault="00A7282C" w:rsidP="00A7282C">
      <w:pPr>
        <w:spacing w:line="360" w:lineRule="auto"/>
      </w:pPr>
      <w:r w:rsidRPr="007F28DE">
        <w:t xml:space="preserve">Another significant discussion focuses on the connection between OCD and neurodivergence, especially in relation to autism. Studies indicate that individuals with autism exhibit noticeably higher levels of OCD symptoms; however, it is difficult to differentiate between repetitive behaviors associated with autism and compulsions linked to </w:t>
      </w:r>
      <w:r w:rsidRPr="007F28DE">
        <w:lastRenderedPageBreak/>
        <w:t xml:space="preserve">OCD. Repetitive behaviors in autistic individuals frequently </w:t>
      </w:r>
      <w:r w:rsidR="0039102B" w:rsidRPr="007F28DE">
        <w:t>fulfil</w:t>
      </w:r>
      <w:r w:rsidRPr="007F28DE">
        <w:t xml:space="preserve"> sensory or self-regulating purposes, while compulsions in Obsessive-Compulsive Disorder are designed to avert feared outcomes or alleviate intrusive thoughts (Schwartzman et al. , 2021). This difference makes diagnosis more difficult and necessitates that healthcare providers use careful, developmentally aware methods. Furthermore, individuals with autism frequently struggle with ERP because of their sensitivity to sensory input, rigid thinking patterns, or varied ways of processing emotions. This situation leads to requests for customized intervention strategies and a stronger incorporation of approaches that affirm neurodiversity (Greenberg et al. , 2023). These advancements question conventional psychiatric models that view OCD merely as a form of faulty thinking instead of possibly relating to wider neurodevelopmental characteristics.</w:t>
      </w:r>
    </w:p>
    <w:p w14:paraId="3B378AD1" w14:textId="77777777" w:rsidR="00A7282C" w:rsidRPr="007F28DE" w:rsidRDefault="00A7282C" w:rsidP="00A7282C">
      <w:pPr>
        <w:spacing w:line="360" w:lineRule="auto"/>
      </w:pPr>
      <w:r w:rsidRPr="007F28DE">
        <w:t>Cultural discussions also influence today's comprehension of OCD. The symptoms individuals experience can differ from one culture to another, with religious and moral fixations being more prevalent in societies that uphold strong spiritual beliefs, while physical obsessions are often seen in East Asian communities (Hickman et al. , 2020). This leads to inquiries regarding whether the definitions in ICD-11 adequately reflect cultural diversity or if the diagnostic categories from Western perspectives may mistakenly label culturally accepted behaviors as disorders. Cultural stigma also plays a significant role in seeking help, causing people in certain cultural settings to postpone getting a diagnosis for many years because of feelings of shame or fear of being judged. This not only worsens their symptoms but also reduces the effectiveness of treatment (Kardoulis et al. , 2022).</w:t>
      </w:r>
    </w:p>
    <w:p w14:paraId="6D8109D9" w14:textId="5CD54C57" w:rsidR="00053B97" w:rsidRPr="007F28DE" w:rsidRDefault="00A7282C" w:rsidP="00A7282C">
      <w:pPr>
        <w:spacing w:line="360" w:lineRule="auto"/>
      </w:pPr>
      <w:r w:rsidRPr="007F28DE">
        <w:t>Ultimately, discussions focus on the moral implications of aggressive therapies for severe OCD. Methods like ERP, which deliberately create discomfort, have faced criticism for being possibly coercive in situations where people feel compelled to participate despite intense anxiety. Similarly, neuromodulation techniques like deep brain stimulation (DBS) raise important ethical issues concerning consent, personal identity, and the lasting effects of changing neural pathways (Denys et al. , 2020). These discussions highlight the importance of careful, person-focused methods that align treatment success with ethical issues.</w:t>
      </w:r>
    </w:p>
    <w:p w14:paraId="1B6E1717" w14:textId="77777777" w:rsidR="00480977" w:rsidRPr="007F28DE" w:rsidRDefault="00480977" w:rsidP="00053B97">
      <w:pPr>
        <w:spacing w:line="360" w:lineRule="auto"/>
      </w:pPr>
    </w:p>
    <w:p w14:paraId="510CC4DE" w14:textId="77777777" w:rsidR="00480977" w:rsidRPr="007F28DE" w:rsidRDefault="00480977" w:rsidP="00053B97">
      <w:pPr>
        <w:spacing w:line="360" w:lineRule="auto"/>
      </w:pPr>
    </w:p>
    <w:p w14:paraId="1E7BBDAE" w14:textId="77777777" w:rsidR="00480977" w:rsidRPr="007F28DE" w:rsidRDefault="00480977" w:rsidP="00053B97">
      <w:pPr>
        <w:spacing w:line="360" w:lineRule="auto"/>
      </w:pPr>
    </w:p>
    <w:p w14:paraId="09036593" w14:textId="77777777" w:rsidR="00480977" w:rsidRPr="007F28DE" w:rsidRDefault="00480977" w:rsidP="00053B97">
      <w:pPr>
        <w:spacing w:line="360" w:lineRule="auto"/>
      </w:pPr>
    </w:p>
    <w:p w14:paraId="29D8F9BC" w14:textId="77777777" w:rsidR="007F28DE" w:rsidRDefault="007F28DE" w:rsidP="00053B97">
      <w:pPr>
        <w:spacing w:line="360" w:lineRule="auto"/>
      </w:pPr>
    </w:p>
    <w:p w14:paraId="0A63C624" w14:textId="42D2BE3D" w:rsidR="00053B97" w:rsidRPr="00053B97" w:rsidRDefault="00053B97" w:rsidP="00053B97">
      <w:pPr>
        <w:spacing w:line="360" w:lineRule="auto"/>
        <w:rPr>
          <w:b/>
          <w:bCs/>
        </w:rPr>
      </w:pPr>
      <w:r w:rsidRPr="00053B97">
        <w:rPr>
          <w:b/>
          <w:bCs/>
        </w:rPr>
        <w:lastRenderedPageBreak/>
        <w:t>Recommendations</w:t>
      </w:r>
    </w:p>
    <w:p w14:paraId="06F7DDC6" w14:textId="0E6D2F8E" w:rsidR="00A7282C" w:rsidRPr="007F28DE" w:rsidRDefault="00A7282C" w:rsidP="00A7282C">
      <w:pPr>
        <w:spacing w:line="360" w:lineRule="auto"/>
      </w:pPr>
      <w:r w:rsidRPr="007F28DE">
        <w:t>Enhancing results for people with OCD necessitates a blend of improvements in diagnosis, treatment, policy, and research. Initially, the guidance for diagnosing ICD-11 would be improved by providing clearer information on cultural differences, variations in development, and distinct neurodivergent expressions of obsessive-compulsive symptoms. Broadening the clinical definitions and offering culturally relevant examples would aid in achieving more precise diagnoses and minimize the likelihood of misunderstanding, especially for autistic individuals or those from culturally varied backgrounds.</w:t>
      </w:r>
      <w:r w:rsidR="00B2272F" w:rsidRPr="007F28DE">
        <w:t xml:space="preserve"> </w:t>
      </w:r>
      <w:r w:rsidRPr="007F28DE">
        <w:t>Furthermore, it is essential to broaden access to psychological therapies that are based on evidence. This involves boosting financial support for clinicians trained in ERP, shortening waiting periods, and integrating digital therapy platforms to enhance accessibility. Adaptations to ERP systems must be created for neurodivergent individuals, focusing on sensory-friendly settings, a slower pace, and a greater focus on predictability and cooperative planning.</w:t>
      </w:r>
    </w:p>
    <w:p w14:paraId="5D9F497A" w14:textId="77777777" w:rsidR="007F28DE" w:rsidRDefault="00A7282C" w:rsidP="00053B97">
      <w:pPr>
        <w:spacing w:line="360" w:lineRule="auto"/>
      </w:pPr>
      <w:r w:rsidRPr="007F28DE">
        <w:t>Third, rehabilitation must be incorporated as an essential part of OCD treatment, rather than being viewed as an additional option. This necessitates well-defined policy guidelines that require the provision of multidisciplinary rehabilitation services, which encompass occupational therapy, psychoeducation, vocational assistance, and family-oriented interventions. Rehabilitation must also encompass cognitive remediation programs to assist individuals facing executive functioning challenges that impact their everyday activities.</w:t>
      </w:r>
      <w:r w:rsidR="00B2272F" w:rsidRPr="007F28DE">
        <w:t xml:space="preserve"> </w:t>
      </w:r>
      <w:r w:rsidRPr="007F28DE">
        <w:t>Fourth, additional studies are required to assess new treatments like neuromodulation, medications targeting glutamate, and psychological strategies focused on acceptance. Long-term studies looking at how well treatments work for various cultural and neurodevelopmental groups would further improve intervention models and guarantee fair care.</w:t>
      </w:r>
      <w:r w:rsidR="007F28DE">
        <w:t xml:space="preserve"> </w:t>
      </w:r>
    </w:p>
    <w:p w14:paraId="44AD5016" w14:textId="5F190345" w:rsidR="007F28DE" w:rsidRDefault="00A7282C" w:rsidP="00053B97">
      <w:pPr>
        <w:spacing w:line="360" w:lineRule="auto"/>
      </w:pPr>
      <w:r w:rsidRPr="007F28DE">
        <w:t>In conclusion, public mental health campaigns ought to focus on diminishing the stigma linked to OCD. Misunderstandings about obsessions, especially those involving violence or taboo thoughts, often prevent people from sharing their symptoms with doctors or family members. Enhanced public awareness would encourage prompt help-seeking, lead to more favourable treatment results, and foster increased empathy toward individuals facing OCD.</w:t>
      </w:r>
    </w:p>
    <w:p w14:paraId="63059C92" w14:textId="77777777" w:rsidR="007F28DE" w:rsidRDefault="007F28DE" w:rsidP="00053B97">
      <w:pPr>
        <w:spacing w:line="360" w:lineRule="auto"/>
        <w:rPr>
          <w:b/>
          <w:bCs/>
        </w:rPr>
      </w:pPr>
    </w:p>
    <w:p w14:paraId="67EFC0E8" w14:textId="77777777" w:rsidR="007F28DE" w:rsidRDefault="007F28DE" w:rsidP="00053B97">
      <w:pPr>
        <w:spacing w:line="360" w:lineRule="auto"/>
        <w:rPr>
          <w:b/>
          <w:bCs/>
        </w:rPr>
      </w:pPr>
    </w:p>
    <w:p w14:paraId="6A848946" w14:textId="77777777" w:rsidR="007F28DE" w:rsidRDefault="007F28DE" w:rsidP="00053B97">
      <w:pPr>
        <w:spacing w:line="360" w:lineRule="auto"/>
        <w:rPr>
          <w:b/>
          <w:bCs/>
        </w:rPr>
      </w:pPr>
    </w:p>
    <w:p w14:paraId="0E61F5A2" w14:textId="77777777" w:rsidR="007F28DE" w:rsidRDefault="007F28DE" w:rsidP="00053B97">
      <w:pPr>
        <w:spacing w:line="360" w:lineRule="auto"/>
        <w:rPr>
          <w:b/>
          <w:bCs/>
        </w:rPr>
      </w:pPr>
    </w:p>
    <w:p w14:paraId="30DE274C" w14:textId="4C345306" w:rsidR="00053B97" w:rsidRPr="00053B97" w:rsidRDefault="00053B97" w:rsidP="00053B97">
      <w:pPr>
        <w:spacing w:line="360" w:lineRule="auto"/>
      </w:pPr>
      <w:r w:rsidRPr="00053B97">
        <w:rPr>
          <w:b/>
          <w:bCs/>
        </w:rPr>
        <w:lastRenderedPageBreak/>
        <w:t>Conclusion</w:t>
      </w:r>
    </w:p>
    <w:p w14:paraId="06A7B027" w14:textId="25C41B31" w:rsidR="00053B97" w:rsidRPr="007F28DE" w:rsidRDefault="00A7282C" w:rsidP="00053B97">
      <w:pPr>
        <w:spacing w:line="360" w:lineRule="auto"/>
      </w:pPr>
      <w:r w:rsidRPr="007F28DE">
        <w:t xml:space="preserve">Obsessive-Compulsive Disorder (OCD) is a complicated and varied condition that necessitates a thorough understanding of its categories, diagnosis, treatment, and recovery processes. ICD-11 provides a clearer and more detailed framework compared to earlier versions, but there are still diagnostic difficulties, especially concerning cultural differences and neurodivergent profiles. Treatments that are based on evidence, like CBT-ERP and SSRIs, are still essential for care. However, issues with access, acceptance, and effectiveness show the importance of developing new and tailored methods. Rehabilitation serves a crucial yet underrepresented function in assisting long-term recovery. Current discussions highlight the changing landscape of OCD research, focusing on issues such as reclassification, ethical considerations, and neurodiversity. Improving policy structures, enhancing clinical education, increasing access to tailored psychological treatments, and broadening rehabilitation services can greatly enhance results for those with OCD. Ongoing research and knowledge based on culture are crucial for improving understanding and </w:t>
      </w:r>
      <w:r w:rsidR="00564F3F" w:rsidRPr="007F28DE">
        <w:t>helping</w:t>
      </w:r>
      <w:r w:rsidRPr="007F28DE">
        <w:t xml:space="preserve"> those impacted by this complex disorder.</w:t>
      </w:r>
    </w:p>
    <w:p w14:paraId="7E9B8141" w14:textId="77777777" w:rsidR="00053B97" w:rsidRPr="007F28DE" w:rsidRDefault="00053B97" w:rsidP="00053B97">
      <w:pPr>
        <w:spacing w:line="360" w:lineRule="auto"/>
      </w:pPr>
    </w:p>
    <w:p w14:paraId="03AC5795" w14:textId="77777777" w:rsidR="00053B97" w:rsidRPr="007F28DE" w:rsidRDefault="00053B97" w:rsidP="00053B97">
      <w:pPr>
        <w:spacing w:line="360" w:lineRule="auto"/>
      </w:pPr>
    </w:p>
    <w:p w14:paraId="2FD218BC" w14:textId="77777777" w:rsidR="00053B97" w:rsidRPr="007F28DE" w:rsidRDefault="00053B97" w:rsidP="00053B97">
      <w:pPr>
        <w:spacing w:line="360" w:lineRule="auto"/>
      </w:pPr>
    </w:p>
    <w:p w14:paraId="1D09133B" w14:textId="77777777" w:rsidR="00053B97" w:rsidRPr="007F28DE" w:rsidRDefault="00053B97" w:rsidP="00053B97">
      <w:pPr>
        <w:spacing w:line="360" w:lineRule="auto"/>
      </w:pPr>
    </w:p>
    <w:p w14:paraId="50526D11" w14:textId="77777777" w:rsidR="00053B97" w:rsidRPr="007F28DE" w:rsidRDefault="00053B97" w:rsidP="00053B97">
      <w:pPr>
        <w:spacing w:line="360" w:lineRule="auto"/>
      </w:pPr>
    </w:p>
    <w:p w14:paraId="779275A7" w14:textId="77777777" w:rsidR="00053B97" w:rsidRPr="007F28DE" w:rsidRDefault="00053B97" w:rsidP="00053B97">
      <w:pPr>
        <w:spacing w:line="360" w:lineRule="auto"/>
      </w:pPr>
    </w:p>
    <w:p w14:paraId="6B3B5C94" w14:textId="77777777" w:rsidR="00053B97" w:rsidRPr="007F28DE" w:rsidRDefault="00053B97" w:rsidP="00053B97">
      <w:pPr>
        <w:spacing w:line="360" w:lineRule="auto"/>
      </w:pPr>
    </w:p>
    <w:p w14:paraId="58373087" w14:textId="77777777" w:rsidR="00053B97" w:rsidRPr="007F28DE" w:rsidRDefault="00053B97" w:rsidP="00053B97">
      <w:pPr>
        <w:spacing w:line="360" w:lineRule="auto"/>
      </w:pPr>
    </w:p>
    <w:p w14:paraId="311AC1D6" w14:textId="77777777" w:rsidR="00053B97" w:rsidRPr="007F28DE" w:rsidRDefault="00053B97" w:rsidP="00053B97">
      <w:pPr>
        <w:spacing w:line="360" w:lineRule="auto"/>
      </w:pPr>
    </w:p>
    <w:p w14:paraId="6F40170E" w14:textId="77777777" w:rsidR="00053B97" w:rsidRPr="007F28DE" w:rsidRDefault="00053B97" w:rsidP="00053B97">
      <w:pPr>
        <w:spacing w:line="360" w:lineRule="auto"/>
      </w:pPr>
    </w:p>
    <w:p w14:paraId="7C4FDDF9" w14:textId="77777777" w:rsidR="00053B97" w:rsidRDefault="00053B97" w:rsidP="00053B97">
      <w:pPr>
        <w:spacing w:line="360" w:lineRule="auto"/>
      </w:pPr>
    </w:p>
    <w:p w14:paraId="617E05DA" w14:textId="77777777" w:rsidR="007F28DE" w:rsidRDefault="007F28DE" w:rsidP="00053B97">
      <w:pPr>
        <w:spacing w:line="360" w:lineRule="auto"/>
      </w:pPr>
    </w:p>
    <w:p w14:paraId="0F095126" w14:textId="77777777" w:rsidR="007F28DE" w:rsidRDefault="007F28DE" w:rsidP="00053B97">
      <w:pPr>
        <w:spacing w:line="360" w:lineRule="auto"/>
      </w:pPr>
    </w:p>
    <w:p w14:paraId="4B299716" w14:textId="77777777" w:rsidR="007F28DE" w:rsidRPr="007F28DE" w:rsidRDefault="007F28DE" w:rsidP="00053B97">
      <w:pPr>
        <w:spacing w:line="360" w:lineRule="auto"/>
      </w:pPr>
    </w:p>
    <w:p w14:paraId="6C87921F" w14:textId="77777777" w:rsidR="00A7282C" w:rsidRPr="00053B97" w:rsidRDefault="00A7282C" w:rsidP="00053B97">
      <w:pPr>
        <w:spacing w:line="360" w:lineRule="auto"/>
      </w:pPr>
    </w:p>
    <w:p w14:paraId="6A1D6BAF" w14:textId="77777777" w:rsidR="00053B97" w:rsidRPr="00053B97" w:rsidRDefault="00053B97" w:rsidP="00053B97">
      <w:pPr>
        <w:spacing w:line="360" w:lineRule="auto"/>
        <w:rPr>
          <w:b/>
          <w:bCs/>
        </w:rPr>
      </w:pPr>
      <w:r w:rsidRPr="00053B97">
        <w:rPr>
          <w:b/>
          <w:bCs/>
        </w:rPr>
        <w:lastRenderedPageBreak/>
        <w:t>References</w:t>
      </w:r>
    </w:p>
    <w:p w14:paraId="05B8F62A" w14:textId="77777777" w:rsidR="00053B97" w:rsidRPr="00053B97" w:rsidRDefault="00053B97" w:rsidP="00564F3F">
      <w:pPr>
        <w:spacing w:line="360" w:lineRule="auto"/>
      </w:pPr>
      <w:r w:rsidRPr="00053B97">
        <w:t xml:space="preserve">Abramovitch, A., Abramowitz, J.S. and Mittelman, A. (2021) ‘The neuropsychology of adult obsessive–compulsive disorder: A meta-analysis’, </w:t>
      </w:r>
      <w:r w:rsidRPr="00564F3F">
        <w:rPr>
          <w:i/>
          <w:iCs/>
        </w:rPr>
        <w:t>Clinical Psychology Review</w:t>
      </w:r>
      <w:r w:rsidRPr="00053B97">
        <w:t>, 87, pp. 1–16.</w:t>
      </w:r>
    </w:p>
    <w:p w14:paraId="23C857B7" w14:textId="77777777" w:rsidR="00053B97" w:rsidRPr="00053B97" w:rsidRDefault="00053B97" w:rsidP="00564F3F">
      <w:pPr>
        <w:spacing w:line="360" w:lineRule="auto"/>
      </w:pPr>
      <w:r w:rsidRPr="00053B97">
        <w:t xml:space="preserve">Abramowitz, J.S. and Jacoby, R.J. (2015) ‘Obsessional thoughts in obsessive-compulsive disorder: A review of cognitive models’, </w:t>
      </w:r>
      <w:r w:rsidRPr="00564F3F">
        <w:rPr>
          <w:i/>
          <w:iCs/>
        </w:rPr>
        <w:t>Clinical Psychology Review</w:t>
      </w:r>
      <w:r w:rsidRPr="00053B97">
        <w:t>, 41, pp. 79–95.</w:t>
      </w:r>
    </w:p>
    <w:p w14:paraId="57D9D2A2" w14:textId="77777777" w:rsidR="00053B97" w:rsidRPr="00053B97" w:rsidRDefault="00053B97" w:rsidP="00564F3F">
      <w:pPr>
        <w:spacing w:line="360" w:lineRule="auto"/>
      </w:pPr>
      <w:r w:rsidRPr="00053B97">
        <w:t xml:space="preserve">Calvocoressi, L., Lewis, B. and Harris, M. (2020) ‘Family accommodation in obsessive–compulsive disorder’, </w:t>
      </w:r>
      <w:r w:rsidRPr="00564F3F">
        <w:rPr>
          <w:i/>
          <w:iCs/>
        </w:rPr>
        <w:t>Journal of Anxiety Disorders</w:t>
      </w:r>
      <w:r w:rsidRPr="00053B97">
        <w:t>, 74, pp. 1–10.</w:t>
      </w:r>
    </w:p>
    <w:p w14:paraId="5A7271CF" w14:textId="77777777" w:rsidR="00053B97" w:rsidRPr="00053B97" w:rsidRDefault="00053B97" w:rsidP="00564F3F">
      <w:pPr>
        <w:spacing w:line="360" w:lineRule="auto"/>
      </w:pPr>
      <w:r w:rsidRPr="00053B97">
        <w:t xml:space="preserve">Cromby, J. and Harper, D. (2021) </w:t>
      </w:r>
      <w:r w:rsidRPr="00564F3F">
        <w:rPr>
          <w:i/>
          <w:iCs/>
        </w:rPr>
        <w:t>Psychology, Mental Health and Distress</w:t>
      </w:r>
      <w:r w:rsidRPr="00053B97">
        <w:t>. London: Palgrave.</w:t>
      </w:r>
    </w:p>
    <w:p w14:paraId="7384EDAF" w14:textId="77777777" w:rsidR="00053B97" w:rsidRPr="00053B97" w:rsidRDefault="00053B97" w:rsidP="00564F3F">
      <w:pPr>
        <w:spacing w:line="360" w:lineRule="auto"/>
      </w:pPr>
      <w:r w:rsidRPr="00053B97">
        <w:t xml:space="preserve">Denys, D., </w:t>
      </w:r>
      <w:proofErr w:type="spellStart"/>
      <w:r w:rsidRPr="00053B97">
        <w:t>Graat</w:t>
      </w:r>
      <w:proofErr w:type="spellEnd"/>
      <w:r w:rsidRPr="00053B97">
        <w:t xml:space="preserve">, I. and van Grootheest, G. (2020) ‘Deep brain stimulation for treatment-resistant obsessive-compulsive disorder’, </w:t>
      </w:r>
      <w:r w:rsidRPr="00564F3F">
        <w:rPr>
          <w:i/>
          <w:iCs/>
        </w:rPr>
        <w:t>Molecular Psychiatry</w:t>
      </w:r>
      <w:r w:rsidRPr="00053B97">
        <w:t>, 25(1), pp. 1–14.</w:t>
      </w:r>
    </w:p>
    <w:p w14:paraId="4D9F4A75" w14:textId="77777777" w:rsidR="00053B97" w:rsidRPr="00053B97" w:rsidRDefault="00053B97" w:rsidP="00564F3F">
      <w:pPr>
        <w:spacing w:line="360" w:lineRule="auto"/>
      </w:pPr>
      <w:r w:rsidRPr="00053B97">
        <w:t xml:space="preserve">Fineberg, N.A., Hollander, E., </w:t>
      </w:r>
      <w:proofErr w:type="spellStart"/>
      <w:r w:rsidRPr="00053B97">
        <w:t>Pallanti</w:t>
      </w:r>
      <w:proofErr w:type="spellEnd"/>
      <w:r w:rsidRPr="00053B97">
        <w:t xml:space="preserve">, S. and </w:t>
      </w:r>
      <w:proofErr w:type="spellStart"/>
      <w:r w:rsidRPr="00053B97">
        <w:t>Walitza</w:t>
      </w:r>
      <w:proofErr w:type="spellEnd"/>
      <w:r w:rsidRPr="00053B97">
        <w:t xml:space="preserve">, S. (2021) ‘Clinical advances in obsessive-compulsive disorder: A position statement’, </w:t>
      </w:r>
      <w:r w:rsidRPr="00564F3F">
        <w:rPr>
          <w:i/>
          <w:iCs/>
        </w:rPr>
        <w:t>International Journal of Psychiatry in Clinical Practice</w:t>
      </w:r>
      <w:r w:rsidRPr="00053B97">
        <w:t>, 25(2), pp. 98–114.</w:t>
      </w:r>
    </w:p>
    <w:p w14:paraId="72F85C51" w14:textId="77777777" w:rsidR="00053B97" w:rsidRPr="00053B97" w:rsidRDefault="00053B97" w:rsidP="00564F3F">
      <w:pPr>
        <w:spacing w:line="360" w:lineRule="auto"/>
      </w:pPr>
      <w:r w:rsidRPr="00053B97">
        <w:t xml:space="preserve">Fisher, P.L. and Wells, A. (2019) ‘Metacognitive therapy for obsessive-compulsive disorder’, </w:t>
      </w:r>
      <w:r w:rsidRPr="00564F3F">
        <w:rPr>
          <w:i/>
          <w:iCs/>
        </w:rPr>
        <w:t>Journal of Clinical Psychology</w:t>
      </w:r>
      <w:r w:rsidRPr="00053B97">
        <w:t>, 75(7), pp. 1188–1204.</w:t>
      </w:r>
    </w:p>
    <w:p w14:paraId="3CFA8C42" w14:textId="77777777" w:rsidR="00053B97" w:rsidRPr="00053B97" w:rsidRDefault="00053B97" w:rsidP="00564F3F">
      <w:pPr>
        <w:spacing w:line="360" w:lineRule="auto"/>
      </w:pPr>
      <w:r w:rsidRPr="00053B97">
        <w:t xml:space="preserve">Greenberg, J.S., Gabriels, R. and Edwards, L.A. (2023) ‘Adapting exposure therapy for autistic adults with obsessive–compulsive disorder’, </w:t>
      </w:r>
      <w:r w:rsidRPr="00564F3F">
        <w:rPr>
          <w:i/>
          <w:iCs/>
        </w:rPr>
        <w:t>Autism in Adulthood</w:t>
      </w:r>
      <w:r w:rsidRPr="00053B97">
        <w:t>, 5(1), pp. 22–34.</w:t>
      </w:r>
    </w:p>
    <w:p w14:paraId="72E38B20" w14:textId="77777777" w:rsidR="00053B97" w:rsidRPr="00053B97" w:rsidRDefault="00053B97" w:rsidP="00564F3F">
      <w:pPr>
        <w:spacing w:line="360" w:lineRule="auto"/>
      </w:pPr>
      <w:r w:rsidRPr="00053B97">
        <w:t xml:space="preserve">Hickman, L., Jacobson, N.C. and Jones, P.J. (2020) ‘Cultural variations in obsessive–compulsive disorder: A systematic review’, </w:t>
      </w:r>
      <w:r w:rsidRPr="00564F3F">
        <w:rPr>
          <w:i/>
          <w:iCs/>
        </w:rPr>
        <w:t>Journal of Cross-Cultural Psychology</w:t>
      </w:r>
      <w:r w:rsidRPr="00053B97">
        <w:t>, 51(6), pp. 435–451.</w:t>
      </w:r>
    </w:p>
    <w:p w14:paraId="1E5D51F3" w14:textId="77777777" w:rsidR="00053B97" w:rsidRPr="00053B97" w:rsidRDefault="00053B97" w:rsidP="00564F3F">
      <w:pPr>
        <w:spacing w:line="360" w:lineRule="auto"/>
      </w:pPr>
      <w:r w:rsidRPr="00053B97">
        <w:t xml:space="preserve">Kardoulis, K., Papadopoulos, D. and Smith, R.J. (2022) ‘Global applicability of ICD-11 diagnostic criteria: A systematic evaluation’, </w:t>
      </w:r>
      <w:r w:rsidRPr="00564F3F">
        <w:rPr>
          <w:i/>
          <w:iCs/>
        </w:rPr>
        <w:t>International Review of Psychiatry</w:t>
      </w:r>
      <w:r w:rsidRPr="00053B97">
        <w:t>, 34(2), pp. 178–193.</w:t>
      </w:r>
    </w:p>
    <w:p w14:paraId="7D1D8C8C" w14:textId="77777777" w:rsidR="00053B97" w:rsidRPr="00053B97" w:rsidRDefault="00053B97" w:rsidP="00564F3F">
      <w:pPr>
        <w:spacing w:line="360" w:lineRule="auto"/>
      </w:pPr>
      <w:r w:rsidRPr="00053B97">
        <w:t xml:space="preserve">McKay, D., </w:t>
      </w:r>
      <w:proofErr w:type="spellStart"/>
      <w:r w:rsidRPr="00053B97">
        <w:t>Sookman</w:t>
      </w:r>
      <w:proofErr w:type="spellEnd"/>
      <w:r w:rsidRPr="00053B97">
        <w:t xml:space="preserve">, D., </w:t>
      </w:r>
      <w:proofErr w:type="spellStart"/>
      <w:r w:rsidRPr="00053B97">
        <w:t>Neziroglu</w:t>
      </w:r>
      <w:proofErr w:type="spellEnd"/>
      <w:r w:rsidRPr="00053B97">
        <w:t xml:space="preserve">, F. and Wilhelm, S. (2019) ‘Cognitive-behavior therapy for obsessive-compulsive disorder’, </w:t>
      </w:r>
      <w:r w:rsidRPr="00564F3F">
        <w:rPr>
          <w:i/>
          <w:iCs/>
        </w:rPr>
        <w:t>Clinical Psychology Review</w:t>
      </w:r>
      <w:r w:rsidRPr="00053B97">
        <w:t>, 72, pp. 1–12.</w:t>
      </w:r>
    </w:p>
    <w:p w14:paraId="71A5DCAE" w14:textId="77777777" w:rsidR="00053B97" w:rsidRPr="00053B97" w:rsidRDefault="00053B97" w:rsidP="00564F3F">
      <w:pPr>
        <w:spacing w:line="360" w:lineRule="auto"/>
      </w:pPr>
      <w:r w:rsidRPr="00053B97">
        <w:t xml:space="preserve">NICE (2022) </w:t>
      </w:r>
      <w:r w:rsidRPr="00564F3F">
        <w:rPr>
          <w:i/>
          <w:iCs/>
        </w:rPr>
        <w:t>Obsessive-Compulsive Disorder and Body Dysmorphic Disorder: Treatment Guidelines</w:t>
      </w:r>
      <w:r w:rsidRPr="00053B97">
        <w:t>. London: National Institute for Health and Care Excellence.</w:t>
      </w:r>
    </w:p>
    <w:p w14:paraId="030FE8F0" w14:textId="77777777" w:rsidR="00053B97" w:rsidRPr="00053B97" w:rsidRDefault="00053B97" w:rsidP="00564F3F">
      <w:pPr>
        <w:spacing w:line="360" w:lineRule="auto"/>
      </w:pPr>
      <w:r w:rsidRPr="00053B97">
        <w:t xml:space="preserve">Ong, C.W., Farrell, L.J. and Waters, A.M. (2022) ‘The efficacy of exposure and response prevention for obsessive-compulsive disorder: A global meta-analysis’, </w:t>
      </w:r>
      <w:r w:rsidRPr="00564F3F">
        <w:rPr>
          <w:i/>
          <w:iCs/>
        </w:rPr>
        <w:t>Behaviour Research and Therapy</w:t>
      </w:r>
      <w:r w:rsidRPr="00053B97">
        <w:t>, 157, pp. 1–14.</w:t>
      </w:r>
    </w:p>
    <w:p w14:paraId="1467FE0E" w14:textId="77777777" w:rsidR="00053B97" w:rsidRPr="00053B97" w:rsidRDefault="00053B97" w:rsidP="00564F3F">
      <w:pPr>
        <w:spacing w:line="360" w:lineRule="auto"/>
      </w:pPr>
      <w:r w:rsidRPr="00053B97">
        <w:lastRenderedPageBreak/>
        <w:t xml:space="preserve">Rosenberg, O., Bloch, M.H. and Pittenger, C. (2021) ‘Pharmacological augmentation strategies for treatment-resistant OCD’, </w:t>
      </w:r>
      <w:r w:rsidRPr="00564F3F">
        <w:rPr>
          <w:i/>
          <w:iCs/>
        </w:rPr>
        <w:t>Current Psychiatry Reports</w:t>
      </w:r>
      <w:r w:rsidRPr="00053B97">
        <w:t>, 23(10), pp. 1–13.</w:t>
      </w:r>
    </w:p>
    <w:p w14:paraId="748A21C6" w14:textId="77777777" w:rsidR="00053B97" w:rsidRPr="00053B97" w:rsidRDefault="00053B97" w:rsidP="00564F3F">
      <w:pPr>
        <w:spacing w:line="360" w:lineRule="auto"/>
      </w:pPr>
      <w:r w:rsidRPr="00053B97">
        <w:t xml:space="preserve">Schwartzman, J., Wood, J.J. and Kapp, S.K. (2021) ‘Repetitive behaviours in autism and obsessive–compulsive disorder: Conceptual and clinical distinctions’, </w:t>
      </w:r>
      <w:r w:rsidRPr="00564F3F">
        <w:rPr>
          <w:i/>
          <w:iCs/>
        </w:rPr>
        <w:t>Autism Research</w:t>
      </w:r>
      <w:r w:rsidRPr="00053B97">
        <w:t>, 14(3), pp. 523–536.</w:t>
      </w:r>
    </w:p>
    <w:p w14:paraId="723E8CBB" w14:textId="77777777" w:rsidR="00053B97" w:rsidRPr="00053B97" w:rsidRDefault="00053B97" w:rsidP="00564F3F">
      <w:pPr>
        <w:spacing w:line="360" w:lineRule="auto"/>
      </w:pPr>
      <w:r w:rsidRPr="00053B97">
        <w:t xml:space="preserve">Stein, D.J., Costa, D.L.C., Lochner, C. and Fineberg, N.A. (2019) ‘Obsessive–compulsive disorder: Phenomenology, pathophysiology, and treatment’, </w:t>
      </w:r>
      <w:r w:rsidRPr="00564F3F">
        <w:rPr>
          <w:i/>
          <w:iCs/>
        </w:rPr>
        <w:t>Nature Reviews Disease Primers</w:t>
      </w:r>
      <w:r w:rsidRPr="00053B97">
        <w:t>, 5(1), pp. 1–28.</w:t>
      </w:r>
    </w:p>
    <w:p w14:paraId="64A9E009" w14:textId="77777777" w:rsidR="00053B97" w:rsidRPr="00053B97" w:rsidRDefault="00053B97" w:rsidP="00564F3F">
      <w:pPr>
        <w:spacing w:line="360" w:lineRule="auto"/>
      </w:pPr>
      <w:r w:rsidRPr="00053B97">
        <w:t xml:space="preserve">Stein, D.J., Shapira, N.A. and Phillips, K.A. (2020) ‘The classification of obsessive–compulsive and related disorders in ICD-11’, </w:t>
      </w:r>
      <w:r w:rsidRPr="00564F3F">
        <w:rPr>
          <w:i/>
          <w:iCs/>
        </w:rPr>
        <w:t>World Psychiatry</w:t>
      </w:r>
      <w:r w:rsidRPr="00053B97">
        <w:t>, 19(3), pp. 344–345.</w:t>
      </w:r>
    </w:p>
    <w:p w14:paraId="6404AE15" w14:textId="77777777" w:rsidR="00053B97" w:rsidRPr="00053B97" w:rsidRDefault="00053B97" w:rsidP="00564F3F">
      <w:pPr>
        <w:spacing w:line="360" w:lineRule="auto"/>
      </w:pPr>
      <w:r w:rsidRPr="00053B97">
        <w:t xml:space="preserve">Storch, E.A., McGuire, J.F. and Wu, M.S. (2022) ‘Assessment of obsessive-compulsive disorder’, </w:t>
      </w:r>
      <w:r w:rsidRPr="00564F3F">
        <w:rPr>
          <w:i/>
          <w:iCs/>
        </w:rPr>
        <w:t>Journal of Anxiety Disorders</w:t>
      </w:r>
      <w:r w:rsidRPr="00053B97">
        <w:t>, 89, pp. 1–12.</w:t>
      </w:r>
    </w:p>
    <w:p w14:paraId="22973C4A" w14:textId="77777777" w:rsidR="00053B97" w:rsidRPr="00053B97" w:rsidRDefault="00053B97" w:rsidP="00564F3F">
      <w:pPr>
        <w:spacing w:line="360" w:lineRule="auto"/>
      </w:pPr>
      <w:r w:rsidRPr="00053B97">
        <w:t xml:space="preserve">Twohig, M.P. and Levin, M.E. (2017) ‘Acceptance and commitment therapy for obsessive-compulsive disorder’, </w:t>
      </w:r>
      <w:r w:rsidRPr="00564F3F">
        <w:rPr>
          <w:i/>
          <w:iCs/>
        </w:rPr>
        <w:t>Journal of Obsessive-Compulsive and Related Disorders</w:t>
      </w:r>
      <w:r w:rsidRPr="00053B97">
        <w:t>, 13, pp. 1–8.</w:t>
      </w:r>
    </w:p>
    <w:p w14:paraId="1EF0A280" w14:textId="77777777" w:rsidR="00053B97" w:rsidRPr="00053B97" w:rsidRDefault="00053B97" w:rsidP="00564F3F">
      <w:pPr>
        <w:spacing w:line="360" w:lineRule="auto"/>
      </w:pPr>
      <w:r w:rsidRPr="00053B97">
        <w:t xml:space="preserve">World Health Organization (2019) </w:t>
      </w:r>
      <w:r w:rsidRPr="00564F3F">
        <w:rPr>
          <w:i/>
          <w:iCs/>
        </w:rPr>
        <w:t>ICD-11: International Classification of Diseases 11th Revision</w:t>
      </w:r>
      <w:r w:rsidRPr="00053B97">
        <w:t>. Geneva: WHO.</w:t>
      </w:r>
    </w:p>
    <w:p w14:paraId="49D78087" w14:textId="77777777" w:rsidR="00951AD2" w:rsidRPr="007F28DE" w:rsidRDefault="00951AD2" w:rsidP="00053B97">
      <w:pPr>
        <w:spacing w:line="360" w:lineRule="auto"/>
      </w:pPr>
    </w:p>
    <w:sectPr w:rsidR="00951AD2" w:rsidRPr="007F28D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A27B0" w14:textId="77777777" w:rsidR="000E667C" w:rsidRDefault="000E667C" w:rsidP="00053B97">
      <w:pPr>
        <w:spacing w:after="0" w:line="240" w:lineRule="auto"/>
      </w:pPr>
      <w:r>
        <w:separator/>
      </w:r>
    </w:p>
  </w:endnote>
  <w:endnote w:type="continuationSeparator" w:id="0">
    <w:p w14:paraId="0A9B5CC2" w14:textId="77777777" w:rsidR="000E667C" w:rsidRDefault="000E667C" w:rsidP="00053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3251433"/>
      <w:docPartObj>
        <w:docPartGallery w:val="Page Numbers (Bottom of Page)"/>
        <w:docPartUnique/>
      </w:docPartObj>
    </w:sdtPr>
    <w:sdtEndPr>
      <w:rPr>
        <w:noProof/>
      </w:rPr>
    </w:sdtEndPr>
    <w:sdtContent>
      <w:p w14:paraId="3F48CFBC" w14:textId="71D5111B" w:rsidR="00053B97" w:rsidRDefault="00053B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FCC82C" w14:textId="77777777" w:rsidR="00053B97" w:rsidRDefault="00053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3C18C" w14:textId="77777777" w:rsidR="000E667C" w:rsidRDefault="000E667C" w:rsidP="00053B97">
      <w:pPr>
        <w:spacing w:after="0" w:line="240" w:lineRule="auto"/>
      </w:pPr>
      <w:r>
        <w:separator/>
      </w:r>
    </w:p>
  </w:footnote>
  <w:footnote w:type="continuationSeparator" w:id="0">
    <w:p w14:paraId="37C335E5" w14:textId="77777777" w:rsidR="000E667C" w:rsidRDefault="000E667C" w:rsidP="00053B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563A3E"/>
    <w:multiLevelType w:val="hybridMultilevel"/>
    <w:tmpl w:val="50289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7731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B97"/>
    <w:rsid w:val="00053B97"/>
    <w:rsid w:val="000E667C"/>
    <w:rsid w:val="001E2B30"/>
    <w:rsid w:val="002B25E2"/>
    <w:rsid w:val="0039102B"/>
    <w:rsid w:val="00452458"/>
    <w:rsid w:val="00480977"/>
    <w:rsid w:val="00564F3F"/>
    <w:rsid w:val="006D346B"/>
    <w:rsid w:val="007F28DE"/>
    <w:rsid w:val="00844C70"/>
    <w:rsid w:val="0091519B"/>
    <w:rsid w:val="00951AD2"/>
    <w:rsid w:val="00A7282C"/>
    <w:rsid w:val="00B17766"/>
    <w:rsid w:val="00B2272F"/>
    <w:rsid w:val="00B810C4"/>
    <w:rsid w:val="00C71A11"/>
    <w:rsid w:val="00EA6E4C"/>
    <w:rsid w:val="00F31E98"/>
    <w:rsid w:val="00FE4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F9CF0"/>
  <w15:chartTrackingRefBased/>
  <w15:docId w15:val="{A51B6CB6-719D-45E8-BEB6-38D1D4758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B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3B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3B9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3B9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53B9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53B9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53B9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53B9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53B9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B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3B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3B9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3B9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53B9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53B9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53B9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53B9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53B9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53B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B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B9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B9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53B97"/>
    <w:pPr>
      <w:spacing w:before="160"/>
      <w:jc w:val="center"/>
    </w:pPr>
    <w:rPr>
      <w:i/>
      <w:iCs/>
      <w:color w:val="404040" w:themeColor="text1" w:themeTint="BF"/>
    </w:rPr>
  </w:style>
  <w:style w:type="character" w:customStyle="1" w:styleId="QuoteChar">
    <w:name w:val="Quote Char"/>
    <w:basedOn w:val="DefaultParagraphFont"/>
    <w:link w:val="Quote"/>
    <w:uiPriority w:val="29"/>
    <w:rsid w:val="00053B97"/>
    <w:rPr>
      <w:i/>
      <w:iCs/>
      <w:color w:val="404040" w:themeColor="text1" w:themeTint="BF"/>
    </w:rPr>
  </w:style>
  <w:style w:type="paragraph" w:styleId="ListParagraph">
    <w:name w:val="List Paragraph"/>
    <w:basedOn w:val="Normal"/>
    <w:uiPriority w:val="34"/>
    <w:qFormat/>
    <w:rsid w:val="00053B97"/>
    <w:pPr>
      <w:ind w:left="720"/>
      <w:contextualSpacing/>
    </w:pPr>
  </w:style>
  <w:style w:type="character" w:styleId="IntenseEmphasis">
    <w:name w:val="Intense Emphasis"/>
    <w:basedOn w:val="DefaultParagraphFont"/>
    <w:uiPriority w:val="21"/>
    <w:qFormat/>
    <w:rsid w:val="00053B97"/>
    <w:rPr>
      <w:i/>
      <w:iCs/>
      <w:color w:val="0F4761" w:themeColor="accent1" w:themeShade="BF"/>
    </w:rPr>
  </w:style>
  <w:style w:type="paragraph" w:styleId="IntenseQuote">
    <w:name w:val="Intense Quote"/>
    <w:basedOn w:val="Normal"/>
    <w:next w:val="Normal"/>
    <w:link w:val="IntenseQuoteChar"/>
    <w:uiPriority w:val="30"/>
    <w:qFormat/>
    <w:rsid w:val="00053B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3B97"/>
    <w:rPr>
      <w:i/>
      <w:iCs/>
      <w:color w:val="0F4761" w:themeColor="accent1" w:themeShade="BF"/>
    </w:rPr>
  </w:style>
  <w:style w:type="character" w:styleId="IntenseReference">
    <w:name w:val="Intense Reference"/>
    <w:basedOn w:val="DefaultParagraphFont"/>
    <w:uiPriority w:val="32"/>
    <w:qFormat/>
    <w:rsid w:val="00053B97"/>
    <w:rPr>
      <w:b/>
      <w:bCs/>
      <w:smallCaps/>
      <w:color w:val="0F4761" w:themeColor="accent1" w:themeShade="BF"/>
      <w:spacing w:val="5"/>
    </w:rPr>
  </w:style>
  <w:style w:type="paragraph" w:styleId="Header">
    <w:name w:val="header"/>
    <w:basedOn w:val="Normal"/>
    <w:link w:val="HeaderChar"/>
    <w:uiPriority w:val="99"/>
    <w:unhideWhenUsed/>
    <w:rsid w:val="00053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B97"/>
  </w:style>
  <w:style w:type="paragraph" w:styleId="Footer">
    <w:name w:val="footer"/>
    <w:basedOn w:val="Normal"/>
    <w:link w:val="FooterChar"/>
    <w:uiPriority w:val="99"/>
    <w:unhideWhenUsed/>
    <w:rsid w:val="00053B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B97"/>
  </w:style>
  <w:style w:type="table" w:styleId="TableGrid">
    <w:name w:val="Table Grid"/>
    <w:basedOn w:val="TableNormal"/>
    <w:uiPriority w:val="39"/>
    <w:rsid w:val="002B25E2"/>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6E76C-806A-4F02-AC0F-0FBD5FCFC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10</Pages>
  <Words>3182</Words>
  <Characters>18143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Fateha Altafi (2309157)</dc:creator>
  <cp:keywords/>
  <dc:description/>
  <cp:lastModifiedBy>Fateha Altafi (2309157)</cp:lastModifiedBy>
  <cp:revision>12</cp:revision>
  <dcterms:created xsi:type="dcterms:W3CDTF">2025-11-07T13:35:00Z</dcterms:created>
  <dcterms:modified xsi:type="dcterms:W3CDTF">2025-11-07T16:25:00Z</dcterms:modified>
</cp:coreProperties>
</file>