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93573" w14:textId="77777777" w:rsidR="00B21C82" w:rsidRPr="00B21C82" w:rsidRDefault="00B21C82" w:rsidP="00B21C82">
      <w:pPr>
        <w:spacing w:line="360" w:lineRule="auto"/>
        <w:ind w:firstLine="0"/>
        <w:jc w:val="center"/>
        <w:rPr>
          <w:rFonts w:ascii="Arial" w:hAnsi="Arial" w:cs="Arial"/>
          <w:szCs w:val="24"/>
        </w:rPr>
      </w:pPr>
      <w:bookmarkStart w:id="0" w:name="_Hlk169107884"/>
      <w:r w:rsidRPr="00B21C82">
        <w:rPr>
          <w:rFonts w:ascii="Arial" w:hAnsi="Arial" w:cs="Arial"/>
          <w:szCs w:val="24"/>
        </w:rPr>
        <w:t>Reflective Analysis of Food and Beverage Department Placement: Linking Theory and Practice in Hospitality Management</w:t>
      </w:r>
    </w:p>
    <w:bookmarkEnd w:id="0"/>
    <w:p w14:paraId="119448FC" w14:textId="77777777" w:rsidR="00B21C82" w:rsidRPr="00B21C82" w:rsidRDefault="00B21C82" w:rsidP="00B21C82">
      <w:pPr>
        <w:spacing w:line="360" w:lineRule="auto"/>
        <w:ind w:firstLine="0"/>
        <w:jc w:val="center"/>
        <w:rPr>
          <w:rFonts w:ascii="Arial" w:hAnsi="Arial" w:cs="Arial"/>
          <w:szCs w:val="24"/>
        </w:rPr>
      </w:pPr>
      <w:r w:rsidRPr="00B21C82">
        <w:rPr>
          <w:rFonts w:ascii="Arial" w:hAnsi="Arial" w:cs="Arial"/>
          <w:szCs w:val="24"/>
        </w:rPr>
        <w:t>Student Name</w:t>
      </w:r>
      <w:r w:rsidRPr="00B21C82">
        <w:rPr>
          <w:rFonts w:ascii="Arial" w:hAnsi="Arial" w:cs="Arial"/>
          <w:b/>
          <w:bCs/>
          <w:szCs w:val="24"/>
        </w:rPr>
        <w:t>:</w:t>
      </w:r>
      <w:r w:rsidRPr="00B21C82">
        <w:rPr>
          <w:rFonts w:ascii="Arial" w:hAnsi="Arial" w:cs="Arial"/>
          <w:szCs w:val="24"/>
        </w:rPr>
        <w:t xml:space="preserve"> Ana-Maria Moise</w:t>
      </w:r>
    </w:p>
    <w:p w14:paraId="00C0949D" w14:textId="77777777" w:rsidR="00B21C82" w:rsidRPr="00B21C82" w:rsidRDefault="00B21C82" w:rsidP="00B21C82">
      <w:pPr>
        <w:spacing w:line="360" w:lineRule="auto"/>
        <w:ind w:firstLine="0"/>
        <w:jc w:val="center"/>
        <w:rPr>
          <w:rFonts w:ascii="Arial" w:hAnsi="Arial" w:cs="Arial"/>
          <w:szCs w:val="24"/>
        </w:rPr>
      </w:pPr>
      <w:r w:rsidRPr="00B21C82">
        <w:rPr>
          <w:rFonts w:ascii="Arial" w:hAnsi="Arial" w:cs="Arial"/>
          <w:b/>
          <w:bCs/>
          <w:szCs w:val="24"/>
        </w:rPr>
        <w:t xml:space="preserve">  </w:t>
      </w:r>
      <w:r w:rsidRPr="00B21C82">
        <w:rPr>
          <w:rFonts w:ascii="Arial" w:hAnsi="Arial" w:cs="Arial"/>
          <w:szCs w:val="24"/>
        </w:rPr>
        <w:t>Student Number</w:t>
      </w:r>
      <w:r w:rsidRPr="00B21C82">
        <w:rPr>
          <w:rFonts w:ascii="Arial" w:hAnsi="Arial" w:cs="Arial"/>
          <w:b/>
          <w:bCs/>
          <w:szCs w:val="24"/>
        </w:rPr>
        <w:t>:</w:t>
      </w:r>
      <w:r w:rsidRPr="00B21C82">
        <w:rPr>
          <w:rFonts w:ascii="Arial" w:hAnsi="Arial" w:cs="Arial"/>
          <w:szCs w:val="24"/>
        </w:rPr>
        <w:t xml:space="preserve"> 2233131</w:t>
      </w:r>
    </w:p>
    <w:p w14:paraId="7711ECD3" w14:textId="77777777" w:rsidR="00B21C82" w:rsidRPr="00B21C82" w:rsidRDefault="00B21C82" w:rsidP="00B21C82">
      <w:pPr>
        <w:spacing w:line="360" w:lineRule="auto"/>
        <w:ind w:firstLine="0"/>
        <w:jc w:val="center"/>
        <w:rPr>
          <w:rFonts w:ascii="Arial" w:hAnsi="Arial" w:cs="Arial"/>
          <w:szCs w:val="24"/>
        </w:rPr>
      </w:pPr>
      <w:r w:rsidRPr="00B21C82">
        <w:rPr>
          <w:rFonts w:ascii="Arial" w:hAnsi="Arial" w:cs="Arial"/>
          <w:szCs w:val="24"/>
        </w:rPr>
        <w:t>Module Lead</w:t>
      </w:r>
      <w:r w:rsidRPr="00B21C82">
        <w:rPr>
          <w:rFonts w:ascii="Arial" w:hAnsi="Arial" w:cs="Arial"/>
          <w:b/>
          <w:bCs/>
          <w:szCs w:val="24"/>
        </w:rPr>
        <w:t>:</w:t>
      </w:r>
      <w:r w:rsidRPr="00B21C82">
        <w:rPr>
          <w:rFonts w:ascii="Arial" w:hAnsi="Arial" w:cs="Arial"/>
          <w:szCs w:val="24"/>
        </w:rPr>
        <w:t xml:space="preserve"> Jessica Newport</w:t>
      </w:r>
    </w:p>
    <w:p w14:paraId="05B757CA" w14:textId="45A07612" w:rsidR="00B21C82" w:rsidRPr="00B21C82" w:rsidRDefault="00B21C82" w:rsidP="00B21C82">
      <w:pPr>
        <w:spacing w:line="360" w:lineRule="auto"/>
        <w:ind w:firstLine="0"/>
        <w:jc w:val="center"/>
        <w:rPr>
          <w:rFonts w:ascii="Arial" w:hAnsi="Arial" w:cs="Arial"/>
          <w:szCs w:val="24"/>
        </w:rPr>
      </w:pPr>
      <w:r w:rsidRPr="00B21C82">
        <w:rPr>
          <w:rFonts w:ascii="Arial" w:hAnsi="Arial" w:cs="Arial"/>
          <w:szCs w:val="24"/>
        </w:rPr>
        <w:t>Module Code</w:t>
      </w:r>
      <w:r w:rsidRPr="00B21C82">
        <w:rPr>
          <w:rFonts w:ascii="Arial" w:hAnsi="Arial" w:cs="Arial"/>
          <w:b/>
          <w:bCs/>
          <w:szCs w:val="24"/>
        </w:rPr>
        <w:t>:</w:t>
      </w:r>
      <w:r w:rsidRPr="00B21C82">
        <w:rPr>
          <w:rFonts w:ascii="Arial" w:hAnsi="Arial" w:cs="Arial"/>
          <w:szCs w:val="24"/>
        </w:rPr>
        <w:t xml:space="preserve"> B</w:t>
      </w:r>
      <w:r w:rsidRPr="00B21C82">
        <w:rPr>
          <w:rFonts w:ascii="Arial" w:hAnsi="Arial" w:cs="Arial"/>
          <w:szCs w:val="24"/>
        </w:rPr>
        <w:t>MIH 6002</w:t>
      </w:r>
    </w:p>
    <w:p w14:paraId="65AF8612" w14:textId="77777777" w:rsidR="00B21C82" w:rsidRPr="00B21C82" w:rsidRDefault="00B21C82" w:rsidP="00B21C82">
      <w:pPr>
        <w:spacing w:line="360" w:lineRule="auto"/>
        <w:ind w:firstLine="0"/>
        <w:jc w:val="center"/>
        <w:rPr>
          <w:rFonts w:ascii="Arial" w:hAnsi="Arial" w:cs="Arial"/>
          <w:szCs w:val="24"/>
        </w:rPr>
      </w:pPr>
      <w:r w:rsidRPr="00B21C82">
        <w:rPr>
          <w:rFonts w:ascii="Arial" w:hAnsi="Arial" w:cs="Arial"/>
          <w:szCs w:val="24"/>
        </w:rPr>
        <w:t>Module Name</w:t>
      </w:r>
      <w:r w:rsidRPr="00B21C82">
        <w:rPr>
          <w:rFonts w:ascii="Arial" w:hAnsi="Arial" w:cs="Arial"/>
          <w:b/>
          <w:bCs/>
          <w:szCs w:val="24"/>
        </w:rPr>
        <w:t>:</w:t>
      </w:r>
      <w:r w:rsidRPr="00B21C82">
        <w:rPr>
          <w:rFonts w:ascii="Arial" w:hAnsi="Arial" w:cs="Arial"/>
          <w:szCs w:val="24"/>
        </w:rPr>
        <w:t xml:space="preserve"> Managing Food And Beverage Operations</w:t>
      </w:r>
    </w:p>
    <w:p w14:paraId="19B74864" w14:textId="77777777" w:rsidR="00B21C82" w:rsidRPr="00B21C82" w:rsidRDefault="00B21C82" w:rsidP="00B21C82">
      <w:pPr>
        <w:spacing w:line="360" w:lineRule="auto"/>
        <w:rPr>
          <w:rFonts w:ascii="Arial" w:hAnsi="Arial" w:cs="Arial"/>
          <w:b/>
          <w:szCs w:val="24"/>
        </w:rPr>
      </w:pPr>
    </w:p>
    <w:p w14:paraId="2760F4BA" w14:textId="77777777" w:rsidR="00B21C82" w:rsidRPr="00B21C82" w:rsidRDefault="00B21C82" w:rsidP="00B21C82">
      <w:pPr>
        <w:spacing w:line="360" w:lineRule="auto"/>
        <w:rPr>
          <w:rFonts w:ascii="Arial" w:hAnsi="Arial" w:cs="Arial"/>
          <w:b/>
          <w:szCs w:val="24"/>
        </w:rPr>
      </w:pPr>
    </w:p>
    <w:p w14:paraId="4D995996" w14:textId="77777777" w:rsidR="00B21C82" w:rsidRPr="00B21C82" w:rsidRDefault="00B21C82" w:rsidP="00B21C82">
      <w:pPr>
        <w:spacing w:line="360" w:lineRule="auto"/>
        <w:rPr>
          <w:rFonts w:ascii="Arial" w:hAnsi="Arial" w:cs="Arial"/>
          <w:b/>
          <w:szCs w:val="24"/>
        </w:rPr>
      </w:pPr>
    </w:p>
    <w:p w14:paraId="0F0EBD6A" w14:textId="77777777" w:rsidR="00B21C82" w:rsidRPr="00B21C82" w:rsidRDefault="00B21C82" w:rsidP="00B21C82">
      <w:pPr>
        <w:spacing w:line="360" w:lineRule="auto"/>
        <w:rPr>
          <w:rFonts w:ascii="Arial" w:hAnsi="Arial" w:cs="Arial"/>
          <w:b/>
          <w:szCs w:val="24"/>
        </w:rPr>
      </w:pPr>
    </w:p>
    <w:p w14:paraId="438550E4" w14:textId="77777777" w:rsidR="00B21C82" w:rsidRPr="00B21C82" w:rsidRDefault="00B21C82" w:rsidP="00B21C82">
      <w:pPr>
        <w:spacing w:line="360" w:lineRule="auto"/>
        <w:rPr>
          <w:rFonts w:ascii="Arial" w:hAnsi="Arial" w:cs="Arial"/>
          <w:b/>
          <w:szCs w:val="24"/>
        </w:rPr>
      </w:pPr>
    </w:p>
    <w:p w14:paraId="6C7D1C4F" w14:textId="77777777" w:rsidR="00B21C82" w:rsidRPr="00B21C82" w:rsidRDefault="00B21C82" w:rsidP="00B21C82">
      <w:pPr>
        <w:spacing w:line="360" w:lineRule="auto"/>
        <w:rPr>
          <w:rFonts w:ascii="Arial" w:hAnsi="Arial" w:cs="Arial"/>
          <w:b/>
          <w:szCs w:val="24"/>
        </w:rPr>
      </w:pPr>
    </w:p>
    <w:p w14:paraId="24E522E9" w14:textId="0C36789F" w:rsidR="00B21C82" w:rsidRPr="00B21C82" w:rsidRDefault="00B21C82" w:rsidP="00B21C82">
      <w:pPr>
        <w:pStyle w:val="TOCHeading"/>
        <w:spacing w:line="360" w:lineRule="auto"/>
        <w:ind w:firstLine="0"/>
        <w:rPr>
          <w:rFonts w:ascii="Arial" w:hAnsi="Arial" w:cs="Arial"/>
          <w:sz w:val="24"/>
          <w:szCs w:val="24"/>
        </w:rPr>
      </w:pPr>
    </w:p>
    <w:p w14:paraId="05790024" w14:textId="77777777" w:rsidR="00B21C82" w:rsidRPr="00B21C82" w:rsidRDefault="00B21C82" w:rsidP="00B21C82">
      <w:pPr>
        <w:pStyle w:val="Heading1"/>
        <w:spacing w:line="360" w:lineRule="auto"/>
        <w:ind w:left="432" w:firstLine="0"/>
        <w:rPr>
          <w:rFonts w:ascii="Arial" w:hAnsi="Arial" w:cs="Arial"/>
          <w:sz w:val="24"/>
          <w:szCs w:val="24"/>
        </w:rPr>
      </w:pPr>
    </w:p>
    <w:p w14:paraId="0E072119" w14:textId="77777777" w:rsidR="00B21C82" w:rsidRPr="00B21C82" w:rsidRDefault="00B21C82" w:rsidP="00B21C82">
      <w:pPr>
        <w:spacing w:line="360" w:lineRule="auto"/>
        <w:rPr>
          <w:rFonts w:ascii="Arial" w:hAnsi="Arial" w:cs="Arial"/>
          <w:szCs w:val="24"/>
        </w:rPr>
      </w:pPr>
    </w:p>
    <w:p w14:paraId="428D8284" w14:textId="77777777" w:rsidR="00B21C82" w:rsidRPr="00B21C82" w:rsidRDefault="00B21C82" w:rsidP="00B21C82">
      <w:pPr>
        <w:spacing w:line="360" w:lineRule="auto"/>
        <w:rPr>
          <w:rFonts w:ascii="Arial" w:hAnsi="Arial" w:cs="Arial"/>
          <w:szCs w:val="24"/>
        </w:rPr>
      </w:pPr>
    </w:p>
    <w:p w14:paraId="49D4D1E7" w14:textId="77777777" w:rsidR="00B21C82" w:rsidRPr="00B21C82" w:rsidRDefault="00B21C82" w:rsidP="00B21C82">
      <w:pPr>
        <w:spacing w:line="360" w:lineRule="auto"/>
        <w:rPr>
          <w:rFonts w:ascii="Arial" w:hAnsi="Arial" w:cs="Arial"/>
          <w:szCs w:val="24"/>
        </w:rPr>
      </w:pPr>
    </w:p>
    <w:p w14:paraId="04855D7E" w14:textId="77777777" w:rsidR="00B21C82" w:rsidRPr="00B21C82" w:rsidRDefault="00B21C82" w:rsidP="00B21C82">
      <w:pPr>
        <w:spacing w:line="360" w:lineRule="auto"/>
        <w:rPr>
          <w:rFonts w:ascii="Arial" w:hAnsi="Arial" w:cs="Arial"/>
          <w:szCs w:val="24"/>
        </w:rPr>
      </w:pPr>
    </w:p>
    <w:p w14:paraId="0B6064B2" w14:textId="77777777" w:rsidR="00B21C82" w:rsidRPr="00B21C82" w:rsidRDefault="00B21C82" w:rsidP="00B21C82">
      <w:pPr>
        <w:spacing w:line="360" w:lineRule="auto"/>
        <w:ind w:firstLine="0"/>
        <w:rPr>
          <w:rFonts w:ascii="Arial" w:hAnsi="Arial" w:cs="Arial"/>
          <w:szCs w:val="24"/>
        </w:rPr>
      </w:pPr>
    </w:p>
    <w:p w14:paraId="0C03C3CE" w14:textId="77777777" w:rsidR="00B21C82" w:rsidRPr="00B21C82" w:rsidRDefault="00B21C82" w:rsidP="00B21C82">
      <w:pPr>
        <w:spacing w:line="360" w:lineRule="auto"/>
        <w:rPr>
          <w:rFonts w:ascii="Arial" w:hAnsi="Arial" w:cs="Arial"/>
          <w:szCs w:val="24"/>
        </w:rPr>
      </w:pPr>
    </w:p>
    <w:p w14:paraId="2314044A" w14:textId="7C74375A" w:rsidR="00B21C82" w:rsidRPr="00B21C82" w:rsidRDefault="00B21C82" w:rsidP="00B21C82">
      <w:pPr>
        <w:spacing w:before="0" w:after="200" w:line="360" w:lineRule="auto"/>
        <w:ind w:firstLine="0"/>
        <w:jc w:val="left"/>
        <w:rPr>
          <w:rFonts w:ascii="Arial" w:eastAsia="Calibri" w:hAnsi="Arial" w:cs="Arial"/>
          <w:b/>
          <w:szCs w:val="24"/>
        </w:rPr>
      </w:pPr>
      <w:bookmarkStart w:id="1" w:name="_Hlk167797372"/>
      <w:r w:rsidRPr="00B21C82">
        <w:rPr>
          <w:rFonts w:ascii="Arial" w:hAnsi="Arial" w:cs="Arial"/>
          <w:szCs w:val="24"/>
        </w:rPr>
        <w:br w:type="page"/>
      </w:r>
    </w:p>
    <w:p w14:paraId="51F55AAE" w14:textId="77777777" w:rsidR="00B21C82" w:rsidRPr="00B21C82" w:rsidRDefault="00B21C82" w:rsidP="00B21C82">
      <w:pPr>
        <w:pStyle w:val="Heading1"/>
        <w:spacing w:line="360" w:lineRule="auto"/>
        <w:rPr>
          <w:rFonts w:ascii="Arial" w:hAnsi="Arial" w:cs="Arial"/>
          <w:color w:val="auto"/>
          <w:sz w:val="24"/>
          <w:szCs w:val="24"/>
        </w:rPr>
      </w:pPr>
      <w:bookmarkStart w:id="2" w:name="_Toc209704358"/>
      <w:bookmarkEnd w:id="1"/>
      <w:r w:rsidRPr="00B21C82">
        <w:rPr>
          <w:rFonts w:ascii="Arial" w:hAnsi="Arial" w:cs="Arial"/>
          <w:color w:val="auto"/>
          <w:sz w:val="24"/>
          <w:szCs w:val="24"/>
        </w:rPr>
        <w:lastRenderedPageBreak/>
        <w:t>Introduction</w:t>
      </w:r>
      <w:bookmarkEnd w:id="2"/>
      <w:r w:rsidRPr="00B21C82">
        <w:rPr>
          <w:rFonts w:ascii="Arial" w:hAnsi="Arial" w:cs="Arial"/>
          <w:color w:val="auto"/>
          <w:sz w:val="24"/>
          <w:szCs w:val="24"/>
        </w:rPr>
        <w:t xml:space="preserve"> </w:t>
      </w:r>
    </w:p>
    <w:p w14:paraId="4CA4B035" w14:textId="77777777" w:rsidR="00B21C82" w:rsidRPr="00B21C82" w:rsidRDefault="00B21C82" w:rsidP="00B21C82">
      <w:pPr>
        <w:spacing w:line="360" w:lineRule="auto"/>
        <w:rPr>
          <w:rFonts w:ascii="Arial" w:hAnsi="Arial" w:cs="Arial"/>
          <w:szCs w:val="24"/>
          <w:lang w:eastAsia="en-GB"/>
        </w:rPr>
      </w:pPr>
      <w:r w:rsidRPr="00B21C82">
        <w:rPr>
          <w:rFonts w:ascii="Arial" w:hAnsi="Arial" w:cs="Arial"/>
          <w:szCs w:val="24"/>
          <w:lang w:eastAsia="en-GB"/>
        </w:rPr>
        <w:t>It is evident that  by looking back on my placement at the Food and Beverage department in Holiday Inn Guildford, I want to reflect on what I experienced compared with what I had expected to learn. There was a noticeable gap between the intended learning outcomes and the reality of the placement. The programme was designed to provide comprehensive exposure to F&amp;B management practices, yet it mainly highlighted the divide between academic aspirations and practical industry implementation. The hotel’s F&amp;B offerings included breakfast service, bar operations, and restaurant dining, which shaped the basis of my placement. Before beginning, I set three objectives that are, to gain insight into management decision making, develop problem-solving skills in service situations, and understand the impact of leadership styles on employee motivation. It is certain that while the placement gives valuable operational experience, it also  limits managerial exposure (</w:t>
      </w:r>
      <w:r w:rsidRPr="00B21C82">
        <w:rPr>
          <w:rFonts w:ascii="Arial" w:hAnsi="Arial" w:cs="Arial"/>
          <w:szCs w:val="24"/>
          <w:shd w:val="clear" w:color="auto" w:fill="FFFFFF"/>
        </w:rPr>
        <w:t>Johnston et al., 2012)</w:t>
      </w:r>
      <w:r w:rsidRPr="00B21C82">
        <w:rPr>
          <w:rFonts w:ascii="Arial" w:hAnsi="Arial" w:cs="Arial"/>
          <w:szCs w:val="24"/>
          <w:lang w:eastAsia="en-GB"/>
        </w:rPr>
        <w:t>. Using Kolb’s reflective model enabled me to critically analyse these gaps by moving from concrete experience to reflective learning.</w:t>
      </w:r>
    </w:p>
    <w:p w14:paraId="6508C9C7" w14:textId="77777777" w:rsidR="00B21C82" w:rsidRPr="00B21C82" w:rsidRDefault="00B21C82" w:rsidP="00B21C82">
      <w:pPr>
        <w:pStyle w:val="Heading1"/>
        <w:spacing w:line="360" w:lineRule="auto"/>
        <w:rPr>
          <w:rFonts w:ascii="Arial" w:hAnsi="Arial" w:cs="Arial"/>
          <w:color w:val="auto"/>
          <w:sz w:val="24"/>
          <w:szCs w:val="24"/>
        </w:rPr>
      </w:pPr>
      <w:bookmarkStart w:id="3" w:name="_Toc209704359"/>
      <w:r w:rsidRPr="00B21C82">
        <w:rPr>
          <w:rFonts w:ascii="Arial" w:hAnsi="Arial" w:cs="Arial"/>
          <w:color w:val="auto"/>
          <w:sz w:val="24"/>
          <w:szCs w:val="24"/>
        </w:rPr>
        <w:t>Kolb’s Reflective Cycle</w:t>
      </w:r>
      <w:bookmarkEnd w:id="3"/>
      <w:r w:rsidRPr="00B21C82">
        <w:rPr>
          <w:rFonts w:ascii="Arial" w:hAnsi="Arial" w:cs="Arial"/>
          <w:color w:val="auto"/>
          <w:sz w:val="24"/>
          <w:szCs w:val="24"/>
        </w:rPr>
        <w:t xml:space="preserve"> </w:t>
      </w:r>
    </w:p>
    <w:p w14:paraId="1D31C00C" w14:textId="77777777" w:rsidR="00B21C82" w:rsidRPr="00B21C82" w:rsidRDefault="00B21C82" w:rsidP="00B21C82">
      <w:pPr>
        <w:spacing w:line="360" w:lineRule="auto"/>
        <w:rPr>
          <w:rFonts w:ascii="Arial" w:hAnsi="Arial" w:cs="Arial"/>
          <w:szCs w:val="24"/>
        </w:rPr>
      </w:pPr>
      <w:r w:rsidRPr="00B21C82">
        <w:rPr>
          <w:rFonts w:ascii="Arial" w:hAnsi="Arial" w:cs="Arial"/>
          <w:szCs w:val="24"/>
        </w:rPr>
        <w:t>The Kolb’s reflective model transforms experiences into learning by progressing through concrete experience, observation, conceptualisation, and active experimentation for improvement (Gordon, 2022).</w:t>
      </w:r>
    </w:p>
    <w:p w14:paraId="18A13D4A" w14:textId="77777777" w:rsidR="00B21C82" w:rsidRPr="00B21C82" w:rsidRDefault="00B21C82" w:rsidP="00B21C82">
      <w:pPr>
        <w:keepNext/>
        <w:spacing w:line="360" w:lineRule="auto"/>
        <w:ind w:firstLine="0"/>
        <w:jc w:val="center"/>
        <w:rPr>
          <w:rFonts w:ascii="Arial" w:hAnsi="Arial" w:cs="Arial"/>
          <w:color w:val="000000" w:themeColor="text1"/>
          <w:szCs w:val="24"/>
        </w:rPr>
      </w:pPr>
      <w:r w:rsidRPr="00B21C82">
        <w:rPr>
          <w:rFonts w:ascii="Arial" w:hAnsi="Arial" w:cs="Arial"/>
          <w:noProof/>
          <w:color w:val="000000" w:themeColor="text1"/>
          <w:szCs w:val="24"/>
        </w:rPr>
        <w:lastRenderedPageBreak/>
        <w:drawing>
          <wp:inline distT="0" distB="0" distL="0" distR="0" wp14:anchorId="29984A45" wp14:editId="52660EDC">
            <wp:extent cx="5794218" cy="4259580"/>
            <wp:effectExtent l="76200" t="76200" r="111760" b="121920"/>
            <wp:docPr id="1661588340" name="Picture 2" descr="Reflective model according to Kolb - Dr Nicole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1" descr="Reflective model according to Kolb - Dr Nicole Brow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95636" cy="42606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B90ACF" w14:textId="77777777" w:rsidR="00B21C82" w:rsidRPr="00B21C82" w:rsidRDefault="00B21C82" w:rsidP="00B21C82">
      <w:pPr>
        <w:pStyle w:val="Caption"/>
        <w:spacing w:line="360" w:lineRule="auto"/>
        <w:jc w:val="center"/>
        <w:rPr>
          <w:rFonts w:ascii="Arial" w:hAnsi="Arial" w:cs="Arial"/>
          <w:color w:val="000000" w:themeColor="text1"/>
          <w:sz w:val="24"/>
          <w:szCs w:val="24"/>
        </w:rPr>
      </w:pPr>
      <w:r w:rsidRPr="00B21C82">
        <w:rPr>
          <w:rFonts w:ascii="Arial" w:hAnsi="Arial" w:cs="Arial"/>
          <w:color w:val="000000" w:themeColor="text1"/>
          <w:sz w:val="24"/>
          <w:szCs w:val="24"/>
        </w:rPr>
        <w:t xml:space="preserve">Figure </w:t>
      </w:r>
      <w:r w:rsidRPr="00B21C82">
        <w:rPr>
          <w:rFonts w:ascii="Arial" w:hAnsi="Arial" w:cs="Arial"/>
          <w:color w:val="000000" w:themeColor="text1"/>
          <w:sz w:val="24"/>
          <w:szCs w:val="24"/>
        </w:rPr>
        <w:fldChar w:fldCharType="begin"/>
      </w:r>
      <w:r w:rsidRPr="00B21C82">
        <w:rPr>
          <w:rFonts w:ascii="Arial" w:hAnsi="Arial" w:cs="Arial"/>
          <w:color w:val="000000" w:themeColor="text1"/>
          <w:sz w:val="24"/>
          <w:szCs w:val="24"/>
        </w:rPr>
        <w:instrText xml:space="preserve"> SEQ Figure \* ARABIC </w:instrText>
      </w:r>
      <w:r w:rsidRPr="00B21C82">
        <w:rPr>
          <w:rFonts w:ascii="Arial" w:hAnsi="Arial" w:cs="Arial"/>
          <w:color w:val="000000" w:themeColor="text1"/>
          <w:sz w:val="24"/>
          <w:szCs w:val="24"/>
        </w:rPr>
        <w:fldChar w:fldCharType="separate"/>
      </w:r>
      <w:r w:rsidRPr="00B21C82">
        <w:rPr>
          <w:rFonts w:ascii="Arial" w:hAnsi="Arial" w:cs="Arial"/>
          <w:noProof/>
          <w:color w:val="000000" w:themeColor="text1"/>
          <w:sz w:val="24"/>
          <w:szCs w:val="24"/>
        </w:rPr>
        <w:t>1</w:t>
      </w:r>
      <w:r w:rsidRPr="00B21C82">
        <w:rPr>
          <w:rFonts w:ascii="Arial" w:hAnsi="Arial" w:cs="Arial"/>
          <w:color w:val="000000" w:themeColor="text1"/>
          <w:sz w:val="24"/>
          <w:szCs w:val="24"/>
        </w:rPr>
        <w:fldChar w:fldCharType="end"/>
      </w:r>
      <w:r w:rsidRPr="00B21C82">
        <w:rPr>
          <w:rFonts w:ascii="Arial" w:hAnsi="Arial" w:cs="Arial"/>
          <w:color w:val="000000" w:themeColor="text1"/>
          <w:sz w:val="24"/>
          <w:szCs w:val="24"/>
        </w:rPr>
        <w:t xml:space="preserve"> Kolb's Reflective Cycle</w:t>
      </w:r>
    </w:p>
    <w:p w14:paraId="61E0999D" w14:textId="77777777" w:rsidR="00B21C82" w:rsidRPr="00B21C82" w:rsidRDefault="00B21C82" w:rsidP="00B21C82">
      <w:pPr>
        <w:pStyle w:val="Caption"/>
        <w:spacing w:line="360" w:lineRule="auto"/>
        <w:jc w:val="center"/>
        <w:rPr>
          <w:rFonts w:ascii="Arial" w:hAnsi="Arial" w:cs="Arial"/>
          <w:color w:val="000000" w:themeColor="text1"/>
          <w:sz w:val="24"/>
          <w:szCs w:val="24"/>
        </w:rPr>
      </w:pPr>
      <w:r w:rsidRPr="00B21C82">
        <w:rPr>
          <w:rFonts w:ascii="Arial" w:hAnsi="Arial" w:cs="Arial"/>
          <w:color w:val="000000" w:themeColor="text1"/>
          <w:sz w:val="24"/>
          <w:szCs w:val="24"/>
        </w:rPr>
        <w:t>Source: Brown (2025)</w:t>
      </w:r>
    </w:p>
    <w:p w14:paraId="007203F7" w14:textId="77777777" w:rsidR="00B21C82" w:rsidRPr="00B21C82" w:rsidRDefault="00B21C82" w:rsidP="00B21C82">
      <w:pPr>
        <w:pStyle w:val="Heading1"/>
        <w:spacing w:line="360" w:lineRule="auto"/>
        <w:rPr>
          <w:rFonts w:ascii="Arial" w:hAnsi="Arial" w:cs="Arial"/>
          <w:color w:val="auto"/>
          <w:sz w:val="24"/>
          <w:szCs w:val="24"/>
        </w:rPr>
      </w:pPr>
      <w:bookmarkStart w:id="4" w:name="_Toc209704360"/>
      <w:r w:rsidRPr="00B21C82">
        <w:rPr>
          <w:rFonts w:ascii="Arial" w:hAnsi="Arial" w:cs="Arial"/>
          <w:color w:val="auto"/>
          <w:sz w:val="24"/>
          <w:szCs w:val="24"/>
        </w:rPr>
        <w:t>Concrete Experience</w:t>
      </w:r>
      <w:bookmarkEnd w:id="4"/>
    </w:p>
    <w:p w14:paraId="310ECBBC" w14:textId="77777777" w:rsidR="00B21C82" w:rsidRPr="00B21C82" w:rsidRDefault="00B21C82" w:rsidP="00B21C82">
      <w:pPr>
        <w:spacing w:line="360" w:lineRule="auto"/>
        <w:ind w:firstLine="432"/>
        <w:rPr>
          <w:rFonts w:ascii="Arial" w:hAnsi="Arial" w:cs="Arial"/>
          <w:szCs w:val="24"/>
        </w:rPr>
      </w:pPr>
      <w:r w:rsidRPr="00B21C82">
        <w:rPr>
          <w:rFonts w:ascii="Arial" w:hAnsi="Arial" w:cs="Arial"/>
          <w:szCs w:val="24"/>
        </w:rPr>
        <w:t xml:space="preserve">During my placement at the Holiday Inn Guildford, I was primarily assigned to front-line duties in the F&amp;B department, working directly as a waitress and engaging closely with daily service operations. My main activity throughout the placement was that of carrying out the duties of a waitress, giving me a full front-line involvement from which I gained valuable insights into daily workflow and customer interaction. However, this approach created a significant gap in my learning by limiting exposure to management-level functions within the department. What really frustrated me was that I could not get anywhere near the management side of things. I had gone into this placement hoping to see how the F&amp;B department actually runs from a management perspective, but that just didn't happen. </w:t>
      </w:r>
    </w:p>
    <w:p w14:paraId="1FAABD32" w14:textId="77777777" w:rsidR="00B21C82" w:rsidRPr="00B21C82" w:rsidRDefault="00B21C82" w:rsidP="00B21C82">
      <w:pPr>
        <w:spacing w:line="360" w:lineRule="auto"/>
        <w:rPr>
          <w:rFonts w:ascii="Arial" w:hAnsi="Arial" w:cs="Arial"/>
          <w:szCs w:val="24"/>
        </w:rPr>
      </w:pPr>
      <w:r w:rsidRPr="00B21C82">
        <w:rPr>
          <w:rFonts w:ascii="Arial" w:hAnsi="Arial" w:cs="Arial"/>
          <w:szCs w:val="24"/>
        </w:rPr>
        <w:lastRenderedPageBreak/>
        <w:t>Moreover, when I inquired about gaining insight into management operations, I was informed about a confidentiality policy that precluded even basic understanding of managerial functions. This managerial barriers affects the ability to achieve learning objectives rather than taking advantage of the opportunities (Liu et al., 2022). The placement experience presents an unexpected dynamic where the rapid learning aptitude and efficient work accidentally leads to consistent involvement in routine restaurant operations (</w:t>
      </w:r>
      <w:r w:rsidRPr="00B21C82">
        <w:rPr>
          <w:rFonts w:ascii="Arial" w:hAnsi="Arial" w:cs="Arial"/>
          <w:szCs w:val="24"/>
          <w:shd w:val="clear" w:color="auto" w:fill="FFFFFF"/>
        </w:rPr>
        <w:t>Anon, 2010)</w:t>
      </w:r>
      <w:r w:rsidRPr="00B21C82">
        <w:rPr>
          <w:rFonts w:ascii="Arial" w:hAnsi="Arial" w:cs="Arial"/>
          <w:szCs w:val="24"/>
        </w:rPr>
        <w:t>. Over half of my placement was spent on repetitive tasks such as serving breakfast and clearing tables, which, while essential to operations, did not align with higher-level learning goals focused on strategic management and problem-solving.</w:t>
      </w:r>
    </w:p>
    <w:p w14:paraId="7428FA98" w14:textId="77777777" w:rsidR="00B21C82" w:rsidRPr="00B21C82" w:rsidRDefault="00B21C82" w:rsidP="00B21C82">
      <w:pPr>
        <w:pStyle w:val="Heading1"/>
        <w:spacing w:line="360" w:lineRule="auto"/>
        <w:rPr>
          <w:rFonts w:ascii="Arial" w:hAnsi="Arial" w:cs="Arial"/>
          <w:color w:val="auto"/>
          <w:sz w:val="24"/>
          <w:szCs w:val="24"/>
        </w:rPr>
      </w:pPr>
      <w:bookmarkStart w:id="5" w:name="_Toc209704361"/>
      <w:r w:rsidRPr="00B21C82">
        <w:rPr>
          <w:rFonts w:ascii="Arial" w:hAnsi="Arial" w:cs="Arial"/>
          <w:color w:val="auto"/>
          <w:sz w:val="24"/>
          <w:szCs w:val="24"/>
        </w:rPr>
        <w:t>Reflective Observation</w:t>
      </w:r>
      <w:bookmarkEnd w:id="5"/>
    </w:p>
    <w:p w14:paraId="63229017" w14:textId="045D7931" w:rsidR="00B21C82" w:rsidRPr="00B21C82" w:rsidRDefault="00B21C82" w:rsidP="00B21C82">
      <w:pPr>
        <w:spacing w:line="360" w:lineRule="auto"/>
        <w:rPr>
          <w:rFonts w:ascii="Arial" w:hAnsi="Arial" w:cs="Arial"/>
          <w:szCs w:val="24"/>
        </w:rPr>
      </w:pPr>
      <w:r w:rsidRPr="00B21C82">
        <w:rPr>
          <w:rFonts w:ascii="Arial" w:hAnsi="Arial" w:cs="Arial"/>
          <w:szCs w:val="24"/>
        </w:rPr>
        <w:t>While carrying out these tasks, I began to notice deeper operational challenges within the department, particularly issues of staff shortages, leadership inconsistencies, and the strain these placed on both employees and service quality. As a front-line staff member, I noticed critical operational challenges that affected both employee well-being and service delivery. The most pervasive issue was the clear staff shortage, which frequently forced employees to multi-task and cover roles, including bar shifts and kitchen support. This also cause dissatisfaction among staff who often expressed exhaustion, particularly as they are most often not adequately compensated for taking on additional responsibilities (</w:t>
      </w:r>
      <w:proofErr w:type="spellStart"/>
      <w:r w:rsidRPr="00B21C82">
        <w:rPr>
          <w:rFonts w:ascii="Arial" w:hAnsi="Arial" w:cs="Arial"/>
          <w:szCs w:val="24"/>
        </w:rPr>
        <w:t>Üngüren</w:t>
      </w:r>
      <w:proofErr w:type="spellEnd"/>
      <w:r w:rsidRPr="00B21C82">
        <w:rPr>
          <w:rFonts w:ascii="Arial" w:hAnsi="Arial" w:cs="Arial"/>
          <w:szCs w:val="24"/>
        </w:rPr>
        <w:t xml:space="preserve">, 2024). For example, during breakfast service I was expected to cover both table service and barista duties simultaneously, which led to delayed service and reduced guest interaction. </w:t>
      </w:r>
    </w:p>
    <w:p w14:paraId="3FFEB61F" w14:textId="27C4DA33" w:rsidR="00B21C82" w:rsidRPr="00B21C82" w:rsidRDefault="00B21C82" w:rsidP="00B21C82">
      <w:pPr>
        <w:spacing w:line="360" w:lineRule="auto"/>
        <w:rPr>
          <w:rFonts w:ascii="Arial" w:hAnsi="Arial" w:cs="Arial"/>
          <w:szCs w:val="24"/>
        </w:rPr>
      </w:pPr>
      <w:r w:rsidRPr="00B21C82">
        <w:rPr>
          <w:rFonts w:ascii="Arial" w:hAnsi="Arial" w:cs="Arial"/>
          <w:szCs w:val="24"/>
        </w:rPr>
        <w:t>In addition, it is not the first occupational stress case on its own, and since impartial studies of occupation stress have already been conducted, workload and role ambiguity emerge as key contributors to burnout and low job satisfaction. Bolliger and colleagues (2023) suggest that high task switching with low job control results in stress and inhibits motivation, which again correlates with my personal experience during the placement. Discussions with colleagues</w:t>
      </w:r>
      <w:r w:rsidR="00103F1F">
        <w:rPr>
          <w:rFonts w:ascii="Arial" w:hAnsi="Arial" w:cs="Arial"/>
          <w:szCs w:val="24"/>
        </w:rPr>
        <w:t xml:space="preserve">( Rochelle was a big help for me) </w:t>
      </w:r>
      <w:r w:rsidRPr="00B21C82">
        <w:rPr>
          <w:rFonts w:ascii="Arial" w:hAnsi="Arial" w:cs="Arial"/>
          <w:szCs w:val="24"/>
        </w:rPr>
        <w:t xml:space="preserve"> revealed that there was a large level of exhaustion due to continuous demands of filling professional gaps despite the part-time rotations. The democratic style of leadership as declared by the hotel was at variance with the situation on the ground. I was not involved in the decision making and this reduced chances of learning by being </w:t>
      </w:r>
      <w:r w:rsidRPr="00B21C82">
        <w:rPr>
          <w:rFonts w:ascii="Arial" w:hAnsi="Arial" w:cs="Arial"/>
          <w:szCs w:val="24"/>
        </w:rPr>
        <w:lastRenderedPageBreak/>
        <w:t xml:space="preserve">involved. An episode during one of the busiest services was especially memorable, I requested to have a short break so that I could rest, but my supervisor </w:t>
      </w:r>
      <w:r w:rsidR="00103F1F">
        <w:rPr>
          <w:rFonts w:ascii="Arial" w:hAnsi="Arial" w:cs="Arial"/>
          <w:szCs w:val="24"/>
        </w:rPr>
        <w:t xml:space="preserve">( Jemma) </w:t>
      </w:r>
      <w:r w:rsidRPr="00B21C82">
        <w:rPr>
          <w:rFonts w:ascii="Arial" w:hAnsi="Arial" w:cs="Arial"/>
          <w:szCs w:val="24"/>
        </w:rPr>
        <w:t xml:space="preserve">unceremoniously rejected me, pointing to the rush. In addition, this reaction was another manifestation of low quality leadership and communication. </w:t>
      </w:r>
    </w:p>
    <w:p w14:paraId="299D8F17" w14:textId="77777777" w:rsidR="00B21C82" w:rsidRPr="00B21C82" w:rsidRDefault="00B21C82" w:rsidP="00B21C82">
      <w:pPr>
        <w:pStyle w:val="Heading1"/>
        <w:spacing w:line="360" w:lineRule="auto"/>
        <w:rPr>
          <w:rFonts w:ascii="Arial" w:hAnsi="Arial" w:cs="Arial"/>
          <w:color w:val="auto"/>
          <w:sz w:val="24"/>
          <w:szCs w:val="24"/>
        </w:rPr>
      </w:pPr>
      <w:bookmarkStart w:id="6" w:name="_Toc209704362"/>
      <w:r w:rsidRPr="00B21C82">
        <w:rPr>
          <w:rFonts w:ascii="Arial" w:hAnsi="Arial" w:cs="Arial"/>
          <w:color w:val="auto"/>
          <w:sz w:val="24"/>
          <w:szCs w:val="24"/>
        </w:rPr>
        <w:t>Abstract Conceptualisation</w:t>
      </w:r>
      <w:bookmarkEnd w:id="6"/>
    </w:p>
    <w:p w14:paraId="1C87384E" w14:textId="77777777" w:rsidR="00B21C82" w:rsidRPr="00B21C82" w:rsidRDefault="00B21C82" w:rsidP="00B21C82">
      <w:pPr>
        <w:spacing w:line="360" w:lineRule="auto"/>
        <w:rPr>
          <w:rFonts w:ascii="Arial" w:hAnsi="Arial" w:cs="Arial"/>
          <w:szCs w:val="24"/>
        </w:rPr>
      </w:pPr>
      <w:r w:rsidRPr="00B21C82">
        <w:rPr>
          <w:rFonts w:ascii="Arial" w:hAnsi="Arial" w:cs="Arial"/>
          <w:szCs w:val="24"/>
        </w:rPr>
        <w:t>These observations led me to consider how established theories on employee well-being, workload management, and service delivery could help explain the recurring difficulties I encountered in practice. It was chaotic. Employees were frequently required to cover multiple operational areas simultaneously, leading to significant feelings of being overwhelmed and stretched beyond reasonable limits. In such scenario, staff members consistently appears tired and exhausted, struggling to maintain service standards while managing heavy workloads (</w:t>
      </w:r>
      <w:proofErr w:type="spellStart"/>
      <w:r w:rsidRPr="00B21C82">
        <w:rPr>
          <w:rFonts w:ascii="Arial" w:hAnsi="Arial" w:cs="Arial"/>
          <w:szCs w:val="24"/>
        </w:rPr>
        <w:t>Üngüren</w:t>
      </w:r>
      <w:proofErr w:type="spellEnd"/>
      <w:r w:rsidRPr="00B21C82">
        <w:rPr>
          <w:rFonts w:ascii="Arial" w:hAnsi="Arial" w:cs="Arial"/>
          <w:szCs w:val="24"/>
        </w:rPr>
        <w:t xml:space="preserve">, 2024). </w:t>
      </w:r>
    </w:p>
    <w:p w14:paraId="0A87BEBD" w14:textId="77777777" w:rsidR="00B21C82" w:rsidRPr="00B21C82" w:rsidRDefault="00B21C82" w:rsidP="00B21C82">
      <w:pPr>
        <w:spacing w:line="360" w:lineRule="auto"/>
        <w:ind w:firstLine="432"/>
        <w:rPr>
          <w:rFonts w:ascii="Arial" w:hAnsi="Arial" w:cs="Arial"/>
          <w:szCs w:val="24"/>
        </w:rPr>
      </w:pPr>
      <w:r w:rsidRPr="00B21C82">
        <w:rPr>
          <w:rFonts w:ascii="Arial" w:hAnsi="Arial" w:cs="Arial"/>
          <w:szCs w:val="24"/>
        </w:rPr>
        <w:t>In addition to it, this created a cycle where reduced employee satisfaction and stress inevitably compromised guest experience. When I compared this to my Level 4 placement at Marriott Twickenham, the contrast was clear, although busy, staffing there was better balanced, supporting well-being more effectively. Linking to Food and Beverage Operations at Level 4, it became evident that proper task allocation is vital for both morale and service quality. Equally, insights from Sustainable Hospitality and Tourism Management at Level 5 show how excessive workloads undermine sustainability goals, as tired staff struggle to deliver consistent service. The constant pressure to cover multiple roles meant attention was divided, reducing the focused service guests expect.</w:t>
      </w:r>
    </w:p>
    <w:p w14:paraId="14AD0732" w14:textId="77777777" w:rsidR="00B21C82" w:rsidRPr="00B21C82" w:rsidRDefault="00B21C82" w:rsidP="00B21C82">
      <w:pPr>
        <w:spacing w:line="360" w:lineRule="auto"/>
        <w:ind w:firstLine="0"/>
        <w:rPr>
          <w:rFonts w:ascii="Arial" w:hAnsi="Arial" w:cs="Arial"/>
          <w:szCs w:val="24"/>
        </w:rPr>
      </w:pPr>
    </w:p>
    <w:p w14:paraId="4CF9B4EC" w14:textId="77777777" w:rsidR="00B21C82" w:rsidRPr="00B21C82" w:rsidRDefault="00B21C82" w:rsidP="00B21C82">
      <w:pPr>
        <w:pStyle w:val="Heading1"/>
        <w:spacing w:line="360" w:lineRule="auto"/>
        <w:rPr>
          <w:rFonts w:ascii="Arial" w:hAnsi="Arial" w:cs="Arial"/>
          <w:color w:val="auto"/>
          <w:sz w:val="24"/>
          <w:szCs w:val="24"/>
        </w:rPr>
      </w:pPr>
      <w:bookmarkStart w:id="7" w:name="_Toc209704363"/>
      <w:r w:rsidRPr="00B21C82">
        <w:rPr>
          <w:rFonts w:ascii="Arial" w:hAnsi="Arial" w:cs="Arial"/>
          <w:color w:val="auto"/>
          <w:sz w:val="24"/>
          <w:szCs w:val="24"/>
        </w:rPr>
        <w:t>Active Experimentation</w:t>
      </w:r>
      <w:bookmarkEnd w:id="7"/>
    </w:p>
    <w:p w14:paraId="229E9E93" w14:textId="77777777" w:rsidR="00B21C82" w:rsidRPr="00B21C82" w:rsidRDefault="00B21C82" w:rsidP="00B21C82">
      <w:pPr>
        <w:spacing w:line="360" w:lineRule="auto"/>
        <w:rPr>
          <w:rFonts w:ascii="Arial" w:hAnsi="Arial" w:cs="Arial"/>
          <w:szCs w:val="24"/>
        </w:rPr>
      </w:pPr>
      <w:r w:rsidRPr="00B21C82">
        <w:rPr>
          <w:rFonts w:ascii="Arial" w:hAnsi="Arial" w:cs="Arial"/>
          <w:szCs w:val="24"/>
        </w:rPr>
        <w:t xml:space="preserve">Reflecting on these insights, I identified several practical changes that could be implemented to improve staff efficiency, morale, and overall guest satisfaction within the F&amp;B department. From what I saw during my placement, here are some things that could really help improve the F&amp;B department. If I were a manager, I had start by having quick daily meetings with the team to talk about what's happening that day and keep everyone motivated. Priority should be given to initial guest interactions through </w:t>
      </w:r>
      <w:r w:rsidRPr="00B21C82">
        <w:rPr>
          <w:rFonts w:ascii="Arial" w:hAnsi="Arial" w:cs="Arial"/>
          <w:szCs w:val="24"/>
        </w:rPr>
        <w:lastRenderedPageBreak/>
        <w:t>prompt greeting and provision of accurate wait times, which represents a key component of effective queue management and guest satisfaction. Offering comfortable waiting areas and preservice drink options further enhances guest experience while demonstrating attention to customer comfort (</w:t>
      </w:r>
      <w:r w:rsidRPr="00B21C82">
        <w:rPr>
          <w:rFonts w:ascii="Arial" w:hAnsi="Arial" w:cs="Arial"/>
          <w:szCs w:val="24"/>
          <w:shd w:val="clear" w:color="auto" w:fill="FFFFFF"/>
        </w:rPr>
        <w:t>Hagg, 2013)</w:t>
      </w:r>
      <w:r w:rsidRPr="00B21C82">
        <w:rPr>
          <w:rFonts w:ascii="Arial" w:hAnsi="Arial" w:cs="Arial"/>
          <w:szCs w:val="24"/>
        </w:rPr>
        <w:t>.</w:t>
      </w:r>
    </w:p>
    <w:p w14:paraId="3A3622E7" w14:textId="77777777" w:rsidR="00B21C82" w:rsidRPr="00B21C82" w:rsidRDefault="00B21C82" w:rsidP="00B21C82">
      <w:pPr>
        <w:spacing w:line="360" w:lineRule="auto"/>
        <w:rPr>
          <w:rFonts w:ascii="Arial" w:hAnsi="Arial" w:cs="Arial"/>
          <w:szCs w:val="24"/>
        </w:rPr>
      </w:pPr>
      <w:r w:rsidRPr="00B21C82">
        <w:rPr>
          <w:rFonts w:ascii="Arial" w:hAnsi="Arial" w:cs="Arial"/>
          <w:szCs w:val="24"/>
        </w:rPr>
        <w:t>I think one of the most important things would be to actually train staff to handle small problems on their own. This way, they wouldn't need to ask a manager for help with every little thing. According to Ryan and Deci (2022) the self-determination theory shows that when staff can make their own decisions about small tasks, they are happier, more motivated, and work more effectively. There is considerable scope for improving table turnover efficiency, especially during high volume periods, and cultivating proactive guest engagement where staff anticipate needs rather than merely responding to requests (Xu et al., 2022).</w:t>
      </w:r>
    </w:p>
    <w:p w14:paraId="49E5C5EB" w14:textId="77777777" w:rsidR="00B21C82" w:rsidRPr="00B21C82" w:rsidRDefault="00B21C82" w:rsidP="00B21C82">
      <w:pPr>
        <w:pStyle w:val="Heading1"/>
        <w:spacing w:line="360" w:lineRule="auto"/>
        <w:rPr>
          <w:rFonts w:ascii="Arial" w:hAnsi="Arial" w:cs="Arial"/>
          <w:color w:val="auto"/>
          <w:sz w:val="24"/>
          <w:szCs w:val="24"/>
        </w:rPr>
      </w:pPr>
      <w:bookmarkStart w:id="8" w:name="_Toc209704364"/>
      <w:r w:rsidRPr="00B21C82">
        <w:rPr>
          <w:rFonts w:ascii="Arial" w:hAnsi="Arial" w:cs="Arial"/>
          <w:color w:val="auto"/>
          <w:sz w:val="24"/>
          <w:szCs w:val="24"/>
        </w:rPr>
        <w:t>Conclusion</w:t>
      </w:r>
      <w:bookmarkEnd w:id="8"/>
    </w:p>
    <w:p w14:paraId="0EE6A596" w14:textId="77777777" w:rsidR="00B21C82" w:rsidRPr="00B21C82" w:rsidRDefault="00B21C82" w:rsidP="00B21C82">
      <w:pPr>
        <w:spacing w:line="360" w:lineRule="auto"/>
        <w:rPr>
          <w:rFonts w:ascii="Arial" w:hAnsi="Arial" w:cs="Arial"/>
          <w:szCs w:val="24"/>
        </w:rPr>
      </w:pPr>
      <w:r w:rsidRPr="00B21C82">
        <w:rPr>
          <w:rFonts w:ascii="Arial" w:hAnsi="Arial" w:cs="Arial"/>
          <w:szCs w:val="24"/>
        </w:rPr>
        <w:t xml:space="preserve">It is concluded that my placement at Holiday Inn Guildford, while providing valuable hands-on operational experience, ultimately fell short of delivering the intended comprehensive exposure to F&amp;B management practices. The witnessed issues such as critical understaffing, lack of relationship between proclaimed and implemented leadership philosophies and scenarios of poor leadership in the case of high stress situations directly affected the welfare of the employees as well as service quality. Using the reflective model of Kolb enabled me to have a critical analysis of these experiences by not only describing them but progressing to observation, conceptualisation and experimentation, which demonstrated evident gaps in my managerial learning. The trend that has been maintained in both my Holiday Inn Guildford and Marriott Twickenham placements demonstrates that there is a larger concern on the hospitality education partnerships. </w:t>
      </w:r>
    </w:p>
    <w:p w14:paraId="416B1D78" w14:textId="77777777" w:rsidR="00B21C82" w:rsidRPr="00B21C82" w:rsidRDefault="00B21C82" w:rsidP="00B21C82">
      <w:pPr>
        <w:spacing w:line="360" w:lineRule="auto"/>
        <w:rPr>
          <w:rFonts w:ascii="Arial" w:hAnsi="Arial" w:cs="Arial"/>
          <w:szCs w:val="24"/>
        </w:rPr>
      </w:pPr>
    </w:p>
    <w:p w14:paraId="4556645A" w14:textId="77777777" w:rsidR="00B21C82" w:rsidRPr="00B21C82" w:rsidRDefault="00B21C82" w:rsidP="00B21C82">
      <w:pPr>
        <w:spacing w:line="360" w:lineRule="auto"/>
        <w:ind w:firstLine="0"/>
        <w:rPr>
          <w:rFonts w:ascii="Arial" w:hAnsi="Arial" w:cs="Arial"/>
          <w:szCs w:val="24"/>
        </w:rPr>
      </w:pPr>
    </w:p>
    <w:p w14:paraId="1E54AFC8" w14:textId="77777777" w:rsidR="00B21C82" w:rsidRPr="00B21C82" w:rsidRDefault="00B21C82" w:rsidP="00B21C82">
      <w:pPr>
        <w:spacing w:before="0" w:after="200" w:line="360" w:lineRule="auto"/>
        <w:ind w:firstLine="0"/>
        <w:jc w:val="left"/>
        <w:rPr>
          <w:rFonts w:ascii="Arial" w:eastAsiaTheme="majorEastAsia" w:hAnsi="Arial" w:cs="Arial"/>
          <w:b/>
          <w:szCs w:val="24"/>
        </w:rPr>
      </w:pPr>
      <w:bookmarkStart w:id="9" w:name="_Toc110252969"/>
      <w:r w:rsidRPr="00B21C82">
        <w:rPr>
          <w:rFonts w:ascii="Arial" w:hAnsi="Arial" w:cs="Arial"/>
          <w:i/>
          <w:szCs w:val="24"/>
        </w:rPr>
        <w:br w:type="page"/>
      </w:r>
    </w:p>
    <w:p w14:paraId="31E85264" w14:textId="77777777" w:rsidR="00B21C82" w:rsidRPr="00B21C82" w:rsidRDefault="00B21C82" w:rsidP="00B21C82">
      <w:pPr>
        <w:pStyle w:val="Heading1"/>
        <w:spacing w:line="360" w:lineRule="auto"/>
        <w:ind w:left="432" w:firstLine="0"/>
        <w:jc w:val="center"/>
        <w:rPr>
          <w:rFonts w:ascii="Arial" w:hAnsi="Arial" w:cs="Arial"/>
          <w:i/>
          <w:color w:val="auto"/>
          <w:sz w:val="24"/>
          <w:szCs w:val="24"/>
        </w:rPr>
      </w:pPr>
      <w:bookmarkStart w:id="10" w:name="_Toc209704365"/>
      <w:r w:rsidRPr="00B21C82">
        <w:rPr>
          <w:rFonts w:ascii="Arial" w:hAnsi="Arial" w:cs="Arial"/>
          <w:color w:val="auto"/>
          <w:sz w:val="24"/>
          <w:szCs w:val="24"/>
        </w:rPr>
        <w:lastRenderedPageBreak/>
        <w:t>References</w:t>
      </w:r>
      <w:bookmarkEnd w:id="9"/>
      <w:bookmarkEnd w:id="10"/>
    </w:p>
    <w:p w14:paraId="38AD8BCA"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Anon. (2010) ‘A good practice guide for placement and other work-based learning opportunities in higher education – good practice for placements guides – volume 2’, </w:t>
      </w:r>
      <w:r w:rsidRPr="00B21C82">
        <w:rPr>
          <w:rFonts w:ascii="Arial" w:hAnsi="Arial" w:cs="Arial"/>
          <w:i/>
          <w:iCs/>
          <w:szCs w:val="24"/>
          <w:shd w:val="clear" w:color="auto" w:fill="FFFFFF"/>
        </w:rPr>
        <w:t>Education + Training</w:t>
      </w:r>
      <w:r w:rsidRPr="00B21C82">
        <w:rPr>
          <w:rFonts w:ascii="Arial" w:hAnsi="Arial" w:cs="Arial"/>
          <w:szCs w:val="24"/>
          <w:shd w:val="clear" w:color="auto" w:fill="FFFFFF"/>
        </w:rPr>
        <w:t xml:space="preserve">, 52(4) </w:t>
      </w:r>
      <w:proofErr w:type="spellStart"/>
      <w:r w:rsidRPr="00B21C82">
        <w:rPr>
          <w:rFonts w:ascii="Arial" w:hAnsi="Arial" w:cs="Arial"/>
          <w:szCs w:val="24"/>
          <w:shd w:val="clear" w:color="auto" w:fill="FFFFFF"/>
        </w:rPr>
        <w:t>doi</w:t>
      </w:r>
      <w:proofErr w:type="spellEnd"/>
      <w:r w:rsidRPr="00B21C82">
        <w:rPr>
          <w:rFonts w:ascii="Arial" w:hAnsi="Arial" w:cs="Arial"/>
          <w:szCs w:val="24"/>
          <w:shd w:val="clear" w:color="auto" w:fill="FFFFFF"/>
        </w:rPr>
        <w:t xml:space="preserve">: 10.1108/et.2010.00452dab.013. </w:t>
      </w:r>
    </w:p>
    <w:p w14:paraId="74D88677"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Bolliger, L., Debra, G., Lukan, J., Peeters, R., Colman, E., Baele, E. and </w:t>
      </w:r>
      <w:proofErr w:type="spellStart"/>
      <w:r w:rsidRPr="00B21C82">
        <w:rPr>
          <w:rFonts w:ascii="Arial" w:hAnsi="Arial" w:cs="Arial"/>
          <w:szCs w:val="24"/>
          <w:shd w:val="clear" w:color="auto" w:fill="FFFFFF"/>
        </w:rPr>
        <w:t>Luštrek</w:t>
      </w:r>
      <w:proofErr w:type="spellEnd"/>
      <w:r w:rsidRPr="00B21C82">
        <w:rPr>
          <w:rFonts w:ascii="Arial" w:hAnsi="Arial" w:cs="Arial"/>
          <w:szCs w:val="24"/>
          <w:shd w:val="clear" w:color="auto" w:fill="FFFFFF"/>
        </w:rPr>
        <w:t xml:space="preserve">, M. (2023) “The association between day-to-day stress experiences and work–life interference among office workers in academia: an ecological momentary assessment study”, </w:t>
      </w:r>
      <w:r w:rsidRPr="00B21C82">
        <w:rPr>
          <w:rFonts w:ascii="Arial" w:hAnsi="Arial" w:cs="Arial"/>
          <w:i/>
          <w:iCs/>
          <w:szCs w:val="24"/>
          <w:shd w:val="clear" w:color="auto" w:fill="FFFFFF"/>
        </w:rPr>
        <w:t>International Archives of Occupational and Environmental Health</w:t>
      </w:r>
      <w:r w:rsidRPr="00B21C82">
        <w:rPr>
          <w:rFonts w:ascii="Arial" w:hAnsi="Arial" w:cs="Arial"/>
          <w:szCs w:val="24"/>
          <w:shd w:val="clear" w:color="auto" w:fill="FFFFFF"/>
        </w:rPr>
        <w:t xml:space="preserve">, 96, pp. 201–212. Available at: </w:t>
      </w:r>
      <w:hyperlink r:id="rId6" w:history="1">
        <w:r w:rsidRPr="00B21C82">
          <w:rPr>
            <w:rStyle w:val="Hyperlink"/>
            <w:rFonts w:ascii="Arial" w:hAnsi="Arial" w:cs="Arial"/>
            <w:szCs w:val="24"/>
            <w:shd w:val="clear" w:color="auto" w:fill="FFFFFF"/>
          </w:rPr>
          <w:t>https://link.springer.com/content/pdf/10.1007/s00420-022-01915-y.pdf</w:t>
        </w:r>
      </w:hyperlink>
      <w:r w:rsidRPr="00B21C82">
        <w:rPr>
          <w:rFonts w:ascii="Arial" w:hAnsi="Arial" w:cs="Arial"/>
          <w:szCs w:val="24"/>
          <w:shd w:val="clear" w:color="auto" w:fill="FFFFFF"/>
        </w:rPr>
        <w:t xml:space="preserve"> (Accessed: 25 September 2025)</w:t>
      </w:r>
    </w:p>
    <w:p w14:paraId="31AB8B60"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Brown, N. (2025) ‘Reflective model according to Kolb’, </w:t>
      </w:r>
      <w:r w:rsidRPr="00B21C82">
        <w:rPr>
          <w:rFonts w:ascii="Arial" w:hAnsi="Arial" w:cs="Arial"/>
          <w:i/>
          <w:iCs/>
          <w:szCs w:val="24"/>
          <w:shd w:val="clear" w:color="auto" w:fill="FFFFFF"/>
        </w:rPr>
        <w:t>Nicole-Brown.co.uk</w:t>
      </w:r>
      <w:r w:rsidRPr="00B21C82">
        <w:rPr>
          <w:rFonts w:ascii="Arial" w:hAnsi="Arial" w:cs="Arial"/>
          <w:szCs w:val="24"/>
          <w:shd w:val="clear" w:color="auto" w:fill="FFFFFF"/>
        </w:rPr>
        <w:t xml:space="preserve">. Available at: </w:t>
      </w:r>
      <w:hyperlink r:id="rId7" w:tgtFrame="_new" w:history="1">
        <w:r w:rsidRPr="00B21C82">
          <w:rPr>
            <w:rStyle w:val="Hyperlink"/>
            <w:rFonts w:ascii="Arial" w:hAnsi="Arial" w:cs="Arial"/>
            <w:szCs w:val="24"/>
            <w:shd w:val="clear" w:color="auto" w:fill="FFFFFF"/>
          </w:rPr>
          <w:t>https://www.nicole-brown.co.uk/reflective-model-according-to-kolb/</w:t>
        </w:r>
      </w:hyperlink>
      <w:r w:rsidRPr="00B21C82">
        <w:rPr>
          <w:rFonts w:ascii="Arial" w:hAnsi="Arial" w:cs="Arial"/>
          <w:szCs w:val="24"/>
          <w:shd w:val="clear" w:color="auto" w:fill="FFFFFF"/>
        </w:rPr>
        <w:t xml:space="preserve"> (Accessed: 25 September 2025)</w:t>
      </w:r>
    </w:p>
    <w:p w14:paraId="1D0EBD5D"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Gordon, S. P. (2022) ‘Integrating the Experiential Learning Cycle with Educational Supervision’, </w:t>
      </w:r>
      <w:r w:rsidRPr="00B21C82">
        <w:rPr>
          <w:rFonts w:ascii="Arial" w:hAnsi="Arial" w:cs="Arial"/>
          <w:i/>
          <w:iCs/>
          <w:szCs w:val="24"/>
          <w:shd w:val="clear" w:color="auto" w:fill="FFFFFF"/>
        </w:rPr>
        <w:t>Journal of Educational Supervision</w:t>
      </w:r>
      <w:r w:rsidRPr="00B21C82">
        <w:rPr>
          <w:rFonts w:ascii="Arial" w:hAnsi="Arial" w:cs="Arial"/>
          <w:szCs w:val="24"/>
          <w:shd w:val="clear" w:color="auto" w:fill="FFFFFF"/>
        </w:rPr>
        <w:t xml:space="preserve">, 5(3), pp. 1–34. Available at: </w:t>
      </w:r>
      <w:hyperlink r:id="rId8" w:tgtFrame="_new" w:history="1">
        <w:r w:rsidRPr="00B21C82">
          <w:rPr>
            <w:rStyle w:val="Hyperlink"/>
            <w:rFonts w:ascii="Arial" w:hAnsi="Arial" w:cs="Arial"/>
            <w:szCs w:val="24"/>
            <w:shd w:val="clear" w:color="auto" w:fill="FFFFFF"/>
          </w:rPr>
          <w:t>https://files.eric.ed.gov/fulltext/EJ1372278.pdf</w:t>
        </w:r>
      </w:hyperlink>
      <w:r w:rsidRPr="00B21C82">
        <w:rPr>
          <w:rFonts w:ascii="Arial" w:hAnsi="Arial" w:cs="Arial"/>
          <w:szCs w:val="24"/>
          <w:shd w:val="clear" w:color="auto" w:fill="FFFFFF"/>
        </w:rPr>
        <w:t xml:space="preserve"> (Accessed: 25 September 2025)</w:t>
      </w:r>
    </w:p>
    <w:p w14:paraId="59836A4E"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Hagg, E. (2013) </w:t>
      </w:r>
      <w:r w:rsidRPr="00B21C82">
        <w:rPr>
          <w:rFonts w:ascii="Arial" w:hAnsi="Arial" w:cs="Arial"/>
          <w:i/>
          <w:iCs/>
          <w:szCs w:val="24"/>
          <w:shd w:val="clear" w:color="auto" w:fill="FFFFFF"/>
        </w:rPr>
        <w:t>Internship guide: Work placements step by step</w:t>
      </w:r>
      <w:r w:rsidRPr="00B21C82">
        <w:rPr>
          <w:rFonts w:ascii="Arial" w:hAnsi="Arial" w:cs="Arial"/>
          <w:szCs w:val="24"/>
          <w:shd w:val="clear" w:color="auto" w:fill="FFFFFF"/>
        </w:rPr>
        <w:t>. 5th ed. The Hague: Eleven International Publishing.</w:t>
      </w:r>
    </w:p>
    <w:p w14:paraId="21922427"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Johnston, R., Clark, G. and </w:t>
      </w:r>
      <w:proofErr w:type="spellStart"/>
      <w:r w:rsidRPr="00B21C82">
        <w:rPr>
          <w:rFonts w:ascii="Arial" w:hAnsi="Arial" w:cs="Arial"/>
          <w:szCs w:val="24"/>
          <w:shd w:val="clear" w:color="auto" w:fill="FFFFFF"/>
        </w:rPr>
        <w:t>Shulver</w:t>
      </w:r>
      <w:proofErr w:type="spellEnd"/>
      <w:r w:rsidRPr="00B21C82">
        <w:rPr>
          <w:rFonts w:ascii="Arial" w:hAnsi="Arial" w:cs="Arial"/>
          <w:szCs w:val="24"/>
          <w:shd w:val="clear" w:color="auto" w:fill="FFFFFF"/>
        </w:rPr>
        <w:t xml:space="preserve">, M. (2012) </w:t>
      </w:r>
      <w:r w:rsidRPr="00B21C82">
        <w:rPr>
          <w:rFonts w:ascii="Arial" w:hAnsi="Arial" w:cs="Arial"/>
          <w:i/>
          <w:iCs/>
          <w:szCs w:val="24"/>
          <w:shd w:val="clear" w:color="auto" w:fill="FFFFFF"/>
        </w:rPr>
        <w:t>Service operations management: Improving service delivery</w:t>
      </w:r>
      <w:r w:rsidRPr="00B21C82">
        <w:rPr>
          <w:rFonts w:ascii="Arial" w:hAnsi="Arial" w:cs="Arial"/>
          <w:szCs w:val="24"/>
          <w:shd w:val="clear" w:color="auto" w:fill="FFFFFF"/>
        </w:rPr>
        <w:t>. 5th ed. London: Pearson.</w:t>
      </w:r>
    </w:p>
    <w:p w14:paraId="7E81C2A2"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Kim, Y.-J. and Kim, H.-S. (2022) </w:t>
      </w:r>
      <w:r w:rsidRPr="00B21C82">
        <w:rPr>
          <w:rFonts w:ascii="Arial" w:hAnsi="Arial" w:cs="Arial"/>
          <w:i/>
          <w:iCs/>
          <w:szCs w:val="24"/>
          <w:shd w:val="clear" w:color="auto" w:fill="FFFFFF"/>
        </w:rPr>
        <w:t>The Impact of Hotel Customer Experience on Customer Satisfaction through Online Reviews</w:t>
      </w:r>
      <w:r w:rsidRPr="00B21C82">
        <w:rPr>
          <w:rFonts w:ascii="Arial" w:hAnsi="Arial" w:cs="Arial"/>
          <w:szCs w:val="24"/>
          <w:shd w:val="clear" w:color="auto" w:fill="FFFFFF"/>
        </w:rPr>
        <w:t xml:space="preserve">. </w:t>
      </w:r>
      <w:r w:rsidRPr="00B21C82">
        <w:rPr>
          <w:rFonts w:ascii="Arial" w:hAnsi="Arial" w:cs="Arial"/>
          <w:i/>
          <w:iCs/>
          <w:szCs w:val="24"/>
          <w:shd w:val="clear" w:color="auto" w:fill="FFFFFF"/>
        </w:rPr>
        <w:t>Sustainability</w:t>
      </w:r>
      <w:r w:rsidRPr="00B21C82">
        <w:rPr>
          <w:rFonts w:ascii="Arial" w:hAnsi="Arial" w:cs="Arial"/>
          <w:szCs w:val="24"/>
          <w:shd w:val="clear" w:color="auto" w:fill="FFFFFF"/>
        </w:rPr>
        <w:t xml:space="preserve">, 14(2), 848. Available at: </w:t>
      </w:r>
      <w:hyperlink r:id="rId9" w:history="1">
        <w:r w:rsidRPr="00B21C82">
          <w:rPr>
            <w:rStyle w:val="Hyperlink"/>
            <w:rFonts w:ascii="Arial" w:hAnsi="Arial" w:cs="Arial"/>
            <w:szCs w:val="24"/>
            <w:shd w:val="clear" w:color="auto" w:fill="FFFFFF"/>
          </w:rPr>
          <w:t>https://www.mdpi.com/2071-1050/14/2/848/pdf</w:t>
        </w:r>
      </w:hyperlink>
      <w:r w:rsidRPr="00B21C82">
        <w:rPr>
          <w:rFonts w:ascii="Arial" w:hAnsi="Arial" w:cs="Arial"/>
          <w:szCs w:val="24"/>
          <w:shd w:val="clear" w:color="auto" w:fill="FFFFFF"/>
        </w:rPr>
        <w:t xml:space="preserve"> (Accessed: 25 September 2025)</w:t>
      </w:r>
    </w:p>
    <w:p w14:paraId="5314B238"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Liu, F., Zhang, N., Wang, P., and Li, J. (2022) “Factors Influencing Students’ Career Intentions in the Hospitality and Tourism Industry: A Meta-Analysis,” </w:t>
      </w:r>
      <w:r w:rsidRPr="00B21C82">
        <w:rPr>
          <w:rFonts w:ascii="Arial" w:hAnsi="Arial" w:cs="Arial"/>
          <w:i/>
          <w:iCs/>
          <w:szCs w:val="24"/>
          <w:shd w:val="clear" w:color="auto" w:fill="FFFFFF"/>
        </w:rPr>
        <w:t>Frontiers in Psychology</w:t>
      </w:r>
      <w:r w:rsidRPr="00B21C82">
        <w:rPr>
          <w:rFonts w:ascii="Arial" w:hAnsi="Arial" w:cs="Arial"/>
          <w:szCs w:val="24"/>
          <w:shd w:val="clear" w:color="auto" w:fill="FFFFFF"/>
        </w:rPr>
        <w:t xml:space="preserve">, 13:814995. Available at: </w:t>
      </w:r>
      <w:hyperlink r:id="rId10" w:history="1">
        <w:r w:rsidRPr="00B21C82">
          <w:rPr>
            <w:rStyle w:val="Hyperlink"/>
            <w:rFonts w:ascii="Arial" w:hAnsi="Arial" w:cs="Arial"/>
            <w:szCs w:val="24"/>
            <w:shd w:val="clear" w:color="auto" w:fill="FFFFFF"/>
          </w:rPr>
          <w:t>https://www.frontiersin.org/articles/10.3389/fpsyg.2022.814995/full</w:t>
        </w:r>
      </w:hyperlink>
      <w:r w:rsidRPr="00B21C82">
        <w:rPr>
          <w:rFonts w:ascii="Arial" w:hAnsi="Arial" w:cs="Arial"/>
          <w:szCs w:val="24"/>
          <w:shd w:val="clear" w:color="auto" w:fill="FFFFFF"/>
        </w:rPr>
        <w:t xml:space="preserve"> (Accessed: 25 September 2025)</w:t>
      </w:r>
    </w:p>
    <w:p w14:paraId="5C05E170"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lastRenderedPageBreak/>
        <w:t xml:space="preserve">Ryan, R. M. and Deci, E. L. (2022) ‘Self-Determination Theory’, in F. </w:t>
      </w:r>
      <w:proofErr w:type="spellStart"/>
      <w:r w:rsidRPr="00B21C82">
        <w:rPr>
          <w:rFonts w:ascii="Arial" w:hAnsi="Arial" w:cs="Arial"/>
          <w:szCs w:val="24"/>
          <w:shd w:val="clear" w:color="auto" w:fill="FFFFFF"/>
        </w:rPr>
        <w:t>Maggino</w:t>
      </w:r>
      <w:proofErr w:type="spellEnd"/>
      <w:r w:rsidRPr="00B21C82">
        <w:rPr>
          <w:rFonts w:ascii="Arial" w:hAnsi="Arial" w:cs="Arial"/>
          <w:szCs w:val="24"/>
          <w:shd w:val="clear" w:color="auto" w:fill="FFFFFF"/>
        </w:rPr>
        <w:t xml:space="preserve"> (ed.) </w:t>
      </w:r>
      <w:proofErr w:type="spellStart"/>
      <w:r w:rsidRPr="00B21C82">
        <w:rPr>
          <w:rFonts w:ascii="Arial" w:hAnsi="Arial" w:cs="Arial"/>
          <w:i/>
          <w:iCs/>
          <w:szCs w:val="24"/>
          <w:shd w:val="clear" w:color="auto" w:fill="FFFFFF"/>
        </w:rPr>
        <w:t>Encyclopedia</w:t>
      </w:r>
      <w:proofErr w:type="spellEnd"/>
      <w:r w:rsidRPr="00B21C82">
        <w:rPr>
          <w:rFonts w:ascii="Arial" w:hAnsi="Arial" w:cs="Arial"/>
          <w:i/>
          <w:iCs/>
          <w:szCs w:val="24"/>
          <w:shd w:val="clear" w:color="auto" w:fill="FFFFFF"/>
        </w:rPr>
        <w:t xml:space="preserve"> of Quality of Life and Well-Being Research</w:t>
      </w:r>
      <w:r w:rsidRPr="00B21C82">
        <w:rPr>
          <w:rFonts w:ascii="Arial" w:hAnsi="Arial" w:cs="Arial"/>
          <w:szCs w:val="24"/>
          <w:shd w:val="clear" w:color="auto" w:fill="FFFFFF"/>
        </w:rPr>
        <w:t xml:space="preserve">. Cham: Springer. Available at: </w:t>
      </w:r>
      <w:hyperlink r:id="rId11" w:history="1">
        <w:r w:rsidRPr="00B21C82">
          <w:rPr>
            <w:rStyle w:val="Hyperlink"/>
            <w:rFonts w:ascii="Arial" w:hAnsi="Arial" w:cs="Arial"/>
            <w:szCs w:val="24"/>
            <w:shd w:val="clear" w:color="auto" w:fill="FFFFFF"/>
          </w:rPr>
          <w:t>https://selfdeterminationtheory.org/wp-content/uploads/2023/01/2022_RyanDeci_SDT_Encyclopedia.pdf</w:t>
        </w:r>
      </w:hyperlink>
      <w:r w:rsidRPr="00B21C82">
        <w:rPr>
          <w:rFonts w:ascii="Arial" w:hAnsi="Arial" w:cs="Arial"/>
          <w:szCs w:val="24"/>
          <w:shd w:val="clear" w:color="auto" w:fill="FFFFFF"/>
        </w:rPr>
        <w:t xml:space="preserve"> (Accessed: 25 September 2025)</w:t>
      </w:r>
    </w:p>
    <w:p w14:paraId="68A67062" w14:textId="77777777" w:rsidR="00B21C82" w:rsidRPr="00B21C82" w:rsidRDefault="00B21C82" w:rsidP="00B21C82">
      <w:pPr>
        <w:spacing w:line="360" w:lineRule="auto"/>
        <w:ind w:left="720" w:hanging="720"/>
        <w:rPr>
          <w:rFonts w:ascii="Arial" w:hAnsi="Arial" w:cs="Arial"/>
          <w:szCs w:val="24"/>
          <w:shd w:val="clear" w:color="auto" w:fill="FFFFFF"/>
        </w:rPr>
      </w:pPr>
      <w:proofErr w:type="spellStart"/>
      <w:r w:rsidRPr="00B21C82">
        <w:rPr>
          <w:rFonts w:ascii="Arial" w:hAnsi="Arial" w:cs="Arial"/>
          <w:szCs w:val="24"/>
          <w:shd w:val="clear" w:color="auto" w:fill="FFFFFF"/>
        </w:rPr>
        <w:t>Üngüren</w:t>
      </w:r>
      <w:proofErr w:type="spellEnd"/>
      <w:r w:rsidRPr="00B21C82">
        <w:rPr>
          <w:rFonts w:ascii="Arial" w:hAnsi="Arial" w:cs="Arial"/>
          <w:szCs w:val="24"/>
          <w:shd w:val="clear" w:color="auto" w:fill="FFFFFF"/>
        </w:rPr>
        <w:t xml:space="preserve">, E. (2024) ‘The Effects of Job Stress on Burnout and Turnover Intention’, </w:t>
      </w:r>
      <w:r w:rsidRPr="00B21C82">
        <w:rPr>
          <w:rFonts w:ascii="Arial" w:hAnsi="Arial" w:cs="Arial"/>
          <w:i/>
          <w:iCs/>
          <w:szCs w:val="24"/>
          <w:shd w:val="clear" w:color="auto" w:fill="FFFFFF"/>
        </w:rPr>
        <w:t>International Journal of Environmental Research and Public Health</w:t>
      </w:r>
      <w:r w:rsidRPr="00B21C82">
        <w:rPr>
          <w:rFonts w:ascii="Arial" w:hAnsi="Arial" w:cs="Arial"/>
          <w:szCs w:val="24"/>
          <w:shd w:val="clear" w:color="auto" w:fill="FFFFFF"/>
        </w:rPr>
        <w:t xml:space="preserve">, 21(7) Available at: </w:t>
      </w:r>
      <w:hyperlink r:id="rId12" w:history="1">
        <w:r w:rsidRPr="00B21C82">
          <w:rPr>
            <w:rStyle w:val="Hyperlink"/>
            <w:rFonts w:ascii="Arial" w:hAnsi="Arial" w:cs="Arial"/>
            <w:szCs w:val="24"/>
            <w:shd w:val="clear" w:color="auto" w:fill="FFFFFF"/>
          </w:rPr>
          <w:t>https://www.ncbi.nlm.nih.gov/pmc/articles/PMC11047568/pdf/ijerph-21-12345.pdf</w:t>
        </w:r>
      </w:hyperlink>
      <w:r w:rsidRPr="00B21C82">
        <w:rPr>
          <w:rFonts w:ascii="Arial" w:hAnsi="Arial" w:cs="Arial"/>
          <w:szCs w:val="24"/>
          <w:shd w:val="clear" w:color="auto" w:fill="FFFFFF"/>
        </w:rPr>
        <w:t xml:space="preserve"> (Accessed: 25 September 2025)</w:t>
      </w:r>
    </w:p>
    <w:p w14:paraId="5432529E" w14:textId="77777777" w:rsidR="00B21C82" w:rsidRPr="00B21C82" w:rsidRDefault="00B21C82" w:rsidP="00B21C82">
      <w:pPr>
        <w:spacing w:line="360" w:lineRule="auto"/>
        <w:ind w:left="720" w:hanging="720"/>
        <w:rPr>
          <w:rFonts w:ascii="Arial" w:hAnsi="Arial" w:cs="Arial"/>
          <w:szCs w:val="24"/>
          <w:shd w:val="clear" w:color="auto" w:fill="FFFFFF"/>
        </w:rPr>
      </w:pPr>
      <w:r w:rsidRPr="00B21C82">
        <w:rPr>
          <w:rFonts w:ascii="Arial" w:hAnsi="Arial" w:cs="Arial"/>
          <w:szCs w:val="24"/>
          <w:shd w:val="clear" w:color="auto" w:fill="FFFFFF"/>
        </w:rPr>
        <w:t xml:space="preserve">Xu, Y., Jing, L. and Cai, L. A. (2022) ‘Reducing employee turnover intentions in tourism and hospitality: The role of enterprise social responsibility and work engagement’, </w:t>
      </w:r>
      <w:r w:rsidRPr="00B21C82">
        <w:rPr>
          <w:rFonts w:ascii="Arial" w:hAnsi="Arial" w:cs="Arial"/>
          <w:i/>
          <w:iCs/>
          <w:szCs w:val="24"/>
          <w:shd w:val="clear" w:color="auto" w:fill="FFFFFF"/>
        </w:rPr>
        <w:t>Sustainability</w:t>
      </w:r>
      <w:r w:rsidRPr="00B21C82">
        <w:rPr>
          <w:rFonts w:ascii="Arial" w:hAnsi="Arial" w:cs="Arial"/>
          <w:szCs w:val="24"/>
          <w:shd w:val="clear" w:color="auto" w:fill="FFFFFF"/>
        </w:rPr>
        <w:t xml:space="preserve">, 14(20), p.13158. Available at: </w:t>
      </w:r>
      <w:hyperlink r:id="rId13" w:history="1">
        <w:r w:rsidRPr="00B21C82">
          <w:rPr>
            <w:rStyle w:val="Hyperlink"/>
            <w:rFonts w:ascii="Arial" w:hAnsi="Arial" w:cs="Arial"/>
            <w:szCs w:val="24"/>
            <w:shd w:val="clear" w:color="auto" w:fill="FFFFFF"/>
          </w:rPr>
          <w:t>https://www.mdpi.com/2071-1050/14/20/13158/pdf</w:t>
        </w:r>
      </w:hyperlink>
      <w:r w:rsidRPr="00B21C82">
        <w:rPr>
          <w:rFonts w:ascii="Arial" w:hAnsi="Arial" w:cs="Arial"/>
          <w:szCs w:val="24"/>
          <w:shd w:val="clear" w:color="auto" w:fill="FFFFFF"/>
        </w:rPr>
        <w:t xml:space="preserve"> (Accessed: 25 September 2025)</w:t>
      </w:r>
    </w:p>
    <w:p w14:paraId="62EDC0B7" w14:textId="77777777" w:rsidR="001366A6" w:rsidRDefault="001366A6"/>
    <w:sectPr w:rsidR="00136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C82"/>
    <w:rsid w:val="00103F1F"/>
    <w:rsid w:val="001366A6"/>
    <w:rsid w:val="00B21C82"/>
    <w:rsid w:val="00CD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BEAA6E"/>
  <w15:chartTrackingRefBased/>
  <w15:docId w15:val="{C1AD82B9-D9A2-41EF-BFF9-EA98AD311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C82"/>
    <w:pPr>
      <w:spacing w:before="160" w:line="480" w:lineRule="auto"/>
      <w:ind w:firstLine="680"/>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21C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1C82"/>
    <w:pPr>
      <w:keepNext/>
      <w:keepLines/>
      <w:spacing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1C82"/>
    <w:pPr>
      <w:keepNext/>
      <w:keepLines/>
      <w:spacing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C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C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C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C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C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C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C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C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C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C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C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C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C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C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C82"/>
    <w:rPr>
      <w:rFonts w:eastAsiaTheme="majorEastAsia" w:cstheme="majorBidi"/>
      <w:color w:val="272727" w:themeColor="text1" w:themeTint="D8"/>
    </w:rPr>
  </w:style>
  <w:style w:type="paragraph" w:styleId="Title">
    <w:name w:val="Title"/>
    <w:basedOn w:val="Normal"/>
    <w:next w:val="Normal"/>
    <w:link w:val="TitleChar"/>
    <w:uiPriority w:val="10"/>
    <w:qFormat/>
    <w:rsid w:val="00B21C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C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C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C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C82"/>
    <w:pPr>
      <w:jc w:val="center"/>
    </w:pPr>
    <w:rPr>
      <w:i/>
      <w:iCs/>
      <w:color w:val="404040" w:themeColor="text1" w:themeTint="BF"/>
    </w:rPr>
  </w:style>
  <w:style w:type="character" w:customStyle="1" w:styleId="QuoteChar">
    <w:name w:val="Quote Char"/>
    <w:basedOn w:val="DefaultParagraphFont"/>
    <w:link w:val="Quote"/>
    <w:uiPriority w:val="29"/>
    <w:rsid w:val="00B21C82"/>
    <w:rPr>
      <w:i/>
      <w:iCs/>
      <w:color w:val="404040" w:themeColor="text1" w:themeTint="BF"/>
    </w:rPr>
  </w:style>
  <w:style w:type="paragraph" w:styleId="ListParagraph">
    <w:name w:val="List Paragraph"/>
    <w:basedOn w:val="Normal"/>
    <w:uiPriority w:val="34"/>
    <w:qFormat/>
    <w:rsid w:val="00B21C82"/>
    <w:pPr>
      <w:ind w:left="720"/>
      <w:contextualSpacing/>
    </w:pPr>
  </w:style>
  <w:style w:type="character" w:styleId="IntenseEmphasis">
    <w:name w:val="Intense Emphasis"/>
    <w:basedOn w:val="DefaultParagraphFont"/>
    <w:uiPriority w:val="21"/>
    <w:qFormat/>
    <w:rsid w:val="00B21C82"/>
    <w:rPr>
      <w:i/>
      <w:iCs/>
      <w:color w:val="0F4761" w:themeColor="accent1" w:themeShade="BF"/>
    </w:rPr>
  </w:style>
  <w:style w:type="paragraph" w:styleId="IntenseQuote">
    <w:name w:val="Intense Quote"/>
    <w:basedOn w:val="Normal"/>
    <w:next w:val="Normal"/>
    <w:link w:val="IntenseQuoteChar"/>
    <w:uiPriority w:val="30"/>
    <w:qFormat/>
    <w:rsid w:val="00B21C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C82"/>
    <w:rPr>
      <w:i/>
      <w:iCs/>
      <w:color w:val="0F4761" w:themeColor="accent1" w:themeShade="BF"/>
    </w:rPr>
  </w:style>
  <w:style w:type="character" w:styleId="IntenseReference">
    <w:name w:val="Intense Reference"/>
    <w:basedOn w:val="DefaultParagraphFont"/>
    <w:uiPriority w:val="32"/>
    <w:qFormat/>
    <w:rsid w:val="00B21C82"/>
    <w:rPr>
      <w:b/>
      <w:bCs/>
      <w:smallCaps/>
      <w:color w:val="0F4761" w:themeColor="accent1" w:themeShade="BF"/>
      <w:spacing w:val="5"/>
    </w:rPr>
  </w:style>
  <w:style w:type="character" w:styleId="Hyperlink">
    <w:name w:val="Hyperlink"/>
    <w:basedOn w:val="DefaultParagraphFont"/>
    <w:uiPriority w:val="99"/>
    <w:unhideWhenUsed/>
    <w:rsid w:val="00B21C82"/>
    <w:rPr>
      <w:color w:val="0000FF"/>
      <w:u w:val="single"/>
    </w:rPr>
  </w:style>
  <w:style w:type="paragraph" w:styleId="TOC1">
    <w:name w:val="toc 1"/>
    <w:basedOn w:val="Normal"/>
    <w:next w:val="Normal"/>
    <w:autoRedefine/>
    <w:uiPriority w:val="39"/>
    <w:unhideWhenUsed/>
    <w:rsid w:val="00B21C82"/>
    <w:pPr>
      <w:spacing w:after="100"/>
    </w:pPr>
  </w:style>
  <w:style w:type="paragraph" w:styleId="TOCHeading">
    <w:name w:val="TOC Heading"/>
    <w:basedOn w:val="Heading1"/>
    <w:next w:val="Normal"/>
    <w:uiPriority w:val="39"/>
    <w:unhideWhenUsed/>
    <w:qFormat/>
    <w:rsid w:val="00B21C82"/>
    <w:pPr>
      <w:spacing w:before="240" w:after="0"/>
      <w:outlineLvl w:val="9"/>
    </w:pPr>
    <w:rPr>
      <w:sz w:val="32"/>
      <w:szCs w:val="32"/>
      <w:lang w:val="en-US"/>
    </w:rPr>
  </w:style>
  <w:style w:type="paragraph" w:styleId="Caption">
    <w:name w:val="caption"/>
    <w:basedOn w:val="Normal"/>
    <w:next w:val="Normal"/>
    <w:uiPriority w:val="35"/>
    <w:unhideWhenUsed/>
    <w:qFormat/>
    <w:rsid w:val="00B21C82"/>
    <w:pPr>
      <w:spacing w:before="0"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372278.pdf?utm_source=chatgpt.com" TargetMode="External"/><Relationship Id="rId13" Type="http://schemas.openxmlformats.org/officeDocument/2006/relationships/hyperlink" Target="https://www.mdpi.com/2071-1050/14/20/13158/pdf" TargetMode="External"/><Relationship Id="rId3" Type="http://schemas.openxmlformats.org/officeDocument/2006/relationships/settings" Target="settings.xml"/><Relationship Id="rId7" Type="http://schemas.openxmlformats.org/officeDocument/2006/relationships/hyperlink" Target="https://www.nicole-brown.co.uk/reflective-model-according-to-kolb/?utm_source=chatgpt.com" TargetMode="External"/><Relationship Id="rId12" Type="http://schemas.openxmlformats.org/officeDocument/2006/relationships/hyperlink" Target="https://www.ncbi.nlm.nih.gov/pmc/articles/PMC11047568/pdf/ijerph-21-1234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content/pdf/10.1007/s00420-022-01915-y.pdf" TargetMode="External"/><Relationship Id="rId11" Type="http://schemas.openxmlformats.org/officeDocument/2006/relationships/hyperlink" Target="https://selfdeterminationtheory.org/wp-content/uploads/2023/01/2022_RyanDeci_SDT_Encyclopedia.pdf"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frontiersin.org/articles/10.3389/fpsyg.2022.814995/full" TargetMode="External"/><Relationship Id="rId4" Type="http://schemas.openxmlformats.org/officeDocument/2006/relationships/webSettings" Target="webSettings.xml"/><Relationship Id="rId9" Type="http://schemas.openxmlformats.org/officeDocument/2006/relationships/hyperlink" Target="https://www.mdpi.com/2071-1050/14/2/84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1645</Words>
  <Characters>11036</Characters>
  <Application>Microsoft Office Word</Application>
  <DocSecurity>0</DocSecurity>
  <Lines>204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dc:creator>
  <cp:keywords/>
  <dc:description/>
  <cp:lastModifiedBy>Ana Maria</cp:lastModifiedBy>
  <cp:revision>1</cp:revision>
  <dcterms:created xsi:type="dcterms:W3CDTF">2025-11-07T18:06:00Z</dcterms:created>
  <dcterms:modified xsi:type="dcterms:W3CDTF">2025-11-07T18:23:00Z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58b8a9f8-1b8a-4fb1-b94d-48c6e32b44ee</vt:lpwstr>
  </property>
</Properties>
</file>