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before="120" w:after="120"/>
        <w:rPr>
          <w:b/>
          <w:bCs/>
          <w:sz w:val="40"/>
          <w:szCs w:val="40"/>
        </w:rPr>
      </w:pPr>
    </w:p>
    <w:p>
      <w:pPr>
        <w:spacing w:before="120" w:after="120"/>
        <w:jc w:val="center"/>
        <w:rPr>
          <w:b/>
          <w:bCs/>
          <w:sz w:val="40"/>
          <w:szCs w:val="40"/>
        </w:rPr>
      </w:pPr>
      <w:r>
        <w:rPr>
          <w:b/>
          <w:bCs/>
          <w:sz w:val="40"/>
          <w:szCs w:val="40"/>
        </w:rPr>
        <w:t>Master of Business Administration</w:t>
      </w:r>
    </w:p>
    <w:p>
      <w:pPr>
        <w:spacing w:before="120" w:after="120"/>
        <w:jc w:val="center"/>
        <w:rPr>
          <w:b/>
          <w:bCs/>
          <w:sz w:val="40"/>
          <w:szCs w:val="40"/>
        </w:rPr>
      </w:pPr>
      <w:r>
        <w:rPr>
          <w:b/>
          <w:bCs/>
          <w:sz w:val="40"/>
          <w:szCs w:val="40"/>
        </w:rPr>
        <w:t>Marketing Management</w:t>
      </w:r>
    </w:p>
    <w:p>
      <w:pPr>
        <w:spacing w:before="120" w:after="120"/>
        <w:jc w:val="center"/>
        <w:rPr>
          <w:b/>
          <w:bCs/>
          <w:sz w:val="40"/>
          <w:szCs w:val="40"/>
        </w:rPr>
      </w:pPr>
      <w:r>
        <w:rPr>
          <w:b/>
          <w:bCs/>
          <w:sz w:val="40"/>
          <w:szCs w:val="40"/>
        </w:rPr>
        <w:t>LCMB7024</w:t>
      </w:r>
    </w:p>
    <w:p>
      <w:pPr>
        <w:spacing w:before="120" w:after="120"/>
        <w:jc w:val="left"/>
      </w:pPr>
    </w:p>
    <w:p>
      <w:pPr>
        <w:spacing w:before="120" w:after="120"/>
        <w:jc w:val="left"/>
      </w:pPr>
    </w:p>
    <w:p>
      <w:pPr>
        <w:spacing w:before="120" w:after="120"/>
        <w:jc w:val="left"/>
      </w:pPr>
    </w:p>
    <w:p>
      <w:pPr>
        <w:spacing w:before="120" w:after="120"/>
        <w:jc w:val="left"/>
        <w:rPr>
          <w:b/>
          <w:bCs/>
          <w:i/>
          <w:iCs/>
          <w:highlight w:val="yellow"/>
        </w:rPr>
      </w:pPr>
      <w:r>
        <w:rPr>
          <w:b/>
          <w:bCs/>
          <w:i/>
          <w:iCs/>
          <w:highlight w:val="yellow"/>
        </w:rPr>
        <w:t>Lecturer Name: LAILA MAAZOUZ</w:t>
      </w:r>
    </w:p>
    <w:p>
      <w:pPr>
        <w:spacing w:before="120" w:after="120"/>
        <w:jc w:val="left"/>
        <w:rPr>
          <w:b/>
          <w:bCs/>
          <w:i/>
          <w:iCs/>
          <w:highlight w:val="yellow"/>
        </w:rPr>
      </w:pPr>
      <w:r>
        <w:rPr>
          <w:b/>
          <w:bCs/>
          <w:i/>
          <w:iCs/>
          <w:highlight w:val="yellow"/>
        </w:rPr>
        <w:t>Name :  Khunt Harshad Bharatbhai</w:t>
      </w:r>
    </w:p>
    <w:p>
      <w:pPr>
        <w:spacing w:before="120" w:after="120"/>
        <w:jc w:val="left"/>
        <w:rPr>
          <w:b/>
          <w:bCs/>
          <w:i/>
          <w:iCs/>
          <w:highlight w:val="yellow"/>
        </w:rPr>
      </w:pPr>
      <w:r>
        <w:rPr>
          <w:b/>
          <w:bCs/>
          <w:i/>
          <w:iCs/>
          <w:highlight w:val="yellow"/>
        </w:rPr>
        <w:t>Student ID: 2406523</w:t>
      </w:r>
    </w:p>
    <w:p>
      <w:pPr>
        <w:spacing w:before="120" w:after="120"/>
        <w:jc w:val="left"/>
        <w:rPr>
          <w:b/>
          <w:bCs/>
          <w:i/>
          <w:iCs/>
          <w:highlight w:val="yellow"/>
        </w:rPr>
      </w:pPr>
      <w:r>
        <w:rPr>
          <w:b/>
          <w:bCs/>
          <w:i/>
          <w:iCs/>
          <w:highlight w:val="yellow"/>
        </w:rPr>
        <w:t>Word Count: 2500</w:t>
      </w:r>
    </w:p>
    <w:p>
      <w:pPr>
        <w:spacing w:before="120" w:after="120"/>
        <w:jc w:val="left"/>
        <w:rPr>
          <w:b/>
          <w:bCs/>
          <w:i/>
          <w:iCs/>
        </w:rPr>
      </w:pPr>
      <w:r>
        <w:rPr>
          <w:b/>
          <w:bCs/>
          <w:i/>
          <w:iCs/>
          <w:highlight w:val="yellow"/>
        </w:rPr>
        <w:t>Submission Da</w:t>
      </w:r>
      <w:r>
        <w:rPr>
          <w:b/>
          <w:bCs/>
          <w:i/>
          <w:iCs/>
        </w:rPr>
        <w:t>te: 28/03/25</w:t>
      </w:r>
      <w:bookmarkStart w:id="0" w:name="_GoBack"/>
      <w:bookmarkEnd w:id="0"/>
    </w:p>
    <w:p>
      <w:pPr>
        <w:spacing w:before="120" w:after="120"/>
        <w:jc w:val="left"/>
      </w:pPr>
    </w:p>
    <w:p>
      <w:pPr>
        <w:pStyle w:val="22"/>
        <w:spacing w:before="120" w:after="120" w:line="360" w:lineRule="auto"/>
        <w:rPr>
          <w:rFonts w:ascii="Arial" w:cs="Arial" w:hAnsi="Arial"/>
          <w:b/>
          <w:bCs/>
          <w:i/>
          <w:iCs/>
          <w:color w:val="auto"/>
          <w:sz w:val="24"/>
          <w:szCs w:val="24"/>
        </w:rPr>
      </w:pPr>
      <w:r>
        <w:rPr>
          <w:rFonts w:ascii="Arial" w:cs="Arial" w:hAnsi="Arial"/>
          <w:b/>
          <w:bCs/>
          <w:i/>
          <w:iCs/>
          <w:color w:val="auto"/>
          <w:sz w:val="24"/>
          <w:szCs w:val="24"/>
        </w:rPr>
        <w:t>Table of Contents</w:t>
      </w:r>
    </w:p>
    <w:p>
      <w:pPr>
        <w:pStyle w:val="23"/>
        <w:tabs>
          <w:tab w:val="right" w:leader="dot" w:pos="9016"/>
        </w:tabs>
        <w:rPr>
          <w:rFonts w:ascii="Droid Sans" w:eastAsia="等线" w:hAnsi="Droid Sans"/>
          <w:szCs w:val="24"/>
          <w:lang w:val="en-IN" w:eastAsia="en-IN"/>
        </w:rPr>
      </w:pPr>
      <w:r>
        <w:fldChar w:fldCharType="begin"/>
      </w:r>
      <w:r>
        <w:instrText xml:space="preserve"> TOC \o "1-3" \h \z \u </w:instrText>
      </w:r>
      <w:r>
        <w:fldChar w:fldCharType="separate"/>
      </w:r>
      <w:r>
        <w:fldChar w:fldCharType="begin"/>
      </w:r>
      <w:r>
        <w:instrText>Hyperlink \l "_Toc193457500"</w:instrText>
      </w:r>
      <w:r>
        <w:fldChar w:fldCharType="separate"/>
      </w:r>
      <w:r>
        <w:t>Introduction</w:t>
        <w:tab/>
      </w:r>
      <w:r>
        <w:fldChar w:fldCharType="begin"/>
      </w:r>
      <w:r>
        <w:instrText xml:space="preserve"> PAGEREF _Toc193457500 \h </w:instrText>
      </w:r>
      <w:r>
        <w:fldChar w:fldCharType="separate"/>
      </w:r>
      <w:r>
        <w:t>3</w:t>
      </w:r>
      <w:r>
        <w:fldChar w:fldCharType="end"/>
      </w:r>
      <w:r>
        <w:fldChar w:fldCharType="end"/>
      </w:r>
    </w:p>
    <w:p>
      <w:pPr>
        <w:pStyle w:val="23"/>
        <w:tabs>
          <w:tab w:val="right" w:leader="dot" w:pos="9016"/>
        </w:tabs>
        <w:rPr>
          <w:rFonts w:ascii="Droid Sans" w:eastAsia="等线" w:hAnsi="Droid Sans"/>
          <w:szCs w:val="24"/>
          <w:lang w:val="en-IN" w:eastAsia="en-IN"/>
        </w:rPr>
      </w:pPr>
      <w:r>
        <w:fldChar w:fldCharType="begin"/>
      </w:r>
      <w:r>
        <w:instrText>Hyperlink \l "_Toc193457501"</w:instrText>
      </w:r>
      <w:r>
        <w:fldChar w:fldCharType="separate"/>
      </w:r>
      <w:r>
        <w:t>Main Body</w:t>
        <w:tab/>
      </w:r>
      <w:r>
        <w:fldChar w:fldCharType="begin"/>
      </w:r>
      <w:r>
        <w:instrText xml:space="preserve"> PAGEREF _Toc193457501 \h </w:instrText>
      </w:r>
      <w:r>
        <w:fldChar w:fldCharType="separate"/>
      </w:r>
      <w:r>
        <w:t>3</w:t>
      </w:r>
      <w:r>
        <w:fldChar w:fldCharType="end"/>
      </w:r>
      <w:r>
        <w:fldChar w:fldCharType="end"/>
      </w:r>
    </w:p>
    <w:p>
      <w:pPr>
        <w:pStyle w:val="24"/>
        <w:tabs>
          <w:tab w:val="right" w:leader="dot" w:pos="9016"/>
        </w:tabs>
        <w:rPr>
          <w:rFonts w:ascii="Droid Sans" w:eastAsia="等线" w:hAnsi="Droid Sans"/>
          <w:szCs w:val="24"/>
          <w:lang w:val="en-IN" w:eastAsia="en-IN"/>
        </w:rPr>
      </w:pPr>
      <w:r>
        <w:fldChar w:fldCharType="begin"/>
      </w:r>
      <w:r>
        <w:instrText>Hyperlink \l "_Toc193457502"</w:instrText>
      </w:r>
      <w:r>
        <w:fldChar w:fldCharType="separate"/>
      </w:r>
      <w:r>
        <w:t>1a What are the advantages of being a pioneer and follower company? Provide examples of successful pioneer and follower companies.</w:t>
        <w:tab/>
      </w:r>
      <w:r>
        <w:fldChar w:fldCharType="begin"/>
      </w:r>
      <w:r>
        <w:instrText xml:space="preserve"> PAGEREF _Toc193457502 \h </w:instrText>
      </w:r>
      <w:r>
        <w:fldChar w:fldCharType="separate"/>
      </w:r>
      <w:r>
        <w:t>3</w:t>
      </w:r>
      <w:r>
        <w:fldChar w:fldCharType="end"/>
      </w:r>
      <w:r>
        <w:fldChar w:fldCharType="end"/>
      </w:r>
    </w:p>
    <w:p>
      <w:pPr>
        <w:pStyle w:val="24"/>
        <w:tabs>
          <w:tab w:val="right" w:leader="dot" w:pos="9016"/>
        </w:tabs>
        <w:rPr>
          <w:rFonts w:ascii="Droid Sans" w:eastAsia="等线" w:hAnsi="Droid Sans"/>
          <w:szCs w:val="24"/>
          <w:lang w:val="en-IN" w:eastAsia="en-IN"/>
        </w:rPr>
      </w:pPr>
      <w:r>
        <w:fldChar w:fldCharType="begin"/>
      </w:r>
      <w:r>
        <w:instrText>Hyperlink \l "_Toc193457503"</w:instrText>
      </w:r>
      <w:r>
        <w:fldChar w:fldCharType="separate"/>
      </w:r>
      <w:r>
        <w:t>1b What product life cycle strategies do successful pioneer and follower companies implement to increase growth and maintain a strong competitive advantage? Provide examples of companies to support statements made.</w:t>
        <w:tab/>
      </w:r>
      <w:r>
        <w:fldChar w:fldCharType="begin"/>
      </w:r>
      <w:r>
        <w:instrText xml:space="preserve"> PAGEREF _Toc193457503 \h </w:instrText>
      </w:r>
      <w:r>
        <w:fldChar w:fldCharType="separate"/>
      </w:r>
      <w:r>
        <w:t>6</w:t>
      </w:r>
      <w:r>
        <w:fldChar w:fldCharType="end"/>
      </w:r>
      <w:r>
        <w:fldChar w:fldCharType="end"/>
      </w:r>
    </w:p>
    <w:p>
      <w:pPr>
        <w:pStyle w:val="23"/>
        <w:tabs>
          <w:tab w:val="right" w:leader="dot" w:pos="9016"/>
        </w:tabs>
        <w:rPr>
          <w:rFonts w:ascii="Droid Sans" w:eastAsia="等线" w:hAnsi="Droid Sans"/>
          <w:szCs w:val="24"/>
          <w:lang w:val="en-IN" w:eastAsia="en-IN"/>
        </w:rPr>
      </w:pPr>
      <w:r>
        <w:fldChar w:fldCharType="begin"/>
      </w:r>
      <w:r>
        <w:instrText>Hyperlink \l "_Toc193457504"</w:instrText>
      </w:r>
      <w:r>
        <w:fldChar w:fldCharType="separate"/>
      </w:r>
      <w:r>
        <w:t>Conclusion</w:t>
        <w:tab/>
      </w:r>
      <w:r>
        <w:fldChar w:fldCharType="begin"/>
      </w:r>
      <w:r>
        <w:instrText xml:space="preserve"> PAGEREF _Toc193457504 \h </w:instrText>
      </w:r>
      <w:r>
        <w:fldChar w:fldCharType="separate"/>
      </w:r>
      <w:r>
        <w:t>10</w:t>
      </w:r>
      <w:r>
        <w:fldChar w:fldCharType="end"/>
      </w:r>
      <w:r>
        <w:fldChar w:fldCharType="end"/>
      </w:r>
    </w:p>
    <w:p>
      <w:pPr>
        <w:pStyle w:val="23"/>
        <w:tabs>
          <w:tab w:val="right" w:leader="dot" w:pos="9016"/>
        </w:tabs>
        <w:rPr>
          <w:rFonts w:ascii="Droid Sans" w:eastAsia="等线" w:hAnsi="Droid Sans"/>
          <w:szCs w:val="24"/>
          <w:lang w:val="en-IN" w:eastAsia="en-IN"/>
        </w:rPr>
      </w:pPr>
      <w:r>
        <w:fldChar w:fldCharType="begin"/>
      </w:r>
      <w:r>
        <w:instrText>Hyperlink \l "_Toc193457505"</w:instrText>
      </w:r>
      <w:r>
        <w:fldChar w:fldCharType="separate"/>
      </w:r>
      <w:r>
        <w:t>Reference</w:t>
        <w:tab/>
      </w:r>
      <w:r>
        <w:fldChar w:fldCharType="begin"/>
      </w:r>
      <w:r>
        <w:instrText xml:space="preserve"> PAGEREF _Toc193457505 \h </w:instrText>
      </w:r>
      <w:r>
        <w:fldChar w:fldCharType="separate"/>
      </w:r>
      <w:r>
        <w:t>12</w:t>
      </w:r>
      <w:r>
        <w:fldChar w:fldCharType="end"/>
      </w:r>
      <w:r>
        <w:fldChar w:fldCharType="end"/>
      </w:r>
    </w:p>
    <w:p>
      <w:pPr>
        <w:spacing w:before="120" w:after="120"/>
      </w:pPr>
      <w:r>
        <w:rPr>
          <w:b/>
          <w:bCs/>
        </w:rPr>
        <w:fldChar w:fldCharType="end"/>
      </w:r>
    </w:p>
    <w:p>
      <w:pPr>
        <w:spacing w:before="120" w:after="120"/>
        <w:jc w:val="left"/>
      </w:pPr>
      <w:r>
        <w:br w:type="page"/>
      </w:r>
    </w:p>
    <w:p>
      <w:pPr>
        <w:pStyle w:val="1"/>
        <w:spacing w:beforeAutospacing="0" w:afterAutospacing="0"/>
        <w:rPr>
          <w:lang w:val="en-GB"/>
        </w:rPr>
      </w:pPr>
      <w:bookmarkStart w:id="1" w:name="_Toc193457500"/>
      <w:r>
        <w:rPr>
          <w:lang w:val="en-GB"/>
        </w:rPr>
        <w:t>Introduction</w:t>
      </w:r>
      <w:bookmarkEnd w:id="1"/>
      <w:r>
        <w:rPr>
          <w:lang w:val="en-GB"/>
        </w:rPr>
        <w:t xml:space="preserve"> </w:t>
      </w:r>
    </w:p>
    <w:p>
      <w:pPr>
        <w:spacing w:before="120" w:after="120"/>
      </w:pPr>
      <w:r>
        <w:t xml:space="preserve">The decision to be a pioneer or a follower company in the market is a strategic challenge (Gómez, et al., 2022). Moreover, being a pioneer includes the launch of an innovative product, technology and service to a market before competitors to build a strong brand name. On the contrary, a follower firm enters an already established market after gaining experience from the pioneer firm while avoiding the uncertainties of the initial market. The choice is highly dependent on the external market conditions, internal capabilities and competitive dynamics (Giachetti and Pira, 2022). </w:t>
      </w:r>
    </w:p>
    <w:p>
      <w:pPr>
        <w:spacing w:before="120" w:after="120"/>
      </w:pPr>
      <w:r>
        <w:t>This essay assesses the advantages of pioneer strategy and follower strategy and their effect on market positioning and competitive success with the inclusion of specific examples. It also examines how companies deal with product life cycle (PLC) strategies to stay in growth and continue winning the market. It analyses the defence and attack strategies during the growth stage and the expansion strategies within the maturity stage, which provides information on how businesses change their strategies in different phases of the product life cycle.</w:t>
      </w:r>
    </w:p>
    <w:p>
      <w:pPr>
        <w:pStyle w:val="1"/>
        <w:spacing w:beforeAutospacing="0" w:afterAutospacing="0"/>
        <w:rPr>
          <w:lang w:val="en-GB"/>
        </w:rPr>
      </w:pPr>
      <w:bookmarkStart w:id="2" w:name="_Toc193457501"/>
      <w:r>
        <w:rPr>
          <w:lang w:val="en-GB"/>
        </w:rPr>
        <w:t>Main Body</w:t>
      </w:r>
      <w:bookmarkEnd w:id="2"/>
      <w:r>
        <w:rPr>
          <w:lang w:val="en-GB"/>
        </w:rPr>
        <w:t xml:space="preserve"> </w:t>
      </w:r>
    </w:p>
    <w:p>
      <w:pPr>
        <w:pStyle w:val="2"/>
        <w:spacing w:before="120" w:after="120"/>
      </w:pPr>
      <w:bookmarkStart w:id="3" w:name="_Toc193457502"/>
      <w:r>
        <w:t>1a What are the advantages of being a pioneer and follower company? Provide examples of successful pioneer and follower companies.</w:t>
      </w:r>
      <w:bookmarkEnd w:id="3"/>
    </w:p>
    <w:p>
      <w:pPr>
        <w:spacing w:before="120" w:after="120"/>
        <w:rPr>
          <w:b/>
          <w:bCs/>
        </w:rPr>
      </w:pPr>
      <w:r>
        <w:rPr>
          <w:b/>
          <w:bCs/>
        </w:rPr>
        <w:t xml:space="preserve">Pioneer Company </w:t>
      </w:r>
    </w:p>
    <w:p>
      <w:pPr>
        <w:spacing w:before="120" w:after="120"/>
      </w:pPr>
      <w:r>
        <w:t>A pioneer company leads its market by launching a fundamentally new product, service and business model earlier than its rivals (Riuz-Ortega, et al., 2024). Along with this, pioneers shape consumer expectations, set industry standards and gain benefit from the advantages of being a first mover in their industry. However, being a pioneer is also a risky aspect, as these firms have to invest significantly in research and development (R&amp;D) without an established customer base.</w:t>
      </w:r>
    </w:p>
    <w:p>
      <w:pPr>
        <w:spacing w:before="120" w:after="120"/>
      </w:pPr>
      <w:r>
        <w:t xml:space="preserve">However, once a pioneer establishes itself in the marketplace, it can capture significant market share, build a technological gap ahead of its rivals and attain benefits in terms of customer loyalty to its brand (Stacchezzini, et al., 2023). Although the pioneers bear the risks of developing the market, they also gain the benefits of being a first-mover which in turn allows them to gain positive brand loyalty, economies of scale and technological leadership. </w:t>
      </w:r>
    </w:p>
    <w:p>
      <w:pPr>
        <w:spacing w:before="120" w:after="120"/>
        <w:rPr>
          <w:b/>
          <w:bCs/>
        </w:rPr>
      </w:pPr>
      <w:r>
        <w:rPr>
          <w:b/>
          <w:bCs/>
        </w:rPr>
        <w:t xml:space="preserve">Advantages of a Pioneer company </w:t>
      </w:r>
    </w:p>
    <w:p>
      <w:pPr>
        <w:spacing w:before="120" w:after="120"/>
      </w:pPr>
      <w:r>
        <w:t xml:space="preserve">Strong brand recognition and customer loyalty are some of the significant advantages encountered by a pioneer company. It frequently becomes identifiable due to its product and service category and also develops higher brand loyalty and customer retention in a massive early adopter marketplace (Vaskelainen, et al., 2022). This corresponds to examples like Coca-Cola which was introduced in 1886 and still has a strong market dominance mainly due to its early brand establishment and consistent global marketing. Today it is among the most recognisable brands in the world which is due to its early entry into the market (Coca-Cola, 2025), </w:t>
      </w:r>
    </w:p>
    <w:p>
      <w:pPr>
        <w:spacing w:before="120" w:after="120"/>
      </w:pPr>
      <w:r>
        <w:t xml:space="preserve">Along with this, technological leadership and patent control are also other benefits of being a pioneer as their intent to spend much on research and development (R&amp;D) allows them to get intellectual property rights (Wambsganss, et al., 2023). This further blocks competitors from copying their innovations allowing firms to gain an upper hand among competitors. In a similar context, Toyota revolutionised the car industry with Quattro, safety systems, fuel efficiency and hybrid capabilities (Toyota, 2025). By entering early in the EV sector, Tesla gained a technological edge that was difficult for competitors to catch up with and gain a strong position in the market. Moreover, market control and pricing power are also another advantage of a pioneer company. Pioneer possesses the capability to monitor and control market trends, create consumer expectations, and set premium prices before competitors enter and force alteration in the costings (Pantona, et al., 2022). </w:t>
      </w:r>
    </w:p>
    <w:p>
      <w:pPr>
        <w:spacing w:before="120" w:after="120"/>
      </w:pPr>
      <w:r>
        <w:t xml:space="preserve">For instance, Apple’s iPhone was the first modern design of the smartphone in 2007. The company set the bar for touchscreen smartphones while attaining significantly higher profit margins in the industry (Apple, 2025). Additionally, experience curve effects yield cost reductions to the early entrants and such pioneers can invest in production facilities, distribution networks and supplier relationships ahead of competitors. The case of Amazon is evidence of the above-presented fact as it quickly transformed itself from a bookstore to a multi-operational firm (Amazon, 2025). </w:t>
      </w:r>
    </w:p>
    <w:p>
      <w:pPr>
        <w:spacing w:before="120" w:after="120"/>
        <w:rPr>
          <w:b/>
          <w:bCs/>
        </w:rPr>
      </w:pPr>
      <w:r>
        <w:rPr>
          <w:b/>
          <w:bCs/>
        </w:rPr>
        <w:t xml:space="preserve">A successful Pioneer Company </w:t>
      </w:r>
    </w:p>
    <w:p>
      <w:pPr>
        <w:spacing w:before="120" w:after="120"/>
      </w:pPr>
      <w:r>
        <w:t>Tesla, founded in 2003, was the first to introduce the electric vehicle market by taking the path of high-performance and long-range electric cars. Compared to traditional automobile firms that were reluctant to invest in EVs, Tesla has established a system with Gigafactories for battery production and Superchargers for charging infrastructure. This allowed Tesla to have a strong grip on the market and create strong customer loyalty (Tesla, 2025). Even as competitors entered the EV market, Tesla retained its leadership because of its first-mover technological advantages.</w:t>
      </w:r>
    </w:p>
    <w:p>
      <w:pPr>
        <w:spacing w:before="120" w:after="120"/>
        <w:rPr>
          <w:b/>
          <w:bCs/>
        </w:rPr>
      </w:pPr>
      <w:r>
        <w:rPr>
          <w:b/>
          <w:bCs/>
        </w:rPr>
        <w:t xml:space="preserve">Follower company </w:t>
      </w:r>
    </w:p>
    <w:p>
      <w:pPr>
        <w:spacing w:before="120" w:after="120"/>
      </w:pPr>
      <w:r>
        <w:t xml:space="preserve">The follower company enters a market after pioneers have already started and tested a product or service (Ruiz-Ortega, et al., 2022). Pioneers can help followers exploit their market research, feedback from customers and technological improvements to make better offerings and gain competitive advantages. </w:t>
      </w:r>
    </w:p>
    <w:p>
      <w:pPr>
        <w:spacing w:before="120" w:after="120"/>
        <w:rPr>
          <w:b/>
          <w:bCs/>
        </w:rPr>
      </w:pPr>
      <w:r>
        <w:rPr>
          <w:b/>
          <w:bCs/>
        </w:rPr>
        <w:t xml:space="preserve">Advantages of a Follower company </w:t>
      </w:r>
    </w:p>
    <w:p>
      <w:pPr>
        <w:spacing w:before="120" w:after="120"/>
      </w:pPr>
      <w:r>
        <w:t xml:space="preserve">A follower company encompasses various advantages including lower risk and reduced uncertainty which allows them to be competitive in the market. The experiences of pioneers are followed by followers who benefit from the mistakes the pioneers made to avoid costly errors and from their successes (Sukri and Yusoff, 2021). Since, the market demand, customer preferences and product improvement are already known by the follower firms, it makes it easier for them to strategise accordingly. For instance, even though Google was not the primary search engine first launched but still dominated the market as it analysed its competitors such as Yahoo and AltaVista (Google, 2025). </w:t>
      </w:r>
    </w:p>
    <w:p>
      <w:pPr>
        <w:spacing w:before="120" w:after="120"/>
      </w:pPr>
      <w:r>
        <w:t xml:space="preserve">A follower company also improves its product offerings as the study of pioneers helps them to introduce superior products with more features, lower pricing and better customer experience (Sukri and Yusoff, 2021). In a similar context, Samsung only entered the smartphone market after Apple, but developed into a formidable competitor in a short period, providing bigger screens and also better hardware choices with lower prices (Samsung, 2025). Along with this, the production costs decline due to technological advancements after the entry of pioneers allowing followers to enter the market with a dominant position. </w:t>
      </w:r>
    </w:p>
    <w:p>
      <w:pPr>
        <w:spacing w:before="120" w:after="120"/>
      </w:pPr>
      <w:r>
        <w:t xml:space="preserve"> This enables them to manufacture top-quality products at a cheaper price than the pioneers in pricing. For instance, Xiaomi came afterwards to the smartphone market after Apple and Samsung, but it managed to gain significant market share due to selling premium features at an affordable price (Xiaomi, 2025).  Additionally, followers demonstrate better market adaptability because they avoid the responsibility of introducing and researching new market sectors. Follower companies adjust their business approaches depending on how customers respond to their strategies and emerging technical developments. Similarly, Facebook built its scalable user base despite competing against previous social networking sites Myspace and Friendster by learning from their mistakes (Facebook, 2025).</w:t>
      </w:r>
    </w:p>
    <w:p>
      <w:pPr>
        <w:spacing w:before="120" w:after="120"/>
        <w:rPr>
          <w:b/>
          <w:bCs/>
        </w:rPr>
      </w:pPr>
      <w:r>
        <w:rPr>
          <w:b/>
          <w:bCs/>
        </w:rPr>
        <w:t xml:space="preserve">A successful Follower company </w:t>
      </w:r>
    </w:p>
    <w:p>
      <w:pPr>
        <w:spacing w:before="120" w:after="120"/>
      </w:pPr>
      <w:r>
        <w:t xml:space="preserve">Google can be regarded as a significant and successful follower company as it emerged as a famous search engine after Yahoo!, AltaVista and Lycos had already established themselves in the market. Google optimised its search capabilities through relevance improvements along with fast execution and the development of its innovative advertising system called Google AdWords (Google, 2025). The analysis of previous search engines' weak points enabled Google to create a superior algorithm which propelled it to become the top search engine in the market. </w:t>
      </w:r>
    </w:p>
    <w:p>
      <w:pPr>
        <w:pStyle w:val="2"/>
        <w:spacing w:before="120" w:after="120"/>
      </w:pPr>
      <w:bookmarkStart w:id="4" w:name="_Toc193457503"/>
      <w:r>
        <w:t>1b What product life cycle strategies do successful pioneer and follower companies implement to increase growth and maintain a strong competitive advantage? Provide examples of companies to support statements made.</w:t>
      </w:r>
      <w:bookmarkEnd w:id="4"/>
    </w:p>
    <w:p>
      <w:pPr>
        <w:spacing w:before="120" w:after="120"/>
      </w:pPr>
      <w:r>
        <w:t>A product experiences five stages of development according to the Product Life Cycle (PLC) model starting with introduction and ending with decline (Rusch, et al., 2023). This framework enables organisations to develop marketing and business strategies which work at diverse stages of product development. PLC strategies provide businesses with tools to increase growth and achieve a superior market position. Companies that implement suitable PLC approaches during growth and maturity phases improve their market performance and extend operational life in competitive sectors. Administrative implementations of these methodologies require uninterrupted innovative approaches and customer collaboration in addition to market-responsive tactics (Peña, et al., 2021).  Successful companies that lead their way through the PLC achieve enduring business permanency and sustain their dominant market position.</w:t>
      </w:r>
    </w:p>
    <w:p>
      <w:pPr>
        <w:spacing w:before="120" w:after="120"/>
        <w:rPr>
          <w:b/>
          <w:bCs/>
        </w:rPr>
      </w:pPr>
      <w:r>
        <w:rPr>
          <w:b/>
          <w:bCs/>
        </w:rPr>
        <w:t>Definition of the Product Life Cycle Model</w:t>
      </w:r>
    </w:p>
    <w:p>
      <w:pPr>
        <w:spacing w:before="120" w:after="120"/>
      </w:pPr>
      <w:r>
        <w:t xml:space="preserve">The Product Life Cycle model organises the product development sequence through four consecutive periods including the introduction phase along with the growth stage, maturity stage and decline phase (Peña, et al., 2021). Additionally, the PLC model functions as an essential framework through which marketers can both monitor their products and design effective market strategies. The model enables business organisations to find optimal strategic solutions which lead to ongoing sales and profitability. Moreover, the Product Life Cycle model functions as an important management system that helps businesses expand their products while maintaining market leadership (Kamalakkannan and Kulatunga, 2021). Market leadership preservation through defensive strategies alongside offensive strategies allows businesses to acquire market share. </w:t>
      </w:r>
    </w:p>
    <w:p>
      <w:pPr>
        <w:keepNext/>
        <w:spacing w:before="120" w:after="120"/>
      </w:pPr>
      <w:r>
        <w:drawing>
          <wp:inline distT="0" distB="0" distL="0" distR="0">
            <wp:extent cx="5210902" cy="4420217"/>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2"/>
                    <a:stretch>
                      <a:fillRect/>
                    </a:stretch>
                  </pic:blipFill>
                  <pic:spPr>
                    <a:xfrm rot="0">
                      <a:off x="0" y="0"/>
                      <a:ext cx="5210902" cy="4420217"/>
                    </a:xfrm>
                    <a:prstGeom prst="rect"/>
                    <a:noFill/>
                    <a:ln w="12700" cmpd="sng" cap="flat">
                      <a:noFill/>
                      <a:prstDash val="solid"/>
                      <a:miter/>
                    </a:ln>
                  </pic:spPr>
                </pic:pic>
              </a:graphicData>
            </a:graphic>
          </wp:inline>
        </w:drawing>
      </w:r>
    </w:p>
    <w:p>
      <w:pPr>
        <w:spacing w:before="120" w:after="120"/>
        <w:jc w:val="center"/>
        <w:rPr>
          <w:b/>
          <w:bCs/>
          <w:i/>
          <w:iCs/>
        </w:rPr>
      </w:pPr>
      <w:r>
        <w:rPr>
          <w:b/>
          <w:bCs/>
          <w:i/>
          <w:iCs/>
        </w:rPr>
        <w:t xml:space="preserve">Figure </w:t>
      </w:r>
      <w:r>
        <w:rPr>
          <w:b/>
          <w:bCs/>
          <w:i/>
          <w:iCs/>
        </w:rPr>
        <w:fldChar w:fldCharType="begin"/>
      </w:r>
      <w:r>
        <w:rPr>
          <w:b/>
          <w:bCs/>
          <w:i/>
          <w:iCs/>
        </w:rPr>
        <w:instrText xml:space="preserve"> SEQ Figure \* ARABIC </w:instrText>
      </w:r>
      <w:r>
        <w:rPr>
          <w:b/>
          <w:bCs/>
          <w:i/>
          <w:iCs/>
        </w:rPr>
        <w:fldChar w:fldCharType="separate"/>
      </w:r>
      <w:r>
        <w:rPr>
          <w:b/>
          <w:bCs/>
          <w:i/>
          <w:iCs/>
        </w:rPr>
        <w:t>1</w:t>
      </w:r>
      <w:r>
        <w:rPr>
          <w:b/>
          <w:bCs/>
          <w:i/>
          <w:iCs/>
        </w:rPr>
        <w:fldChar w:fldCharType="end"/>
      </w:r>
      <w:r>
        <w:rPr>
          <w:b/>
          <w:bCs/>
          <w:i/>
          <w:iCs/>
        </w:rPr>
        <w:t>: Product Life Cycle Model</w:t>
      </w:r>
    </w:p>
    <w:p>
      <w:pPr>
        <w:spacing w:before="120" w:after="120"/>
        <w:jc w:val="center"/>
        <w:rPr>
          <w:b/>
          <w:bCs/>
          <w:i/>
          <w:iCs/>
        </w:rPr>
      </w:pPr>
      <w:r>
        <w:rPr>
          <w:b/>
          <w:bCs/>
          <w:i/>
          <w:iCs/>
        </w:rPr>
        <w:t>(Source: Rusch, et al., 2023)</w:t>
      </w:r>
    </w:p>
    <w:p>
      <w:pPr>
        <w:spacing w:before="120" w:after="120"/>
      </w:pPr>
      <w:r>
        <w:t xml:space="preserve">The above-presented image provides a pictorial presentation of the product life cycle model which encompasses the introduction, growth, maturity and decline phase (Rusch, et al., 2023). </w:t>
      </w:r>
    </w:p>
    <w:p>
      <w:pPr>
        <w:spacing w:before="120" w:after="120"/>
        <w:rPr>
          <w:b/>
          <w:bCs/>
        </w:rPr>
      </w:pPr>
      <w:r>
        <w:rPr>
          <w:b/>
          <w:bCs/>
        </w:rPr>
        <w:t>Growth Stage Strategies</w:t>
      </w:r>
    </w:p>
    <w:p>
      <w:pPr>
        <w:spacing w:before="120" w:after="120"/>
      </w:pPr>
      <w:r>
        <w:t>The growth stage within the PLC model encompasses the quick market expansion of a firm together with rising sales numbers and an enhanced customer retention rate (Vendrell-Herrero, et al., 2022). The defence of market position and attacks against competitors for market share expansion can be regarded as a significant aspect of growth strategies as per the PLC model. Moreover, the successful implementation of strategies at this time leads to a strong industry presence.</w:t>
      </w:r>
    </w:p>
    <w:p>
      <w:pPr>
        <w:spacing w:before="120" w:after="120"/>
        <w:rPr>
          <w:b/>
          <w:bCs/>
        </w:rPr>
      </w:pPr>
      <w:r>
        <w:rPr>
          <w:b/>
          <w:bCs/>
        </w:rPr>
        <w:t>Defensive Strategies</w:t>
      </w:r>
    </w:p>
    <w:p>
      <w:pPr>
        <w:spacing w:before="120" w:after="120"/>
        <w:rPr>
          <w:b/>
          <w:bCs/>
          <w:i/>
          <w:iCs/>
        </w:rPr>
      </w:pPr>
      <w:r>
        <w:rPr>
          <w:b/>
          <w:bCs/>
          <w:i/>
          <w:iCs/>
        </w:rPr>
        <w:t xml:space="preserve"> Position Defence Strategy</w:t>
      </w:r>
    </w:p>
    <w:p>
      <w:pPr>
        <w:spacing w:before="120" w:after="120"/>
      </w:pPr>
      <w:r>
        <w:t xml:space="preserve">The position defence strategy results in improved brand loyalty along with customer retention through the combination of prompt products and improved customer service (Iveson, et al., 2022). Organisations work to maintain strong consumer relationships which prevents competitive companies from obtaining market share. For instance, Apple's iPhone implements this method by enhancing features while sustaining brand visibility through user experience enhancements caused by system updates and platform connection. Premium quality combined with innovative approaches at Apple drives customer loyalty and continuous expansion of the business (Apple, 2025). </w:t>
      </w:r>
    </w:p>
    <w:p>
      <w:pPr>
        <w:spacing w:before="120" w:after="120"/>
        <w:rPr>
          <w:b/>
          <w:bCs/>
          <w:i/>
          <w:iCs/>
        </w:rPr>
      </w:pPr>
      <w:r>
        <w:rPr>
          <w:b/>
          <w:bCs/>
          <w:i/>
          <w:iCs/>
        </w:rPr>
        <w:t xml:space="preserve">Flanker strategy </w:t>
      </w:r>
    </w:p>
    <w:p>
      <w:pPr>
        <w:spacing w:before="120" w:after="120"/>
      </w:pPr>
      <w:r>
        <w:t xml:space="preserve">The flanker strategy requires launching new product variations which allow for targeting distinct customer segments that hinder competitors from taking market share (Pritantiwi, et al., 2023). Businesses that expand their product offerings can serve multiple consumer requirements which helps prevent market share decline. The prime example of a firm that encompasses the use of flanker strategy as a significant defence strategy is Samsung. It released the Galaxy A series as a budget-friendly product line to reach customers who could not spend on premium phones yet maintained its position in the elite series market segment (Samsung, 2025). </w:t>
      </w:r>
    </w:p>
    <w:p>
      <w:pPr>
        <w:spacing w:before="120" w:after="120"/>
        <w:rPr>
          <w:b/>
          <w:bCs/>
        </w:rPr>
      </w:pPr>
      <w:r>
        <w:rPr>
          <w:b/>
          <w:bCs/>
        </w:rPr>
        <w:t xml:space="preserve">Attack Strategies </w:t>
      </w:r>
    </w:p>
    <w:p>
      <w:pPr>
        <w:spacing w:before="120" w:after="120"/>
        <w:rPr>
          <w:b/>
          <w:bCs/>
          <w:i/>
          <w:iCs/>
        </w:rPr>
      </w:pPr>
      <w:r>
        <w:rPr>
          <w:b/>
          <w:bCs/>
          <w:i/>
          <w:iCs/>
        </w:rPr>
        <w:t>Frontal Attack Strategy</w:t>
      </w:r>
    </w:p>
    <w:p>
      <w:pPr>
        <w:spacing w:before="120" w:after="120"/>
      </w:pPr>
      <w:r>
        <w:t xml:space="preserve">The frontal attack approach requires companies to confront their competitors through price competition by providing equivalent or superior products at attractive rates (Wang, et al., 2021). Companies deploy aggressive marketing methods together with strategic pricing along with product advancements to draw customers from current brand leaders. Xiaomi gained substantial market penetration in emerging markets by selling high-end smartphones at reduced prices which overtook both Apple and Samsung. The company grew quickly because of its cost-efficient manufacturing combined with affordable products (Xiaomi, 2025). </w:t>
      </w:r>
    </w:p>
    <w:p>
      <w:pPr>
        <w:spacing w:before="120" w:after="120"/>
        <w:rPr>
          <w:b/>
          <w:bCs/>
          <w:i/>
          <w:iCs/>
        </w:rPr>
      </w:pPr>
      <w:r>
        <w:rPr>
          <w:b/>
          <w:bCs/>
          <w:i/>
          <w:iCs/>
        </w:rPr>
        <w:t>Leapfrog Strategy</w:t>
      </w:r>
    </w:p>
    <w:p>
      <w:pPr>
        <w:spacing w:before="120" w:after="120"/>
      </w:pPr>
      <w:r>
        <w:t>This approach consists of developing innovative features which go beyond existing market norms (Rusch, et al., 2023). Companies using this method invest in technological development to achieve competitive distinction from other businesses. Tesla conquered traditional automakers in electric vehicles by delivering advanced batteries alongside top-class autonomous driving technology. Technology development remained a top priority for Tesla as the company worked to build its standing as the EV market leader (Tesla, 2025).</w:t>
      </w:r>
    </w:p>
    <w:p>
      <w:pPr>
        <w:spacing w:before="120" w:after="120"/>
        <w:rPr>
          <w:b/>
          <w:bCs/>
        </w:rPr>
      </w:pPr>
      <w:r>
        <w:rPr>
          <w:b/>
          <w:bCs/>
        </w:rPr>
        <w:t>Maturity Stage Strategies</w:t>
      </w:r>
    </w:p>
    <w:p>
      <w:pPr>
        <w:spacing w:before="120" w:after="120"/>
      </w:pPr>
      <w:r>
        <w:t xml:space="preserve">The maturity stage signifies that when products reach maturity level the market becomes more competitive and reaches its maximum capacity (Iveson, et al., 2022). Businesses develop strategic approaches to preserve their sales operations and profitability alongside their efforts to stand apart from market competitors as per the maturity stage of the PLC model. </w:t>
      </w:r>
    </w:p>
    <w:p>
      <w:pPr>
        <w:spacing w:before="120" w:after="120"/>
        <w:rPr>
          <w:b/>
          <w:bCs/>
          <w:i/>
          <w:iCs/>
        </w:rPr>
      </w:pPr>
      <w:r>
        <w:rPr>
          <w:b/>
          <w:bCs/>
          <w:i/>
          <w:iCs/>
        </w:rPr>
        <w:t>Increased Penetration Strategy</w:t>
      </w:r>
    </w:p>
    <w:p>
      <w:pPr>
        <w:spacing w:before="120" w:after="120"/>
      </w:pPr>
      <w:r>
        <w:t>The firms reach maximum market penetration through the use of aggressive marketing strategies along with price adjustments and the launch of promotional campaigns (Wang, et al., 2021). A business aims to attract new customers and maintain current customers to facilitate ongoing product demand. In a similar context, the global market leadership of Coca-Cola remains steady because the company focuses on international marketing campaigns together with customised product adjustments. The company maintains consumer interest through broad advertising programs, sponsorship agreements and promotional offers which further boosts its sales (Coca-Cola, 2025</w:t>
      </w:r>
    </w:p>
    <w:p>
      <w:pPr>
        <w:spacing w:before="120" w:after="120"/>
        <w:rPr>
          <w:b/>
          <w:bCs/>
          <w:i/>
          <w:iCs/>
        </w:rPr>
      </w:pPr>
      <w:r>
        <w:rPr>
          <w:b/>
          <w:bCs/>
          <w:i/>
          <w:iCs/>
        </w:rPr>
        <w:t>Global Market Expansion Strategy</w:t>
      </w:r>
    </w:p>
    <w:p>
      <w:pPr>
        <w:spacing w:before="120" w:after="120"/>
      </w:pPr>
      <w:r>
        <w:t xml:space="preserve">The global market expansion strategy allows firms to move into international markets for the dual purpose of gaining additional profits while prolonging the life of their product range (Jelonek, et al., 2022). A business that expands into new geographic regions gains access to unexploited customer segments while reducing its exposure to mature markets. Through means of this strategy, firms grow internationally through market penetration by adapting content selection and pricing models which assists them to continue revenue growth alongside new market entry. Through the cultural adaptation of their content offerings, a firm can achieve market dominance in worldwide streaming services. Netflix can be regarded as a significant firm that has undertaken a global market expansion strategy as it dominated the market by attracting new customer segments (Netflix, 2025). </w:t>
      </w:r>
    </w:p>
    <w:p>
      <w:pPr>
        <w:spacing w:before="120" w:after="120"/>
        <w:rPr>
          <w:b/>
          <w:bCs/>
        </w:rPr>
      </w:pPr>
      <w:r>
        <w:rPr>
          <w:b/>
          <w:bCs/>
        </w:rPr>
        <w:t xml:space="preserve">Advantages and Disadvantages of the Product Life Cycle Model </w:t>
      </w:r>
    </w:p>
    <w:p>
      <w:pPr>
        <w:spacing w:before="120" w:after="120"/>
      </w:pPr>
      <w:r>
        <w:t>The Product Life Cycle model delivers an organised system for marketing strategy development which enables businesses to recognise upcoming obstacles yet at the same time utilise their resources properly and create targeted approaches (Dorr, et al., 2021). The model enables businesses to plan for their future while assessing market competition for lasting profitable operations. On the other hand, the actual paths of product lifecycle patterns in business environments differ from predicted lines which makes forecasting difficult. The expected outcomes from the PLC model become substantially affected by external influences including economic shifts, regulatory changes and technological advancements. Along with this, different products exhibit varying life cycle durations because they maintain their maturity period longer than expected. The major negative aspect of the model includes the fact that it provides a limited understanding of complex market processes thereby needing businesses to merge it with advanced analytical techniques for appropriate decision-making.</w:t>
      </w:r>
    </w:p>
    <w:p>
      <w:pPr>
        <w:pStyle w:val="1"/>
        <w:spacing w:beforeAutospacing="0" w:afterAutospacing="0"/>
        <w:rPr>
          <w:lang w:val="en-GB"/>
        </w:rPr>
      </w:pPr>
      <w:bookmarkStart w:id="5" w:name="_Toc193457504"/>
      <w:r>
        <w:rPr>
          <w:lang w:val="en-GB"/>
        </w:rPr>
        <w:t>Conclusion</w:t>
      </w:r>
      <w:bookmarkEnd w:id="5"/>
      <w:r>
        <w:rPr>
          <w:lang w:val="en-GB"/>
        </w:rPr>
        <w:t xml:space="preserve"> </w:t>
      </w:r>
    </w:p>
    <w:p>
      <w:pPr>
        <w:spacing w:before="120" w:after="120"/>
      </w:pPr>
      <w:r>
        <w:t>Concluding the above-presented essay, it can be stated that market positioning together with long-term success depends heavily on which strategy a company chooses to be a pioneer or a follower. Companies that launch their products initially gain advantages such as market leadership together with technological superiority and control over prices which has benefited firms like Tesla, Apple and Coca-Cola. The high risks for pioneers lie in their significant research and development costs alongside market uncertainties they encounter. Follower companies such as Google, Samsung and Xiaomi take advantage of pioneer work to develop improved products which results in reduced risks together with better market performance and cost efficiency.</w:t>
      </w:r>
    </w:p>
    <w:p>
      <w:pPr>
        <w:spacing w:before="120" w:after="120"/>
      </w:pPr>
      <w:r>
        <w:t>Moreover, companies can develop successful product life cycle (PLC) strategies to increase their growth rate and preserve market leadership. Market expansion occurs through defensive and attack approaches during growth while penetration and global expansion strategies during maturity produce long-term profits.  Business success requires organisations to transform according to market changes while innovating and executing successful strategies in every phase of the product life cycle (PLC).</w:t>
      </w:r>
    </w:p>
    <w:p>
      <w:pPr>
        <w:spacing w:before="120" w:after="120"/>
        <w:jc w:val="left"/>
      </w:pPr>
      <w:r>
        <w:br w:type="page"/>
      </w:r>
    </w:p>
    <w:p>
      <w:pPr>
        <w:pStyle w:val="1"/>
        <w:spacing w:beforeAutospacing="0" w:afterAutospacing="0"/>
      </w:pPr>
      <w:bookmarkStart w:id="6" w:name="_Toc193457505"/>
      <w:r>
        <w:t>Reference</w:t>
      </w:r>
      <w:bookmarkEnd w:id="6"/>
      <w:r>
        <w:t xml:space="preserve"> </w:t>
      </w:r>
    </w:p>
    <w:p>
      <w:pPr>
        <w:spacing w:before="120" w:after="120"/>
      </w:pPr>
      <w:r>
        <w:t xml:space="preserve">Amazon (2025) About Us-About Amazon. [Online]. Available at: </w:t>
      </w:r>
      <w:r>
        <w:rPr>
          <w:rStyle w:val="25"/>
        </w:rPr>
        <w:fldChar w:fldCharType="begin"/>
      </w:r>
      <w:r>
        <w:instrText>HYPERLINK "https://www.aboutamazon.com/about-us"</w:instrText>
      </w:r>
      <w:r>
        <w:rPr>
          <w:rStyle w:val="25"/>
        </w:rPr>
        <w:fldChar w:fldCharType="separate"/>
      </w:r>
      <w:r>
        <w:rPr>
          <w:rStyle w:val="25"/>
        </w:rPr>
        <w:t>https://www.aboutamazon.com/about-us</w:t>
      </w:r>
      <w:r>
        <w:rPr>
          <w:rStyle w:val="25"/>
        </w:rPr>
        <w:fldChar w:fldCharType="end"/>
      </w:r>
      <w:r>
        <w:t xml:space="preserve">. [Accessed on: 21-03-2025]. </w:t>
      </w:r>
    </w:p>
    <w:p>
      <w:pPr>
        <w:spacing w:before="120" w:after="120"/>
      </w:pPr>
      <w:r>
        <w:t xml:space="preserve">Apple (2025) Business-Apple (IN). [Online]. Available at: </w:t>
      </w:r>
      <w:r>
        <w:rPr>
          <w:rStyle w:val="25"/>
        </w:rPr>
        <w:fldChar w:fldCharType="begin"/>
      </w:r>
      <w:r>
        <w:instrText>HYPERLINK "https://www.apple.com/in/business/"</w:instrText>
      </w:r>
      <w:r>
        <w:rPr>
          <w:rStyle w:val="25"/>
        </w:rPr>
        <w:fldChar w:fldCharType="separate"/>
      </w:r>
      <w:r>
        <w:rPr>
          <w:rStyle w:val="25"/>
        </w:rPr>
        <w:t>https://www.apple.com/in/business/</w:t>
      </w:r>
      <w:r>
        <w:rPr>
          <w:rStyle w:val="25"/>
        </w:rPr>
        <w:fldChar w:fldCharType="end"/>
      </w:r>
      <w:r>
        <w:t xml:space="preserve">. [Accessed on: 21-03-2025]. </w:t>
      </w:r>
    </w:p>
    <w:p>
      <w:pPr>
        <w:spacing w:before="120" w:after="120"/>
      </w:pPr>
      <w:r>
        <w:t xml:space="preserve">Coca-Cola (2025) About Us. [Online]. Available at: </w:t>
      </w:r>
      <w:r>
        <w:rPr>
          <w:rStyle w:val="25"/>
        </w:rPr>
        <w:fldChar w:fldCharType="begin"/>
      </w:r>
      <w:r>
        <w:instrText>HYPERLINK "https://www.coca-colacompany.com/about-us"</w:instrText>
      </w:r>
      <w:r>
        <w:rPr>
          <w:rStyle w:val="25"/>
        </w:rPr>
        <w:fldChar w:fldCharType="separate"/>
      </w:r>
      <w:r>
        <w:rPr>
          <w:rStyle w:val="25"/>
        </w:rPr>
        <w:t>https://www.coca-colacompany.com/about-us</w:t>
      </w:r>
      <w:r>
        <w:rPr>
          <w:rStyle w:val="25"/>
        </w:rPr>
        <w:fldChar w:fldCharType="end"/>
      </w:r>
      <w:r>
        <w:t xml:space="preserve">. [Accessed on: 21-03-2025]. </w:t>
      </w:r>
    </w:p>
    <w:p>
      <w:pPr>
        <w:spacing w:before="120" w:after="120"/>
      </w:pPr>
      <w:r>
        <w:t>Dorr, E., Koegler, M., Gabrielle, B. and Aubry, C. (2021) Life cycle assessment of a circular, urban mushroom farm. </w:t>
      </w:r>
      <w:r>
        <w:rPr>
          <w:i/>
          <w:iCs/>
        </w:rPr>
        <w:t>Journal of Cleaner Production</w:t>
      </w:r>
      <w:r>
        <w:t>, </w:t>
      </w:r>
      <w:r>
        <w:rPr>
          <w:i/>
          <w:iCs/>
        </w:rPr>
        <w:t>288</w:t>
      </w:r>
      <w:r>
        <w:t>, p.125668.</w:t>
      </w:r>
    </w:p>
    <w:p>
      <w:pPr>
        <w:spacing w:before="120" w:after="120"/>
      </w:pPr>
      <w:r>
        <w:t xml:space="preserve">Facebook (2025) Company Information, Culture, and Principles| About Meta. [Online]. Available at: </w:t>
      </w:r>
      <w:r>
        <w:rPr>
          <w:rStyle w:val="25"/>
        </w:rPr>
        <w:fldChar w:fldCharType="begin"/>
      </w:r>
      <w:r>
        <w:instrText>HYPERLINK "https://about.meta.com/company-info/"</w:instrText>
      </w:r>
      <w:r>
        <w:rPr>
          <w:rStyle w:val="25"/>
        </w:rPr>
        <w:fldChar w:fldCharType="separate"/>
      </w:r>
      <w:r>
        <w:rPr>
          <w:rStyle w:val="25"/>
        </w:rPr>
        <w:t>https://about.meta.com/company-info/</w:t>
      </w:r>
      <w:r>
        <w:rPr>
          <w:rStyle w:val="25"/>
        </w:rPr>
        <w:fldChar w:fldCharType="end"/>
      </w:r>
      <w:r>
        <w:t xml:space="preserve">. [Accessed on: 21-03-2025]. </w:t>
      </w:r>
    </w:p>
    <w:p>
      <w:pPr>
        <w:spacing w:before="120" w:after="120"/>
      </w:pPr>
      <w:r>
        <w:t>Giachetti, C. and Pira, S.L. (2022) Catching up with the market leader: Does it pay to rapidly imitate its innovations?. </w:t>
      </w:r>
      <w:r>
        <w:rPr>
          <w:i/>
          <w:iCs/>
        </w:rPr>
        <w:t>Research Policy</w:t>
      </w:r>
      <w:r>
        <w:t>, </w:t>
      </w:r>
      <w:r>
        <w:rPr>
          <w:i/>
          <w:iCs/>
        </w:rPr>
        <w:t>51</w:t>
      </w:r>
      <w:r>
        <w:t>(5), p.104505.</w:t>
      </w:r>
    </w:p>
    <w:p>
      <w:pPr>
        <w:spacing w:before="120" w:after="120"/>
      </w:pPr>
      <w:r>
        <w:t>Gómez, J., Perez-Aradros, B. and Salazar, I. (2022) How to beat early movers: The role of competitive strategy and industry dynamism on followers’ performance in the telecommunications industry. </w:t>
      </w:r>
      <w:r>
        <w:rPr>
          <w:i/>
          <w:iCs/>
        </w:rPr>
        <w:t>Long Range Planning</w:t>
      </w:r>
      <w:r>
        <w:t>, </w:t>
      </w:r>
      <w:r>
        <w:rPr>
          <w:i/>
          <w:iCs/>
        </w:rPr>
        <w:t>55</w:t>
      </w:r>
      <w:r>
        <w:t>(5), p.102244.</w:t>
      </w:r>
    </w:p>
    <w:p>
      <w:pPr>
        <w:spacing w:before="120" w:after="120"/>
      </w:pPr>
      <w:r>
        <w:t xml:space="preserve">Google (2025) About Google, Our Culture &amp; Company News. [Online]. Available at: </w:t>
      </w:r>
      <w:r>
        <w:rPr>
          <w:rStyle w:val="25"/>
        </w:rPr>
        <w:fldChar w:fldCharType="begin"/>
      </w:r>
      <w:r>
        <w:instrText>HYPERLINK "https://about.google/intl/ALL_in/"</w:instrText>
      </w:r>
      <w:r>
        <w:rPr>
          <w:rStyle w:val="25"/>
        </w:rPr>
        <w:fldChar w:fldCharType="separate"/>
      </w:r>
      <w:r>
        <w:rPr>
          <w:rStyle w:val="25"/>
        </w:rPr>
        <w:t>https://about.google/intl/ALL_in/</w:t>
      </w:r>
      <w:r>
        <w:rPr>
          <w:rStyle w:val="25"/>
        </w:rPr>
        <w:fldChar w:fldCharType="end"/>
      </w:r>
      <w:r>
        <w:t xml:space="preserve">. [Accessed on: 21-03-2025]. </w:t>
      </w:r>
    </w:p>
    <w:p>
      <w:pPr>
        <w:spacing w:before="120" w:after="120"/>
      </w:pPr>
      <w:r>
        <w:t>Iveson, A., Hultman, M. and Davvetas, V. (2022) The product life cycle revisited: an integrative review and research agenda. </w:t>
      </w:r>
      <w:r>
        <w:rPr>
          <w:i/>
          <w:iCs/>
        </w:rPr>
        <w:t>European Journal of Marketing</w:t>
      </w:r>
      <w:r>
        <w:t>, </w:t>
      </w:r>
      <w:r>
        <w:rPr>
          <w:i/>
          <w:iCs/>
        </w:rPr>
        <w:t>56</w:t>
      </w:r>
      <w:r>
        <w:t>(2), pp.467-499.</w:t>
      </w:r>
    </w:p>
    <w:p>
      <w:pPr>
        <w:spacing w:before="120" w:after="120"/>
      </w:pPr>
      <w:r>
        <w:t>Jelonek, D., Tien, N.H., Dao, M.T.H. and Minh, D.T. (2022) Comparative analysis of business strategy of Vietnamese real estate developers: the use of Hoffer matrix. </w:t>
      </w:r>
      <w:r>
        <w:rPr>
          <w:i/>
          <w:iCs/>
        </w:rPr>
        <w:t>International journal of multidisciplinary research and growth evaluation</w:t>
      </w:r>
      <w:r>
        <w:t>, </w:t>
      </w:r>
      <w:r>
        <w:rPr>
          <w:i/>
          <w:iCs/>
        </w:rPr>
        <w:t>3</w:t>
      </w:r>
      <w:r>
        <w:t>(1), pp.197-204.</w:t>
      </w:r>
    </w:p>
    <w:p>
      <w:pPr>
        <w:spacing w:before="120" w:after="120"/>
      </w:pPr>
      <w:r>
        <w:t>Kamalakkannan, S. and Kulatunga, A.K. (2021) Optimization of eco-design decisions using a parametric life cycle assessment. </w:t>
      </w:r>
      <w:r>
        <w:rPr>
          <w:i/>
          <w:iCs/>
        </w:rPr>
        <w:t>Sustainable Production and Consumption</w:t>
      </w:r>
      <w:r>
        <w:t>, </w:t>
      </w:r>
      <w:r>
        <w:rPr>
          <w:i/>
          <w:iCs/>
        </w:rPr>
        <w:t>27</w:t>
      </w:r>
      <w:r>
        <w:t>, pp.1297-1316.</w:t>
      </w:r>
    </w:p>
    <w:p>
      <w:pPr>
        <w:spacing w:before="120" w:after="120"/>
      </w:pPr>
      <w:r>
        <w:t xml:space="preserve">Netflix (2025) About Netflix-Homepage. [Online]. Available at: </w:t>
      </w:r>
      <w:r>
        <w:rPr>
          <w:rStyle w:val="25"/>
        </w:rPr>
        <w:fldChar w:fldCharType="begin"/>
      </w:r>
      <w:r>
        <w:instrText>HYPERLINK "https://about.netflix.com/en"</w:instrText>
      </w:r>
      <w:r>
        <w:rPr>
          <w:rStyle w:val="25"/>
        </w:rPr>
        <w:fldChar w:fldCharType="separate"/>
      </w:r>
      <w:r>
        <w:rPr>
          <w:rStyle w:val="25"/>
        </w:rPr>
        <w:t>https://about.netflix.com/en</w:t>
      </w:r>
      <w:r>
        <w:rPr>
          <w:rStyle w:val="25"/>
        </w:rPr>
        <w:fldChar w:fldCharType="end"/>
      </w:r>
      <w:r>
        <w:t xml:space="preserve">. [Accessed on: 21-03-2025]. </w:t>
      </w:r>
    </w:p>
    <w:p>
      <w:pPr>
        <w:spacing w:before="120" w:after="120"/>
      </w:pPr>
      <w:r>
        <w:t>Pantano, E., Pedeliento, G. and Christodoulides, G. (2022) A strategic framework for technological innovations in support of the customer experience: A focus on luxury retailers. </w:t>
      </w:r>
      <w:r>
        <w:rPr>
          <w:i/>
          <w:iCs/>
        </w:rPr>
        <w:t>Journal of Retailing and Consumer Services</w:t>
      </w:r>
      <w:r>
        <w:t>, </w:t>
      </w:r>
      <w:r>
        <w:rPr>
          <w:i/>
          <w:iCs/>
        </w:rPr>
        <w:t>66</w:t>
      </w:r>
      <w:r>
        <w:t>, p.102959.</w:t>
      </w:r>
    </w:p>
    <w:p>
      <w:pPr>
        <w:spacing w:before="120" w:after="120"/>
      </w:pPr>
      <w:r>
        <w:t>Peña, C., Civit, B., Gallego-Schmid, A., Druckman, A., Pires, A.C., Weidema, B., Mieras, E., Wang, F., Fava, J., Canals, L.M.I. and Cordella, M. (2021) Using life cycle assessment to achieve a circular economy. </w:t>
      </w:r>
      <w:r>
        <w:rPr>
          <w:i/>
          <w:iCs/>
        </w:rPr>
        <w:t>The International Journal of Life Cycle Assessment</w:t>
      </w:r>
      <w:r>
        <w:t>, </w:t>
      </w:r>
      <w:r>
        <w:rPr>
          <w:i/>
          <w:iCs/>
        </w:rPr>
        <w:t>26</w:t>
      </w:r>
      <w:r>
        <w:t>, pp.215-220.</w:t>
      </w:r>
    </w:p>
    <w:p>
      <w:pPr>
        <w:spacing w:before="120" w:after="120"/>
      </w:pPr>
      <w:r>
        <w:t>Pritantiwi, S., Fatimah, F. and Hermawan, H. (2023) Determination of Product Life Cycle (PLC) for Formulation of Marketing Strategy UD. Matt Coffee Bondowoso. </w:t>
      </w:r>
      <w:r>
        <w:rPr>
          <w:i/>
          <w:iCs/>
        </w:rPr>
        <w:t>International Journal of Business, Technology and Organizational Behavior (IJBTOB)</w:t>
      </w:r>
      <w:r>
        <w:t>, </w:t>
      </w:r>
      <w:r>
        <w:rPr>
          <w:i/>
          <w:iCs/>
        </w:rPr>
        <w:t>3</w:t>
      </w:r>
      <w:r>
        <w:t>(1), pp.1-10.</w:t>
      </w:r>
    </w:p>
    <w:p>
      <w:pPr>
        <w:spacing w:before="120" w:after="120"/>
      </w:pPr>
      <w:r>
        <w:t>Ruiz-Ortega, M.J., Molina-Morales, F.X., Parra-Requena, G. and García-Villaverde, P.M. (2022) Strength of ties and pioneering orientation: The moderating role of scanning capabilities. </w:t>
      </w:r>
      <w:r>
        <w:rPr>
          <w:i/>
          <w:iCs/>
        </w:rPr>
        <w:t>BRQ Business research quarterly</w:t>
      </w:r>
      <w:r>
        <w:t>, </w:t>
      </w:r>
      <w:r>
        <w:rPr>
          <w:i/>
          <w:iCs/>
        </w:rPr>
        <w:t>25</w:t>
      </w:r>
      <w:r>
        <w:t>(4), pp.296-311.</w:t>
      </w:r>
    </w:p>
    <w:p>
      <w:pPr>
        <w:spacing w:before="120" w:after="120"/>
      </w:pPr>
      <w:r>
        <w:t>Ruiz-Ortega, M.J., Rodrigo-Alarcón, J. and Parra-Requena, G. (2024) New directions to create dynamic capabilities: The role of pioneering orientation and interorganizational relationships. </w:t>
      </w:r>
      <w:r>
        <w:rPr>
          <w:i/>
          <w:iCs/>
        </w:rPr>
        <w:t>European Management Journal</w:t>
      </w:r>
      <w:r>
        <w:t>, </w:t>
      </w:r>
      <w:r>
        <w:rPr>
          <w:i/>
          <w:iCs/>
        </w:rPr>
        <w:t>42</w:t>
      </w:r>
      <w:r>
        <w:t>(3), pp.371-384.</w:t>
      </w:r>
    </w:p>
    <w:p>
      <w:pPr>
        <w:spacing w:before="120" w:after="120"/>
      </w:pPr>
      <w:r>
        <w:t>Rusch, M., Schöggl, J.P. and Baumgartner, R.J. (2023) Application of digital technologies for sustainable product management in a circular economy: A review. </w:t>
      </w:r>
      <w:r>
        <w:rPr>
          <w:i/>
          <w:iCs/>
        </w:rPr>
        <w:t>Business strategy and the environment</w:t>
      </w:r>
      <w:r>
        <w:t>, </w:t>
      </w:r>
      <w:r>
        <w:rPr>
          <w:i/>
          <w:iCs/>
        </w:rPr>
        <w:t>32</w:t>
      </w:r>
      <w:r>
        <w:t>(3), pp.1159-1174.</w:t>
      </w:r>
    </w:p>
    <w:p>
      <w:pPr>
        <w:spacing w:before="120" w:after="120"/>
      </w:pPr>
      <w:r>
        <w:t xml:space="preserve">Samsung (2025) About Us. [Online]. Available at: </w:t>
      </w:r>
      <w:r>
        <w:rPr>
          <w:rStyle w:val="25"/>
        </w:rPr>
        <w:fldChar w:fldCharType="begin"/>
      </w:r>
      <w:r>
        <w:instrText>HYPERLINK "https://www.samsung.com/us/about-us/our-business/"</w:instrText>
      </w:r>
      <w:r>
        <w:rPr>
          <w:rStyle w:val="25"/>
        </w:rPr>
        <w:fldChar w:fldCharType="separate"/>
      </w:r>
      <w:r>
        <w:rPr>
          <w:rStyle w:val="25"/>
        </w:rPr>
        <w:t>https://www.samsung.com/us/about-us/our-business/</w:t>
      </w:r>
      <w:r>
        <w:rPr>
          <w:rStyle w:val="25"/>
        </w:rPr>
        <w:fldChar w:fldCharType="end"/>
      </w:r>
      <w:r>
        <w:t xml:space="preserve">. [Accessed on: 21-03-2025]. </w:t>
      </w:r>
    </w:p>
    <w:p>
      <w:pPr>
        <w:spacing w:before="120" w:after="120"/>
      </w:pPr>
      <w:r>
        <w:t>Stacchezzini, R., Florio, C., Sproviero, A.F. and Corbella, S. (2023) Reporting challenges and organisational mechanisms of change: a Latourian perspective on risk disclosure of a pioneer company in integrated reporting. </w:t>
      </w:r>
      <w:r>
        <w:rPr>
          <w:i/>
          <w:iCs/>
        </w:rPr>
        <w:t>Journal of Accounting &amp; Organizational Change</w:t>
      </w:r>
      <w:r>
        <w:t>, </w:t>
      </w:r>
      <w:r>
        <w:rPr>
          <w:i/>
          <w:iCs/>
        </w:rPr>
        <w:t>19</w:t>
      </w:r>
      <w:r>
        <w:t>(2), pp.226-249.</w:t>
      </w:r>
    </w:p>
    <w:p>
      <w:pPr>
        <w:spacing w:before="120" w:after="120"/>
      </w:pPr>
      <w:r>
        <w:t>Sukri, S. and Yusoff, R.Z. (2021) Effect of technology strategy on organizational performance of manufacturing companies: A note on how to conduct a data screening and preliminary analysis. </w:t>
      </w:r>
      <w:r>
        <w:rPr>
          <w:i/>
          <w:iCs/>
        </w:rPr>
        <w:t>International Journal of Business and Technopreneurship</w:t>
      </w:r>
      <w:r>
        <w:t>, </w:t>
      </w:r>
      <w:r>
        <w:rPr>
          <w:i/>
          <w:iCs/>
        </w:rPr>
        <w:t>11</w:t>
      </w:r>
      <w:r>
        <w:t>(2), pp.51-68.</w:t>
      </w:r>
    </w:p>
    <w:p>
      <w:pPr>
        <w:spacing w:before="120" w:after="120"/>
      </w:pPr>
      <w:r>
        <w:t xml:space="preserve">Tesla (2025) About. [Online]. Available at: </w:t>
      </w:r>
      <w:r>
        <w:rPr>
          <w:rStyle w:val="25"/>
        </w:rPr>
        <w:fldChar w:fldCharType="begin"/>
      </w:r>
      <w:r>
        <w:instrText>HYPERLINK "https://www.tesla.com/about"</w:instrText>
      </w:r>
      <w:r>
        <w:rPr>
          <w:rStyle w:val="25"/>
        </w:rPr>
        <w:fldChar w:fldCharType="separate"/>
      </w:r>
      <w:r>
        <w:rPr>
          <w:rStyle w:val="25"/>
        </w:rPr>
        <w:t>https://www.tesla.com/about</w:t>
      </w:r>
      <w:r>
        <w:rPr>
          <w:rStyle w:val="25"/>
        </w:rPr>
        <w:fldChar w:fldCharType="end"/>
      </w:r>
      <w:r>
        <w:t xml:space="preserve">. [Accessed on: 21-03-2025]. </w:t>
      </w:r>
    </w:p>
    <w:p>
      <w:pPr>
        <w:spacing w:before="120" w:after="120"/>
      </w:pPr>
      <w:r>
        <w:t xml:space="preserve">Toyota (2025) Overview. [Online]. Available at: </w:t>
      </w:r>
      <w:r>
        <w:rPr>
          <w:rStyle w:val="25"/>
        </w:rPr>
        <w:fldChar w:fldCharType="begin"/>
      </w:r>
      <w:r>
        <w:instrText>HYPERLINK "https://global.toyota/en/company/"</w:instrText>
      </w:r>
      <w:r>
        <w:rPr>
          <w:rStyle w:val="25"/>
        </w:rPr>
        <w:fldChar w:fldCharType="separate"/>
      </w:r>
      <w:r>
        <w:rPr>
          <w:rStyle w:val="25"/>
        </w:rPr>
        <w:t>https://global.toyota/en/company/</w:t>
      </w:r>
      <w:r>
        <w:rPr>
          <w:rStyle w:val="25"/>
        </w:rPr>
        <w:fldChar w:fldCharType="end"/>
      </w:r>
      <w:r>
        <w:t xml:space="preserve">. [Accessed on: 21-03-2025]. </w:t>
      </w:r>
    </w:p>
    <w:p>
      <w:pPr>
        <w:spacing w:before="120" w:after="120"/>
      </w:pPr>
      <w:r>
        <w:t>Vaskelainen, T., Münzel, K., Boon, W. and Frenken, K. (2022) Servitisation on consumer markets: entry and strategy in Dutch private lease markets. </w:t>
      </w:r>
      <w:r>
        <w:rPr>
          <w:i/>
          <w:iCs/>
        </w:rPr>
        <w:t>Innovation</w:t>
      </w:r>
      <w:r>
        <w:t>, </w:t>
      </w:r>
      <w:r>
        <w:rPr>
          <w:i/>
          <w:iCs/>
        </w:rPr>
        <w:t>24</w:t>
      </w:r>
      <w:r>
        <w:t>(1), pp.231-250.</w:t>
      </w:r>
    </w:p>
    <w:p>
      <w:pPr>
        <w:spacing w:before="120" w:after="120"/>
      </w:pPr>
      <w:r>
        <w:t>Vendrell-Herrero, F., Gomes, E., Opazo-Basaez, M. and Bustinza, O.F. (2022) Knowledge acquisition throughout the lifecycle: product and industry learning frameworks. </w:t>
      </w:r>
      <w:r>
        <w:rPr>
          <w:i/>
          <w:iCs/>
        </w:rPr>
        <w:t>Journal of Knowledge Management</w:t>
      </w:r>
      <w:r>
        <w:t>, </w:t>
      </w:r>
      <w:r>
        <w:rPr>
          <w:i/>
          <w:iCs/>
        </w:rPr>
        <w:t>26</w:t>
      </w:r>
      <w:r>
        <w:t>(6), pp.1633-1647.</w:t>
      </w:r>
    </w:p>
    <w:p>
      <w:pPr>
        <w:spacing w:before="120" w:after="120"/>
      </w:pPr>
      <w:r>
        <w:t>Wambsganss, A., Bröring, S., Salomo, S. and Sick, N. (2023) Technology strategies in converging technology systems: Evidence from printed electronics. </w:t>
      </w:r>
      <w:r>
        <w:rPr>
          <w:i/>
          <w:iCs/>
        </w:rPr>
        <w:t>Journal of Product Innovation Management</w:t>
      </w:r>
      <w:r>
        <w:t>, </w:t>
      </w:r>
      <w:r>
        <w:rPr>
          <w:i/>
          <w:iCs/>
        </w:rPr>
        <w:t>40</w:t>
      </w:r>
      <w:r>
        <w:t>(5), pp.705-732.</w:t>
      </w:r>
    </w:p>
    <w:p>
      <w:pPr>
        <w:spacing w:before="120" w:after="120"/>
      </w:pPr>
      <w:r>
        <w:t>Wang, L., Liu, Z., Liu, A. and Tao, F. (2021) Artificial intelligence in product lifecycle management. </w:t>
      </w:r>
      <w:r>
        <w:rPr>
          <w:i/>
          <w:iCs/>
        </w:rPr>
        <w:t>The International Journal of Advanced Manufacturing Technology</w:t>
      </w:r>
      <w:r>
        <w:t>, </w:t>
      </w:r>
      <w:r>
        <w:rPr>
          <w:i/>
          <w:iCs/>
        </w:rPr>
        <w:t>114</w:t>
      </w:r>
      <w:r>
        <w:t>, pp.771-796.</w:t>
      </w:r>
    </w:p>
    <w:p>
      <w:pPr>
        <w:spacing w:before="120" w:after="120"/>
      </w:pPr>
      <w:r>
        <w:t xml:space="preserve">Xiaomi (2025) About Us. [Online]. Available at: </w:t>
      </w:r>
      <w:r>
        <w:rPr>
          <w:rStyle w:val="25"/>
        </w:rPr>
        <w:fldChar w:fldCharType="begin"/>
      </w:r>
      <w:r>
        <w:instrText>HYPERLINK "https://www.mi.com/global/about/#:~:text=Xiaomi always centers on humanity,sixth year in a row"</w:instrText>
      </w:r>
      <w:r>
        <w:rPr>
          <w:rStyle w:val="25"/>
        </w:rPr>
        <w:fldChar w:fldCharType="separate"/>
      </w:r>
      <w:r>
        <w:rPr>
          <w:rStyle w:val="25"/>
        </w:rPr>
        <w:t>https://www.mi.com/global/about/#:~:text=Xiaomi%20always%20centers%20on%20humanity,sixth%20year%20in%20a%20row</w:t>
      </w:r>
      <w:r>
        <w:rPr>
          <w:rStyle w:val="25"/>
        </w:rPr>
        <w:fldChar w:fldCharType="end"/>
      </w:r>
      <w:r>
        <w:t xml:space="preserve">. [Accessed on: 21-03-2025]. </w:t>
      </w:r>
    </w:p>
    <w:p>
      <w:pPr>
        <w:pStyle w:val="1"/>
        <w:spacing w:beforeAutospacing="0" w:afterAutospacing="0"/>
      </w:pPr>
    </w:p>
    <w:p>
      <w:pPr>
        <w:spacing w:before="120" w:after="120"/>
      </w:pPr>
    </w:p>
    <w:sectPr>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Droid Sans">
    <w:panose1 w:val="00000000000000000000"/>
    <w:charset w:val="00"/>
    <w:family w:val="auto"/>
    <w:pitch w:val="variable"/>
    <w:sig w:usb0="00000000" w:usb1="00000000" w:usb2="00000000" w:usb3="00000000" w:csb0="00000000" w:csb1="00000000"/>
  </w:font>
  <w:font w:name="等线">
    <w:altName w:val="Droid Sans"/>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等线 Light">
    <w:altName w:val="Droid Sans"/>
    <w:panose1 w:val="00000000000000000000"/>
    <w:charset w:val="00"/>
    <w:family w:val="auto"/>
    <w:pitch w:val="variable"/>
    <w:sig w:usb0="00000000" w:usb1="00000000" w:usb2="00000000" w:usb3="00000000" w:csb0="0000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360" w:lineRule="auto"/>
      <w:jc w:val="both"/>
    </w:pPr>
    <w:rPr>
      <w:rFonts w:ascii="Arial" w:eastAsia="Droid Sans" w:cs="Droid Sans" w:hAnsi="Arial"/>
      <w:kern w:val="2"/>
      <w:sz w:val="24"/>
      <w:szCs w:val="22"/>
      <w:lang w:val="en-GB" w:eastAsia="en-US" w:bidi="ar-SA"/>
    </w:rPr>
  </w:style>
  <w:style w:type="paragraph" w:styleId="1">
    <w:name w:val="heading 1"/>
    <w:basedOn w:val="0"/>
    <w:pPr>
      <w:spacing w:before="120" w:beforeAutospacing="1" w:after="120" w:afterAutospacing="1"/>
      <w:outlineLvl w:val="0"/>
    </w:pPr>
    <w:rPr>
      <w:rFonts w:eastAsia="Times New Roman" w:cs="Times New Roman"/>
      <w:b/>
      <w:bCs/>
      <w:kern w:val="36"/>
      <w:szCs w:val="48"/>
      <w:lang w:val="en-IN" w:eastAsia="en-IN"/>
    </w:rPr>
  </w:style>
  <w:style w:type="paragraph" w:styleId="2">
    <w:name w:val="heading 2"/>
    <w:basedOn w:val="0"/>
    <w:next w:val="0"/>
    <w:pPr>
      <w:keepNext/>
      <w:keepLines/>
      <w:spacing w:before="40" w:after="0"/>
      <w:outlineLvl w:val="1"/>
    </w:pPr>
    <w:rPr>
      <w:rFonts w:eastAsia="等线 Light" w:cs="Droid Sans"/>
      <w:b/>
      <w:color w:val="000000"/>
      <w:szCs w:val="26"/>
    </w:rPr>
  </w:style>
  <w:style w:type="paragraph" w:styleId="3">
    <w:name w:val="heading 3"/>
    <w:basedOn w:val="0"/>
    <w:next w:val="0"/>
    <w:pPr>
      <w:keepNext/>
      <w:keepLines/>
      <w:spacing w:before="160" w:after="80"/>
      <w:outlineLvl w:val="2"/>
    </w:pPr>
    <w:rPr>
      <w:rFonts w:ascii="Droid Sans" w:eastAsia="等线 Light" w:cs="Droid Sans" w:hAnsi="Droid Sans"/>
      <w:color w:val="2F5496"/>
      <w:sz w:val="28"/>
      <w:szCs w:val="28"/>
    </w:rPr>
  </w:style>
  <w:style w:type="paragraph" w:styleId="4">
    <w:name w:val="heading 4"/>
    <w:basedOn w:val="0"/>
    <w:next w:val="0"/>
    <w:pPr>
      <w:keepNext/>
      <w:keepLines/>
      <w:spacing w:before="80" w:after="40"/>
      <w:outlineLvl w:val="3"/>
    </w:pPr>
    <w:rPr>
      <w:rFonts w:ascii="Droid Sans" w:eastAsia="等线 Light" w:cs="Droid Sans" w:hAnsi="Droid Sans"/>
      <w:i/>
      <w:iCs/>
      <w:color w:val="2F5496"/>
    </w:rPr>
  </w:style>
  <w:style w:type="paragraph" w:styleId="5">
    <w:name w:val="heading 5"/>
    <w:basedOn w:val="0"/>
    <w:next w:val="0"/>
    <w:pPr>
      <w:keepNext/>
      <w:keepLines/>
      <w:spacing w:before="80" w:after="40"/>
      <w:outlineLvl w:val="4"/>
    </w:pPr>
    <w:rPr>
      <w:rFonts w:ascii="Droid Sans" w:eastAsia="等线 Light" w:cs="Droid Sans" w:hAnsi="Droid Sans"/>
      <w:color w:val="2F5496"/>
    </w:rPr>
  </w:style>
  <w:style w:type="paragraph" w:styleId="6">
    <w:name w:val="heading 6"/>
    <w:basedOn w:val="0"/>
    <w:next w:val="0"/>
    <w:pPr>
      <w:keepNext/>
      <w:keepLines/>
      <w:spacing w:before="40" w:after="0"/>
      <w:outlineLvl w:val="5"/>
    </w:pPr>
    <w:rPr>
      <w:rFonts w:ascii="Droid Sans" w:eastAsia="等线 Light" w:cs="Droid Sans" w:hAnsi="Droid Sans"/>
      <w:i/>
      <w:iCs/>
      <w:color w:val="595959"/>
    </w:rPr>
  </w:style>
  <w:style w:type="paragraph" w:styleId="7">
    <w:name w:val="heading 7"/>
    <w:basedOn w:val="0"/>
    <w:next w:val="0"/>
    <w:pPr>
      <w:keepNext/>
      <w:keepLines/>
      <w:spacing w:before="40" w:after="0"/>
      <w:outlineLvl w:val="6"/>
    </w:pPr>
    <w:rPr>
      <w:rFonts w:ascii="Droid Sans" w:eastAsia="等线 Light" w:cs="Droid Sans" w:hAnsi="Droid Sans"/>
      <w:color w:val="595959"/>
    </w:rPr>
  </w:style>
  <w:style w:type="paragraph" w:styleId="8">
    <w:name w:val="heading 8"/>
    <w:basedOn w:val="0"/>
    <w:next w:val="0"/>
    <w:pPr>
      <w:keepNext/>
      <w:keepLines/>
      <w:spacing w:after="0"/>
      <w:outlineLvl w:val="7"/>
    </w:pPr>
    <w:rPr>
      <w:rFonts w:ascii="Droid Sans" w:eastAsia="等线 Light" w:cs="Droid Sans" w:hAnsi="Droid Sans"/>
      <w:i/>
      <w:iCs/>
      <w:color w:val="272727"/>
    </w:rPr>
  </w:style>
  <w:style w:type="paragraph" w:styleId="9">
    <w:name w:val="heading 9"/>
    <w:basedOn w:val="0"/>
    <w:next w:val="0"/>
    <w:pPr>
      <w:keepNext/>
      <w:keepLines/>
      <w:spacing w:after="0"/>
      <w:outlineLvl w:val="8"/>
    </w:pPr>
    <w:rPr>
      <w:rFonts w:ascii="Droid Sans" w:eastAsia="等线 Light" w:cs="Droid Sans" w:hAnsi="Droid Sans"/>
      <w:color w:val="272727"/>
    </w:rPr>
  </w:style>
  <w:style w:type="character" w:default="1" w:styleId="10">
    <w:name w:val="Default Paragraph Font"/>
  </w:style>
  <w:style w:type="paragraph" w:styleId="15">
    <w:name w:val="Title"/>
    <w:basedOn w:val="0"/>
    <w:next w:val="0"/>
    <w:pPr>
      <w:spacing w:after="80" w:line="240" w:lineRule="auto"/>
      <w:contextualSpacing/>
    </w:pPr>
    <w:rPr>
      <w:rFonts w:ascii="Droid Sans" w:eastAsia="等线 Light" w:cs="Droid Sans" w:hAnsi="Droid Sans"/>
      <w:spacing w:val="-10"/>
      <w:kern w:val="28"/>
      <w:sz w:val="56"/>
      <w:szCs w:val="56"/>
    </w:rPr>
  </w:style>
  <w:style w:type="paragraph" w:styleId="16">
    <w:name w:val="Subtitle"/>
    <w:basedOn w:val="0"/>
    <w:next w:val="0"/>
    <w:rPr>
      <w:rFonts w:ascii="Droid Sans" w:eastAsia="等线 Light" w:cs="Droid Sans" w:hAnsi="Droid Sans"/>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2F5496"/>
    </w:rPr>
  </w:style>
  <w:style w:type="paragraph" w:customStyle="1" w:styleId="20">
    <w:name w:val="Intense Quote"/>
    <w:basedOn w:val="0"/>
    <w:next w:val="0"/>
    <w:pPr>
      <w:pBdr>
        <w:top w:val="single" w:sz="4" w:space="10" w:color="2F5496"/>
        <w:bottom w:val="single" w:sz="4" w:space="10" w:color="2F5496"/>
      </w:pBdr>
      <w:spacing w:before="360" w:after="360"/>
      <w:ind w:left="864" w:right="864"/>
      <w:jc w:val="center"/>
    </w:pPr>
    <w:rPr>
      <w:i/>
      <w:iCs/>
      <w:color w:val="2F5496"/>
    </w:rPr>
  </w:style>
  <w:style w:type="character" w:customStyle="1" w:styleId="21">
    <w:name w:val="Intense Reference"/>
    <w:basedOn w:val="10"/>
    <w:rPr>
      <w:b/>
      <w:bCs/>
      <w:caps w:val="0"/>
      <w:smallCaps/>
      <w:color w:val="2F5496"/>
      <w:spacing w:val="5"/>
    </w:rPr>
  </w:style>
  <w:style w:type="paragraph" w:customStyle="1" w:styleId="22">
    <w:name w:val="TOC Heading"/>
    <w:basedOn w:val="1"/>
    <w:next w:val="0"/>
    <w:pPr>
      <w:keepNext/>
      <w:keepLines/>
      <w:spacing w:before="240" w:beforeAutospacing="0" w:after="0" w:afterAutospacing="0" w:line="259" w:lineRule="auto"/>
      <w:jc w:val="left"/>
      <w:outlineLvl w:val="9"/>
    </w:pPr>
    <w:rPr>
      <w:rFonts w:ascii="Droid Sans" w:eastAsia="等线 Light" w:cs="Droid Sans" w:hAnsi="Droid Sans"/>
      <w:b w:val="0"/>
      <w:bCs w:val="0"/>
      <w:color w:val="2F5496"/>
      <w:kern w:val="0"/>
      <w:sz w:val="32"/>
      <w:szCs w:val="32"/>
      <w:lang w:val="en-US" w:eastAsia="en-US"/>
    </w:rPr>
  </w:style>
  <w:style w:type="paragraph" w:styleId="23">
    <w:name w:val="toc 1"/>
    <w:basedOn w:val="0"/>
    <w:autoRedefine/>
    <w:next w:val="0"/>
    <w:pPr>
      <w:spacing w:after="100"/>
    </w:pPr>
  </w:style>
  <w:style w:type="paragraph" w:styleId="24">
    <w:name w:val="toc 2"/>
    <w:basedOn w:val="0"/>
    <w:autoRedefine/>
    <w:next w:val="0"/>
    <w:pPr>
      <w:spacing w:after="100"/>
      <w:ind w:left="240"/>
    </w:pPr>
  </w:style>
  <w:style w:type="character" w:styleId="25">
    <w:name w:val="Hyperlink"/>
    <w:basedOn w:val="10"/>
    <w:rPr>
      <w:color w:val="0563C1"/>
      <w:u w:val="single"/>
    </w:rPr>
  </w:style>
  <w:style w:type="paragraph" w:styleId="26">
    <w:name w:val="header"/>
    <w:basedOn w:val="0"/>
    <w:pPr>
      <w:tabs>
        <w:tab w:val="center" w:pos="4513"/>
        <w:tab w:val="right" w:pos="9026"/>
      </w:tabs>
      <w:spacing w:after="0" w:line="240" w:lineRule="auto"/>
    </w:pPr>
  </w:style>
  <w:style w:type="paragraph" w:styleId="27">
    <w:name w:val="footer"/>
    <w:basedOn w:val="0"/>
    <w:pPr>
      <w:tabs>
        <w:tab w:val="center" w:pos="4513"/>
        <w:tab w:val="right" w:pos="9026"/>
      </w:tabs>
      <w:spacing w:after="0" w:line="240" w:lineRule="auto"/>
    </w:pPr>
  </w:style>
  <w:style w:type="paragraph" w:styleId="28">
    <w:name w:val="caption"/>
    <w:basedOn w:val="0"/>
    <w:next w:val="0"/>
    <w:pPr>
      <w:spacing w:after="200" w:line="240" w:lineRule="auto"/>
    </w:pPr>
    <w:rPr>
      <w:i/>
      <w:iCs/>
      <w:color w:val="44546A"/>
      <w:sz w:val="18"/>
      <w:szCs w:val="1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styles" Target="styles.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1</TotalTime>
  <Application>Yozo_Office</Application>
  <Pages>13</Pages>
  <Words>3302</Words>
  <Characters>20406</Characters>
  <Lines>349</Lines>
  <Paragraphs>98</Paragraphs>
  <CharactersWithSpaces>23654</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1</cp:revision>
  <dcterms:created xsi:type="dcterms:W3CDTF">2025-03-21T13:25:00Z</dcterms:created>
  <dcterms:modified xsi:type="dcterms:W3CDTF">2025-03-28T05:57:01Z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4e035651985387854934f64b824eab4da70602df7cd5264fb238b2feef52f6e8</vt:lpwstr>
  </property>
</Properties>
</file>