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918FD" w14:textId="2E7C555D" w:rsidR="00CE25FA" w:rsidRDefault="00D016A3" w:rsidP="00CE25FA">
      <w:pPr>
        <w:pStyle w:val="NormalWeb"/>
        <w:spacing w:before="0" w:beforeAutospacing="0" w:after="0" w:afterAutospacing="0"/>
        <w:ind w:left="-180" w:right="-334"/>
      </w:pPr>
      <w:r>
        <w:t xml:space="preserve"> </w:t>
      </w:r>
      <w:r w:rsidR="00CE25FA">
        <w:rPr>
          <w:noProof/>
          <w:lang w:val="en-US" w:eastAsia="en-US"/>
        </w:rPr>
        <w:drawing>
          <wp:inline distT="0" distB="0" distL="0" distR="0" wp14:anchorId="48933A1C" wp14:editId="34C14B1C">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AB0936D" w14:textId="77777777" w:rsidR="00CE25FA" w:rsidRDefault="00CE25FA" w:rsidP="00CE25FA">
      <w:pPr>
        <w:pStyle w:val="NormalWeb"/>
        <w:spacing w:before="0" w:beforeAutospacing="0" w:after="0" w:afterAutospacing="0"/>
        <w:ind w:left="-180" w:right="-334"/>
      </w:pPr>
    </w:p>
    <w:p w14:paraId="13149D8F" w14:textId="77777777" w:rsidR="00CE25FA" w:rsidRDefault="00CE25FA" w:rsidP="00CE25FA">
      <w:pPr>
        <w:pStyle w:val="NormalWeb"/>
        <w:spacing w:before="0" w:beforeAutospacing="0" w:after="0" w:afterAutospacing="0"/>
        <w:ind w:left="-180" w:right="-334"/>
      </w:pPr>
    </w:p>
    <w:p w14:paraId="18ED2C13" w14:textId="77777777" w:rsidR="00CE25FA" w:rsidRDefault="00CE25FA" w:rsidP="00CE25F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DC0A66C" w14:textId="77777777" w:rsidR="00CE25FA" w:rsidRPr="00230F35" w:rsidRDefault="00CE25FA" w:rsidP="00CE25F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2BD6F0D" w14:textId="77777777" w:rsidR="00CE25FA" w:rsidRPr="00230F35" w:rsidRDefault="00CE25FA" w:rsidP="00CE25FA">
      <w:pPr>
        <w:rPr>
          <w:rFonts w:ascii="Arial" w:hAnsi="Arial" w:cs="Arial"/>
          <w:sz w:val="28"/>
          <w:szCs w:val="28"/>
          <w:lang w:val="cy-GB"/>
        </w:rPr>
      </w:pPr>
    </w:p>
    <w:p w14:paraId="785A1C30" w14:textId="77777777" w:rsidR="00CE25FA" w:rsidRDefault="00CE25FA" w:rsidP="00CE25FA">
      <w:pPr>
        <w:pStyle w:val="Heading3"/>
        <w:jc w:val="center"/>
        <w:rPr>
          <w:lang w:val="cy-GB"/>
        </w:rPr>
      </w:pPr>
      <w:r>
        <w:rPr>
          <w:lang w:val="cy-GB"/>
        </w:rPr>
        <w:t>THIS SHEET MUST BE THE FIRST PAGE OF THE ASSIGNMENT YOU ARE SUBMITTING  (DO NOT SEND AS A SEPARATE FILE)</w:t>
      </w:r>
    </w:p>
    <w:p w14:paraId="33F84ECE" w14:textId="77777777" w:rsidR="00CE25FA" w:rsidRDefault="00CE25FA" w:rsidP="00CE25F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E25FA" w:rsidRPr="00230F35" w14:paraId="47E12029" w14:textId="77777777" w:rsidTr="009B3F94">
        <w:trPr>
          <w:trHeight w:val="614"/>
        </w:trPr>
        <w:tc>
          <w:tcPr>
            <w:tcW w:w="8856" w:type="dxa"/>
            <w:gridSpan w:val="5"/>
          </w:tcPr>
          <w:p w14:paraId="57F407EE" w14:textId="7777777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E25FA" w:rsidRPr="00230F35" w14:paraId="77B71195" w14:textId="77777777" w:rsidTr="009B3F94">
        <w:trPr>
          <w:trHeight w:val="718"/>
        </w:trPr>
        <w:tc>
          <w:tcPr>
            <w:tcW w:w="8856" w:type="dxa"/>
            <w:gridSpan w:val="5"/>
          </w:tcPr>
          <w:p w14:paraId="229B918C" w14:textId="5264419B"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Wendy Fey</w:t>
            </w:r>
          </w:p>
          <w:p w14:paraId="452B7ABB" w14:textId="77777777" w:rsidR="00CE25FA" w:rsidRPr="00230F35" w:rsidRDefault="00CE25FA" w:rsidP="009B3F94">
            <w:pPr>
              <w:pStyle w:val="NormalWeb"/>
              <w:spacing w:before="0" w:beforeAutospacing="0" w:after="0" w:afterAutospacing="0"/>
              <w:ind w:right="34"/>
              <w:rPr>
                <w:rFonts w:ascii="Arial" w:hAnsi="Arial" w:cs="Arial"/>
                <w:sz w:val="22"/>
                <w:szCs w:val="22"/>
              </w:rPr>
            </w:pPr>
          </w:p>
          <w:p w14:paraId="30102DBA" w14:textId="042E99F2"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2011982@student.uwtsd.ac.uk</w:t>
            </w:r>
          </w:p>
        </w:tc>
      </w:tr>
      <w:tr w:rsidR="00CE25FA" w:rsidRPr="00230F35" w14:paraId="10518DA4" w14:textId="77777777" w:rsidTr="009B3F94">
        <w:trPr>
          <w:trHeight w:val="849"/>
        </w:trPr>
        <w:tc>
          <w:tcPr>
            <w:tcW w:w="4788" w:type="dxa"/>
          </w:tcPr>
          <w:p w14:paraId="452A793D" w14:textId="4421FA92"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w:t>
            </w:r>
            <w:r w:rsidR="00213807">
              <w:rPr>
                <w:rFonts w:ascii="Arial" w:hAnsi="Arial" w:cs="Arial"/>
                <w:sz w:val="22"/>
                <w:szCs w:val="22"/>
              </w:rPr>
              <w:t>6</w:t>
            </w:r>
          </w:p>
          <w:p w14:paraId="0979F999" w14:textId="77777777" w:rsidR="00CE25FA" w:rsidRPr="00230F35" w:rsidRDefault="00CE25FA" w:rsidP="009B3F94">
            <w:pPr>
              <w:pStyle w:val="NormalWeb"/>
              <w:spacing w:before="0" w:beforeAutospacing="0" w:after="0" w:afterAutospacing="0"/>
              <w:ind w:right="34"/>
              <w:rPr>
                <w:rFonts w:ascii="Arial" w:hAnsi="Arial" w:cs="Arial"/>
                <w:sz w:val="22"/>
                <w:szCs w:val="22"/>
              </w:rPr>
            </w:pPr>
          </w:p>
          <w:p w14:paraId="27690D4B" w14:textId="7C95D076"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2D4A32">
              <w:rPr>
                <w:rFonts w:ascii="Arial" w:hAnsi="Arial" w:cs="Arial"/>
                <w:sz w:val="22"/>
                <w:szCs w:val="22"/>
              </w:rPr>
              <w:t xml:space="preserve"> </w:t>
            </w:r>
            <w:r w:rsidR="00213807">
              <w:rPr>
                <w:rFonts w:ascii="Arial" w:hAnsi="Arial" w:cs="Arial"/>
                <w:sz w:val="22"/>
                <w:szCs w:val="22"/>
              </w:rPr>
              <w:t>Researching Contemporary Cosmologies</w:t>
            </w:r>
          </w:p>
          <w:p w14:paraId="042FBE42" w14:textId="77777777" w:rsidR="00CE25FA" w:rsidRDefault="00CE25FA" w:rsidP="009B3F94">
            <w:pPr>
              <w:pStyle w:val="NormalWeb"/>
              <w:spacing w:before="0" w:beforeAutospacing="0" w:after="0" w:afterAutospacing="0"/>
              <w:ind w:right="34"/>
              <w:rPr>
                <w:rFonts w:ascii="Arial" w:hAnsi="Arial" w:cs="Arial"/>
                <w:sz w:val="22"/>
                <w:szCs w:val="22"/>
              </w:rPr>
            </w:pPr>
          </w:p>
          <w:p w14:paraId="36A28C72" w14:textId="77777777" w:rsidR="00CE25FA" w:rsidRPr="00230F35" w:rsidRDefault="00CE25FA" w:rsidP="009B3F94">
            <w:pPr>
              <w:pStyle w:val="NormalWeb"/>
              <w:spacing w:before="0" w:beforeAutospacing="0" w:after="0" w:afterAutospacing="0"/>
              <w:ind w:right="34"/>
              <w:rPr>
                <w:rFonts w:ascii="Arial" w:hAnsi="Arial" w:cs="Arial"/>
                <w:sz w:val="22"/>
                <w:szCs w:val="22"/>
              </w:rPr>
            </w:pPr>
          </w:p>
        </w:tc>
        <w:tc>
          <w:tcPr>
            <w:tcW w:w="2266" w:type="dxa"/>
            <w:gridSpan w:val="3"/>
          </w:tcPr>
          <w:p w14:paraId="13E3727C" w14:textId="77777777"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4F2BA2C" w14:textId="34310AB8" w:rsidR="00CE25FA" w:rsidRPr="00230F35" w:rsidRDefault="00CE25FA" w:rsidP="009B3F94">
            <w:pPr>
              <w:pStyle w:val="NormalWeb"/>
              <w:spacing w:before="0" w:beforeAutospacing="0" w:after="0" w:afterAutospacing="0"/>
              <w:ind w:right="34"/>
              <w:rPr>
                <w:rFonts w:ascii="Arial" w:hAnsi="Arial" w:cs="Arial"/>
                <w:sz w:val="22"/>
                <w:szCs w:val="22"/>
              </w:rPr>
            </w:pPr>
            <w:r>
              <w:rPr>
                <w:rFonts w:ascii="Arial" w:hAnsi="Arial" w:cs="Arial"/>
                <w:sz w:val="22"/>
                <w:szCs w:val="22"/>
              </w:rPr>
              <w:t>2011982</w:t>
            </w:r>
          </w:p>
        </w:tc>
        <w:tc>
          <w:tcPr>
            <w:tcW w:w="1802" w:type="dxa"/>
          </w:tcPr>
          <w:p w14:paraId="3EDCEBC6" w14:textId="7777777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C4DD0D7" w14:textId="6CD8C447" w:rsidR="00CE25FA" w:rsidRPr="00230F35" w:rsidRDefault="00CE25FA" w:rsidP="009B3F94">
            <w:pPr>
              <w:pStyle w:val="NormalWeb"/>
              <w:spacing w:before="0" w:beforeAutospacing="0" w:after="0" w:afterAutospacing="0"/>
              <w:ind w:right="34"/>
              <w:rPr>
                <w:rFonts w:ascii="Arial" w:hAnsi="Arial" w:cs="Arial"/>
                <w:sz w:val="22"/>
                <w:szCs w:val="22"/>
              </w:rPr>
            </w:pPr>
            <w:r w:rsidRPr="00CE25FA">
              <w:rPr>
                <w:rFonts w:ascii="Arial" w:hAnsi="Arial" w:cs="Arial"/>
                <w:sz w:val="22"/>
                <w:szCs w:val="22"/>
              </w:rPr>
              <w:t>No</w:t>
            </w:r>
          </w:p>
        </w:tc>
      </w:tr>
      <w:tr w:rsidR="00CE25FA" w:rsidRPr="00230F35" w14:paraId="4C17C666" w14:textId="77777777" w:rsidTr="009B3F94">
        <w:trPr>
          <w:trHeight w:val="1139"/>
        </w:trPr>
        <w:tc>
          <w:tcPr>
            <w:tcW w:w="8856" w:type="dxa"/>
            <w:gridSpan w:val="5"/>
          </w:tcPr>
          <w:p w14:paraId="23B395A3" w14:textId="4B22C84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75341E">
              <w:rPr>
                <w:rFonts w:ascii="Arial" w:hAnsi="Arial" w:cs="Arial"/>
                <w:sz w:val="22"/>
                <w:szCs w:val="22"/>
              </w:rPr>
              <w:t xml:space="preserve"> </w:t>
            </w:r>
            <w:r w:rsidR="00F94A02">
              <w:rPr>
                <w:rFonts w:ascii="Arial" w:hAnsi="Arial" w:cs="Arial"/>
                <w:sz w:val="22"/>
                <w:szCs w:val="22"/>
              </w:rPr>
              <w:t>A Critical Comparison of</w:t>
            </w:r>
            <w:r w:rsidR="00C70CB2">
              <w:rPr>
                <w:rFonts w:ascii="Arial" w:hAnsi="Arial" w:cs="Arial"/>
                <w:sz w:val="22"/>
                <w:szCs w:val="22"/>
              </w:rPr>
              <w:t xml:space="preserve"> two Secondary Sources</w:t>
            </w:r>
          </w:p>
          <w:p w14:paraId="3B804583" w14:textId="77777777" w:rsidR="00CE25FA" w:rsidRPr="00230F35" w:rsidRDefault="00CE25FA" w:rsidP="009B3F94">
            <w:pPr>
              <w:pStyle w:val="NormalWeb"/>
              <w:spacing w:before="0" w:beforeAutospacing="0" w:after="0" w:afterAutospacing="0"/>
              <w:ind w:right="34"/>
              <w:rPr>
                <w:rFonts w:ascii="Arial" w:hAnsi="Arial" w:cs="Arial"/>
                <w:sz w:val="22"/>
                <w:szCs w:val="22"/>
              </w:rPr>
            </w:pPr>
          </w:p>
          <w:p w14:paraId="42F78E61" w14:textId="77777777" w:rsidR="00CE25FA" w:rsidRDefault="00CE25FA" w:rsidP="009B3F94">
            <w:pPr>
              <w:pStyle w:val="NormalWeb"/>
              <w:spacing w:before="0" w:beforeAutospacing="0" w:after="0" w:afterAutospacing="0"/>
              <w:ind w:right="34"/>
              <w:rPr>
                <w:rFonts w:ascii="Arial" w:hAnsi="Arial" w:cs="Arial"/>
                <w:sz w:val="22"/>
                <w:szCs w:val="22"/>
              </w:rPr>
            </w:pPr>
          </w:p>
          <w:p w14:paraId="2E1DE646" w14:textId="1A6B3EFF"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75341E">
              <w:rPr>
                <w:rFonts w:ascii="Arial" w:hAnsi="Arial" w:cs="Arial"/>
                <w:sz w:val="22"/>
                <w:szCs w:val="22"/>
              </w:rPr>
              <w:t xml:space="preserve"> </w:t>
            </w:r>
          </w:p>
        </w:tc>
      </w:tr>
      <w:tr w:rsidR="00CE25FA" w:rsidRPr="00230F35" w14:paraId="27041619" w14:textId="77777777" w:rsidTr="009B3F94">
        <w:trPr>
          <w:trHeight w:val="978"/>
        </w:trPr>
        <w:tc>
          <w:tcPr>
            <w:tcW w:w="8856" w:type="dxa"/>
            <w:gridSpan w:val="5"/>
            <w:tcBorders>
              <w:bottom w:val="single" w:sz="4" w:space="0" w:color="000000"/>
            </w:tcBorders>
          </w:tcPr>
          <w:p w14:paraId="47230F05" w14:textId="102DE4E6" w:rsidR="00CE25FA" w:rsidRPr="00230F35" w:rsidRDefault="00CE25FA" w:rsidP="009B3F94">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385934">
              <w:rPr>
                <w:rFonts w:ascii="MS Gothic" w:eastAsia="MS Gothic" w:hAnsi="MS Gothic" w:cs="MS Gothic" w:hint="eastAsia"/>
                <w:color w:val="222222"/>
                <w:shd w:val="clear" w:color="auto" w:fill="FFFFFF"/>
              </w:rPr>
              <w:t>✔</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00B85FCB">
              <w:rPr>
                <w:rFonts w:ascii="Arial" w:hAnsi="Arial" w:cs="Arial"/>
              </w:rPr>
            </w:r>
            <w:r w:rsidR="00B85FCB">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00B85FCB">
              <w:rPr>
                <w:rFonts w:ascii="Arial" w:hAnsi="Arial" w:cs="Arial"/>
              </w:rPr>
            </w:r>
            <w:r w:rsidR="00B85FCB">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00B85FCB">
              <w:rPr>
                <w:rFonts w:ascii="Arial" w:hAnsi="Arial" w:cs="Arial"/>
              </w:rPr>
            </w:r>
            <w:r w:rsidR="00B85FCB">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00B85FCB">
              <w:rPr>
                <w:rFonts w:ascii="Arial" w:hAnsi="Arial" w:cs="Arial"/>
              </w:rPr>
            </w:r>
            <w:r w:rsidR="00B85FCB">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CE25FA" w:rsidRPr="00230F35" w14:paraId="59EBFABF" w14:textId="77777777" w:rsidTr="009B3F94">
        <w:trPr>
          <w:trHeight w:val="978"/>
        </w:trPr>
        <w:tc>
          <w:tcPr>
            <w:tcW w:w="8856" w:type="dxa"/>
            <w:gridSpan w:val="5"/>
            <w:shd w:val="clear" w:color="auto" w:fill="D9D9D9"/>
          </w:tcPr>
          <w:p w14:paraId="62D08A68" w14:textId="7777777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55AA300" w14:textId="77777777"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12C346E" w14:textId="3CCDCFF9" w:rsidR="00CE25FA" w:rsidRPr="00323E2B" w:rsidRDefault="00CE25FA" w:rsidP="009B3F94">
            <w:pPr>
              <w:pStyle w:val="NormalWeb"/>
              <w:spacing w:before="0" w:beforeAutospacing="0" w:after="0" w:afterAutospacing="0"/>
              <w:ind w:right="34"/>
              <w:rPr>
                <w:rFonts w:ascii="Wingdings" w:hAnsi="Wingdings" w:cs="Calibri" w:hint="eastAsia"/>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00323E2B">
              <w:rPr>
                <w:rFonts w:ascii="MS Gothic" w:eastAsia="MS Gothic" w:hAnsi="MS Gothic" w:cs="MS Gothic" w:hint="eastAsia"/>
                <w:color w:val="222222"/>
                <w:shd w:val="clear" w:color="auto" w:fill="FFFFFF"/>
              </w:rPr>
              <w:t>✔</w:t>
            </w:r>
          </w:p>
          <w:p w14:paraId="07E43C5A" w14:textId="77777777" w:rsidR="00CE25FA" w:rsidRPr="00230F35" w:rsidRDefault="00CE25FA" w:rsidP="009B3F94">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E25FA" w:rsidRPr="00230F35" w14:paraId="1F98AFF2" w14:textId="77777777" w:rsidTr="009B3F94">
        <w:trPr>
          <w:trHeight w:val="3972"/>
        </w:trPr>
        <w:tc>
          <w:tcPr>
            <w:tcW w:w="8856" w:type="dxa"/>
            <w:gridSpan w:val="5"/>
          </w:tcPr>
          <w:p w14:paraId="4CFF581D" w14:textId="77777777" w:rsidR="00CE25FA" w:rsidRDefault="00CE25FA" w:rsidP="009B3F94">
            <w:pPr>
              <w:rPr>
                <w:rFonts w:ascii="Arial" w:hAnsi="Arial"/>
                <w:b/>
              </w:rPr>
            </w:pPr>
          </w:p>
          <w:p w14:paraId="7AE42B7F" w14:textId="77777777" w:rsidR="00CE25FA" w:rsidRPr="00116CE6" w:rsidRDefault="00CE25FA" w:rsidP="009B3F9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E25FA" w:rsidRPr="00116CE6" w14:paraId="0F5A8F80" w14:textId="77777777" w:rsidTr="009B3F94">
              <w:tc>
                <w:tcPr>
                  <w:tcW w:w="6970" w:type="dxa"/>
                </w:tcPr>
                <w:p w14:paraId="1E65949C" w14:textId="77777777" w:rsidR="00CE25FA" w:rsidRPr="00116CE6" w:rsidRDefault="00CE25FA" w:rsidP="009B3F94">
                  <w:pPr>
                    <w:rPr>
                      <w:rFonts w:ascii="Arial" w:hAnsi="Arial"/>
                      <w:sz w:val="20"/>
                      <w:szCs w:val="20"/>
                    </w:rPr>
                  </w:pPr>
                </w:p>
                <w:p w14:paraId="3A02E6AF" w14:textId="77777777" w:rsidR="00CE25FA" w:rsidRPr="00116CE6" w:rsidRDefault="00CE25FA" w:rsidP="009B3F9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C58A264" w14:textId="77777777" w:rsidR="00CE25FA" w:rsidRPr="00116CE6" w:rsidRDefault="00CE25FA" w:rsidP="009B3F94">
                  <w:pPr>
                    <w:rPr>
                      <w:rFonts w:ascii="Arial" w:hAnsi="Arial"/>
                      <w:sz w:val="20"/>
                      <w:szCs w:val="20"/>
                    </w:rPr>
                  </w:pPr>
                </w:p>
              </w:tc>
            </w:tr>
            <w:tr w:rsidR="00CE25FA" w:rsidRPr="00116CE6" w14:paraId="7F30A1EB" w14:textId="77777777" w:rsidTr="009B3F94">
              <w:tc>
                <w:tcPr>
                  <w:tcW w:w="6970" w:type="dxa"/>
                </w:tcPr>
                <w:p w14:paraId="203FEBAE" w14:textId="77777777" w:rsidR="00CE25FA" w:rsidRPr="00116CE6" w:rsidRDefault="00CE25FA" w:rsidP="009B3F94">
                  <w:pPr>
                    <w:rPr>
                      <w:rFonts w:ascii="Arial" w:hAnsi="Arial"/>
                      <w:sz w:val="20"/>
                      <w:szCs w:val="20"/>
                    </w:rPr>
                  </w:pPr>
                </w:p>
                <w:p w14:paraId="4F41454E" w14:textId="77777777" w:rsidR="00CE25FA" w:rsidRPr="00116CE6" w:rsidRDefault="00CE25FA" w:rsidP="009B3F9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60CAC09" w14:textId="77777777" w:rsidR="00CE25FA" w:rsidRPr="00116CE6" w:rsidRDefault="00CE25FA" w:rsidP="009B3F94">
                  <w:pPr>
                    <w:rPr>
                      <w:rFonts w:ascii="Arial" w:hAnsi="Arial"/>
                      <w:sz w:val="20"/>
                      <w:szCs w:val="20"/>
                    </w:rPr>
                  </w:pPr>
                </w:p>
              </w:tc>
            </w:tr>
            <w:tr w:rsidR="00CE25FA" w:rsidRPr="00116CE6" w14:paraId="1073779E" w14:textId="77777777" w:rsidTr="009B3F94">
              <w:tc>
                <w:tcPr>
                  <w:tcW w:w="6970" w:type="dxa"/>
                </w:tcPr>
                <w:p w14:paraId="07C0AD9C" w14:textId="77777777" w:rsidR="00CE25FA" w:rsidRPr="00116CE6" w:rsidRDefault="00CE25FA" w:rsidP="009B3F94">
                  <w:pPr>
                    <w:rPr>
                      <w:rFonts w:ascii="Arial" w:hAnsi="Arial"/>
                      <w:sz w:val="20"/>
                      <w:szCs w:val="20"/>
                    </w:rPr>
                  </w:pPr>
                </w:p>
                <w:p w14:paraId="05D0E91B" w14:textId="77777777" w:rsidR="00CE25FA" w:rsidRPr="00116CE6" w:rsidRDefault="00CE25FA" w:rsidP="009B3F9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A8B6376" w14:textId="77777777" w:rsidR="00CE25FA" w:rsidRPr="00116CE6" w:rsidRDefault="00CE25FA" w:rsidP="009B3F94">
                  <w:pPr>
                    <w:rPr>
                      <w:rFonts w:ascii="Arial" w:hAnsi="Arial"/>
                      <w:sz w:val="20"/>
                      <w:szCs w:val="20"/>
                    </w:rPr>
                  </w:pPr>
                </w:p>
              </w:tc>
            </w:tr>
            <w:tr w:rsidR="00CE25FA" w:rsidRPr="00116CE6" w14:paraId="20F3E1AD" w14:textId="77777777" w:rsidTr="009B3F94">
              <w:tc>
                <w:tcPr>
                  <w:tcW w:w="6970" w:type="dxa"/>
                </w:tcPr>
                <w:p w14:paraId="38C0A265" w14:textId="77777777" w:rsidR="00CE25FA" w:rsidRDefault="00CE25FA" w:rsidP="009B3F94">
                  <w:pPr>
                    <w:rPr>
                      <w:rFonts w:ascii="Arial" w:hAnsi="Arial"/>
                      <w:sz w:val="20"/>
                      <w:szCs w:val="20"/>
                    </w:rPr>
                  </w:pPr>
                </w:p>
                <w:p w14:paraId="5122C6CB" w14:textId="77777777" w:rsidR="00CE25FA" w:rsidRPr="00022345" w:rsidRDefault="00CE25FA" w:rsidP="009B3F94">
                  <w:pPr>
                    <w:rPr>
                      <w:rFonts w:ascii="Arial" w:hAnsi="Arial"/>
                      <w:b/>
                      <w:sz w:val="20"/>
                      <w:szCs w:val="20"/>
                    </w:rPr>
                  </w:pPr>
                  <w:r w:rsidRPr="00022345">
                    <w:rPr>
                      <w:rFonts w:ascii="Arial" w:hAnsi="Arial"/>
                      <w:b/>
                      <w:sz w:val="20"/>
                      <w:szCs w:val="20"/>
                    </w:rPr>
                    <w:t>Final Mark</w:t>
                  </w:r>
                </w:p>
                <w:p w14:paraId="3E314C3D" w14:textId="77777777" w:rsidR="00CE25FA" w:rsidRPr="00116CE6" w:rsidRDefault="00CE25FA" w:rsidP="009B3F94">
                  <w:pPr>
                    <w:rPr>
                      <w:rFonts w:ascii="Arial" w:hAnsi="Arial"/>
                      <w:sz w:val="20"/>
                      <w:szCs w:val="20"/>
                    </w:rPr>
                  </w:pPr>
                </w:p>
              </w:tc>
              <w:tc>
                <w:tcPr>
                  <w:tcW w:w="1660" w:type="dxa"/>
                </w:tcPr>
                <w:p w14:paraId="0446889F" w14:textId="77777777" w:rsidR="00CE25FA" w:rsidRPr="00116CE6" w:rsidRDefault="00CE25FA" w:rsidP="009B3F94">
                  <w:pPr>
                    <w:rPr>
                      <w:rFonts w:ascii="Arial" w:hAnsi="Arial"/>
                      <w:sz w:val="20"/>
                      <w:szCs w:val="20"/>
                    </w:rPr>
                  </w:pPr>
                </w:p>
              </w:tc>
            </w:tr>
          </w:tbl>
          <w:p w14:paraId="4725803D" w14:textId="77777777" w:rsidR="00CE25FA" w:rsidRDefault="00CE25FA" w:rsidP="009B3F94">
            <w:pPr>
              <w:pStyle w:val="NormalWeb"/>
              <w:spacing w:before="0" w:beforeAutospacing="0" w:after="0" w:afterAutospacing="0"/>
              <w:ind w:left="142" w:right="34"/>
              <w:rPr>
                <w:rFonts w:ascii="Arial" w:hAnsi="Arial" w:cs="Arial"/>
                <w:b/>
                <w:sz w:val="22"/>
                <w:szCs w:val="22"/>
              </w:rPr>
            </w:pPr>
          </w:p>
          <w:p w14:paraId="04B58E90" w14:textId="77777777" w:rsidR="00CE25FA" w:rsidRPr="00230F35" w:rsidRDefault="00CE25FA" w:rsidP="009B3F9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42ADB17" w14:textId="77777777" w:rsidR="00CE25FA" w:rsidRDefault="00CE25FA" w:rsidP="009B3F94">
            <w:pPr>
              <w:pStyle w:val="NormalWeb"/>
              <w:spacing w:before="0" w:beforeAutospacing="0" w:after="0" w:afterAutospacing="0"/>
              <w:rPr>
                <w:rFonts w:ascii="Arial" w:hAnsi="Arial" w:cs="Arial"/>
                <w:b/>
                <w:sz w:val="22"/>
                <w:szCs w:val="22"/>
              </w:rPr>
            </w:pPr>
          </w:p>
          <w:p w14:paraId="3B23E4B6" w14:textId="008DDBAF" w:rsidR="00CE25FA" w:rsidRDefault="00CE25FA" w:rsidP="009B3F94">
            <w:pPr>
              <w:pStyle w:val="NormalWeb"/>
              <w:spacing w:before="0" w:beforeAutospacing="0" w:after="0" w:afterAutospacing="0"/>
              <w:rPr>
                <w:rFonts w:ascii="Arial" w:hAnsi="Arial" w:cs="Arial"/>
                <w:b/>
                <w:sz w:val="22"/>
                <w:szCs w:val="22"/>
              </w:rPr>
            </w:pPr>
          </w:p>
          <w:p w14:paraId="6B09EE69" w14:textId="77777777" w:rsidR="00CE25FA" w:rsidRDefault="00CE25FA" w:rsidP="009B3F94">
            <w:pPr>
              <w:pStyle w:val="NormalWeb"/>
              <w:spacing w:before="0" w:beforeAutospacing="0" w:after="0" w:afterAutospacing="0"/>
              <w:rPr>
                <w:rFonts w:ascii="Arial" w:hAnsi="Arial" w:cs="Arial"/>
                <w:b/>
                <w:sz w:val="22"/>
                <w:szCs w:val="22"/>
              </w:rPr>
            </w:pPr>
          </w:p>
          <w:p w14:paraId="770C193E" w14:textId="77777777" w:rsidR="00CE25FA" w:rsidRDefault="00CE25FA" w:rsidP="009B3F94">
            <w:pPr>
              <w:pStyle w:val="NormalWeb"/>
              <w:spacing w:before="0" w:beforeAutospacing="0" w:after="0" w:afterAutospacing="0"/>
              <w:rPr>
                <w:rFonts w:ascii="Arial" w:hAnsi="Arial" w:cs="Arial"/>
                <w:b/>
                <w:sz w:val="22"/>
                <w:szCs w:val="22"/>
              </w:rPr>
            </w:pPr>
          </w:p>
          <w:p w14:paraId="26315D54" w14:textId="77777777" w:rsidR="00CE25FA" w:rsidRDefault="00CE25FA" w:rsidP="009B3F94">
            <w:pPr>
              <w:pStyle w:val="NormalWeb"/>
              <w:spacing w:before="0" w:beforeAutospacing="0" w:after="0" w:afterAutospacing="0"/>
              <w:rPr>
                <w:rFonts w:ascii="Arial" w:hAnsi="Arial" w:cs="Arial"/>
                <w:b/>
                <w:sz w:val="22"/>
                <w:szCs w:val="22"/>
              </w:rPr>
            </w:pPr>
          </w:p>
          <w:p w14:paraId="4ED63874" w14:textId="77777777" w:rsidR="00CE25FA" w:rsidRPr="00230F35" w:rsidRDefault="00CE25FA" w:rsidP="009B3F9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B40AB49" w14:textId="77777777" w:rsidR="00CE25FA" w:rsidRDefault="00CE25FA" w:rsidP="009B3F9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AF7CDA2" w14:textId="77777777" w:rsidR="00CE25FA" w:rsidRPr="00001C3B" w:rsidRDefault="00CE25FA" w:rsidP="009B3F94">
            <w:pPr>
              <w:pStyle w:val="NormalWeb"/>
              <w:rPr>
                <w:rFonts w:ascii="Arial" w:hAnsi="Arial" w:cs="Arial"/>
                <w:sz w:val="22"/>
                <w:szCs w:val="22"/>
              </w:rPr>
            </w:pPr>
          </w:p>
        </w:tc>
      </w:tr>
      <w:tr w:rsidR="00CE25FA" w:rsidRPr="00230F35" w14:paraId="78A69047" w14:textId="77777777" w:rsidTr="009B3F94">
        <w:trPr>
          <w:trHeight w:val="492"/>
        </w:trPr>
        <w:tc>
          <w:tcPr>
            <w:tcW w:w="6768" w:type="dxa"/>
            <w:gridSpan w:val="3"/>
          </w:tcPr>
          <w:p w14:paraId="3FA2A690" w14:textId="77777777" w:rsidR="00CE25FA" w:rsidRPr="00230F35" w:rsidRDefault="00CE25FA" w:rsidP="009B3F9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DDCBF5F" w14:textId="77777777" w:rsidR="00CE25FA" w:rsidRPr="00230F35" w:rsidRDefault="00CE25FA" w:rsidP="009B3F94">
            <w:pPr>
              <w:pStyle w:val="NormalWeb"/>
              <w:spacing w:after="0"/>
              <w:ind w:left="142" w:right="34"/>
              <w:rPr>
                <w:rFonts w:ascii="Arial" w:hAnsi="Arial" w:cs="Arial"/>
                <w:sz w:val="22"/>
                <w:szCs w:val="22"/>
              </w:rPr>
            </w:pPr>
            <w:r w:rsidRPr="00230F35">
              <w:rPr>
                <w:rFonts w:ascii="Arial" w:hAnsi="Arial" w:cs="Arial"/>
                <w:sz w:val="22"/>
                <w:szCs w:val="22"/>
              </w:rPr>
              <w:t>Date:</w:t>
            </w:r>
          </w:p>
        </w:tc>
      </w:tr>
      <w:tr w:rsidR="00CE25FA" w:rsidRPr="002F467C" w14:paraId="58A01F1D" w14:textId="77777777" w:rsidTr="009B3F94">
        <w:tc>
          <w:tcPr>
            <w:tcW w:w="8856" w:type="dxa"/>
            <w:gridSpan w:val="5"/>
          </w:tcPr>
          <w:p w14:paraId="28F9DBCC" w14:textId="77777777" w:rsidR="00CE25FA" w:rsidRPr="00230F35" w:rsidRDefault="00CE25FA" w:rsidP="009B3F94">
            <w:pPr>
              <w:pStyle w:val="NormalWeb"/>
              <w:spacing w:before="0" w:beforeAutospacing="0" w:after="0" w:afterAutospacing="0"/>
              <w:ind w:right="-334"/>
              <w:rPr>
                <w:rFonts w:ascii="Arial" w:hAnsi="Arial" w:cs="Arial"/>
                <w:bCs/>
                <w:i/>
                <w:sz w:val="22"/>
                <w:szCs w:val="22"/>
              </w:rPr>
            </w:pPr>
          </w:p>
          <w:p w14:paraId="1471D915" w14:textId="77777777" w:rsidR="00CE25FA" w:rsidRPr="00230F35" w:rsidRDefault="00CE25FA" w:rsidP="009B3F9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EA1C867" w14:textId="77777777" w:rsidR="00CE25FA" w:rsidRPr="00230F35" w:rsidRDefault="00CE25FA" w:rsidP="009B3F94">
            <w:pPr>
              <w:pStyle w:val="NormalWeb"/>
              <w:spacing w:before="0" w:beforeAutospacing="0" w:after="0" w:afterAutospacing="0"/>
              <w:ind w:right="-334"/>
              <w:rPr>
                <w:rFonts w:ascii="Arial" w:hAnsi="Arial" w:cs="Arial"/>
                <w:b/>
                <w:bCs/>
                <w:sz w:val="22"/>
                <w:szCs w:val="22"/>
              </w:rPr>
            </w:pPr>
          </w:p>
          <w:p w14:paraId="4F92061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0005EC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1940912C"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5D0E042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7DC2045C"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172E4678"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552259C"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1B79BE78"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288CD18B"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3D4F9411" w14:textId="77777777" w:rsidR="00CE25FA" w:rsidRDefault="00CE25FA" w:rsidP="009B3F94">
            <w:pPr>
              <w:pStyle w:val="NormalWeb"/>
              <w:spacing w:before="0" w:beforeAutospacing="0" w:after="0" w:afterAutospacing="0"/>
              <w:ind w:right="-334"/>
              <w:rPr>
                <w:rFonts w:ascii="Arial" w:hAnsi="Arial" w:cs="Arial"/>
                <w:bCs/>
                <w:sz w:val="22"/>
                <w:szCs w:val="22"/>
              </w:rPr>
            </w:pPr>
          </w:p>
          <w:p w14:paraId="30F0307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097FE202"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0A0E109D"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tc>
      </w:tr>
      <w:tr w:rsidR="00CE25FA" w:rsidRPr="002F467C" w14:paraId="7276EFEB" w14:textId="77777777" w:rsidTr="009B3F94">
        <w:trPr>
          <w:trHeight w:val="720"/>
        </w:trPr>
        <w:tc>
          <w:tcPr>
            <w:tcW w:w="5211" w:type="dxa"/>
            <w:gridSpan w:val="2"/>
          </w:tcPr>
          <w:p w14:paraId="11D691B3"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6FA044A9"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E25FA" w:rsidRPr="002F467C" w14:paraId="2157A0B0" w14:textId="77777777" w:rsidTr="009B3F94">
        <w:trPr>
          <w:trHeight w:val="720"/>
        </w:trPr>
        <w:tc>
          <w:tcPr>
            <w:tcW w:w="8856" w:type="dxa"/>
            <w:gridSpan w:val="5"/>
          </w:tcPr>
          <w:p w14:paraId="57DEF332" w14:textId="77777777" w:rsidR="00CE25FA" w:rsidRPr="00B34964" w:rsidRDefault="00CE25FA" w:rsidP="009B3F94">
            <w:pPr>
              <w:rPr>
                <w:rFonts w:ascii="Arial" w:hAnsi="Arial" w:cs="Arial"/>
                <w:b/>
              </w:rPr>
            </w:pPr>
            <w:r w:rsidRPr="00B34964">
              <w:rPr>
                <w:rFonts w:ascii="Arial" w:hAnsi="Arial" w:cs="Arial"/>
                <w:b/>
              </w:rPr>
              <w:t>External Examiner’s comments (if relevant)</w:t>
            </w:r>
          </w:p>
          <w:p w14:paraId="1F24A380"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5BA1334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5238F319"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DD2EAC8"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4F85FFA7"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2AD9364"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37FC487B"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47578C3"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09A6C821" w14:textId="77777777" w:rsidR="00CE25FA" w:rsidRDefault="00CE25FA" w:rsidP="009B3F94">
            <w:pPr>
              <w:pStyle w:val="NormalWeb"/>
              <w:spacing w:before="0" w:beforeAutospacing="0" w:after="0" w:afterAutospacing="0"/>
              <w:ind w:right="-334"/>
              <w:rPr>
                <w:rFonts w:ascii="Arial" w:hAnsi="Arial" w:cs="Arial"/>
                <w:bCs/>
                <w:sz w:val="22"/>
                <w:szCs w:val="22"/>
              </w:rPr>
            </w:pPr>
          </w:p>
          <w:p w14:paraId="5E58540E"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7D9D9485"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tc>
      </w:tr>
      <w:tr w:rsidR="00CE25FA" w:rsidRPr="002F467C" w14:paraId="3D4E79D5" w14:textId="77777777" w:rsidTr="009B3F94">
        <w:trPr>
          <w:trHeight w:val="720"/>
        </w:trPr>
        <w:tc>
          <w:tcPr>
            <w:tcW w:w="5211" w:type="dxa"/>
            <w:gridSpan w:val="2"/>
          </w:tcPr>
          <w:p w14:paraId="39BC48D8" w14:textId="77777777" w:rsidR="00CE25FA" w:rsidRPr="00230F35" w:rsidRDefault="00CE25FA" w:rsidP="009B3F94">
            <w:pPr>
              <w:rPr>
                <w:rFonts w:ascii="Arial" w:hAnsi="Arial" w:cs="Arial"/>
              </w:rPr>
            </w:pPr>
            <w:r w:rsidRPr="00230F35">
              <w:rPr>
                <w:rFonts w:ascii="Arial" w:hAnsi="Arial" w:cs="Arial"/>
              </w:rPr>
              <w:t>External Examiner’s Signature:</w:t>
            </w:r>
          </w:p>
        </w:tc>
        <w:tc>
          <w:tcPr>
            <w:tcW w:w="3645" w:type="dxa"/>
            <w:gridSpan w:val="3"/>
          </w:tcPr>
          <w:p w14:paraId="07435632" w14:textId="77777777" w:rsidR="00CE25FA" w:rsidRPr="00230F35" w:rsidRDefault="00CE25FA" w:rsidP="009B3F94">
            <w:pPr>
              <w:rPr>
                <w:rFonts w:ascii="Arial" w:hAnsi="Arial" w:cs="Arial"/>
              </w:rPr>
            </w:pPr>
            <w:r w:rsidRPr="00230F35">
              <w:rPr>
                <w:rFonts w:ascii="Arial" w:hAnsi="Arial" w:cs="Arial"/>
              </w:rPr>
              <w:t>Date:</w:t>
            </w:r>
          </w:p>
        </w:tc>
      </w:tr>
    </w:tbl>
    <w:p w14:paraId="06A4A6AA" w14:textId="77777777" w:rsidR="00CE25FA" w:rsidRPr="00D67BF8" w:rsidRDefault="00CE25FA" w:rsidP="00CE25FA">
      <w:pPr>
        <w:pStyle w:val="NormalWeb"/>
        <w:spacing w:before="0" w:beforeAutospacing="0" w:after="0" w:afterAutospacing="0"/>
        <w:ind w:right="-334"/>
        <w:rPr>
          <w:rFonts w:ascii="Trebuchet MS" w:hAnsi="Trebuchet MS" w:cs="Tahoma"/>
          <w:bCs/>
          <w:sz w:val="24"/>
          <w:szCs w:val="24"/>
        </w:rPr>
      </w:pPr>
    </w:p>
    <w:p w14:paraId="0C26CF68" w14:textId="77777777" w:rsidR="00CE25FA" w:rsidRDefault="00CE25FA" w:rsidP="00D72EF5">
      <w:pPr>
        <w:rPr>
          <w:b/>
          <w:sz w:val="24"/>
          <w:szCs w:val="24"/>
          <w:u w:val="single"/>
        </w:rPr>
      </w:pPr>
    </w:p>
    <w:p w14:paraId="47EF6F12" w14:textId="77777777" w:rsidR="00CE25FA" w:rsidRDefault="00CE25FA" w:rsidP="00D72EF5">
      <w:pPr>
        <w:rPr>
          <w:b/>
          <w:sz w:val="24"/>
          <w:szCs w:val="24"/>
          <w:u w:val="single"/>
        </w:rPr>
      </w:pPr>
    </w:p>
    <w:p w14:paraId="4784D869" w14:textId="77777777" w:rsidR="00CE25FA" w:rsidRDefault="00CE25FA" w:rsidP="00D72EF5">
      <w:pPr>
        <w:rPr>
          <w:b/>
          <w:sz w:val="24"/>
          <w:szCs w:val="24"/>
          <w:u w:val="single"/>
        </w:rPr>
      </w:pPr>
    </w:p>
    <w:p w14:paraId="4E6F09F0" w14:textId="77777777" w:rsidR="00CE25FA" w:rsidRDefault="00CE25FA" w:rsidP="00D72EF5">
      <w:pPr>
        <w:rPr>
          <w:b/>
          <w:sz w:val="24"/>
          <w:szCs w:val="24"/>
          <w:u w:val="single"/>
        </w:rPr>
      </w:pPr>
    </w:p>
    <w:p w14:paraId="14DD1535" w14:textId="77777777" w:rsidR="00CE25FA" w:rsidRDefault="00CE25FA" w:rsidP="00D72EF5">
      <w:pPr>
        <w:rPr>
          <w:b/>
          <w:sz w:val="24"/>
          <w:szCs w:val="24"/>
          <w:u w:val="single"/>
        </w:rPr>
      </w:pPr>
    </w:p>
    <w:p w14:paraId="00833DA4" w14:textId="77777777" w:rsidR="00CE25FA" w:rsidRDefault="00CE25FA" w:rsidP="00D72EF5">
      <w:pPr>
        <w:rPr>
          <w:b/>
          <w:sz w:val="24"/>
          <w:szCs w:val="24"/>
          <w:u w:val="single"/>
        </w:rPr>
      </w:pPr>
    </w:p>
    <w:p w14:paraId="45E07693" w14:textId="77777777" w:rsidR="00CE25FA" w:rsidRDefault="00CE25FA" w:rsidP="00D72EF5">
      <w:pPr>
        <w:rPr>
          <w:b/>
          <w:sz w:val="24"/>
          <w:szCs w:val="24"/>
          <w:u w:val="single"/>
        </w:rPr>
      </w:pPr>
    </w:p>
    <w:p w14:paraId="4F31AF82" w14:textId="77777777" w:rsidR="00CE25FA" w:rsidRDefault="00CE25FA" w:rsidP="00D72EF5">
      <w:pPr>
        <w:rPr>
          <w:b/>
          <w:sz w:val="24"/>
          <w:szCs w:val="24"/>
          <w:u w:val="single"/>
        </w:rPr>
      </w:pPr>
    </w:p>
    <w:p w14:paraId="4026E5D1" w14:textId="77777777" w:rsidR="00CE25FA" w:rsidRDefault="00CE25FA" w:rsidP="00D72EF5">
      <w:pPr>
        <w:rPr>
          <w:b/>
          <w:sz w:val="24"/>
          <w:szCs w:val="24"/>
          <w:u w:val="single"/>
        </w:rPr>
      </w:pPr>
    </w:p>
    <w:p w14:paraId="2F4B69BB" w14:textId="77777777" w:rsidR="00CE25FA" w:rsidRDefault="00CE25FA" w:rsidP="00D72EF5">
      <w:pPr>
        <w:rPr>
          <w:b/>
          <w:sz w:val="24"/>
          <w:szCs w:val="24"/>
          <w:u w:val="single"/>
        </w:rPr>
      </w:pPr>
    </w:p>
    <w:p w14:paraId="7B23E680" w14:textId="77777777" w:rsidR="00CE25FA" w:rsidRDefault="00CE25FA" w:rsidP="00D72EF5">
      <w:pPr>
        <w:rPr>
          <w:b/>
          <w:sz w:val="24"/>
          <w:szCs w:val="24"/>
          <w:u w:val="single"/>
        </w:rPr>
      </w:pPr>
    </w:p>
    <w:p w14:paraId="2B4EA5DA" w14:textId="77777777" w:rsidR="00CE25FA" w:rsidRDefault="00CE25FA" w:rsidP="00D72EF5">
      <w:pPr>
        <w:rPr>
          <w:b/>
          <w:sz w:val="24"/>
          <w:szCs w:val="24"/>
          <w:u w:val="single"/>
        </w:rPr>
      </w:pPr>
    </w:p>
    <w:p w14:paraId="033D5E83" w14:textId="77777777" w:rsidR="00CE25FA" w:rsidRDefault="00CE25FA" w:rsidP="00D72EF5">
      <w:pPr>
        <w:rPr>
          <w:b/>
          <w:sz w:val="24"/>
          <w:szCs w:val="24"/>
          <w:u w:val="single"/>
        </w:rPr>
      </w:pPr>
    </w:p>
    <w:p w14:paraId="645F718C" w14:textId="77777777" w:rsidR="00CE25FA" w:rsidRDefault="00CE25FA" w:rsidP="00D72EF5">
      <w:pPr>
        <w:rPr>
          <w:b/>
          <w:sz w:val="24"/>
          <w:szCs w:val="24"/>
          <w:u w:val="single"/>
        </w:rPr>
      </w:pPr>
    </w:p>
    <w:p w14:paraId="3C93FD46" w14:textId="77777777" w:rsidR="00CE25FA" w:rsidRDefault="00CE25FA" w:rsidP="00D72EF5">
      <w:pPr>
        <w:rPr>
          <w:b/>
          <w:sz w:val="24"/>
          <w:szCs w:val="24"/>
          <w:u w:val="single"/>
        </w:rPr>
      </w:pPr>
    </w:p>
    <w:p w14:paraId="7FF103C9" w14:textId="12A9BC52" w:rsidR="00385934" w:rsidRPr="00155D25" w:rsidRDefault="00783F1B" w:rsidP="00385934">
      <w:pPr>
        <w:rPr>
          <w:b/>
          <w:sz w:val="24"/>
          <w:szCs w:val="24"/>
        </w:rPr>
      </w:pPr>
      <w:r>
        <w:rPr>
          <w:b/>
          <w:sz w:val="24"/>
          <w:szCs w:val="24"/>
        </w:rPr>
        <w:lastRenderedPageBreak/>
        <w:t>26</w:t>
      </w:r>
      <w:r w:rsidR="00EB2353">
        <w:rPr>
          <w:b/>
          <w:sz w:val="24"/>
          <w:szCs w:val="24"/>
        </w:rPr>
        <w:t>72</w:t>
      </w:r>
      <w:r w:rsidR="00385934" w:rsidRPr="00155D25">
        <w:rPr>
          <w:b/>
          <w:sz w:val="24"/>
          <w:szCs w:val="24"/>
        </w:rPr>
        <w:t xml:space="preserve"> words</w:t>
      </w:r>
    </w:p>
    <w:p w14:paraId="19E24F49" w14:textId="1B68218A" w:rsidR="00F674F2" w:rsidRPr="006F7C7C" w:rsidRDefault="00FC7A64" w:rsidP="00D72EF5">
      <w:pPr>
        <w:rPr>
          <w:b/>
          <w:sz w:val="28"/>
          <w:szCs w:val="28"/>
        </w:rPr>
      </w:pPr>
      <w:r w:rsidRPr="006F7C7C">
        <w:rPr>
          <w:b/>
          <w:sz w:val="28"/>
          <w:szCs w:val="28"/>
        </w:rPr>
        <w:t>A</w:t>
      </w:r>
      <w:r w:rsidR="006750E1" w:rsidRPr="006F7C7C">
        <w:rPr>
          <w:b/>
          <w:sz w:val="28"/>
          <w:szCs w:val="28"/>
        </w:rPr>
        <w:t xml:space="preserve"> Critical Comparison of two Secondary Sources</w:t>
      </w:r>
    </w:p>
    <w:p w14:paraId="309CF837" w14:textId="77777777" w:rsidR="00CF0F04" w:rsidRDefault="00CF0F04" w:rsidP="00D72EF5">
      <w:pPr>
        <w:rPr>
          <w:b/>
          <w:sz w:val="24"/>
          <w:szCs w:val="24"/>
          <w:u w:val="single"/>
        </w:rPr>
      </w:pPr>
    </w:p>
    <w:p w14:paraId="4A5A57F9" w14:textId="4A761F56" w:rsidR="00063663" w:rsidRDefault="00063663" w:rsidP="00D72EF5">
      <w:pPr>
        <w:rPr>
          <w:b/>
          <w:sz w:val="24"/>
          <w:szCs w:val="24"/>
          <w:u w:val="single"/>
        </w:rPr>
      </w:pPr>
      <w:r>
        <w:rPr>
          <w:b/>
          <w:sz w:val="24"/>
          <w:szCs w:val="24"/>
          <w:u w:val="single"/>
        </w:rPr>
        <w:t>INTRODUCTION</w:t>
      </w:r>
    </w:p>
    <w:p w14:paraId="0124EF37" w14:textId="5816FD33" w:rsidR="00DD07BD" w:rsidRDefault="001A3454" w:rsidP="00D72EF5">
      <w:pPr>
        <w:rPr>
          <w:sz w:val="24"/>
          <w:szCs w:val="24"/>
        </w:rPr>
      </w:pPr>
      <w:r>
        <w:rPr>
          <w:sz w:val="24"/>
          <w:szCs w:val="24"/>
        </w:rPr>
        <w:t xml:space="preserve">This paper critically compares two secondary sources.  The sources chosen are T. L. Brink, ‘Inconsistency of Belief Among Roman Catholic Girls: Concerning Religion, Astrology, Reincarnation’ </w:t>
      </w:r>
      <w:r>
        <w:rPr>
          <w:sz w:val="23"/>
          <w:szCs w:val="23"/>
        </w:rPr>
        <w:t xml:space="preserve">Review of Religious Research, 20:1 (1978) pp.82-85, and G. Bennett, “If I Knew You Were </w:t>
      </w:r>
      <w:r w:rsidRPr="00A4341E">
        <w:rPr>
          <w:sz w:val="24"/>
          <w:szCs w:val="24"/>
        </w:rPr>
        <w:t>Coming I’d Have Baked a Cake”: The Folklore of Foreknowledge in a Neighbourhood Group’, Out of the Ordinary: Folklore and the Supernatural, edited by Barbara Walker, Logan, Utah: Utah University Press</w:t>
      </w:r>
      <w:r>
        <w:rPr>
          <w:sz w:val="24"/>
          <w:szCs w:val="24"/>
        </w:rPr>
        <w:t xml:space="preserve">, pp. </w:t>
      </w:r>
      <w:r w:rsidRPr="00A4341E">
        <w:rPr>
          <w:sz w:val="24"/>
          <w:szCs w:val="24"/>
        </w:rPr>
        <w:t>122-142</w:t>
      </w:r>
      <w:r>
        <w:rPr>
          <w:sz w:val="24"/>
          <w:szCs w:val="24"/>
        </w:rPr>
        <w:t>.</w:t>
      </w:r>
      <w:r w:rsidR="008F4733">
        <w:rPr>
          <w:sz w:val="24"/>
          <w:szCs w:val="24"/>
        </w:rPr>
        <w:t xml:space="preserve">  </w:t>
      </w:r>
      <w:r w:rsidR="00E258E6">
        <w:rPr>
          <w:sz w:val="24"/>
          <w:szCs w:val="24"/>
        </w:rPr>
        <w:t>The papers will be considered under the themes of methodology, insider/outsider perspective, and literature review.</w:t>
      </w:r>
    </w:p>
    <w:p w14:paraId="7AA6B8EB" w14:textId="7F6BD444" w:rsidR="00DD07BD" w:rsidRPr="00DD07BD" w:rsidRDefault="00DD07BD" w:rsidP="00D72EF5">
      <w:pPr>
        <w:rPr>
          <w:b/>
          <w:bCs/>
          <w:sz w:val="24"/>
          <w:szCs w:val="24"/>
          <w:u w:val="single"/>
        </w:rPr>
      </w:pPr>
      <w:r>
        <w:rPr>
          <w:b/>
          <w:bCs/>
          <w:sz w:val="24"/>
          <w:szCs w:val="24"/>
          <w:u w:val="single"/>
        </w:rPr>
        <w:t>Context</w:t>
      </w:r>
      <w:r w:rsidR="0073525F">
        <w:rPr>
          <w:b/>
          <w:bCs/>
          <w:sz w:val="24"/>
          <w:szCs w:val="24"/>
          <w:u w:val="single"/>
        </w:rPr>
        <w:t xml:space="preserve"> and Structure</w:t>
      </w:r>
    </w:p>
    <w:p w14:paraId="60C9DED7" w14:textId="52CC168A" w:rsidR="00165A6D" w:rsidRDefault="00DD07BD" w:rsidP="00D72EF5">
      <w:pPr>
        <w:rPr>
          <w:sz w:val="24"/>
          <w:szCs w:val="24"/>
        </w:rPr>
      </w:pPr>
      <w:r>
        <w:rPr>
          <w:sz w:val="24"/>
          <w:szCs w:val="24"/>
        </w:rPr>
        <w:t>Both</w:t>
      </w:r>
      <w:r w:rsidR="008F4733">
        <w:rPr>
          <w:sz w:val="24"/>
          <w:szCs w:val="24"/>
        </w:rPr>
        <w:t xml:space="preserve"> papers were published in </w:t>
      </w:r>
      <w:r w:rsidR="008654A8">
        <w:rPr>
          <w:sz w:val="24"/>
          <w:szCs w:val="24"/>
        </w:rPr>
        <w:t xml:space="preserve">peer-reviewed </w:t>
      </w:r>
      <w:r w:rsidR="008F4733">
        <w:rPr>
          <w:sz w:val="24"/>
          <w:szCs w:val="24"/>
        </w:rPr>
        <w:t xml:space="preserve">academic journals, </w:t>
      </w:r>
      <w:r w:rsidR="002519F8">
        <w:rPr>
          <w:sz w:val="24"/>
          <w:szCs w:val="24"/>
        </w:rPr>
        <w:t>nearly 20 years</w:t>
      </w:r>
      <w:r w:rsidR="00027A4B">
        <w:rPr>
          <w:sz w:val="24"/>
          <w:szCs w:val="24"/>
        </w:rPr>
        <w:t xml:space="preserve"> apart</w:t>
      </w:r>
      <w:r w:rsidR="002519F8">
        <w:rPr>
          <w:sz w:val="24"/>
          <w:szCs w:val="24"/>
        </w:rPr>
        <w:t xml:space="preserve">.  </w:t>
      </w:r>
      <w:r w:rsidR="00CF58C1">
        <w:rPr>
          <w:sz w:val="24"/>
          <w:szCs w:val="24"/>
        </w:rPr>
        <w:t xml:space="preserve">The academic </w:t>
      </w:r>
      <w:r w:rsidR="00190683">
        <w:rPr>
          <w:sz w:val="24"/>
          <w:szCs w:val="24"/>
        </w:rPr>
        <w:t>context</w:t>
      </w:r>
      <w:r w:rsidR="00CF58C1">
        <w:rPr>
          <w:sz w:val="24"/>
          <w:szCs w:val="24"/>
        </w:rPr>
        <w:t xml:space="preserve"> </w:t>
      </w:r>
      <w:r w:rsidR="005330E7">
        <w:rPr>
          <w:sz w:val="24"/>
          <w:szCs w:val="24"/>
        </w:rPr>
        <w:t>was</w:t>
      </w:r>
      <w:r w:rsidR="00CF58C1">
        <w:rPr>
          <w:sz w:val="24"/>
          <w:szCs w:val="24"/>
        </w:rPr>
        <w:t xml:space="preserve"> </w:t>
      </w:r>
      <w:r w:rsidR="005F7017">
        <w:rPr>
          <w:sz w:val="24"/>
          <w:szCs w:val="24"/>
        </w:rPr>
        <w:t>apparent</w:t>
      </w:r>
      <w:r w:rsidR="00CF58C1">
        <w:rPr>
          <w:sz w:val="24"/>
          <w:szCs w:val="24"/>
        </w:rPr>
        <w:t xml:space="preserve"> in the </w:t>
      </w:r>
      <w:r w:rsidR="005F7017">
        <w:rPr>
          <w:sz w:val="24"/>
          <w:szCs w:val="24"/>
        </w:rPr>
        <w:t xml:space="preserve">clear </w:t>
      </w:r>
      <w:r w:rsidR="00CF58C1">
        <w:rPr>
          <w:sz w:val="24"/>
          <w:szCs w:val="24"/>
        </w:rPr>
        <w:t>structure of Brink’s paper, with its</w:t>
      </w:r>
      <w:r w:rsidR="00332F4B">
        <w:rPr>
          <w:sz w:val="24"/>
          <w:szCs w:val="24"/>
        </w:rPr>
        <w:t xml:space="preserve"> abstract</w:t>
      </w:r>
      <w:r w:rsidR="00BF22F7">
        <w:rPr>
          <w:sz w:val="24"/>
          <w:szCs w:val="24"/>
        </w:rPr>
        <w:t xml:space="preserve"> followed by a </w:t>
      </w:r>
      <w:r w:rsidR="00CF58C1">
        <w:rPr>
          <w:sz w:val="24"/>
          <w:szCs w:val="24"/>
        </w:rPr>
        <w:t>formal statement of a hypothesis</w:t>
      </w:r>
      <w:r w:rsidR="00BF22F7">
        <w:rPr>
          <w:sz w:val="24"/>
          <w:szCs w:val="24"/>
        </w:rPr>
        <w:t xml:space="preserve">, </w:t>
      </w:r>
      <w:r w:rsidR="00E073D9">
        <w:rPr>
          <w:sz w:val="24"/>
          <w:szCs w:val="24"/>
        </w:rPr>
        <w:t>brief description of the process and subjects, and a table setting out the results</w:t>
      </w:r>
      <w:r w:rsidR="00CF58C1">
        <w:rPr>
          <w:sz w:val="24"/>
          <w:szCs w:val="24"/>
        </w:rPr>
        <w:t>.  The cursory references to theories in his field appear</w:t>
      </w:r>
      <w:r w:rsidR="00183391">
        <w:rPr>
          <w:sz w:val="24"/>
          <w:szCs w:val="24"/>
        </w:rPr>
        <w:t>ed</w:t>
      </w:r>
      <w:r w:rsidR="00CF58C1">
        <w:rPr>
          <w:sz w:val="24"/>
          <w:szCs w:val="24"/>
        </w:rPr>
        <w:t xml:space="preserve"> to assume an audience well versed in his subject area, using short-cut references such as ‘cognitive dissonance (Festinger, 1957)’.</w:t>
      </w:r>
      <w:r w:rsidR="002C73B5">
        <w:rPr>
          <w:rStyle w:val="FootnoteReference"/>
          <w:sz w:val="24"/>
          <w:szCs w:val="24"/>
        </w:rPr>
        <w:footnoteReference w:id="1"/>
      </w:r>
      <w:r w:rsidR="00FB7F32" w:rsidRPr="00FB7F32">
        <w:rPr>
          <w:sz w:val="24"/>
          <w:szCs w:val="24"/>
        </w:rPr>
        <w:t xml:space="preserve"> </w:t>
      </w:r>
      <w:r w:rsidR="00CC01CC">
        <w:rPr>
          <w:sz w:val="24"/>
          <w:szCs w:val="24"/>
        </w:rPr>
        <w:t xml:space="preserve"> </w:t>
      </w:r>
      <w:r w:rsidR="00FB7F32">
        <w:rPr>
          <w:sz w:val="24"/>
          <w:szCs w:val="24"/>
        </w:rPr>
        <w:t xml:space="preserve">Bennett on the other hand took more trouble to explain the </w:t>
      </w:r>
      <w:r w:rsidR="00D03C14">
        <w:rPr>
          <w:sz w:val="24"/>
          <w:szCs w:val="24"/>
        </w:rPr>
        <w:t xml:space="preserve">academic </w:t>
      </w:r>
      <w:r w:rsidR="00FB7F32">
        <w:rPr>
          <w:sz w:val="24"/>
          <w:szCs w:val="24"/>
        </w:rPr>
        <w:t xml:space="preserve">background to her research and </w:t>
      </w:r>
      <w:r w:rsidR="005F7017">
        <w:rPr>
          <w:sz w:val="24"/>
          <w:szCs w:val="24"/>
        </w:rPr>
        <w:t>her use of</w:t>
      </w:r>
      <w:r w:rsidR="00FB7F32">
        <w:rPr>
          <w:sz w:val="24"/>
          <w:szCs w:val="24"/>
        </w:rPr>
        <w:t xml:space="preserve"> a more discursive style </w:t>
      </w:r>
      <w:r w:rsidR="005F7017">
        <w:rPr>
          <w:sz w:val="24"/>
          <w:szCs w:val="24"/>
        </w:rPr>
        <w:t>suggests that</w:t>
      </w:r>
      <w:r w:rsidR="00FB7F32">
        <w:rPr>
          <w:sz w:val="24"/>
          <w:szCs w:val="24"/>
        </w:rPr>
        <w:t xml:space="preserve"> her </w:t>
      </w:r>
      <w:r w:rsidR="002F3A1E">
        <w:rPr>
          <w:sz w:val="24"/>
          <w:szCs w:val="24"/>
        </w:rPr>
        <w:t xml:space="preserve">intended </w:t>
      </w:r>
      <w:r w:rsidR="00FB7F32">
        <w:rPr>
          <w:sz w:val="24"/>
          <w:szCs w:val="24"/>
        </w:rPr>
        <w:t xml:space="preserve">audience may not have been wholly academic.  </w:t>
      </w:r>
      <w:r w:rsidR="007F7641">
        <w:rPr>
          <w:sz w:val="24"/>
          <w:szCs w:val="24"/>
        </w:rPr>
        <w:t xml:space="preserve">Since her purpose was one of understanding rather than description, </w:t>
      </w:r>
      <w:r w:rsidR="00A43959">
        <w:rPr>
          <w:sz w:val="24"/>
          <w:szCs w:val="24"/>
        </w:rPr>
        <w:t xml:space="preserve">she did not set out with a specific hypothesis, but </w:t>
      </w:r>
      <w:r w:rsidR="00E073D9">
        <w:rPr>
          <w:sz w:val="24"/>
          <w:szCs w:val="24"/>
        </w:rPr>
        <w:t>she clearly state</w:t>
      </w:r>
      <w:r w:rsidR="00037332">
        <w:rPr>
          <w:sz w:val="24"/>
          <w:szCs w:val="24"/>
        </w:rPr>
        <w:t>d</w:t>
      </w:r>
      <w:r w:rsidR="00E073D9">
        <w:rPr>
          <w:sz w:val="24"/>
          <w:szCs w:val="24"/>
        </w:rPr>
        <w:t xml:space="preserve"> her </w:t>
      </w:r>
      <w:r w:rsidR="00A43959">
        <w:rPr>
          <w:sz w:val="24"/>
          <w:szCs w:val="24"/>
        </w:rPr>
        <w:t>aim</w:t>
      </w:r>
      <w:r w:rsidR="005F7017">
        <w:rPr>
          <w:sz w:val="24"/>
          <w:szCs w:val="24"/>
        </w:rPr>
        <w:t>:</w:t>
      </w:r>
      <w:r w:rsidR="00E073D9">
        <w:rPr>
          <w:sz w:val="24"/>
          <w:szCs w:val="24"/>
        </w:rPr>
        <w:t xml:space="preserve"> to investigate the ‘ways in which I believe the women’s social situation and moral code shape the folklore they share’.</w:t>
      </w:r>
      <w:r w:rsidR="00E073D9">
        <w:rPr>
          <w:rStyle w:val="FootnoteReference"/>
          <w:sz w:val="24"/>
          <w:szCs w:val="24"/>
        </w:rPr>
        <w:footnoteReference w:id="2"/>
      </w:r>
      <w:r w:rsidR="00E073D9">
        <w:rPr>
          <w:sz w:val="24"/>
          <w:szCs w:val="24"/>
        </w:rPr>
        <w:t xml:space="preserve"> </w:t>
      </w:r>
      <w:r w:rsidR="00A43959">
        <w:rPr>
          <w:sz w:val="24"/>
          <w:szCs w:val="24"/>
        </w:rPr>
        <w:t xml:space="preserve"> </w:t>
      </w:r>
      <w:r w:rsidR="00FB7F32">
        <w:rPr>
          <w:sz w:val="24"/>
          <w:szCs w:val="24"/>
        </w:rPr>
        <w:t xml:space="preserve">Her paper was </w:t>
      </w:r>
      <w:r w:rsidR="00CC01CC">
        <w:rPr>
          <w:sz w:val="24"/>
          <w:szCs w:val="24"/>
        </w:rPr>
        <w:t xml:space="preserve">also </w:t>
      </w:r>
      <w:r w:rsidR="0073525F">
        <w:rPr>
          <w:sz w:val="24"/>
          <w:szCs w:val="24"/>
        </w:rPr>
        <w:t>well</w:t>
      </w:r>
      <w:r w:rsidR="00FB7F32">
        <w:rPr>
          <w:sz w:val="24"/>
          <w:szCs w:val="24"/>
        </w:rPr>
        <w:t xml:space="preserve"> structured</w:t>
      </w:r>
      <w:r w:rsidR="001735DA">
        <w:rPr>
          <w:sz w:val="24"/>
          <w:szCs w:val="24"/>
        </w:rPr>
        <w:t xml:space="preserve">, </w:t>
      </w:r>
      <w:r w:rsidR="0073525F">
        <w:rPr>
          <w:sz w:val="24"/>
          <w:szCs w:val="24"/>
        </w:rPr>
        <w:t>with sections following in a logical sequence.  Her concluding section however, instead of drawing together the threads of her study, introduced several new ideas that did not follow from the prior discussion</w:t>
      </w:r>
      <w:r w:rsidR="009208EF">
        <w:rPr>
          <w:sz w:val="24"/>
          <w:szCs w:val="24"/>
        </w:rPr>
        <w:t>, weakening the sense of a coherent structure.</w:t>
      </w:r>
      <w:r w:rsidR="00D86F94">
        <w:rPr>
          <w:sz w:val="24"/>
          <w:szCs w:val="24"/>
        </w:rPr>
        <w:t xml:space="preserve">  </w:t>
      </w:r>
      <w:r w:rsidR="00037332">
        <w:rPr>
          <w:sz w:val="24"/>
          <w:szCs w:val="24"/>
        </w:rPr>
        <w:t>Nevertheless,</w:t>
      </w:r>
      <w:r w:rsidR="00D86F94">
        <w:rPr>
          <w:sz w:val="24"/>
          <w:szCs w:val="24"/>
        </w:rPr>
        <w:t xml:space="preserve"> these new ideas did provide a sense of how the study could be built on, and Brink</w:t>
      </w:r>
      <w:r w:rsidR="00E05F79">
        <w:rPr>
          <w:sz w:val="24"/>
          <w:szCs w:val="24"/>
        </w:rPr>
        <w:t xml:space="preserve">, in </w:t>
      </w:r>
      <w:r w:rsidR="0003263E">
        <w:rPr>
          <w:sz w:val="24"/>
          <w:szCs w:val="24"/>
        </w:rPr>
        <w:lastRenderedPageBreak/>
        <w:t>c</w:t>
      </w:r>
      <w:r w:rsidR="00E05F79">
        <w:rPr>
          <w:sz w:val="24"/>
          <w:szCs w:val="24"/>
        </w:rPr>
        <w:t xml:space="preserve">ommenting that ‘this survey raises more questions than it answers’, </w:t>
      </w:r>
      <w:r w:rsidR="00D86F94">
        <w:rPr>
          <w:sz w:val="24"/>
          <w:szCs w:val="24"/>
        </w:rPr>
        <w:t>more explicitly</w:t>
      </w:r>
      <w:r w:rsidR="00E05F79">
        <w:rPr>
          <w:sz w:val="24"/>
          <w:szCs w:val="24"/>
        </w:rPr>
        <w:t xml:space="preserve"> </w:t>
      </w:r>
      <w:r w:rsidR="00D86F94">
        <w:rPr>
          <w:sz w:val="24"/>
          <w:szCs w:val="24"/>
        </w:rPr>
        <w:t xml:space="preserve">suggested how the </w:t>
      </w:r>
      <w:r w:rsidR="00F727A6">
        <w:rPr>
          <w:sz w:val="24"/>
          <w:szCs w:val="24"/>
        </w:rPr>
        <w:t>study</w:t>
      </w:r>
      <w:r w:rsidR="00D86F94">
        <w:rPr>
          <w:sz w:val="24"/>
          <w:szCs w:val="24"/>
        </w:rPr>
        <w:t xml:space="preserve"> could be taken further.</w:t>
      </w:r>
      <w:r w:rsidR="00D86F94">
        <w:rPr>
          <w:rStyle w:val="FootnoteReference"/>
          <w:sz w:val="24"/>
          <w:szCs w:val="24"/>
        </w:rPr>
        <w:footnoteReference w:id="3"/>
      </w:r>
    </w:p>
    <w:p w14:paraId="19E15C4D" w14:textId="77777777" w:rsidR="00DD07BD" w:rsidRDefault="00DD07BD" w:rsidP="00D72EF5">
      <w:pPr>
        <w:rPr>
          <w:sz w:val="24"/>
          <w:szCs w:val="24"/>
        </w:rPr>
      </w:pPr>
      <w:r>
        <w:rPr>
          <w:b/>
          <w:bCs/>
          <w:sz w:val="24"/>
          <w:szCs w:val="24"/>
          <w:u w:val="single"/>
        </w:rPr>
        <w:t>Summary</w:t>
      </w:r>
      <w:r w:rsidRPr="00DD07BD">
        <w:rPr>
          <w:sz w:val="24"/>
          <w:szCs w:val="24"/>
        </w:rPr>
        <w:t xml:space="preserve"> </w:t>
      </w:r>
    </w:p>
    <w:p w14:paraId="4CC76943" w14:textId="3FDBCEC6" w:rsidR="004A53EB" w:rsidRDefault="00DD07BD" w:rsidP="00D72EF5">
      <w:pPr>
        <w:rPr>
          <w:sz w:val="24"/>
          <w:szCs w:val="24"/>
        </w:rPr>
      </w:pPr>
      <w:r>
        <w:rPr>
          <w:sz w:val="24"/>
          <w:szCs w:val="24"/>
        </w:rPr>
        <w:t>Common ground between them can be found in the fact that both papers focused on the beliefs of their participants:  Brink</w:t>
      </w:r>
      <w:r w:rsidR="00684906">
        <w:rPr>
          <w:sz w:val="24"/>
          <w:szCs w:val="24"/>
        </w:rPr>
        <w:t xml:space="preserve">’s study examined </w:t>
      </w:r>
      <w:r>
        <w:rPr>
          <w:sz w:val="24"/>
          <w:szCs w:val="24"/>
        </w:rPr>
        <w:t xml:space="preserve">a hypothesis concerning the </w:t>
      </w:r>
      <w:r w:rsidR="00B52CC8">
        <w:rPr>
          <w:sz w:val="24"/>
          <w:szCs w:val="24"/>
        </w:rPr>
        <w:t>improbability</w:t>
      </w:r>
      <w:r>
        <w:rPr>
          <w:sz w:val="24"/>
          <w:szCs w:val="24"/>
        </w:rPr>
        <w:t xml:space="preserve"> of </w:t>
      </w:r>
      <w:r w:rsidR="00B52CC8">
        <w:rPr>
          <w:sz w:val="24"/>
          <w:szCs w:val="24"/>
        </w:rPr>
        <w:t xml:space="preserve">subjects </w:t>
      </w:r>
      <w:r>
        <w:rPr>
          <w:sz w:val="24"/>
          <w:szCs w:val="24"/>
        </w:rPr>
        <w:t xml:space="preserve">simultaneously holding contradictory beliefs, while Bennett’s research aimed to explore beliefs about the </w:t>
      </w:r>
      <w:r w:rsidR="0066658C">
        <w:rPr>
          <w:sz w:val="24"/>
          <w:szCs w:val="24"/>
        </w:rPr>
        <w:t xml:space="preserve">experience </w:t>
      </w:r>
      <w:r>
        <w:rPr>
          <w:sz w:val="24"/>
          <w:szCs w:val="24"/>
        </w:rPr>
        <w:t xml:space="preserve">of foreknowledge.  </w:t>
      </w:r>
      <w:r w:rsidR="0057228F">
        <w:rPr>
          <w:sz w:val="24"/>
          <w:szCs w:val="24"/>
        </w:rPr>
        <w:t>Brink’s hypothesis was that his subjects</w:t>
      </w:r>
      <w:r w:rsidR="0041225D">
        <w:rPr>
          <w:sz w:val="24"/>
          <w:szCs w:val="24"/>
        </w:rPr>
        <w:t xml:space="preserve">, a class of girls at the school where </w:t>
      </w:r>
      <w:r w:rsidR="008A42A0">
        <w:rPr>
          <w:sz w:val="24"/>
          <w:szCs w:val="24"/>
        </w:rPr>
        <w:t xml:space="preserve">it is implied that he </w:t>
      </w:r>
      <w:r w:rsidR="0041225D">
        <w:rPr>
          <w:sz w:val="24"/>
          <w:szCs w:val="24"/>
        </w:rPr>
        <w:t>taught,</w:t>
      </w:r>
      <w:r w:rsidR="0057228F">
        <w:rPr>
          <w:sz w:val="24"/>
          <w:szCs w:val="24"/>
        </w:rPr>
        <w:t xml:space="preserve"> would </w:t>
      </w:r>
      <w:r w:rsidR="007D70E0">
        <w:rPr>
          <w:sz w:val="24"/>
          <w:szCs w:val="24"/>
        </w:rPr>
        <w:t>subscribe to</w:t>
      </w:r>
      <w:r w:rsidR="0057228F">
        <w:rPr>
          <w:sz w:val="24"/>
          <w:szCs w:val="24"/>
        </w:rPr>
        <w:t xml:space="preserve"> only one of three ‘belief sets’ (Roman Catholic doctrine, astrology and reincarnation).  His hypothesis was not confirmed, as his subjects demonstrated considerable overlap between the three belief sets.</w:t>
      </w:r>
      <w:r w:rsidR="0066658C">
        <w:rPr>
          <w:sz w:val="24"/>
          <w:szCs w:val="24"/>
        </w:rPr>
        <w:t xml:space="preserve">  </w:t>
      </w:r>
      <w:r w:rsidR="004A53EB">
        <w:rPr>
          <w:sz w:val="24"/>
          <w:szCs w:val="24"/>
        </w:rPr>
        <w:t>Bennett distinguished between two strands of the folklore of foreknowledge</w:t>
      </w:r>
      <w:r w:rsidR="00740B57">
        <w:rPr>
          <w:sz w:val="24"/>
          <w:szCs w:val="24"/>
        </w:rPr>
        <w:t>: divination and extrasensory perception</w:t>
      </w:r>
      <w:r w:rsidR="004616A1">
        <w:rPr>
          <w:sz w:val="24"/>
          <w:szCs w:val="24"/>
        </w:rPr>
        <w:t xml:space="preserve"> (ESP)</w:t>
      </w:r>
      <w:r w:rsidR="00740B57">
        <w:rPr>
          <w:sz w:val="24"/>
          <w:szCs w:val="24"/>
        </w:rPr>
        <w:t xml:space="preserve">.  Both strands </w:t>
      </w:r>
      <w:r w:rsidR="00B13DCD">
        <w:rPr>
          <w:sz w:val="24"/>
          <w:szCs w:val="24"/>
        </w:rPr>
        <w:t xml:space="preserve">were </w:t>
      </w:r>
      <w:r w:rsidR="00165A6D">
        <w:rPr>
          <w:sz w:val="24"/>
          <w:szCs w:val="24"/>
        </w:rPr>
        <w:t xml:space="preserve">found to be </w:t>
      </w:r>
      <w:r w:rsidR="00B13DCD">
        <w:rPr>
          <w:sz w:val="24"/>
          <w:szCs w:val="24"/>
        </w:rPr>
        <w:t>familiar to the participants</w:t>
      </w:r>
      <w:r w:rsidR="0041225D">
        <w:rPr>
          <w:sz w:val="24"/>
          <w:szCs w:val="24"/>
        </w:rPr>
        <w:t xml:space="preserve">, who were </w:t>
      </w:r>
      <w:r w:rsidR="004B448B">
        <w:rPr>
          <w:sz w:val="24"/>
          <w:szCs w:val="24"/>
        </w:rPr>
        <w:t xml:space="preserve">mainly elderly female </w:t>
      </w:r>
      <w:r w:rsidR="0041225D">
        <w:rPr>
          <w:sz w:val="24"/>
          <w:szCs w:val="24"/>
        </w:rPr>
        <w:t>patients at her father’s podiatry clinic</w:t>
      </w:r>
      <w:r w:rsidR="00165A6D">
        <w:rPr>
          <w:sz w:val="24"/>
          <w:szCs w:val="24"/>
        </w:rPr>
        <w:t xml:space="preserve">: </w:t>
      </w:r>
      <w:r w:rsidR="00B13DCD">
        <w:rPr>
          <w:sz w:val="24"/>
          <w:szCs w:val="24"/>
        </w:rPr>
        <w:t xml:space="preserve">levels of belief </w:t>
      </w:r>
      <w:r w:rsidR="005A7F91">
        <w:rPr>
          <w:sz w:val="24"/>
          <w:szCs w:val="24"/>
        </w:rPr>
        <w:t xml:space="preserve">and acceptance </w:t>
      </w:r>
      <w:r w:rsidR="00B13DCD">
        <w:rPr>
          <w:sz w:val="24"/>
          <w:szCs w:val="24"/>
        </w:rPr>
        <w:t>were low</w:t>
      </w:r>
      <w:r w:rsidR="004616A1">
        <w:rPr>
          <w:sz w:val="24"/>
          <w:szCs w:val="24"/>
        </w:rPr>
        <w:t xml:space="preserve"> for divination, but much higher for ESP.</w:t>
      </w:r>
      <w:r w:rsidR="0080749D">
        <w:rPr>
          <w:sz w:val="24"/>
          <w:szCs w:val="24"/>
        </w:rPr>
        <w:t xml:space="preserve">  Bennett </w:t>
      </w:r>
      <w:r w:rsidR="00165A6D">
        <w:rPr>
          <w:sz w:val="24"/>
          <w:szCs w:val="24"/>
        </w:rPr>
        <w:t>considered that</w:t>
      </w:r>
      <w:r w:rsidR="0080749D">
        <w:rPr>
          <w:sz w:val="24"/>
          <w:szCs w:val="24"/>
        </w:rPr>
        <w:t xml:space="preserve"> the relationship of her female participants to the</w:t>
      </w:r>
      <w:r w:rsidR="00CF61C2">
        <w:rPr>
          <w:sz w:val="24"/>
          <w:szCs w:val="24"/>
        </w:rPr>
        <w:t>ir</w:t>
      </w:r>
      <w:r w:rsidR="0080749D">
        <w:rPr>
          <w:sz w:val="24"/>
          <w:szCs w:val="24"/>
        </w:rPr>
        <w:t xml:space="preserve"> beliefs</w:t>
      </w:r>
      <w:r w:rsidR="00CF61C2">
        <w:rPr>
          <w:sz w:val="24"/>
          <w:szCs w:val="24"/>
        </w:rPr>
        <w:t xml:space="preserve"> in,</w:t>
      </w:r>
      <w:r w:rsidR="0080749D">
        <w:rPr>
          <w:sz w:val="24"/>
          <w:szCs w:val="24"/>
        </w:rPr>
        <w:t xml:space="preserve"> </w:t>
      </w:r>
      <w:r w:rsidR="00CF61C2">
        <w:rPr>
          <w:sz w:val="24"/>
          <w:szCs w:val="24"/>
        </w:rPr>
        <w:t xml:space="preserve">and experiences of, </w:t>
      </w:r>
      <w:r w:rsidR="0080749D">
        <w:rPr>
          <w:sz w:val="24"/>
          <w:szCs w:val="24"/>
        </w:rPr>
        <w:t xml:space="preserve">foreknowledge </w:t>
      </w:r>
      <w:r w:rsidR="00165A6D">
        <w:rPr>
          <w:sz w:val="24"/>
          <w:szCs w:val="24"/>
        </w:rPr>
        <w:t>was largely a result of their upbringing and</w:t>
      </w:r>
      <w:r w:rsidR="0080749D">
        <w:rPr>
          <w:sz w:val="24"/>
          <w:szCs w:val="24"/>
        </w:rPr>
        <w:t xml:space="preserve"> their understanding of what a traditional female role in society should be.</w:t>
      </w:r>
    </w:p>
    <w:p w14:paraId="12A34B49" w14:textId="1D8BED6A" w:rsidR="006A6E90" w:rsidRDefault="006A6E90" w:rsidP="00D72EF5">
      <w:pPr>
        <w:rPr>
          <w:sz w:val="24"/>
          <w:szCs w:val="24"/>
        </w:rPr>
      </w:pPr>
    </w:p>
    <w:p w14:paraId="1C1FB056" w14:textId="1CC4C648" w:rsidR="006A6E90" w:rsidRDefault="006A6E90" w:rsidP="00D72EF5">
      <w:pPr>
        <w:rPr>
          <w:sz w:val="24"/>
          <w:szCs w:val="24"/>
        </w:rPr>
      </w:pPr>
      <w:r>
        <w:rPr>
          <w:b/>
          <w:bCs/>
          <w:sz w:val="24"/>
          <w:szCs w:val="24"/>
          <w:u w:val="single"/>
        </w:rPr>
        <w:t>ANALYSIS</w:t>
      </w:r>
    </w:p>
    <w:p w14:paraId="0CB696F0" w14:textId="77777777" w:rsidR="00E258E6" w:rsidRDefault="00E258E6" w:rsidP="00E258E6">
      <w:pPr>
        <w:rPr>
          <w:b/>
          <w:bCs/>
          <w:sz w:val="24"/>
          <w:szCs w:val="24"/>
          <w:u w:val="single"/>
        </w:rPr>
      </w:pPr>
      <w:r>
        <w:rPr>
          <w:b/>
          <w:bCs/>
          <w:sz w:val="24"/>
          <w:szCs w:val="24"/>
          <w:u w:val="single"/>
        </w:rPr>
        <w:t>Methodology</w:t>
      </w:r>
    </w:p>
    <w:p w14:paraId="53C92B49" w14:textId="23C2159B" w:rsidR="00E258E6" w:rsidRPr="0003263E" w:rsidRDefault="00E258E6" w:rsidP="00E258E6">
      <w:pPr>
        <w:pStyle w:val="Default"/>
        <w:rPr>
          <w:rFonts w:asciiTheme="minorHAnsi" w:hAnsiTheme="minorHAnsi"/>
          <w:color w:val="auto"/>
        </w:rPr>
      </w:pPr>
      <w:r w:rsidRPr="004705D3">
        <w:rPr>
          <w:rFonts w:asciiTheme="minorHAnsi" w:hAnsiTheme="minorHAnsi"/>
          <w:color w:val="auto"/>
        </w:rPr>
        <w:t xml:space="preserve">Both papers were concerned with understanding the beliefs of their study populations, but the methods adopted were very different, both in type and in level of detail provided.  Brink carried out the research by means of a questionnaire, generating data which he analysed in a quantitative way, providing a table including statistical measures of the responses to his questions.  This </w:t>
      </w:r>
      <w:r w:rsidR="00CE5074">
        <w:rPr>
          <w:rFonts w:asciiTheme="minorHAnsi" w:hAnsiTheme="minorHAnsi"/>
          <w:color w:val="auto"/>
        </w:rPr>
        <w:t>represents a</w:t>
      </w:r>
      <w:r w:rsidRPr="004705D3">
        <w:rPr>
          <w:rFonts w:asciiTheme="minorHAnsi" w:hAnsiTheme="minorHAnsi"/>
          <w:color w:val="auto"/>
        </w:rPr>
        <w:t xml:space="preserve"> quantitative approach, </w:t>
      </w:r>
      <w:r w:rsidR="009F1958">
        <w:rPr>
          <w:rFonts w:asciiTheme="minorHAnsi" w:hAnsiTheme="minorHAnsi"/>
          <w:color w:val="auto"/>
        </w:rPr>
        <w:t>which</w:t>
      </w:r>
      <w:r w:rsidR="00EA16FB">
        <w:rPr>
          <w:rFonts w:asciiTheme="minorHAnsi" w:hAnsiTheme="minorHAnsi"/>
          <w:color w:val="auto"/>
        </w:rPr>
        <w:t xml:space="preserve"> Judith Bell </w:t>
      </w:r>
      <w:r w:rsidR="009F1958">
        <w:rPr>
          <w:rFonts w:asciiTheme="minorHAnsi" w:hAnsiTheme="minorHAnsi"/>
          <w:color w:val="auto"/>
        </w:rPr>
        <w:t xml:space="preserve">explains </w:t>
      </w:r>
      <w:r w:rsidR="00EA16FB">
        <w:rPr>
          <w:rFonts w:asciiTheme="minorHAnsi" w:hAnsiTheme="minorHAnsi"/>
          <w:color w:val="auto"/>
        </w:rPr>
        <w:t>as the collection ‘of facts and … the relationship of one set of facts to another’.</w:t>
      </w:r>
      <w:r w:rsidR="00EA16FB">
        <w:rPr>
          <w:rStyle w:val="FootnoteReference"/>
          <w:rFonts w:asciiTheme="minorHAnsi" w:hAnsiTheme="minorHAnsi"/>
          <w:color w:val="auto"/>
        </w:rPr>
        <w:footnoteReference w:id="4"/>
      </w:r>
      <w:r w:rsidR="00EA16FB">
        <w:rPr>
          <w:rFonts w:asciiTheme="minorHAnsi" w:hAnsiTheme="minorHAnsi"/>
          <w:color w:val="auto"/>
        </w:rPr>
        <w:t xml:space="preserve">  Qua</w:t>
      </w:r>
      <w:r w:rsidR="004604BE">
        <w:rPr>
          <w:rFonts w:asciiTheme="minorHAnsi" w:hAnsiTheme="minorHAnsi"/>
          <w:color w:val="auto"/>
        </w:rPr>
        <w:t>ntit</w:t>
      </w:r>
      <w:r w:rsidR="00EA16FB">
        <w:rPr>
          <w:rFonts w:asciiTheme="minorHAnsi" w:hAnsiTheme="minorHAnsi"/>
          <w:color w:val="auto"/>
        </w:rPr>
        <w:t xml:space="preserve">ative research </w:t>
      </w:r>
      <w:r w:rsidR="009F1958">
        <w:rPr>
          <w:rFonts w:asciiTheme="minorHAnsi" w:hAnsiTheme="minorHAnsi"/>
          <w:color w:val="auto"/>
        </w:rPr>
        <w:t>is</w:t>
      </w:r>
      <w:r w:rsidR="00EA16FB">
        <w:rPr>
          <w:rFonts w:asciiTheme="minorHAnsi" w:hAnsiTheme="minorHAnsi"/>
          <w:color w:val="auto"/>
        </w:rPr>
        <w:t xml:space="preserve"> also </w:t>
      </w:r>
      <w:r w:rsidRPr="004705D3">
        <w:rPr>
          <w:rFonts w:asciiTheme="minorHAnsi" w:hAnsiTheme="minorHAnsi"/>
          <w:color w:val="auto"/>
        </w:rPr>
        <w:t>described by Alan Bryman</w:t>
      </w:r>
      <w:r w:rsidR="00EA16FB">
        <w:rPr>
          <w:rFonts w:asciiTheme="minorHAnsi" w:hAnsiTheme="minorHAnsi"/>
          <w:color w:val="auto"/>
        </w:rPr>
        <w:t xml:space="preserve">, in the context of social research, </w:t>
      </w:r>
      <w:r w:rsidRPr="004705D3">
        <w:rPr>
          <w:rFonts w:asciiTheme="minorHAnsi" w:hAnsiTheme="minorHAnsi"/>
          <w:color w:val="auto"/>
        </w:rPr>
        <w:t>as ‘a genre which uses a special language which appears to exhibit some similarity to the ways in which scientists talk about how they investigate the natural order..’.</w:t>
      </w:r>
      <w:r w:rsidR="00A816AF">
        <w:rPr>
          <w:rStyle w:val="FootnoteReference"/>
          <w:rFonts w:asciiTheme="minorHAnsi" w:hAnsiTheme="minorHAnsi"/>
          <w:color w:val="auto"/>
        </w:rPr>
        <w:footnoteReference w:id="5"/>
      </w:r>
      <w:r w:rsidRPr="004705D3">
        <w:rPr>
          <w:rFonts w:asciiTheme="minorHAnsi" w:hAnsiTheme="minorHAnsi"/>
          <w:color w:val="auto"/>
        </w:rPr>
        <w:t xml:space="preserve">  </w:t>
      </w:r>
      <w:r w:rsidR="006E3FD5">
        <w:rPr>
          <w:rFonts w:asciiTheme="minorHAnsi" w:hAnsiTheme="minorHAnsi"/>
          <w:color w:val="auto"/>
        </w:rPr>
        <w:t xml:space="preserve">Bryman here </w:t>
      </w:r>
      <w:r w:rsidR="00820431">
        <w:rPr>
          <w:rFonts w:asciiTheme="minorHAnsi" w:hAnsiTheme="minorHAnsi"/>
          <w:color w:val="auto"/>
        </w:rPr>
        <w:t>implies</w:t>
      </w:r>
      <w:r w:rsidR="006E3FD5">
        <w:rPr>
          <w:rFonts w:asciiTheme="minorHAnsi" w:hAnsiTheme="minorHAnsi"/>
          <w:color w:val="auto"/>
        </w:rPr>
        <w:t xml:space="preserve"> that, in the social sciences, adopting the methods and style of a scientist does not necessarily mean that the study is scientific in the </w:t>
      </w:r>
      <w:r w:rsidR="006E3FD5" w:rsidRPr="006F7800">
        <w:rPr>
          <w:rFonts w:asciiTheme="minorHAnsi" w:hAnsiTheme="minorHAnsi"/>
          <w:color w:val="auto"/>
        </w:rPr>
        <w:t>positivist</w:t>
      </w:r>
      <w:r w:rsidR="0058728B">
        <w:rPr>
          <w:rFonts w:asciiTheme="minorHAnsi" w:hAnsiTheme="minorHAnsi"/>
          <w:color w:val="auto"/>
        </w:rPr>
        <w:t>, objective</w:t>
      </w:r>
      <w:r w:rsidR="006E3FD5">
        <w:rPr>
          <w:rFonts w:asciiTheme="minorHAnsi" w:hAnsiTheme="minorHAnsi"/>
          <w:color w:val="auto"/>
        </w:rPr>
        <w:t xml:space="preserve"> sense.  </w:t>
      </w:r>
      <w:r w:rsidRPr="004705D3">
        <w:rPr>
          <w:rFonts w:asciiTheme="minorHAnsi" w:hAnsiTheme="minorHAnsi"/>
          <w:color w:val="auto"/>
        </w:rPr>
        <w:t xml:space="preserve">The questionnaire </w:t>
      </w:r>
      <w:r w:rsidR="006E3FD5">
        <w:rPr>
          <w:rFonts w:asciiTheme="minorHAnsi" w:hAnsiTheme="minorHAnsi"/>
          <w:color w:val="auto"/>
        </w:rPr>
        <w:t xml:space="preserve">Brink </w:t>
      </w:r>
      <w:r w:rsidRPr="004705D3">
        <w:rPr>
          <w:rFonts w:asciiTheme="minorHAnsi" w:hAnsiTheme="minorHAnsi"/>
          <w:color w:val="auto"/>
        </w:rPr>
        <w:t>used was not described or appended, so its content can only be deduced from the table of results provided</w:t>
      </w:r>
      <w:r w:rsidR="005D7096">
        <w:rPr>
          <w:rFonts w:asciiTheme="minorHAnsi" w:hAnsiTheme="minorHAnsi"/>
          <w:color w:val="auto"/>
        </w:rPr>
        <w:t xml:space="preserve">, which </w:t>
      </w:r>
      <w:r>
        <w:rPr>
          <w:rFonts w:asciiTheme="minorHAnsi" w:hAnsiTheme="minorHAnsi"/>
          <w:color w:val="auto"/>
        </w:rPr>
        <w:lastRenderedPageBreak/>
        <w:t xml:space="preserve">indicated </w:t>
      </w:r>
      <w:r w:rsidRPr="004705D3">
        <w:rPr>
          <w:rFonts w:asciiTheme="minorHAnsi" w:hAnsiTheme="minorHAnsi"/>
          <w:color w:val="auto"/>
        </w:rPr>
        <w:t xml:space="preserve">that the questions were closed and quantitative, with no scope for qualitative analysis of how the girls involved might have defined the topics.  </w:t>
      </w:r>
      <w:r w:rsidR="00253CB8">
        <w:rPr>
          <w:rFonts w:asciiTheme="minorHAnsi" w:hAnsiTheme="minorHAnsi"/>
          <w:color w:val="auto"/>
        </w:rPr>
        <w:t>However, t</w:t>
      </w:r>
      <w:r w:rsidRPr="004705D3">
        <w:rPr>
          <w:rFonts w:asciiTheme="minorHAnsi" w:hAnsiTheme="minorHAnsi"/>
          <w:color w:val="auto"/>
        </w:rPr>
        <w:t xml:space="preserve">he nature of his enquiry into the beliefs of his subjects, as well as the topics of his enquiry </w:t>
      </w:r>
      <w:r w:rsidR="001C0C43">
        <w:rPr>
          <w:rFonts w:asciiTheme="minorHAnsi" w:hAnsiTheme="minorHAnsi"/>
          <w:color w:val="auto"/>
        </w:rPr>
        <w:t>(</w:t>
      </w:r>
      <w:r w:rsidRPr="004705D3">
        <w:rPr>
          <w:rFonts w:asciiTheme="minorHAnsi" w:hAnsiTheme="minorHAnsi"/>
          <w:color w:val="auto"/>
        </w:rPr>
        <w:t>religion, reincarnation and astrology</w:t>
      </w:r>
      <w:r w:rsidR="001C0C43">
        <w:rPr>
          <w:rFonts w:asciiTheme="minorHAnsi" w:hAnsiTheme="minorHAnsi"/>
          <w:color w:val="auto"/>
        </w:rPr>
        <w:t>)</w:t>
      </w:r>
      <w:r w:rsidRPr="004705D3">
        <w:rPr>
          <w:rFonts w:asciiTheme="minorHAnsi" w:hAnsiTheme="minorHAnsi"/>
          <w:color w:val="auto"/>
        </w:rPr>
        <w:t xml:space="preserve"> suggests that a qualitative approach </w:t>
      </w:r>
      <w:r w:rsidR="001F74B6">
        <w:rPr>
          <w:rFonts w:asciiTheme="minorHAnsi" w:hAnsiTheme="minorHAnsi"/>
          <w:color w:val="auto"/>
        </w:rPr>
        <w:t xml:space="preserve">involving interviews as well as a questionnaire </w:t>
      </w:r>
      <w:r w:rsidRPr="004705D3">
        <w:rPr>
          <w:rFonts w:asciiTheme="minorHAnsi" w:hAnsiTheme="minorHAnsi"/>
          <w:color w:val="auto"/>
        </w:rPr>
        <w:t xml:space="preserve">might have been more appropriate.  As </w:t>
      </w:r>
      <w:r w:rsidRPr="004705D3">
        <w:rPr>
          <w:color w:val="auto"/>
        </w:rPr>
        <w:t xml:space="preserve">Monique Hennink, Inge Hutter, and Ajay Bailey </w:t>
      </w:r>
      <w:r w:rsidRPr="004705D3">
        <w:rPr>
          <w:rFonts w:asciiTheme="minorHAnsi" w:hAnsiTheme="minorHAnsi"/>
          <w:color w:val="auto"/>
        </w:rPr>
        <w:t>point out, ‘Qualitative research is useful for … explaining peoples’ beliefs’.</w:t>
      </w:r>
      <w:r w:rsidRPr="004705D3">
        <w:rPr>
          <w:rStyle w:val="FootnoteReference"/>
          <w:rFonts w:asciiTheme="minorHAnsi" w:hAnsiTheme="minorHAnsi"/>
          <w:color w:val="auto"/>
        </w:rPr>
        <w:footnoteReference w:id="6"/>
      </w:r>
      <w:r w:rsidRPr="004705D3">
        <w:rPr>
          <w:rFonts w:asciiTheme="minorHAnsi" w:hAnsiTheme="minorHAnsi"/>
          <w:color w:val="auto"/>
        </w:rPr>
        <w:t xml:space="preserve">  Given that the </w:t>
      </w:r>
      <w:r>
        <w:rPr>
          <w:rFonts w:asciiTheme="minorHAnsi" w:hAnsiTheme="minorHAnsi"/>
          <w:color w:val="auto"/>
        </w:rPr>
        <w:t>beliefs</w:t>
      </w:r>
      <w:r w:rsidRPr="004705D3">
        <w:rPr>
          <w:rFonts w:asciiTheme="minorHAnsi" w:hAnsiTheme="minorHAnsi"/>
          <w:color w:val="auto"/>
        </w:rPr>
        <w:t xml:space="preserve"> being examined </w:t>
      </w:r>
      <w:r w:rsidR="006F614F">
        <w:rPr>
          <w:rFonts w:asciiTheme="minorHAnsi" w:hAnsiTheme="minorHAnsi"/>
          <w:color w:val="auto"/>
        </w:rPr>
        <w:t>are</w:t>
      </w:r>
      <w:r w:rsidRPr="004705D3">
        <w:rPr>
          <w:rFonts w:asciiTheme="minorHAnsi" w:hAnsiTheme="minorHAnsi"/>
          <w:color w:val="auto"/>
        </w:rPr>
        <w:t xml:space="preserve"> </w:t>
      </w:r>
      <w:r w:rsidR="00C62546">
        <w:rPr>
          <w:rFonts w:asciiTheme="minorHAnsi" w:hAnsiTheme="minorHAnsi"/>
          <w:color w:val="auto"/>
        </w:rPr>
        <w:t xml:space="preserve">neither </w:t>
      </w:r>
      <w:r w:rsidR="009A3FE5">
        <w:rPr>
          <w:rFonts w:asciiTheme="minorHAnsi" w:hAnsiTheme="minorHAnsi"/>
          <w:color w:val="auto"/>
        </w:rPr>
        <w:t>simple</w:t>
      </w:r>
      <w:r w:rsidR="00C62546">
        <w:rPr>
          <w:rFonts w:asciiTheme="minorHAnsi" w:hAnsiTheme="minorHAnsi"/>
          <w:color w:val="auto"/>
        </w:rPr>
        <w:t xml:space="preserve"> </w:t>
      </w:r>
      <w:r w:rsidR="007E2E29">
        <w:rPr>
          <w:rFonts w:asciiTheme="minorHAnsi" w:hAnsiTheme="minorHAnsi"/>
          <w:color w:val="auto"/>
        </w:rPr>
        <w:t xml:space="preserve">nor </w:t>
      </w:r>
      <w:r w:rsidR="009A3FE5">
        <w:rPr>
          <w:rFonts w:asciiTheme="minorHAnsi" w:hAnsiTheme="minorHAnsi"/>
          <w:color w:val="auto"/>
        </w:rPr>
        <w:t>obviously distinct</w:t>
      </w:r>
      <w:r w:rsidR="00D953D4">
        <w:rPr>
          <w:rFonts w:asciiTheme="minorHAnsi" w:hAnsiTheme="minorHAnsi"/>
          <w:color w:val="auto"/>
        </w:rPr>
        <w:t xml:space="preserve"> from each other</w:t>
      </w:r>
      <w:r w:rsidRPr="009A3FE5">
        <w:rPr>
          <w:rFonts w:asciiTheme="minorHAnsi" w:hAnsiTheme="minorHAnsi"/>
          <w:color w:val="auto"/>
        </w:rPr>
        <w:t>, the</w:t>
      </w:r>
      <w:r w:rsidRPr="00183391">
        <w:rPr>
          <w:rFonts w:asciiTheme="minorHAnsi" w:hAnsiTheme="minorHAnsi"/>
          <w:color w:val="FF0000"/>
        </w:rPr>
        <w:t xml:space="preserve"> </w:t>
      </w:r>
      <w:r w:rsidRPr="004705D3">
        <w:rPr>
          <w:rFonts w:asciiTheme="minorHAnsi" w:hAnsiTheme="minorHAnsi"/>
          <w:color w:val="auto"/>
        </w:rPr>
        <w:t xml:space="preserve">validity of </w:t>
      </w:r>
      <w:r w:rsidR="005D7096">
        <w:rPr>
          <w:rFonts w:asciiTheme="minorHAnsi" w:hAnsiTheme="minorHAnsi"/>
          <w:color w:val="auto"/>
        </w:rPr>
        <w:t>Brink’s</w:t>
      </w:r>
      <w:r w:rsidRPr="004705D3">
        <w:rPr>
          <w:rFonts w:asciiTheme="minorHAnsi" w:hAnsiTheme="minorHAnsi"/>
          <w:color w:val="auto"/>
        </w:rPr>
        <w:t xml:space="preserve"> results </w:t>
      </w:r>
      <w:r w:rsidR="005D7096">
        <w:rPr>
          <w:rFonts w:asciiTheme="minorHAnsi" w:hAnsiTheme="minorHAnsi"/>
          <w:color w:val="auto"/>
        </w:rPr>
        <w:t>is</w:t>
      </w:r>
      <w:r w:rsidRPr="004705D3">
        <w:rPr>
          <w:rFonts w:asciiTheme="minorHAnsi" w:hAnsiTheme="minorHAnsi"/>
          <w:color w:val="auto"/>
        </w:rPr>
        <w:t xml:space="preserve"> in doubt since there is no certainty that all the girls had the same understanding of the terms.  By contrast, Bennett in her paper </w:t>
      </w:r>
      <w:r w:rsidR="00081172">
        <w:rPr>
          <w:rFonts w:asciiTheme="minorHAnsi" w:hAnsiTheme="minorHAnsi"/>
          <w:color w:val="auto"/>
        </w:rPr>
        <w:t xml:space="preserve">took a qualitative approach, as described by Hennink </w:t>
      </w:r>
      <w:r w:rsidR="00FE727F">
        <w:rPr>
          <w:rFonts w:asciiTheme="minorHAnsi" w:hAnsiTheme="minorHAnsi"/>
          <w:color w:val="auto"/>
        </w:rPr>
        <w:t>et al.</w:t>
      </w:r>
      <w:r w:rsidR="00081172">
        <w:rPr>
          <w:rFonts w:asciiTheme="minorHAnsi" w:hAnsiTheme="minorHAnsi"/>
          <w:color w:val="auto"/>
        </w:rPr>
        <w:t xml:space="preserve"> as setting out to seek ‘a contextualized understanding of phenomena’</w:t>
      </w:r>
      <w:r w:rsidR="00854673">
        <w:rPr>
          <w:rFonts w:asciiTheme="minorHAnsi" w:hAnsiTheme="minorHAnsi"/>
          <w:color w:val="auto"/>
        </w:rPr>
        <w:t>,</w:t>
      </w:r>
      <w:r w:rsidR="004F1D3C">
        <w:rPr>
          <w:rFonts w:asciiTheme="minorHAnsi" w:hAnsiTheme="minorHAnsi"/>
          <w:color w:val="auto"/>
        </w:rPr>
        <w:t xml:space="preserve"> </w:t>
      </w:r>
      <w:r w:rsidR="00854673">
        <w:rPr>
          <w:rFonts w:asciiTheme="minorHAnsi" w:hAnsiTheme="minorHAnsi"/>
          <w:color w:val="auto"/>
        </w:rPr>
        <w:t>which describes Bennett’s aim of</w:t>
      </w:r>
      <w:r w:rsidR="00183391">
        <w:rPr>
          <w:rFonts w:asciiTheme="minorHAnsi" w:hAnsiTheme="minorHAnsi"/>
          <w:color w:val="auto"/>
        </w:rPr>
        <w:t xml:space="preserve"> exploring</w:t>
      </w:r>
      <w:r w:rsidR="00854673">
        <w:rPr>
          <w:rFonts w:asciiTheme="minorHAnsi" w:hAnsiTheme="minorHAnsi"/>
          <w:color w:val="auto"/>
        </w:rPr>
        <w:t xml:space="preserve"> </w:t>
      </w:r>
      <w:r w:rsidR="00D953D4">
        <w:rPr>
          <w:rFonts w:asciiTheme="minorHAnsi" w:hAnsiTheme="minorHAnsi"/>
          <w:color w:val="auto"/>
        </w:rPr>
        <w:t>‘</w:t>
      </w:r>
      <w:r w:rsidR="00854673">
        <w:rPr>
          <w:rFonts w:asciiTheme="minorHAnsi" w:hAnsiTheme="minorHAnsi"/>
          <w:color w:val="auto"/>
        </w:rPr>
        <w:t>the ways in which the womens’ social situation and moral code shape the folklore that they share’.</w:t>
      </w:r>
      <w:r w:rsidR="00081172">
        <w:rPr>
          <w:rStyle w:val="FootnoteReference"/>
          <w:rFonts w:asciiTheme="minorHAnsi" w:hAnsiTheme="minorHAnsi"/>
          <w:color w:val="auto"/>
        </w:rPr>
        <w:footnoteReference w:id="7"/>
      </w:r>
      <w:r w:rsidR="00081172">
        <w:rPr>
          <w:rFonts w:asciiTheme="minorHAnsi" w:hAnsiTheme="minorHAnsi"/>
          <w:color w:val="auto"/>
        </w:rPr>
        <w:t xml:space="preserve"> </w:t>
      </w:r>
      <w:r w:rsidR="00DE3C3B">
        <w:rPr>
          <w:rFonts w:asciiTheme="minorHAnsi" w:hAnsiTheme="minorHAnsi"/>
          <w:color w:val="auto"/>
        </w:rPr>
        <w:t xml:space="preserve"> She </w:t>
      </w:r>
      <w:r w:rsidRPr="004705D3">
        <w:rPr>
          <w:rFonts w:asciiTheme="minorHAnsi" w:hAnsiTheme="minorHAnsi"/>
          <w:color w:val="auto"/>
        </w:rPr>
        <w:t xml:space="preserve">provided a good deal of information about the way the research was carried out, </w:t>
      </w:r>
      <w:r w:rsidR="00DE3C3B">
        <w:rPr>
          <w:rFonts w:asciiTheme="minorHAnsi" w:hAnsiTheme="minorHAnsi"/>
          <w:color w:val="auto"/>
        </w:rPr>
        <w:t xml:space="preserve">describing the setting </w:t>
      </w:r>
      <w:r w:rsidR="00D6175E">
        <w:rPr>
          <w:rFonts w:asciiTheme="minorHAnsi" w:hAnsiTheme="minorHAnsi"/>
          <w:color w:val="auto"/>
        </w:rPr>
        <w:t xml:space="preserve">for her interviews, </w:t>
      </w:r>
      <w:r w:rsidR="00DE3C3B">
        <w:rPr>
          <w:rFonts w:asciiTheme="minorHAnsi" w:hAnsiTheme="minorHAnsi"/>
          <w:color w:val="auto"/>
        </w:rPr>
        <w:t xml:space="preserve">as well as the demographic context of her </w:t>
      </w:r>
      <w:r w:rsidR="00CB3216">
        <w:rPr>
          <w:rFonts w:asciiTheme="minorHAnsi" w:hAnsiTheme="minorHAnsi"/>
          <w:color w:val="auto"/>
        </w:rPr>
        <w:t>participants</w:t>
      </w:r>
      <w:r w:rsidR="00DE3C3B">
        <w:rPr>
          <w:rFonts w:asciiTheme="minorHAnsi" w:hAnsiTheme="minorHAnsi"/>
          <w:color w:val="auto"/>
        </w:rPr>
        <w:t xml:space="preserve">, </w:t>
      </w:r>
      <w:r w:rsidRPr="004705D3">
        <w:rPr>
          <w:rFonts w:asciiTheme="minorHAnsi" w:hAnsiTheme="minorHAnsi"/>
          <w:color w:val="auto"/>
        </w:rPr>
        <w:t>though</w:t>
      </w:r>
      <w:r w:rsidR="00487B10">
        <w:rPr>
          <w:rFonts w:asciiTheme="minorHAnsi" w:hAnsiTheme="minorHAnsi"/>
          <w:color w:val="auto"/>
        </w:rPr>
        <w:t xml:space="preserve">, like Brink, </w:t>
      </w:r>
      <w:r w:rsidRPr="004705D3">
        <w:rPr>
          <w:rFonts w:asciiTheme="minorHAnsi" w:hAnsiTheme="minorHAnsi"/>
          <w:color w:val="auto"/>
        </w:rPr>
        <w:t xml:space="preserve">she omitted details about the actual questions used.  </w:t>
      </w:r>
      <w:r w:rsidR="00DE3C3B">
        <w:rPr>
          <w:rFonts w:asciiTheme="minorHAnsi" w:hAnsiTheme="minorHAnsi"/>
          <w:color w:val="auto"/>
        </w:rPr>
        <w:t>H</w:t>
      </w:r>
      <w:r w:rsidR="000F5876">
        <w:rPr>
          <w:rFonts w:asciiTheme="minorHAnsi" w:hAnsiTheme="minorHAnsi"/>
          <w:color w:val="auto"/>
        </w:rPr>
        <w:t xml:space="preserve">owever, </w:t>
      </w:r>
      <w:r w:rsidR="006F77E1">
        <w:rPr>
          <w:rFonts w:asciiTheme="minorHAnsi" w:hAnsiTheme="minorHAnsi"/>
          <w:color w:val="auto"/>
        </w:rPr>
        <w:t xml:space="preserve">since </w:t>
      </w:r>
      <w:r w:rsidR="000F5876">
        <w:rPr>
          <w:rFonts w:asciiTheme="minorHAnsi" w:hAnsiTheme="minorHAnsi"/>
          <w:color w:val="auto"/>
        </w:rPr>
        <w:t>h</w:t>
      </w:r>
      <w:r w:rsidR="00DE3C3B">
        <w:rPr>
          <w:rFonts w:asciiTheme="minorHAnsi" w:hAnsiTheme="minorHAnsi"/>
          <w:color w:val="auto"/>
        </w:rPr>
        <w:t>er</w:t>
      </w:r>
      <w:r w:rsidRPr="004705D3">
        <w:rPr>
          <w:rFonts w:asciiTheme="minorHAnsi" w:hAnsiTheme="minorHAnsi"/>
          <w:color w:val="auto"/>
        </w:rPr>
        <w:t xml:space="preserve"> method </w:t>
      </w:r>
      <w:r w:rsidR="00B05F00">
        <w:rPr>
          <w:rFonts w:asciiTheme="minorHAnsi" w:hAnsiTheme="minorHAnsi"/>
          <w:color w:val="auto"/>
        </w:rPr>
        <w:t xml:space="preserve">was </w:t>
      </w:r>
      <w:r w:rsidRPr="004705D3">
        <w:rPr>
          <w:rFonts w:asciiTheme="minorHAnsi" w:hAnsiTheme="minorHAnsi"/>
          <w:color w:val="auto"/>
        </w:rPr>
        <w:t>unstructured interview, which she referred to as ‘conversation’</w:t>
      </w:r>
      <w:r w:rsidR="006F77E1">
        <w:rPr>
          <w:rFonts w:asciiTheme="minorHAnsi" w:hAnsiTheme="minorHAnsi"/>
          <w:color w:val="auto"/>
        </w:rPr>
        <w:t xml:space="preserve"> a formal list of questions would not have been appropriate.</w:t>
      </w:r>
      <w:r w:rsidRPr="004705D3">
        <w:rPr>
          <w:rStyle w:val="FootnoteReference"/>
          <w:rFonts w:asciiTheme="minorHAnsi" w:hAnsiTheme="minorHAnsi"/>
          <w:color w:val="auto"/>
        </w:rPr>
        <w:footnoteReference w:id="8"/>
      </w:r>
      <w:r w:rsidRPr="004705D3">
        <w:rPr>
          <w:rFonts w:asciiTheme="minorHAnsi" w:hAnsiTheme="minorHAnsi"/>
          <w:color w:val="auto"/>
        </w:rPr>
        <w:t xml:space="preserve">  </w:t>
      </w:r>
      <w:r w:rsidR="00872999">
        <w:rPr>
          <w:rFonts w:asciiTheme="minorHAnsi" w:hAnsiTheme="minorHAnsi"/>
          <w:color w:val="auto"/>
        </w:rPr>
        <w:t>Like Brink, Bennett provide</w:t>
      </w:r>
      <w:r w:rsidR="00992D48">
        <w:rPr>
          <w:rFonts w:asciiTheme="minorHAnsi" w:hAnsiTheme="minorHAnsi"/>
          <w:color w:val="auto"/>
        </w:rPr>
        <w:t>d</w:t>
      </w:r>
      <w:r w:rsidR="00872999">
        <w:rPr>
          <w:rFonts w:asciiTheme="minorHAnsi" w:hAnsiTheme="minorHAnsi"/>
          <w:color w:val="auto"/>
        </w:rPr>
        <w:t xml:space="preserve"> a table of some numerical data to display the demographic make-up of her participants</w:t>
      </w:r>
      <w:r w:rsidR="00992D48">
        <w:rPr>
          <w:rFonts w:asciiTheme="minorHAnsi" w:hAnsiTheme="minorHAnsi"/>
          <w:color w:val="auto"/>
        </w:rPr>
        <w:t xml:space="preserve">, providing a quantitative element to her study that helped to situate her study’s social </w:t>
      </w:r>
      <w:r w:rsidR="00920AF6">
        <w:rPr>
          <w:rFonts w:asciiTheme="minorHAnsi" w:hAnsiTheme="minorHAnsi"/>
          <w:color w:val="auto"/>
        </w:rPr>
        <w:t xml:space="preserve">and demographic </w:t>
      </w:r>
      <w:r w:rsidR="00992D48">
        <w:rPr>
          <w:rFonts w:asciiTheme="minorHAnsi" w:hAnsiTheme="minorHAnsi"/>
          <w:color w:val="auto"/>
        </w:rPr>
        <w:t xml:space="preserve">context. </w:t>
      </w:r>
      <w:r w:rsidR="00C72933">
        <w:rPr>
          <w:rFonts w:asciiTheme="minorHAnsi" w:hAnsiTheme="minorHAnsi"/>
          <w:color w:val="auto"/>
        </w:rPr>
        <w:t xml:space="preserve"> Her introductory section also included discussion of various quantitative surveys providing a broader social setting of her topic, though </w:t>
      </w:r>
      <w:r w:rsidR="00E1211E">
        <w:rPr>
          <w:rFonts w:asciiTheme="minorHAnsi" w:hAnsiTheme="minorHAnsi"/>
          <w:color w:val="auto"/>
        </w:rPr>
        <w:t>these were</w:t>
      </w:r>
      <w:r w:rsidR="00C72933">
        <w:rPr>
          <w:rFonts w:asciiTheme="minorHAnsi" w:hAnsiTheme="minorHAnsi"/>
          <w:color w:val="auto"/>
        </w:rPr>
        <w:t xml:space="preserve"> not presented formally in a table.  </w:t>
      </w:r>
      <w:r w:rsidR="00370FA8">
        <w:rPr>
          <w:rFonts w:asciiTheme="minorHAnsi" w:hAnsiTheme="minorHAnsi"/>
          <w:color w:val="auto"/>
        </w:rPr>
        <w:t xml:space="preserve">Bryman indicates that ‘when quantitative and qualitative research are jointly pursued, much more complete accounts of social reality can </w:t>
      </w:r>
      <w:r w:rsidR="00370FA8" w:rsidRPr="006C7655">
        <w:rPr>
          <w:rFonts w:asciiTheme="minorHAnsi" w:hAnsiTheme="minorHAnsi"/>
          <w:color w:val="auto"/>
        </w:rPr>
        <w:t>ensue’.</w:t>
      </w:r>
      <w:r w:rsidR="00370FA8" w:rsidRPr="006C7655">
        <w:rPr>
          <w:rStyle w:val="FootnoteReference"/>
          <w:rFonts w:asciiTheme="minorHAnsi" w:hAnsiTheme="minorHAnsi"/>
          <w:color w:val="auto"/>
        </w:rPr>
        <w:footnoteReference w:id="9"/>
      </w:r>
      <w:r w:rsidR="00992D48" w:rsidRPr="006C7655">
        <w:rPr>
          <w:rFonts w:asciiTheme="minorHAnsi" w:hAnsiTheme="minorHAnsi"/>
          <w:color w:val="auto"/>
        </w:rPr>
        <w:t xml:space="preserve"> </w:t>
      </w:r>
      <w:r w:rsidR="00917E0E">
        <w:rPr>
          <w:rFonts w:asciiTheme="minorHAnsi" w:hAnsiTheme="minorHAnsi"/>
          <w:color w:val="auto"/>
        </w:rPr>
        <w:t xml:space="preserve"> </w:t>
      </w:r>
      <w:r w:rsidR="00487B10">
        <w:rPr>
          <w:rFonts w:asciiTheme="minorHAnsi" w:hAnsiTheme="minorHAnsi"/>
          <w:color w:val="auto"/>
        </w:rPr>
        <w:t xml:space="preserve">This </w:t>
      </w:r>
      <w:r w:rsidR="00F70E85">
        <w:rPr>
          <w:rFonts w:asciiTheme="minorHAnsi" w:hAnsiTheme="minorHAnsi"/>
          <w:color w:val="auto"/>
        </w:rPr>
        <w:t>supports</w:t>
      </w:r>
      <w:r w:rsidR="00487B10">
        <w:rPr>
          <w:rFonts w:asciiTheme="minorHAnsi" w:hAnsiTheme="minorHAnsi"/>
          <w:color w:val="auto"/>
        </w:rPr>
        <w:t xml:space="preserve"> the use of mixed methods in studies such as th</w:t>
      </w:r>
      <w:r w:rsidR="00A74742">
        <w:rPr>
          <w:rFonts w:asciiTheme="minorHAnsi" w:hAnsiTheme="minorHAnsi"/>
          <w:color w:val="auto"/>
        </w:rPr>
        <w:t>is</w:t>
      </w:r>
      <w:r w:rsidR="00487B10">
        <w:rPr>
          <w:rFonts w:asciiTheme="minorHAnsi" w:hAnsiTheme="minorHAnsi"/>
          <w:color w:val="auto"/>
        </w:rPr>
        <w:t xml:space="preserve">, which dealt with issues of social understanding.  </w:t>
      </w:r>
      <w:r w:rsidR="006C7655" w:rsidRPr="006C7655">
        <w:rPr>
          <w:rFonts w:asciiTheme="minorHAnsi" w:hAnsiTheme="minorHAnsi"/>
          <w:color w:val="auto"/>
        </w:rPr>
        <w:t>Brink</w:t>
      </w:r>
      <w:r w:rsidR="006C7655">
        <w:rPr>
          <w:rFonts w:asciiTheme="minorHAnsi" w:hAnsiTheme="minorHAnsi"/>
          <w:color w:val="auto"/>
        </w:rPr>
        <w:t>’s paper d</w:t>
      </w:r>
      <w:r w:rsidR="00487B10">
        <w:rPr>
          <w:rFonts w:asciiTheme="minorHAnsi" w:hAnsiTheme="minorHAnsi"/>
          <w:color w:val="auto"/>
        </w:rPr>
        <w:t>id</w:t>
      </w:r>
      <w:r w:rsidR="006C7655">
        <w:rPr>
          <w:rFonts w:asciiTheme="minorHAnsi" w:hAnsiTheme="minorHAnsi"/>
          <w:color w:val="auto"/>
        </w:rPr>
        <w:t xml:space="preserve"> include some speculation about the social positioning and understanding of his subjects by alluding to their ‘marginality’, but this </w:t>
      </w:r>
      <w:r w:rsidR="009F288B">
        <w:rPr>
          <w:rFonts w:asciiTheme="minorHAnsi" w:hAnsiTheme="minorHAnsi"/>
          <w:color w:val="auto"/>
        </w:rPr>
        <w:t xml:space="preserve">was </w:t>
      </w:r>
      <w:r w:rsidR="006C7655">
        <w:rPr>
          <w:rFonts w:asciiTheme="minorHAnsi" w:hAnsiTheme="minorHAnsi"/>
          <w:color w:val="auto"/>
        </w:rPr>
        <w:t xml:space="preserve">unsupported by qualitative </w:t>
      </w:r>
      <w:r w:rsidR="00A74742">
        <w:rPr>
          <w:rFonts w:asciiTheme="minorHAnsi" w:hAnsiTheme="minorHAnsi"/>
          <w:color w:val="auto"/>
        </w:rPr>
        <w:t xml:space="preserve">or quantitative </w:t>
      </w:r>
      <w:r w:rsidR="006C7655">
        <w:rPr>
          <w:rFonts w:asciiTheme="minorHAnsi" w:hAnsiTheme="minorHAnsi"/>
          <w:color w:val="auto"/>
        </w:rPr>
        <w:t xml:space="preserve">data.  </w:t>
      </w:r>
      <w:r>
        <w:rPr>
          <w:rFonts w:asciiTheme="minorHAnsi" w:hAnsiTheme="minorHAnsi"/>
          <w:color w:val="auto"/>
        </w:rPr>
        <w:t>These</w:t>
      </w:r>
      <w:r w:rsidRPr="00D14ADF">
        <w:rPr>
          <w:rFonts w:asciiTheme="minorHAnsi" w:hAnsiTheme="minorHAnsi"/>
          <w:color w:val="auto"/>
        </w:rPr>
        <w:t xml:space="preserve"> two papers therefore illustrate two methodological </w:t>
      </w:r>
      <w:r w:rsidRPr="0003263E">
        <w:rPr>
          <w:rFonts w:asciiTheme="minorHAnsi" w:hAnsiTheme="minorHAnsi"/>
          <w:color w:val="auto"/>
        </w:rPr>
        <w:t xml:space="preserve">approaches to research into beliefs, with Brink following a </w:t>
      </w:r>
      <w:r w:rsidR="00ED7DDA" w:rsidRPr="0003263E">
        <w:rPr>
          <w:rFonts w:asciiTheme="minorHAnsi" w:hAnsiTheme="minorHAnsi"/>
          <w:color w:val="auto"/>
        </w:rPr>
        <w:t xml:space="preserve">quantitative </w:t>
      </w:r>
      <w:r w:rsidRPr="0003263E">
        <w:rPr>
          <w:rFonts w:asciiTheme="minorHAnsi" w:hAnsiTheme="minorHAnsi"/>
          <w:color w:val="auto"/>
        </w:rPr>
        <w:t>approach, and Bennett a qualitative framework</w:t>
      </w:r>
      <w:r w:rsidR="00ED7DDA" w:rsidRPr="0003263E">
        <w:rPr>
          <w:rFonts w:asciiTheme="minorHAnsi" w:hAnsiTheme="minorHAnsi"/>
          <w:color w:val="auto"/>
        </w:rPr>
        <w:t xml:space="preserve">, </w:t>
      </w:r>
      <w:r w:rsidR="00804CBC" w:rsidRPr="0003263E">
        <w:rPr>
          <w:rFonts w:asciiTheme="minorHAnsi" w:hAnsiTheme="minorHAnsi"/>
          <w:color w:val="auto"/>
        </w:rPr>
        <w:t>supported</w:t>
      </w:r>
      <w:r w:rsidR="00ED7DDA" w:rsidRPr="0003263E">
        <w:rPr>
          <w:rFonts w:asciiTheme="minorHAnsi" w:hAnsiTheme="minorHAnsi"/>
          <w:color w:val="auto"/>
        </w:rPr>
        <w:t xml:space="preserve"> by some informal quantitative data</w:t>
      </w:r>
      <w:r w:rsidRPr="0003263E">
        <w:rPr>
          <w:rFonts w:asciiTheme="minorHAnsi" w:hAnsiTheme="minorHAnsi"/>
          <w:color w:val="auto"/>
        </w:rPr>
        <w:t>.</w:t>
      </w:r>
    </w:p>
    <w:p w14:paraId="64502320" w14:textId="77777777" w:rsidR="00E258E6" w:rsidRPr="0003263E" w:rsidRDefault="00E258E6" w:rsidP="00E258E6">
      <w:pPr>
        <w:rPr>
          <w:rFonts w:cs="Code"/>
          <w:sz w:val="24"/>
          <w:szCs w:val="24"/>
        </w:rPr>
      </w:pPr>
    </w:p>
    <w:p w14:paraId="19634BEC" w14:textId="20561B79" w:rsidR="00E258E6" w:rsidRPr="0003263E" w:rsidRDefault="00E258E6" w:rsidP="00E258E6">
      <w:pPr>
        <w:rPr>
          <w:b/>
          <w:bCs/>
          <w:sz w:val="24"/>
          <w:szCs w:val="24"/>
          <w:u w:val="single"/>
        </w:rPr>
      </w:pPr>
      <w:r w:rsidRPr="0003263E">
        <w:rPr>
          <w:b/>
          <w:bCs/>
          <w:sz w:val="24"/>
          <w:szCs w:val="24"/>
          <w:u w:val="single"/>
        </w:rPr>
        <w:t>Insider/Outsider Perspective</w:t>
      </w:r>
      <w:r w:rsidR="006D5D8B" w:rsidRPr="0003263E">
        <w:rPr>
          <w:b/>
          <w:bCs/>
          <w:sz w:val="24"/>
          <w:szCs w:val="24"/>
          <w:u w:val="single"/>
        </w:rPr>
        <w:t>s</w:t>
      </w:r>
    </w:p>
    <w:p w14:paraId="1112AE5A" w14:textId="3324F181" w:rsidR="00E258E6" w:rsidRDefault="0003263E" w:rsidP="0003263E">
      <w:pPr>
        <w:rPr>
          <w:sz w:val="24"/>
          <w:szCs w:val="24"/>
        </w:rPr>
      </w:pPr>
      <w:r>
        <w:rPr>
          <w:rFonts w:cs="Code"/>
          <w:sz w:val="24"/>
          <w:szCs w:val="24"/>
        </w:rPr>
        <w:t xml:space="preserve">The question of a researcher’s position in relation to the situation being examined is, as </w:t>
      </w:r>
      <w:r w:rsidR="00376AD6">
        <w:rPr>
          <w:rFonts w:cs="Code"/>
          <w:sz w:val="24"/>
          <w:szCs w:val="24"/>
        </w:rPr>
        <w:t xml:space="preserve">Russell </w:t>
      </w:r>
      <w:r>
        <w:rPr>
          <w:rFonts w:cs="Code"/>
          <w:sz w:val="24"/>
          <w:szCs w:val="24"/>
        </w:rPr>
        <w:t>M</w:t>
      </w:r>
      <w:r w:rsidR="00376AD6">
        <w:rPr>
          <w:rFonts w:cs="Code"/>
          <w:sz w:val="24"/>
          <w:szCs w:val="24"/>
        </w:rPr>
        <w:t>cC</w:t>
      </w:r>
      <w:r>
        <w:rPr>
          <w:rFonts w:cs="Code"/>
          <w:sz w:val="24"/>
          <w:szCs w:val="24"/>
        </w:rPr>
        <w:t>utcheon points out ‘</w:t>
      </w:r>
      <w:r w:rsidR="001F5DCF" w:rsidRPr="0003263E">
        <w:rPr>
          <w:rFonts w:cs="Code"/>
          <w:sz w:val="24"/>
          <w:szCs w:val="24"/>
        </w:rPr>
        <w:t xml:space="preserve">one of the most important issues confronting scholars who study </w:t>
      </w:r>
      <w:r w:rsidR="002447F2">
        <w:rPr>
          <w:rFonts w:cs="Code"/>
          <w:sz w:val="24"/>
          <w:szCs w:val="24"/>
        </w:rPr>
        <w:t>…</w:t>
      </w:r>
      <w:r w:rsidR="001F5DCF" w:rsidRPr="0003263E">
        <w:rPr>
          <w:rFonts w:cs="Code"/>
          <w:sz w:val="24"/>
          <w:szCs w:val="24"/>
        </w:rPr>
        <w:t xml:space="preserve"> belief systems</w:t>
      </w:r>
      <w:r>
        <w:rPr>
          <w:rFonts w:cs="Code"/>
          <w:sz w:val="24"/>
          <w:szCs w:val="24"/>
        </w:rPr>
        <w:t>’.</w:t>
      </w:r>
      <w:r w:rsidR="00DB0652">
        <w:rPr>
          <w:rStyle w:val="FootnoteReference"/>
          <w:rFonts w:cs="Code"/>
          <w:sz w:val="24"/>
          <w:szCs w:val="24"/>
        </w:rPr>
        <w:footnoteReference w:id="10"/>
      </w:r>
      <w:r w:rsidR="00DB0652">
        <w:rPr>
          <w:rFonts w:cs="Code"/>
          <w:sz w:val="24"/>
          <w:szCs w:val="24"/>
        </w:rPr>
        <w:t xml:space="preserve">  </w:t>
      </w:r>
      <w:r w:rsidR="001F5DCF" w:rsidRPr="0003263E">
        <w:rPr>
          <w:rFonts w:cs="Code"/>
          <w:sz w:val="24"/>
          <w:szCs w:val="24"/>
        </w:rPr>
        <w:t xml:space="preserve"> </w:t>
      </w:r>
      <w:r w:rsidR="006D5D8B" w:rsidRPr="0003263E">
        <w:rPr>
          <w:rFonts w:cs="Code"/>
          <w:sz w:val="24"/>
          <w:szCs w:val="24"/>
        </w:rPr>
        <w:t xml:space="preserve">Hennink </w:t>
      </w:r>
      <w:r w:rsidR="00FE727F" w:rsidRPr="0003263E">
        <w:rPr>
          <w:rFonts w:cs="Code"/>
          <w:sz w:val="24"/>
          <w:szCs w:val="24"/>
        </w:rPr>
        <w:t>et al.</w:t>
      </w:r>
      <w:r w:rsidR="006D5D8B" w:rsidRPr="0003263E">
        <w:rPr>
          <w:rFonts w:cs="Code"/>
          <w:sz w:val="24"/>
          <w:szCs w:val="24"/>
        </w:rPr>
        <w:t xml:space="preserve"> describe this in terms of ‘emic’ and ‘etic, using terms coined </w:t>
      </w:r>
      <w:r w:rsidR="006D5D8B" w:rsidRPr="0003263E">
        <w:rPr>
          <w:rFonts w:cs="Code"/>
          <w:sz w:val="24"/>
          <w:szCs w:val="24"/>
        </w:rPr>
        <w:lastRenderedPageBreak/>
        <w:t xml:space="preserve">by </w:t>
      </w:r>
      <w:r w:rsidR="006C5015" w:rsidRPr="0003263E">
        <w:rPr>
          <w:rFonts w:cs="Code"/>
          <w:sz w:val="24"/>
          <w:szCs w:val="24"/>
        </w:rPr>
        <w:t>Kenneth Pike</w:t>
      </w:r>
      <w:r w:rsidR="008B1B00" w:rsidRPr="0003263E">
        <w:rPr>
          <w:rFonts w:cs="Code"/>
          <w:sz w:val="24"/>
          <w:szCs w:val="24"/>
        </w:rPr>
        <w:t>.</w:t>
      </w:r>
      <w:r w:rsidR="00A03316" w:rsidRPr="0003263E">
        <w:rPr>
          <w:vertAlign w:val="superscript"/>
        </w:rPr>
        <w:footnoteReference w:id="11"/>
      </w:r>
      <w:r w:rsidR="006D5D8B" w:rsidRPr="0003263E">
        <w:rPr>
          <w:rFonts w:cs="Code"/>
          <w:sz w:val="24"/>
          <w:szCs w:val="24"/>
          <w:vertAlign w:val="superscript"/>
        </w:rPr>
        <w:t xml:space="preserve"> </w:t>
      </w:r>
      <w:r w:rsidR="006D5D8B" w:rsidRPr="0003263E">
        <w:rPr>
          <w:rFonts w:cs="Code"/>
          <w:sz w:val="24"/>
          <w:szCs w:val="24"/>
        </w:rPr>
        <w:t xml:space="preserve"> The</w:t>
      </w:r>
      <w:r w:rsidR="00030370" w:rsidRPr="0003263E">
        <w:rPr>
          <w:rFonts w:cs="Code"/>
          <w:sz w:val="24"/>
          <w:szCs w:val="24"/>
        </w:rPr>
        <w:t>y</w:t>
      </w:r>
      <w:r w:rsidR="006D5D8B" w:rsidRPr="0003263E">
        <w:rPr>
          <w:rFonts w:cs="Code"/>
          <w:sz w:val="24"/>
          <w:szCs w:val="24"/>
        </w:rPr>
        <w:t xml:space="preserve"> define the terms as ‘The emic perspective provides information on the insider’s point of view … The etic perspective refers to the outsider’s point of view, their opinions and beliefs’.</w:t>
      </w:r>
      <w:r w:rsidR="006D5D8B" w:rsidRPr="0003263E">
        <w:rPr>
          <w:vertAlign w:val="superscript"/>
        </w:rPr>
        <w:footnoteReference w:id="12"/>
      </w:r>
      <w:r w:rsidR="00BE4585" w:rsidRPr="0003263E">
        <w:rPr>
          <w:rFonts w:cs="Code"/>
          <w:sz w:val="24"/>
          <w:szCs w:val="24"/>
        </w:rPr>
        <w:t xml:space="preserve">  However the distinction is not necessarily clear cut, and there</w:t>
      </w:r>
      <w:r w:rsidR="00CD2055" w:rsidRPr="0003263E">
        <w:rPr>
          <w:rFonts w:cs="Code"/>
          <w:sz w:val="24"/>
          <w:szCs w:val="24"/>
        </w:rPr>
        <w:t xml:space="preserve"> is recognition that</w:t>
      </w:r>
      <w:r w:rsidR="00CD2055">
        <w:rPr>
          <w:rFonts w:cs="Code"/>
          <w:sz w:val="24"/>
          <w:szCs w:val="24"/>
        </w:rPr>
        <w:t xml:space="preserve"> researchers </w:t>
      </w:r>
      <w:r w:rsidR="00BE4585">
        <w:rPr>
          <w:rFonts w:cs="Code"/>
          <w:sz w:val="24"/>
          <w:szCs w:val="24"/>
        </w:rPr>
        <w:t xml:space="preserve">actually </w:t>
      </w:r>
      <w:r w:rsidR="00CD2055">
        <w:rPr>
          <w:rFonts w:cs="Code"/>
          <w:sz w:val="24"/>
          <w:szCs w:val="24"/>
        </w:rPr>
        <w:t xml:space="preserve">exist somewhere on a continuum between being an insider and an outsider to the people they are studying, and that their position on that spectrum must be acknowledged and considered.  </w:t>
      </w:r>
      <w:r w:rsidR="007075AF">
        <w:rPr>
          <w:rFonts w:cs="Code"/>
          <w:sz w:val="24"/>
          <w:szCs w:val="24"/>
        </w:rPr>
        <w:t>David Hellawell point</w:t>
      </w:r>
      <w:r w:rsidR="0037599A">
        <w:rPr>
          <w:rFonts w:cs="Code"/>
          <w:sz w:val="24"/>
          <w:szCs w:val="24"/>
        </w:rPr>
        <w:t>s</w:t>
      </w:r>
      <w:r w:rsidR="007075AF">
        <w:rPr>
          <w:rFonts w:cs="Code"/>
          <w:sz w:val="24"/>
          <w:szCs w:val="24"/>
        </w:rPr>
        <w:t xml:space="preserve"> out that ‘the same researcher can slide along more than one ‘insider-outsider’ continuum.’</w:t>
      </w:r>
      <w:r w:rsidR="007075AF">
        <w:rPr>
          <w:rStyle w:val="FootnoteReference"/>
          <w:rFonts w:cs="Code"/>
          <w:sz w:val="24"/>
          <w:szCs w:val="24"/>
        </w:rPr>
        <w:footnoteReference w:id="13"/>
      </w:r>
      <w:r w:rsidR="00321C5B">
        <w:rPr>
          <w:rFonts w:cs="Code"/>
          <w:sz w:val="24"/>
          <w:szCs w:val="24"/>
        </w:rPr>
        <w:t xml:space="preserve"> </w:t>
      </w:r>
      <w:r w:rsidR="00FF48C2">
        <w:rPr>
          <w:rFonts w:cs="Code"/>
          <w:sz w:val="24"/>
          <w:szCs w:val="24"/>
        </w:rPr>
        <w:t>In considering the notion of insider/outsider perspectives applied to the two papers examined here, it is notable that Brink position</w:t>
      </w:r>
      <w:r w:rsidR="00035AD1">
        <w:rPr>
          <w:rFonts w:cs="Code"/>
          <w:sz w:val="24"/>
          <w:szCs w:val="24"/>
        </w:rPr>
        <w:t>ed</w:t>
      </w:r>
      <w:r w:rsidR="00FF48C2">
        <w:rPr>
          <w:rFonts w:cs="Code"/>
          <w:sz w:val="24"/>
          <w:szCs w:val="24"/>
        </w:rPr>
        <w:t xml:space="preserve"> himself firmly at the ‘outsider’ end of the spectrum.  </w:t>
      </w:r>
      <w:r w:rsidR="003E7A7B">
        <w:rPr>
          <w:rFonts w:cs="Code"/>
          <w:sz w:val="24"/>
          <w:szCs w:val="24"/>
        </w:rPr>
        <w:t xml:space="preserve">He appeared to take a positivist </w:t>
      </w:r>
      <w:r w:rsidR="00E25039">
        <w:rPr>
          <w:rFonts w:cs="Code"/>
          <w:sz w:val="24"/>
          <w:szCs w:val="24"/>
        </w:rPr>
        <w:t>approach, described by Hennink et al. as working from the assumption that ‘reality consists of facts and that researchers can observe and measure reality in an objective way’.</w:t>
      </w:r>
      <w:r w:rsidR="00E25039">
        <w:rPr>
          <w:rStyle w:val="FootnoteReference"/>
          <w:rFonts w:cs="Code"/>
          <w:sz w:val="24"/>
          <w:szCs w:val="24"/>
        </w:rPr>
        <w:footnoteReference w:id="14"/>
      </w:r>
      <w:r w:rsidR="000310E4">
        <w:rPr>
          <w:rFonts w:cs="Code"/>
          <w:sz w:val="24"/>
          <w:szCs w:val="24"/>
        </w:rPr>
        <w:t xml:space="preserve"> Accordingly Brink </w:t>
      </w:r>
      <w:r w:rsidR="00A27B92">
        <w:rPr>
          <w:rFonts w:cs="Code"/>
          <w:sz w:val="24"/>
          <w:szCs w:val="24"/>
        </w:rPr>
        <w:t>treated</w:t>
      </w:r>
      <w:r w:rsidR="000310E4">
        <w:rPr>
          <w:rFonts w:cs="Code"/>
          <w:sz w:val="24"/>
          <w:szCs w:val="24"/>
        </w:rPr>
        <w:t xml:space="preserve"> </w:t>
      </w:r>
      <w:r w:rsidR="003E7A7B">
        <w:rPr>
          <w:rFonts w:cs="Code"/>
          <w:sz w:val="24"/>
          <w:szCs w:val="24"/>
        </w:rPr>
        <w:t>the beliefs being investigated as</w:t>
      </w:r>
      <w:r w:rsidR="00ED7DDA">
        <w:rPr>
          <w:rFonts w:cs="Code"/>
          <w:sz w:val="24"/>
          <w:szCs w:val="24"/>
        </w:rPr>
        <w:t xml:space="preserve"> separate objective</w:t>
      </w:r>
      <w:r w:rsidR="003E7A7B">
        <w:rPr>
          <w:rFonts w:cs="Code"/>
          <w:sz w:val="24"/>
          <w:szCs w:val="24"/>
        </w:rPr>
        <w:t xml:space="preserve"> facts.  </w:t>
      </w:r>
      <w:r w:rsidR="00BD45A2">
        <w:rPr>
          <w:sz w:val="24"/>
          <w:szCs w:val="24"/>
        </w:rPr>
        <w:t xml:space="preserve">The validity of Brink’s findings was seriously undermined by </w:t>
      </w:r>
      <w:r w:rsidR="00404617">
        <w:rPr>
          <w:sz w:val="24"/>
          <w:szCs w:val="24"/>
        </w:rPr>
        <w:t xml:space="preserve">the fact that he </w:t>
      </w:r>
      <w:r w:rsidR="00E32377">
        <w:rPr>
          <w:sz w:val="24"/>
          <w:szCs w:val="24"/>
        </w:rPr>
        <w:t>did not reflect on his position in relation to the setting and his subjects</w:t>
      </w:r>
      <w:r w:rsidR="00404617">
        <w:rPr>
          <w:sz w:val="24"/>
          <w:szCs w:val="24"/>
        </w:rPr>
        <w:t xml:space="preserve">.  </w:t>
      </w:r>
      <w:r w:rsidR="00ED7DDA">
        <w:rPr>
          <w:rFonts w:cs="Code"/>
          <w:sz w:val="24"/>
          <w:szCs w:val="24"/>
        </w:rPr>
        <w:t xml:space="preserve">As David Hufford </w:t>
      </w:r>
      <w:r w:rsidR="00BB72BD">
        <w:rPr>
          <w:rFonts w:cs="Code"/>
          <w:sz w:val="24"/>
          <w:szCs w:val="24"/>
        </w:rPr>
        <w:t>highlights</w:t>
      </w:r>
      <w:r w:rsidR="00ED7DDA">
        <w:rPr>
          <w:rFonts w:cs="Code"/>
          <w:sz w:val="24"/>
          <w:szCs w:val="24"/>
        </w:rPr>
        <w:t>, ‘</w:t>
      </w:r>
      <w:r w:rsidR="00ED7DDA">
        <w:rPr>
          <w:sz w:val="24"/>
          <w:szCs w:val="24"/>
        </w:rPr>
        <w:t>If we obtain</w:t>
      </w:r>
      <w:r w:rsidR="00ED7DDA" w:rsidRPr="00C451DA">
        <w:rPr>
          <w:sz w:val="24"/>
          <w:szCs w:val="24"/>
        </w:rPr>
        <w:t xml:space="preserve"> the appearance of objec</w:t>
      </w:r>
      <w:r w:rsidR="00ED7DDA">
        <w:rPr>
          <w:sz w:val="24"/>
          <w:szCs w:val="24"/>
        </w:rPr>
        <w:t xml:space="preserve">tivity by leaving ourselves out of our accounts </w:t>
      </w:r>
      <w:r w:rsidR="00ED7DDA" w:rsidRPr="00C451DA">
        <w:rPr>
          <w:sz w:val="24"/>
          <w:szCs w:val="24"/>
        </w:rPr>
        <w:t>we simply leave t</w:t>
      </w:r>
      <w:r w:rsidR="00ED7DDA">
        <w:rPr>
          <w:sz w:val="24"/>
          <w:szCs w:val="24"/>
        </w:rPr>
        <w:t>he subjective realities of our work uncontrolled’.</w:t>
      </w:r>
      <w:r w:rsidR="00ED7DDA">
        <w:rPr>
          <w:rStyle w:val="FootnoteReference"/>
          <w:sz w:val="24"/>
          <w:szCs w:val="24"/>
        </w:rPr>
        <w:footnoteReference w:id="15"/>
      </w:r>
      <w:r w:rsidR="00ED7DDA">
        <w:rPr>
          <w:sz w:val="24"/>
          <w:szCs w:val="24"/>
        </w:rPr>
        <w:t xml:space="preserve">  </w:t>
      </w:r>
      <w:r w:rsidR="00DD7DF1">
        <w:rPr>
          <w:sz w:val="24"/>
          <w:szCs w:val="24"/>
        </w:rPr>
        <w:t xml:space="preserve">This challenges the possibility of a truly objective outsider position, and indicates that failure to </w:t>
      </w:r>
      <w:r w:rsidR="00117FAD">
        <w:rPr>
          <w:sz w:val="24"/>
          <w:szCs w:val="24"/>
        </w:rPr>
        <w:t xml:space="preserve">allow for a subjective element </w:t>
      </w:r>
      <w:r w:rsidR="009B709A">
        <w:rPr>
          <w:sz w:val="24"/>
          <w:szCs w:val="24"/>
        </w:rPr>
        <w:t xml:space="preserve">in a study </w:t>
      </w:r>
      <w:r w:rsidR="00117FAD">
        <w:rPr>
          <w:sz w:val="24"/>
          <w:szCs w:val="24"/>
        </w:rPr>
        <w:t xml:space="preserve">can risk </w:t>
      </w:r>
      <w:r w:rsidR="002169EA">
        <w:rPr>
          <w:sz w:val="24"/>
          <w:szCs w:val="24"/>
        </w:rPr>
        <w:t>weakening</w:t>
      </w:r>
      <w:r w:rsidR="00117FAD">
        <w:rPr>
          <w:sz w:val="24"/>
          <w:szCs w:val="24"/>
        </w:rPr>
        <w:t xml:space="preserve"> the work.  </w:t>
      </w:r>
      <w:r w:rsidR="00E56DCF">
        <w:rPr>
          <w:sz w:val="24"/>
          <w:szCs w:val="24"/>
        </w:rPr>
        <w:t>Brink</w:t>
      </w:r>
      <w:r w:rsidR="002B1E7F">
        <w:rPr>
          <w:sz w:val="24"/>
          <w:szCs w:val="24"/>
        </w:rPr>
        <w:t xml:space="preserve"> may have considered himself an outsider because he was not a schoolgirl, </w:t>
      </w:r>
      <w:r w:rsidR="00837993">
        <w:rPr>
          <w:sz w:val="24"/>
          <w:szCs w:val="24"/>
        </w:rPr>
        <w:t>like his study group</w:t>
      </w:r>
      <w:r w:rsidR="00117FAD">
        <w:rPr>
          <w:sz w:val="24"/>
          <w:szCs w:val="24"/>
        </w:rPr>
        <w:t>:</w:t>
      </w:r>
      <w:r w:rsidR="00837993">
        <w:rPr>
          <w:sz w:val="24"/>
          <w:szCs w:val="24"/>
        </w:rPr>
        <w:t xml:space="preserve"> </w:t>
      </w:r>
      <w:r w:rsidR="00A00665">
        <w:rPr>
          <w:sz w:val="24"/>
          <w:szCs w:val="24"/>
        </w:rPr>
        <w:t>however,</w:t>
      </w:r>
      <w:r w:rsidR="002B1E7F">
        <w:rPr>
          <w:sz w:val="24"/>
          <w:szCs w:val="24"/>
        </w:rPr>
        <w:t xml:space="preserve"> he could be </w:t>
      </w:r>
      <w:r w:rsidR="00A4630A">
        <w:rPr>
          <w:sz w:val="24"/>
          <w:szCs w:val="24"/>
        </w:rPr>
        <w:t>seen as</w:t>
      </w:r>
      <w:r w:rsidR="002B1E7F">
        <w:rPr>
          <w:sz w:val="24"/>
          <w:szCs w:val="24"/>
        </w:rPr>
        <w:t xml:space="preserve"> an insider in his </w:t>
      </w:r>
      <w:r w:rsidR="00321C5B">
        <w:rPr>
          <w:sz w:val="24"/>
          <w:szCs w:val="24"/>
        </w:rPr>
        <w:t xml:space="preserve">presumed </w:t>
      </w:r>
      <w:r w:rsidR="002B1E7F">
        <w:rPr>
          <w:sz w:val="24"/>
          <w:szCs w:val="24"/>
        </w:rPr>
        <w:t>capacity as a teacher in the schoo</w:t>
      </w:r>
      <w:r w:rsidR="009B709A">
        <w:rPr>
          <w:sz w:val="24"/>
          <w:szCs w:val="24"/>
        </w:rPr>
        <w:t xml:space="preserve">l.  </w:t>
      </w:r>
      <w:r w:rsidR="00A21469">
        <w:rPr>
          <w:sz w:val="24"/>
          <w:szCs w:val="24"/>
        </w:rPr>
        <w:t xml:space="preserve">Ethical issues arise from his potentially conflicted position </w:t>
      </w:r>
      <w:r w:rsidR="007758EC">
        <w:rPr>
          <w:sz w:val="24"/>
          <w:szCs w:val="24"/>
        </w:rPr>
        <w:t xml:space="preserve">on the insider/outsider continuum:  </w:t>
      </w:r>
      <w:r w:rsidR="00AC1913">
        <w:rPr>
          <w:sz w:val="24"/>
          <w:szCs w:val="24"/>
        </w:rPr>
        <w:t>a</w:t>
      </w:r>
      <w:r w:rsidR="007758EC" w:rsidRPr="007758EC">
        <w:rPr>
          <w:sz w:val="24"/>
          <w:szCs w:val="24"/>
        </w:rPr>
        <w:t xml:space="preserve">s an adult, Brink </w:t>
      </w:r>
      <w:r w:rsidR="00E6586D">
        <w:rPr>
          <w:sz w:val="24"/>
          <w:szCs w:val="24"/>
        </w:rPr>
        <w:t>was</w:t>
      </w:r>
      <w:r w:rsidR="007758EC" w:rsidRPr="007758EC">
        <w:rPr>
          <w:sz w:val="24"/>
          <w:szCs w:val="24"/>
        </w:rPr>
        <w:t xml:space="preserve"> in a position of authority that could be taken as making it very difficult for a child to challenge if they had questions about the research or did not want to take part. Brink did not provide any information in his report about whether the participants were informed of the purpose or the outcome of the survey.  This suggests that they were treated very much as passive subjects</w:t>
      </w:r>
      <w:r w:rsidR="007758EC">
        <w:rPr>
          <w:sz w:val="24"/>
          <w:szCs w:val="24"/>
        </w:rPr>
        <w:t xml:space="preserve"> rather than participants.</w:t>
      </w:r>
      <w:r w:rsidR="00EB39B1">
        <w:rPr>
          <w:sz w:val="24"/>
          <w:szCs w:val="24"/>
        </w:rPr>
        <w:t xml:space="preserve">  Similar factors apply to a consideration of Bennett’s position on the insider/outsider spectrum.  Bennett appeared to have taken an ‘etic’ or outsider position</w:t>
      </w:r>
      <w:r w:rsidR="00454972">
        <w:rPr>
          <w:sz w:val="24"/>
          <w:szCs w:val="24"/>
        </w:rPr>
        <w:t xml:space="preserve"> to the extent that </w:t>
      </w:r>
      <w:r w:rsidR="00E56DCF">
        <w:rPr>
          <w:sz w:val="24"/>
          <w:szCs w:val="24"/>
        </w:rPr>
        <w:t>she made</w:t>
      </w:r>
      <w:r w:rsidR="00EB39B1">
        <w:rPr>
          <w:sz w:val="24"/>
          <w:szCs w:val="24"/>
        </w:rPr>
        <w:t xml:space="preserve"> no </w:t>
      </w:r>
      <w:r w:rsidR="00EB39B1" w:rsidRPr="00E07A89">
        <w:rPr>
          <w:sz w:val="24"/>
          <w:szCs w:val="24"/>
        </w:rPr>
        <w:t>comment about her own beliefs about foreknowledge</w:t>
      </w:r>
      <w:r w:rsidR="00EB39B1" w:rsidRPr="000829F4">
        <w:rPr>
          <w:sz w:val="24"/>
          <w:szCs w:val="24"/>
        </w:rPr>
        <w:t xml:space="preserve">.  But the fact that the interviews took place in her father’s clinic would </w:t>
      </w:r>
      <w:r w:rsidR="0084248D" w:rsidRPr="000829F4">
        <w:rPr>
          <w:sz w:val="24"/>
          <w:szCs w:val="24"/>
        </w:rPr>
        <w:t xml:space="preserve">also </w:t>
      </w:r>
      <w:r w:rsidR="00EB39B1" w:rsidRPr="000829F4">
        <w:rPr>
          <w:sz w:val="24"/>
          <w:szCs w:val="24"/>
        </w:rPr>
        <w:t xml:space="preserve">have given her an insider, or ‘emic’ perspective, </w:t>
      </w:r>
      <w:r w:rsidR="000829F4" w:rsidRPr="000829F4">
        <w:rPr>
          <w:sz w:val="24"/>
          <w:szCs w:val="24"/>
        </w:rPr>
        <w:t xml:space="preserve">as perhaps would the fact that she is female, given her focus on the female perspective.  </w:t>
      </w:r>
      <w:r w:rsidR="00E25210">
        <w:rPr>
          <w:sz w:val="24"/>
          <w:szCs w:val="24"/>
        </w:rPr>
        <w:t xml:space="preserve">As with Brink, </w:t>
      </w:r>
      <w:r w:rsidR="000829F4">
        <w:rPr>
          <w:sz w:val="24"/>
          <w:szCs w:val="24"/>
        </w:rPr>
        <w:t>the setting</w:t>
      </w:r>
      <w:r w:rsidR="00E25210">
        <w:rPr>
          <w:sz w:val="24"/>
          <w:szCs w:val="24"/>
        </w:rPr>
        <w:t xml:space="preserve"> could be considered to give rise to ethical considerations of power and authority</w:t>
      </w:r>
      <w:r w:rsidR="008B7EA0">
        <w:rPr>
          <w:sz w:val="24"/>
          <w:szCs w:val="24"/>
        </w:rPr>
        <w:t xml:space="preserve">:  for example, demographic information about her participants was </w:t>
      </w:r>
      <w:r w:rsidR="008B7EA0">
        <w:rPr>
          <w:sz w:val="24"/>
          <w:szCs w:val="24"/>
        </w:rPr>
        <w:lastRenderedPageBreak/>
        <w:t xml:space="preserve">obtained from her father, thus exploiting her insider status.  We are not told if she had permission from the participants of request this data, but it is surprising that her father </w:t>
      </w:r>
      <w:r w:rsidR="00A11C32">
        <w:rPr>
          <w:sz w:val="24"/>
          <w:szCs w:val="24"/>
        </w:rPr>
        <w:t>did not treat the data as confidential.</w:t>
      </w:r>
      <w:r w:rsidR="00D426D6">
        <w:rPr>
          <w:sz w:val="24"/>
          <w:szCs w:val="24"/>
        </w:rPr>
        <w:t xml:space="preserve"> </w:t>
      </w:r>
      <w:r w:rsidR="00B05927">
        <w:rPr>
          <w:sz w:val="24"/>
          <w:szCs w:val="24"/>
        </w:rPr>
        <w:t>However,</w:t>
      </w:r>
      <w:r w:rsidR="00D426D6">
        <w:rPr>
          <w:sz w:val="24"/>
          <w:szCs w:val="24"/>
        </w:rPr>
        <w:t xml:space="preserve"> her honesty in including these details of her approach in her study d</w:t>
      </w:r>
      <w:r w:rsidR="003E3EA6">
        <w:rPr>
          <w:sz w:val="24"/>
          <w:szCs w:val="24"/>
        </w:rPr>
        <w:t>id</w:t>
      </w:r>
      <w:r w:rsidR="00D426D6">
        <w:rPr>
          <w:sz w:val="24"/>
          <w:szCs w:val="24"/>
        </w:rPr>
        <w:t xml:space="preserve"> allow the reader some </w:t>
      </w:r>
      <w:r w:rsidR="00A00665">
        <w:rPr>
          <w:sz w:val="24"/>
          <w:szCs w:val="24"/>
        </w:rPr>
        <w:t xml:space="preserve">implicit </w:t>
      </w:r>
      <w:r w:rsidR="00D426D6">
        <w:rPr>
          <w:sz w:val="24"/>
          <w:szCs w:val="24"/>
        </w:rPr>
        <w:t>understanding of her relationship to her participants, and hence how that may have been a factor in their replies.</w:t>
      </w:r>
      <w:r w:rsidR="00FB65AA">
        <w:rPr>
          <w:sz w:val="24"/>
          <w:szCs w:val="24"/>
        </w:rPr>
        <w:t xml:space="preserve"> These two papers </w:t>
      </w:r>
      <w:r w:rsidR="00DB07F3">
        <w:rPr>
          <w:sz w:val="24"/>
          <w:szCs w:val="24"/>
        </w:rPr>
        <w:t xml:space="preserve">can be seen to be </w:t>
      </w:r>
      <w:r w:rsidR="00FB65AA">
        <w:rPr>
          <w:sz w:val="24"/>
          <w:szCs w:val="24"/>
        </w:rPr>
        <w:t>rooted in opposite ends of the emic/etic continuum, both in aims and methodology.</w:t>
      </w:r>
    </w:p>
    <w:p w14:paraId="318CE041" w14:textId="0483DA76" w:rsidR="00AC739F" w:rsidRDefault="00AC739F" w:rsidP="003E7A7B">
      <w:pPr>
        <w:autoSpaceDE w:val="0"/>
        <w:autoSpaceDN w:val="0"/>
        <w:adjustRightInd w:val="0"/>
        <w:spacing w:after="0" w:line="240" w:lineRule="auto"/>
        <w:rPr>
          <w:sz w:val="24"/>
          <w:szCs w:val="24"/>
        </w:rPr>
      </w:pPr>
    </w:p>
    <w:p w14:paraId="2F57EA26" w14:textId="454CC757" w:rsidR="006A6E90" w:rsidRDefault="00C10B6B" w:rsidP="00D72EF5">
      <w:pPr>
        <w:rPr>
          <w:b/>
          <w:bCs/>
          <w:sz w:val="24"/>
          <w:szCs w:val="24"/>
          <w:u w:val="single"/>
        </w:rPr>
      </w:pPr>
      <w:r>
        <w:rPr>
          <w:b/>
          <w:bCs/>
          <w:sz w:val="24"/>
          <w:szCs w:val="24"/>
          <w:u w:val="single"/>
        </w:rPr>
        <w:t>Literature Review</w:t>
      </w:r>
    </w:p>
    <w:p w14:paraId="27906D7C" w14:textId="6126B66F" w:rsidR="00CC089E" w:rsidRDefault="00E051BB" w:rsidP="00E051BB">
      <w:pPr>
        <w:autoSpaceDE w:val="0"/>
        <w:autoSpaceDN w:val="0"/>
        <w:adjustRightInd w:val="0"/>
        <w:spacing w:after="0" w:line="240" w:lineRule="auto"/>
        <w:rPr>
          <w:rFonts w:ascii="Code" w:hAnsi="Code" w:cs="Code"/>
          <w:color w:val="000000"/>
          <w:sz w:val="24"/>
          <w:szCs w:val="24"/>
        </w:rPr>
      </w:pPr>
      <w:r>
        <w:rPr>
          <w:rFonts w:ascii="Code" w:hAnsi="Code" w:cs="Code"/>
          <w:color w:val="000000"/>
          <w:sz w:val="24"/>
          <w:szCs w:val="24"/>
        </w:rPr>
        <w:t xml:space="preserve">A literature review </w:t>
      </w:r>
      <w:r w:rsidR="002F4509">
        <w:rPr>
          <w:rFonts w:ascii="Code" w:hAnsi="Code" w:cs="Code"/>
          <w:color w:val="000000"/>
          <w:sz w:val="24"/>
          <w:szCs w:val="24"/>
        </w:rPr>
        <w:t>is based on</w:t>
      </w:r>
      <w:r>
        <w:rPr>
          <w:rFonts w:ascii="Code" w:hAnsi="Code" w:cs="Code"/>
          <w:color w:val="000000"/>
          <w:sz w:val="24"/>
          <w:szCs w:val="24"/>
        </w:rPr>
        <w:t xml:space="preserve"> a thorough reading of all the previous scholarship available relevant to the research topic in question.  </w:t>
      </w:r>
      <w:r w:rsidR="00492ED9">
        <w:rPr>
          <w:rFonts w:ascii="Code" w:hAnsi="Code" w:cs="Code"/>
          <w:color w:val="000000"/>
          <w:sz w:val="24"/>
          <w:szCs w:val="24"/>
        </w:rPr>
        <w:t xml:space="preserve">Bell explains that a literature review should ‘provide the reader with a picture … of the state of knowledge and of major questions in the subject area being investigated’. </w:t>
      </w:r>
      <w:r w:rsidR="00492ED9">
        <w:rPr>
          <w:rStyle w:val="FootnoteReference"/>
          <w:rFonts w:ascii="Code" w:hAnsi="Code" w:cs="Code"/>
          <w:color w:val="000000"/>
          <w:sz w:val="24"/>
          <w:szCs w:val="24"/>
        </w:rPr>
        <w:footnoteReference w:id="16"/>
      </w:r>
      <w:r w:rsidR="002F4509">
        <w:rPr>
          <w:rFonts w:ascii="Code" w:hAnsi="Code" w:cs="Code"/>
          <w:color w:val="000000"/>
          <w:sz w:val="24"/>
          <w:szCs w:val="24"/>
        </w:rPr>
        <w:t xml:space="preserve">  </w:t>
      </w:r>
      <w:r>
        <w:rPr>
          <w:rFonts w:ascii="Code" w:hAnsi="Code" w:cs="Code"/>
          <w:color w:val="000000"/>
          <w:sz w:val="24"/>
          <w:szCs w:val="24"/>
        </w:rPr>
        <w:t>David Boote and Penny Beile consider that ‘</w:t>
      </w:r>
      <w:r w:rsidRPr="00DB5EA1">
        <w:rPr>
          <w:rFonts w:ascii="Code" w:hAnsi="Code" w:cs="Code"/>
          <w:color w:val="000000"/>
          <w:sz w:val="24"/>
          <w:szCs w:val="24"/>
        </w:rPr>
        <w:t>A researcher cannot perform significant research without first understanding the literature</w:t>
      </w:r>
      <w:r>
        <w:rPr>
          <w:rFonts w:ascii="Code" w:hAnsi="Code" w:cs="Code"/>
          <w:color w:val="000000"/>
          <w:sz w:val="24"/>
          <w:szCs w:val="24"/>
        </w:rPr>
        <w:t xml:space="preserve"> in the field.’ and hold the literature review to be ‘the foundation of any research project’</w:t>
      </w:r>
      <w:r w:rsidR="00780F24">
        <w:rPr>
          <w:rFonts w:ascii="Code" w:hAnsi="Code" w:cs="Code"/>
          <w:color w:val="000000"/>
          <w:sz w:val="24"/>
          <w:szCs w:val="24"/>
        </w:rPr>
        <w:t xml:space="preserve">, emphasizing its </w:t>
      </w:r>
      <w:r w:rsidR="00A56E54">
        <w:rPr>
          <w:rFonts w:ascii="Code" w:hAnsi="Code" w:cs="Code"/>
          <w:color w:val="000000"/>
          <w:sz w:val="24"/>
          <w:szCs w:val="24"/>
        </w:rPr>
        <w:t xml:space="preserve">fundamental </w:t>
      </w:r>
      <w:r w:rsidR="00780F24">
        <w:rPr>
          <w:rFonts w:ascii="Code" w:hAnsi="Code" w:cs="Code"/>
          <w:color w:val="000000"/>
          <w:sz w:val="24"/>
          <w:szCs w:val="24"/>
        </w:rPr>
        <w:t>importance to the academic credentials of any work</w:t>
      </w:r>
      <w:r>
        <w:rPr>
          <w:rFonts w:ascii="Code" w:hAnsi="Code" w:cs="Code"/>
          <w:color w:val="000000"/>
          <w:sz w:val="24"/>
          <w:szCs w:val="24"/>
        </w:rPr>
        <w:t>.</w:t>
      </w:r>
      <w:r>
        <w:rPr>
          <w:rStyle w:val="FootnoteReference"/>
          <w:rFonts w:ascii="Code" w:hAnsi="Code" w:cs="Code"/>
          <w:color w:val="000000"/>
          <w:sz w:val="24"/>
          <w:szCs w:val="24"/>
        </w:rPr>
        <w:footnoteReference w:id="17"/>
      </w:r>
      <w:r>
        <w:rPr>
          <w:rFonts w:ascii="Code" w:hAnsi="Code" w:cs="Code"/>
          <w:color w:val="000000"/>
          <w:sz w:val="24"/>
          <w:szCs w:val="24"/>
        </w:rPr>
        <w:t xml:space="preserve"> </w:t>
      </w:r>
      <w:r w:rsidR="00780F24">
        <w:rPr>
          <w:rFonts w:ascii="Code" w:hAnsi="Code" w:cs="Code"/>
          <w:color w:val="000000"/>
          <w:sz w:val="24"/>
          <w:szCs w:val="24"/>
        </w:rPr>
        <w:t xml:space="preserve"> </w:t>
      </w:r>
      <w:r>
        <w:rPr>
          <w:rFonts w:ascii="Code" w:hAnsi="Code" w:cs="Code"/>
          <w:color w:val="000000"/>
          <w:sz w:val="24"/>
          <w:szCs w:val="24"/>
        </w:rPr>
        <w:t xml:space="preserve">This would seem to be taken seriously by Bennett, who provided an extensive </w:t>
      </w:r>
      <w:r w:rsidR="00795F8A">
        <w:rPr>
          <w:rFonts w:ascii="Code" w:hAnsi="Code" w:cs="Code"/>
          <w:color w:val="000000"/>
          <w:sz w:val="24"/>
          <w:szCs w:val="24"/>
        </w:rPr>
        <w:t xml:space="preserve">opening </w:t>
      </w:r>
      <w:r>
        <w:rPr>
          <w:rFonts w:ascii="Code" w:hAnsi="Code" w:cs="Code"/>
          <w:color w:val="000000"/>
          <w:sz w:val="24"/>
          <w:szCs w:val="24"/>
        </w:rPr>
        <w:t>section setting out the scholarly and historical context for studies in what she termed ‘the folklore of foreknowledge’.</w:t>
      </w:r>
      <w:r>
        <w:rPr>
          <w:rStyle w:val="FootnoteReference"/>
          <w:rFonts w:ascii="Code" w:hAnsi="Code" w:cs="Code"/>
          <w:color w:val="000000"/>
          <w:sz w:val="24"/>
          <w:szCs w:val="24"/>
        </w:rPr>
        <w:footnoteReference w:id="18"/>
      </w:r>
      <w:r>
        <w:rPr>
          <w:rFonts w:ascii="Code" w:hAnsi="Code" w:cs="Code"/>
          <w:color w:val="000000"/>
          <w:sz w:val="24"/>
          <w:szCs w:val="24"/>
        </w:rPr>
        <w:t xml:space="preserve">  This went some way to explaining the rationale for her study, as she identified an apparent trend in the way her topic has been discussed in the literature and set out to gather further evidence to clarify the trend.  Brink also provided evidence of his familiarity with </w:t>
      </w:r>
      <w:r w:rsidR="00CC089E">
        <w:rPr>
          <w:rFonts w:ascii="Code" w:hAnsi="Code" w:cs="Code"/>
          <w:color w:val="000000"/>
          <w:sz w:val="24"/>
          <w:szCs w:val="24"/>
        </w:rPr>
        <w:t xml:space="preserve">some of </w:t>
      </w:r>
      <w:r>
        <w:rPr>
          <w:rFonts w:ascii="Code" w:hAnsi="Code" w:cs="Code"/>
          <w:color w:val="000000"/>
          <w:sz w:val="24"/>
          <w:szCs w:val="24"/>
        </w:rPr>
        <w:t>the literature relevant to his subject</w:t>
      </w:r>
      <w:r w:rsidR="00D84E08">
        <w:rPr>
          <w:rFonts w:ascii="Code" w:hAnsi="Code" w:cs="Code"/>
          <w:color w:val="000000"/>
          <w:sz w:val="24"/>
          <w:szCs w:val="24"/>
        </w:rPr>
        <w:t xml:space="preserve"> in his introduction to his study</w:t>
      </w:r>
      <w:r>
        <w:rPr>
          <w:rFonts w:ascii="Code" w:hAnsi="Code" w:cs="Code"/>
          <w:color w:val="000000"/>
          <w:sz w:val="24"/>
          <w:szCs w:val="24"/>
        </w:rPr>
        <w:t xml:space="preserve">.  He was very much more succinct than Bennet, but this </w:t>
      </w:r>
      <w:r w:rsidR="00703FAA">
        <w:rPr>
          <w:rFonts w:ascii="Code" w:hAnsi="Code" w:cs="Code"/>
          <w:color w:val="000000"/>
          <w:sz w:val="24"/>
          <w:szCs w:val="24"/>
        </w:rPr>
        <w:t>could perhaps have been</w:t>
      </w:r>
      <w:r>
        <w:rPr>
          <w:rFonts w:ascii="Code" w:hAnsi="Code" w:cs="Code"/>
          <w:color w:val="000000"/>
          <w:sz w:val="24"/>
          <w:szCs w:val="24"/>
        </w:rPr>
        <w:t xml:space="preserve"> due to a limitation on word count, since his whole paper </w:t>
      </w:r>
      <w:r w:rsidR="00706BAD">
        <w:rPr>
          <w:rFonts w:ascii="Code" w:hAnsi="Code" w:cs="Code"/>
          <w:color w:val="000000"/>
          <w:sz w:val="24"/>
          <w:szCs w:val="24"/>
        </w:rPr>
        <w:t>was</w:t>
      </w:r>
      <w:r>
        <w:rPr>
          <w:rFonts w:ascii="Code" w:hAnsi="Code" w:cs="Code"/>
          <w:color w:val="000000"/>
          <w:sz w:val="24"/>
          <w:szCs w:val="24"/>
        </w:rPr>
        <w:t xml:space="preserve"> much shorter.  The impression given however is that he was assuming an audience of scholars already </w:t>
      </w:r>
      <w:r w:rsidR="00E14800">
        <w:rPr>
          <w:rFonts w:ascii="Code" w:hAnsi="Code" w:cs="Code"/>
          <w:color w:val="000000"/>
          <w:sz w:val="24"/>
          <w:szCs w:val="24"/>
        </w:rPr>
        <w:t xml:space="preserve">very </w:t>
      </w:r>
      <w:r>
        <w:rPr>
          <w:rFonts w:ascii="Code" w:hAnsi="Code" w:cs="Code"/>
          <w:color w:val="000000"/>
          <w:sz w:val="24"/>
          <w:szCs w:val="24"/>
        </w:rPr>
        <w:t>familiar with the literature, as the theories he referred to, such as ‘logical-affective consistency’, though appropriately cited, were not explained.</w:t>
      </w:r>
      <w:r>
        <w:rPr>
          <w:rStyle w:val="FootnoteReference"/>
          <w:rFonts w:ascii="Code" w:hAnsi="Code" w:cs="Code"/>
          <w:color w:val="000000"/>
          <w:sz w:val="24"/>
          <w:szCs w:val="24"/>
        </w:rPr>
        <w:footnoteReference w:id="19"/>
      </w:r>
      <w:r>
        <w:rPr>
          <w:rFonts w:ascii="Code" w:hAnsi="Code" w:cs="Code"/>
          <w:color w:val="000000"/>
          <w:sz w:val="24"/>
          <w:szCs w:val="24"/>
        </w:rPr>
        <w:t xml:space="preserve"> To someone not already versed in the literature, their relevance to his hypothesis </w:t>
      </w:r>
      <w:r w:rsidR="00E233EE">
        <w:rPr>
          <w:rFonts w:ascii="Code" w:hAnsi="Code" w:cs="Code"/>
          <w:color w:val="000000"/>
          <w:sz w:val="24"/>
          <w:szCs w:val="24"/>
        </w:rPr>
        <w:t>and therefore their ability to provide an academic justification for his research</w:t>
      </w:r>
      <w:r w:rsidR="003D28ED">
        <w:rPr>
          <w:rFonts w:ascii="Code" w:hAnsi="Code" w:cs="Code"/>
          <w:color w:val="000000"/>
          <w:sz w:val="24"/>
          <w:szCs w:val="24"/>
        </w:rPr>
        <w:t>,</w:t>
      </w:r>
      <w:r w:rsidR="00E233EE">
        <w:rPr>
          <w:rFonts w:ascii="Code" w:hAnsi="Code" w:cs="Code"/>
          <w:color w:val="000000"/>
          <w:sz w:val="24"/>
          <w:szCs w:val="24"/>
        </w:rPr>
        <w:t xml:space="preserve"> </w:t>
      </w:r>
      <w:r>
        <w:rPr>
          <w:rFonts w:ascii="Code" w:hAnsi="Code" w:cs="Code"/>
          <w:color w:val="000000"/>
          <w:sz w:val="24"/>
          <w:szCs w:val="24"/>
        </w:rPr>
        <w:t xml:space="preserve">can only be guessed at from the likely-sounding names of the theories he cited.  In the same way, the studies he cited must be assumed to ‘justify his research topic, design and methodology’ </w:t>
      </w:r>
      <w:r w:rsidR="00AE24BB">
        <w:rPr>
          <w:rFonts w:ascii="Code" w:hAnsi="Code" w:cs="Code"/>
          <w:color w:val="000000"/>
          <w:sz w:val="24"/>
          <w:szCs w:val="24"/>
        </w:rPr>
        <w:t xml:space="preserve">as </w:t>
      </w:r>
      <w:r w:rsidR="00737F8E">
        <w:rPr>
          <w:rFonts w:ascii="Code" w:hAnsi="Code" w:cs="Code"/>
          <w:color w:val="000000"/>
          <w:sz w:val="24"/>
          <w:szCs w:val="24"/>
        </w:rPr>
        <w:t xml:space="preserve">Chris Hart recommends, </w:t>
      </w:r>
      <w:r>
        <w:rPr>
          <w:rFonts w:ascii="Code" w:hAnsi="Code" w:cs="Code"/>
          <w:color w:val="000000"/>
          <w:sz w:val="24"/>
          <w:szCs w:val="24"/>
        </w:rPr>
        <w:t>since he did not explicitly set out his rationale.</w:t>
      </w:r>
      <w:r>
        <w:rPr>
          <w:rStyle w:val="FootnoteReference"/>
          <w:rFonts w:ascii="Code" w:hAnsi="Code" w:cs="Code"/>
          <w:color w:val="000000"/>
          <w:sz w:val="24"/>
          <w:szCs w:val="24"/>
        </w:rPr>
        <w:footnoteReference w:id="20"/>
      </w:r>
      <w:r w:rsidR="004534A9">
        <w:rPr>
          <w:rFonts w:ascii="Code" w:hAnsi="Code" w:cs="Code"/>
          <w:color w:val="000000"/>
          <w:sz w:val="24"/>
          <w:szCs w:val="24"/>
        </w:rPr>
        <w:t xml:space="preserve">  </w:t>
      </w:r>
      <w:r w:rsidR="00CC089E">
        <w:rPr>
          <w:rFonts w:ascii="Code" w:hAnsi="Code" w:cs="Code"/>
          <w:color w:val="000000"/>
          <w:sz w:val="24"/>
          <w:szCs w:val="24"/>
        </w:rPr>
        <w:t xml:space="preserve">His literature review </w:t>
      </w:r>
      <w:r w:rsidR="00AA52D5">
        <w:rPr>
          <w:rFonts w:ascii="Code" w:hAnsi="Code" w:cs="Code"/>
          <w:color w:val="000000"/>
          <w:sz w:val="24"/>
          <w:szCs w:val="24"/>
        </w:rPr>
        <w:t>was</w:t>
      </w:r>
      <w:r w:rsidR="00CC089E">
        <w:rPr>
          <w:rFonts w:ascii="Code" w:hAnsi="Code" w:cs="Code"/>
          <w:color w:val="000000"/>
          <w:sz w:val="24"/>
          <w:szCs w:val="24"/>
        </w:rPr>
        <w:t xml:space="preserve"> exclusively concerned with psychological </w:t>
      </w:r>
      <w:r w:rsidR="00FE727F">
        <w:rPr>
          <w:rFonts w:ascii="Code" w:hAnsi="Code" w:cs="Code"/>
          <w:color w:val="000000"/>
          <w:sz w:val="24"/>
          <w:szCs w:val="24"/>
        </w:rPr>
        <w:t>theories and</w:t>
      </w:r>
      <w:r w:rsidR="00CC089E">
        <w:rPr>
          <w:rFonts w:ascii="Code" w:hAnsi="Code" w:cs="Code"/>
          <w:color w:val="000000"/>
          <w:sz w:val="24"/>
          <w:szCs w:val="24"/>
        </w:rPr>
        <w:t xml:space="preserve"> show</w:t>
      </w:r>
      <w:r w:rsidR="00AA52D5">
        <w:rPr>
          <w:rFonts w:ascii="Code" w:hAnsi="Code" w:cs="Code"/>
          <w:color w:val="000000"/>
          <w:sz w:val="24"/>
          <w:szCs w:val="24"/>
        </w:rPr>
        <w:t>ed</w:t>
      </w:r>
      <w:r w:rsidR="00CC089E">
        <w:rPr>
          <w:rFonts w:ascii="Code" w:hAnsi="Code" w:cs="Code"/>
          <w:color w:val="000000"/>
          <w:sz w:val="24"/>
          <w:szCs w:val="24"/>
        </w:rPr>
        <w:t xml:space="preserve"> no awareness of studies relating to his topics of religion, reincarnation, and astrology.  This betrays a one-sidedness that weakens </w:t>
      </w:r>
      <w:r w:rsidR="00FE727F">
        <w:rPr>
          <w:rFonts w:ascii="Code" w:hAnsi="Code" w:cs="Code"/>
          <w:color w:val="000000"/>
          <w:sz w:val="24"/>
          <w:szCs w:val="24"/>
        </w:rPr>
        <w:t xml:space="preserve">the basis of </w:t>
      </w:r>
      <w:r w:rsidR="00CC089E">
        <w:rPr>
          <w:rFonts w:ascii="Code" w:hAnsi="Code" w:cs="Code"/>
          <w:color w:val="000000"/>
          <w:sz w:val="24"/>
          <w:szCs w:val="24"/>
        </w:rPr>
        <w:t xml:space="preserve">his study. </w:t>
      </w:r>
    </w:p>
    <w:p w14:paraId="20068C98" w14:textId="77777777" w:rsidR="00CC089E" w:rsidRDefault="00CC089E" w:rsidP="00E051BB">
      <w:pPr>
        <w:autoSpaceDE w:val="0"/>
        <w:autoSpaceDN w:val="0"/>
        <w:adjustRightInd w:val="0"/>
        <w:spacing w:after="0" w:line="240" w:lineRule="auto"/>
        <w:rPr>
          <w:rFonts w:ascii="Code" w:hAnsi="Code" w:cs="Code"/>
          <w:color w:val="000000"/>
          <w:sz w:val="24"/>
          <w:szCs w:val="24"/>
        </w:rPr>
      </w:pPr>
    </w:p>
    <w:p w14:paraId="76104F57" w14:textId="728ECA73" w:rsidR="00E051BB" w:rsidRDefault="004534A9" w:rsidP="00E051BB">
      <w:pPr>
        <w:autoSpaceDE w:val="0"/>
        <w:autoSpaceDN w:val="0"/>
        <w:adjustRightInd w:val="0"/>
        <w:spacing w:after="0" w:line="240" w:lineRule="auto"/>
        <w:rPr>
          <w:rFonts w:ascii="Code" w:hAnsi="Code" w:cs="Code"/>
          <w:color w:val="000000"/>
          <w:sz w:val="24"/>
          <w:szCs w:val="24"/>
        </w:rPr>
      </w:pPr>
      <w:r>
        <w:rPr>
          <w:rFonts w:ascii="Code" w:hAnsi="Code" w:cs="Code"/>
          <w:color w:val="000000"/>
          <w:sz w:val="24"/>
          <w:szCs w:val="24"/>
        </w:rPr>
        <w:lastRenderedPageBreak/>
        <w:t>The academic background revealed in the relevant literature is also important in the discussion of the findings of any study</w:t>
      </w:r>
      <w:r w:rsidR="00795F8A">
        <w:rPr>
          <w:rFonts w:ascii="Code" w:hAnsi="Code" w:cs="Code"/>
          <w:color w:val="000000"/>
          <w:sz w:val="24"/>
          <w:szCs w:val="24"/>
        </w:rPr>
        <w:t xml:space="preserve">, and </w:t>
      </w:r>
      <w:r w:rsidR="00D425F6">
        <w:rPr>
          <w:rFonts w:ascii="Code" w:hAnsi="Code" w:cs="Code"/>
          <w:color w:val="000000"/>
          <w:sz w:val="24"/>
          <w:szCs w:val="24"/>
        </w:rPr>
        <w:t>Brink d</w:t>
      </w:r>
      <w:r w:rsidR="008E78DC">
        <w:rPr>
          <w:rFonts w:ascii="Code" w:hAnsi="Code" w:cs="Code"/>
          <w:color w:val="000000"/>
          <w:sz w:val="24"/>
          <w:szCs w:val="24"/>
        </w:rPr>
        <w:t>id</w:t>
      </w:r>
      <w:r w:rsidR="00D425F6">
        <w:rPr>
          <w:rFonts w:ascii="Code" w:hAnsi="Code" w:cs="Code"/>
          <w:color w:val="000000"/>
          <w:sz w:val="24"/>
          <w:szCs w:val="24"/>
        </w:rPr>
        <w:t xml:space="preserve"> refer</w:t>
      </w:r>
      <w:r w:rsidR="00795F8A">
        <w:rPr>
          <w:rFonts w:ascii="Code" w:hAnsi="Code" w:cs="Code"/>
          <w:color w:val="000000"/>
          <w:sz w:val="24"/>
          <w:szCs w:val="24"/>
        </w:rPr>
        <w:t xml:space="preserve"> </w:t>
      </w:r>
      <w:r w:rsidR="00FB21B1">
        <w:rPr>
          <w:rFonts w:ascii="Code" w:hAnsi="Code" w:cs="Code"/>
          <w:color w:val="000000"/>
          <w:sz w:val="24"/>
          <w:szCs w:val="24"/>
        </w:rPr>
        <w:t xml:space="preserve">more fully </w:t>
      </w:r>
      <w:r w:rsidR="00795F8A">
        <w:rPr>
          <w:rFonts w:ascii="Code" w:hAnsi="Code" w:cs="Code"/>
          <w:color w:val="000000"/>
          <w:sz w:val="24"/>
          <w:szCs w:val="24"/>
        </w:rPr>
        <w:t xml:space="preserve">to other findings in </w:t>
      </w:r>
      <w:r w:rsidR="00D425F6">
        <w:rPr>
          <w:rFonts w:ascii="Code" w:hAnsi="Code" w:cs="Code"/>
          <w:color w:val="000000"/>
          <w:sz w:val="24"/>
          <w:szCs w:val="24"/>
        </w:rPr>
        <w:t>his</w:t>
      </w:r>
      <w:r w:rsidR="00795F8A">
        <w:rPr>
          <w:rFonts w:ascii="Code" w:hAnsi="Code" w:cs="Code"/>
          <w:color w:val="000000"/>
          <w:sz w:val="24"/>
          <w:szCs w:val="24"/>
        </w:rPr>
        <w:t xml:space="preserve"> discussion to help elucidate </w:t>
      </w:r>
      <w:r w:rsidR="00D425F6">
        <w:rPr>
          <w:rFonts w:ascii="Code" w:hAnsi="Code" w:cs="Code"/>
          <w:color w:val="000000"/>
          <w:sz w:val="24"/>
          <w:szCs w:val="24"/>
        </w:rPr>
        <w:t>his</w:t>
      </w:r>
      <w:r w:rsidR="00795F8A">
        <w:rPr>
          <w:rFonts w:ascii="Code" w:hAnsi="Code" w:cs="Code"/>
          <w:color w:val="000000"/>
          <w:sz w:val="24"/>
          <w:szCs w:val="24"/>
        </w:rPr>
        <w:t xml:space="preserve"> own.  </w:t>
      </w:r>
      <w:r w:rsidR="0021482F">
        <w:rPr>
          <w:rFonts w:ascii="Code" w:hAnsi="Code" w:cs="Code"/>
          <w:color w:val="000000"/>
          <w:sz w:val="24"/>
          <w:szCs w:val="24"/>
        </w:rPr>
        <w:t xml:space="preserve">This </w:t>
      </w:r>
      <w:r w:rsidR="006D4C7F">
        <w:rPr>
          <w:rFonts w:ascii="Code" w:hAnsi="Code" w:cs="Code"/>
          <w:color w:val="000000"/>
          <w:sz w:val="24"/>
          <w:szCs w:val="24"/>
        </w:rPr>
        <w:t>was</w:t>
      </w:r>
      <w:r w:rsidR="0021482F">
        <w:rPr>
          <w:rFonts w:ascii="Code" w:hAnsi="Code" w:cs="Code"/>
          <w:color w:val="000000"/>
          <w:sz w:val="24"/>
          <w:szCs w:val="24"/>
        </w:rPr>
        <w:t xml:space="preserve"> in line with Hennink </w:t>
      </w:r>
      <w:r w:rsidR="00FE727F">
        <w:rPr>
          <w:rFonts w:ascii="Code" w:hAnsi="Code" w:cs="Code"/>
          <w:color w:val="000000"/>
          <w:sz w:val="24"/>
          <w:szCs w:val="24"/>
        </w:rPr>
        <w:t>et al.’s</w:t>
      </w:r>
      <w:r w:rsidR="0021482F">
        <w:rPr>
          <w:rFonts w:ascii="Code" w:hAnsi="Code" w:cs="Code"/>
          <w:color w:val="000000"/>
          <w:sz w:val="24"/>
          <w:szCs w:val="24"/>
        </w:rPr>
        <w:t xml:space="preserve"> description of the discussion section in a study as containing ‘your interpretation of what the study findings mean in the broader context of the academic literature’</w:t>
      </w:r>
      <w:r w:rsidR="006D4C7F">
        <w:rPr>
          <w:rFonts w:ascii="Code" w:hAnsi="Code" w:cs="Code"/>
          <w:color w:val="000000"/>
          <w:sz w:val="24"/>
          <w:szCs w:val="24"/>
        </w:rPr>
        <w:t xml:space="preserve">, emphasizing the need to relate the findings as well as the initial </w:t>
      </w:r>
      <w:r w:rsidR="006D4C7F" w:rsidRPr="00395DE4">
        <w:rPr>
          <w:rFonts w:ascii="Code" w:hAnsi="Code" w:cs="Code"/>
          <w:sz w:val="24"/>
          <w:szCs w:val="24"/>
        </w:rPr>
        <w:t xml:space="preserve">rationale to the academic </w:t>
      </w:r>
      <w:r w:rsidR="006D4C7F">
        <w:rPr>
          <w:rFonts w:ascii="Code" w:hAnsi="Code" w:cs="Code"/>
          <w:color w:val="000000"/>
          <w:sz w:val="24"/>
          <w:szCs w:val="24"/>
        </w:rPr>
        <w:t>context</w:t>
      </w:r>
      <w:r w:rsidR="0021482F">
        <w:rPr>
          <w:rFonts w:ascii="Code" w:hAnsi="Code" w:cs="Code"/>
          <w:color w:val="000000"/>
          <w:sz w:val="24"/>
          <w:szCs w:val="24"/>
        </w:rPr>
        <w:t>.</w:t>
      </w:r>
      <w:r w:rsidR="0021482F">
        <w:rPr>
          <w:rStyle w:val="FootnoteReference"/>
          <w:rFonts w:ascii="Code" w:hAnsi="Code" w:cs="Code"/>
          <w:color w:val="000000"/>
          <w:sz w:val="24"/>
          <w:szCs w:val="24"/>
        </w:rPr>
        <w:footnoteReference w:id="21"/>
      </w:r>
      <w:r w:rsidR="008B5E70">
        <w:rPr>
          <w:rFonts w:ascii="Code" w:hAnsi="Code" w:cs="Code"/>
          <w:color w:val="000000"/>
          <w:sz w:val="24"/>
          <w:szCs w:val="24"/>
        </w:rPr>
        <w:t xml:space="preserve"> </w:t>
      </w:r>
      <w:r w:rsidR="00E865DB">
        <w:rPr>
          <w:rFonts w:ascii="Code" w:hAnsi="Code" w:cs="Code"/>
          <w:color w:val="000000"/>
          <w:sz w:val="24"/>
          <w:szCs w:val="24"/>
        </w:rPr>
        <w:t xml:space="preserve"> </w:t>
      </w:r>
      <w:r w:rsidR="00D425F6">
        <w:rPr>
          <w:rFonts w:ascii="Code" w:hAnsi="Code" w:cs="Code"/>
          <w:color w:val="000000"/>
          <w:sz w:val="24"/>
          <w:szCs w:val="24"/>
        </w:rPr>
        <w:t xml:space="preserve">While Brink’s references in his introductory section were not explained, those in his discussion section </w:t>
      </w:r>
      <w:r w:rsidR="006D4C7F">
        <w:rPr>
          <w:rFonts w:ascii="Code" w:hAnsi="Code" w:cs="Code"/>
          <w:color w:val="000000"/>
          <w:sz w:val="24"/>
          <w:szCs w:val="24"/>
        </w:rPr>
        <w:t>were</w:t>
      </w:r>
      <w:r w:rsidR="00D425F6">
        <w:rPr>
          <w:rFonts w:ascii="Code" w:hAnsi="Code" w:cs="Code"/>
          <w:color w:val="000000"/>
          <w:sz w:val="24"/>
          <w:szCs w:val="24"/>
        </w:rPr>
        <w:t xml:space="preserve"> more fully integrated into the </w:t>
      </w:r>
      <w:r w:rsidR="00D425F6" w:rsidRPr="00395DE4">
        <w:rPr>
          <w:rFonts w:ascii="Code" w:hAnsi="Code" w:cs="Code"/>
          <w:sz w:val="24"/>
          <w:szCs w:val="24"/>
        </w:rPr>
        <w:t>discussion, and his own findings used to critically evaluate the hypotheses of others, such as Robert Wuthnow</w:t>
      </w:r>
      <w:r w:rsidR="00395DE4" w:rsidRPr="00395DE4">
        <w:rPr>
          <w:rFonts w:ascii="Code" w:hAnsi="Code" w:cs="Code"/>
          <w:sz w:val="24"/>
          <w:szCs w:val="24"/>
        </w:rPr>
        <w:t>’s work on belief and marginality</w:t>
      </w:r>
      <w:r w:rsidR="00D425F6" w:rsidRPr="00395DE4">
        <w:rPr>
          <w:rFonts w:ascii="Code" w:hAnsi="Code" w:cs="Code"/>
          <w:sz w:val="24"/>
          <w:szCs w:val="24"/>
        </w:rPr>
        <w:t>.</w:t>
      </w:r>
      <w:r w:rsidR="00395DE4">
        <w:rPr>
          <w:rStyle w:val="FootnoteReference"/>
          <w:rFonts w:ascii="Code" w:hAnsi="Code" w:cs="Code"/>
          <w:sz w:val="24"/>
          <w:szCs w:val="24"/>
        </w:rPr>
        <w:footnoteReference w:id="22"/>
      </w:r>
      <w:r w:rsidR="00D425F6" w:rsidRPr="00395DE4">
        <w:rPr>
          <w:rFonts w:ascii="Code" w:hAnsi="Code" w:cs="Code"/>
          <w:sz w:val="24"/>
          <w:szCs w:val="24"/>
        </w:rPr>
        <w:t xml:space="preserve"> </w:t>
      </w:r>
      <w:r w:rsidR="00E865DB" w:rsidRPr="00395DE4">
        <w:rPr>
          <w:rFonts w:ascii="Code" w:hAnsi="Code" w:cs="Code"/>
          <w:sz w:val="24"/>
          <w:szCs w:val="24"/>
        </w:rPr>
        <w:t>However,</w:t>
      </w:r>
      <w:r w:rsidR="00D425F6" w:rsidRPr="00395DE4">
        <w:rPr>
          <w:rFonts w:ascii="Code" w:hAnsi="Code" w:cs="Code"/>
          <w:sz w:val="24"/>
          <w:szCs w:val="24"/>
        </w:rPr>
        <w:t xml:space="preserve"> Bennett’s analysis of her data d</w:t>
      </w:r>
      <w:r w:rsidR="00AA57BD" w:rsidRPr="00395DE4">
        <w:rPr>
          <w:rFonts w:ascii="Code" w:hAnsi="Code" w:cs="Code"/>
          <w:sz w:val="24"/>
          <w:szCs w:val="24"/>
        </w:rPr>
        <w:t>id</w:t>
      </w:r>
      <w:r w:rsidR="00D425F6" w:rsidRPr="00395DE4">
        <w:rPr>
          <w:rFonts w:ascii="Code" w:hAnsi="Code" w:cs="Code"/>
          <w:sz w:val="24"/>
          <w:szCs w:val="24"/>
        </w:rPr>
        <w:t xml:space="preserve"> not refer back to the literature, and instead ma</w:t>
      </w:r>
      <w:r w:rsidR="00AA57BD" w:rsidRPr="00395DE4">
        <w:rPr>
          <w:rFonts w:ascii="Code" w:hAnsi="Code" w:cs="Code"/>
          <w:sz w:val="24"/>
          <w:szCs w:val="24"/>
        </w:rPr>
        <w:t>de</w:t>
      </w:r>
      <w:r w:rsidR="00D425F6" w:rsidRPr="00395DE4">
        <w:rPr>
          <w:rFonts w:ascii="Code" w:hAnsi="Code" w:cs="Code"/>
          <w:sz w:val="24"/>
          <w:szCs w:val="24"/>
        </w:rPr>
        <w:t xml:space="preserve"> several assumptions </w:t>
      </w:r>
      <w:r w:rsidR="00D425F6">
        <w:rPr>
          <w:rFonts w:ascii="Code" w:hAnsi="Code" w:cs="Code"/>
          <w:color w:val="000000"/>
          <w:sz w:val="24"/>
          <w:szCs w:val="24"/>
        </w:rPr>
        <w:t xml:space="preserve">that would have benefitted from being given academic backing, such as </w:t>
      </w:r>
      <w:r w:rsidR="00174744">
        <w:rPr>
          <w:rFonts w:ascii="Code" w:hAnsi="Code" w:cs="Code"/>
          <w:color w:val="000000"/>
          <w:sz w:val="24"/>
          <w:szCs w:val="24"/>
        </w:rPr>
        <w:t>her statement that ‘being “a little bit psychic” guarantees approved feminine virtues’</w:t>
      </w:r>
      <w:r w:rsidR="00AA57BD">
        <w:rPr>
          <w:rFonts w:ascii="Code" w:hAnsi="Code" w:cs="Code"/>
          <w:color w:val="000000"/>
          <w:sz w:val="24"/>
          <w:szCs w:val="24"/>
        </w:rPr>
        <w:t xml:space="preserve">:  this </w:t>
      </w:r>
      <w:r w:rsidR="002E2810">
        <w:rPr>
          <w:rFonts w:ascii="Code" w:hAnsi="Code" w:cs="Code"/>
          <w:color w:val="000000"/>
          <w:sz w:val="24"/>
          <w:szCs w:val="24"/>
        </w:rPr>
        <w:t>supports her case, but does so without evidence</w:t>
      </w:r>
      <w:r w:rsidR="00174744">
        <w:rPr>
          <w:rFonts w:ascii="Code" w:hAnsi="Code" w:cs="Code"/>
          <w:color w:val="000000"/>
          <w:sz w:val="24"/>
          <w:szCs w:val="24"/>
        </w:rPr>
        <w:t>.</w:t>
      </w:r>
      <w:r w:rsidR="00174744">
        <w:rPr>
          <w:rStyle w:val="FootnoteReference"/>
          <w:rFonts w:ascii="Code" w:hAnsi="Code" w:cs="Code"/>
          <w:color w:val="000000"/>
          <w:sz w:val="24"/>
          <w:szCs w:val="24"/>
        </w:rPr>
        <w:footnoteReference w:id="23"/>
      </w:r>
      <w:r w:rsidR="00AC5B3B">
        <w:rPr>
          <w:rFonts w:ascii="Code" w:hAnsi="Code" w:cs="Code"/>
          <w:color w:val="000000"/>
          <w:sz w:val="24"/>
          <w:szCs w:val="24"/>
        </w:rPr>
        <w:t xml:space="preserve">  There </w:t>
      </w:r>
      <w:r w:rsidR="00AC2AD2">
        <w:rPr>
          <w:rFonts w:ascii="Code" w:hAnsi="Code" w:cs="Code"/>
          <w:color w:val="000000"/>
          <w:sz w:val="24"/>
          <w:szCs w:val="24"/>
        </w:rPr>
        <w:t xml:space="preserve">was </w:t>
      </w:r>
      <w:r w:rsidR="00AC5B3B">
        <w:rPr>
          <w:rFonts w:ascii="Code" w:hAnsi="Code" w:cs="Code"/>
          <w:color w:val="000000"/>
          <w:sz w:val="24"/>
          <w:szCs w:val="24"/>
        </w:rPr>
        <w:t>a recognition in both papers that the existing academic literature is of importance and relevance to their studies, and both displa</w:t>
      </w:r>
      <w:r w:rsidR="00AC2AD2">
        <w:rPr>
          <w:rFonts w:ascii="Code" w:hAnsi="Code" w:cs="Code"/>
          <w:color w:val="000000"/>
          <w:sz w:val="24"/>
          <w:szCs w:val="24"/>
        </w:rPr>
        <w:t>yed</w:t>
      </w:r>
      <w:r w:rsidR="00AC5B3B">
        <w:rPr>
          <w:rFonts w:ascii="Code" w:hAnsi="Code" w:cs="Code"/>
          <w:color w:val="000000"/>
          <w:sz w:val="24"/>
          <w:szCs w:val="24"/>
        </w:rPr>
        <w:t xml:space="preserve"> familiarity with </w:t>
      </w:r>
      <w:r w:rsidR="00E07A89">
        <w:rPr>
          <w:rFonts w:ascii="Code" w:hAnsi="Code" w:cs="Code"/>
          <w:color w:val="000000"/>
          <w:sz w:val="24"/>
          <w:szCs w:val="24"/>
        </w:rPr>
        <w:t xml:space="preserve">some of </w:t>
      </w:r>
      <w:r w:rsidR="00AC5B3B">
        <w:rPr>
          <w:rFonts w:ascii="Code" w:hAnsi="Code" w:cs="Code"/>
          <w:color w:val="000000"/>
          <w:sz w:val="24"/>
          <w:szCs w:val="24"/>
        </w:rPr>
        <w:t>the literature of their field, and ma</w:t>
      </w:r>
      <w:r w:rsidR="00AC2AD2">
        <w:rPr>
          <w:rFonts w:ascii="Code" w:hAnsi="Code" w:cs="Code"/>
          <w:color w:val="000000"/>
          <w:sz w:val="24"/>
          <w:szCs w:val="24"/>
        </w:rPr>
        <w:t>de</w:t>
      </w:r>
      <w:r w:rsidR="00AC5B3B">
        <w:rPr>
          <w:rFonts w:ascii="Code" w:hAnsi="Code" w:cs="Code"/>
          <w:color w:val="000000"/>
          <w:sz w:val="24"/>
          <w:szCs w:val="24"/>
        </w:rPr>
        <w:t xml:space="preserve"> appropriate citations.  There </w:t>
      </w:r>
      <w:r w:rsidR="00AC2AD2">
        <w:rPr>
          <w:rFonts w:ascii="Code" w:hAnsi="Code" w:cs="Code"/>
          <w:color w:val="000000"/>
          <w:sz w:val="24"/>
          <w:szCs w:val="24"/>
        </w:rPr>
        <w:t>were</w:t>
      </w:r>
      <w:r w:rsidR="00AC5B3B">
        <w:rPr>
          <w:rFonts w:ascii="Code" w:hAnsi="Code" w:cs="Code"/>
          <w:color w:val="000000"/>
          <w:sz w:val="24"/>
          <w:szCs w:val="24"/>
        </w:rPr>
        <w:t xml:space="preserve"> shortcomings in both papers:  Brink, perhaps due to lack of space, fail</w:t>
      </w:r>
      <w:r w:rsidR="00AC2AD2">
        <w:rPr>
          <w:rFonts w:ascii="Code" w:hAnsi="Code" w:cs="Code"/>
          <w:color w:val="000000"/>
          <w:sz w:val="24"/>
          <w:szCs w:val="24"/>
        </w:rPr>
        <w:t>ed</w:t>
      </w:r>
      <w:r w:rsidR="00AC5B3B">
        <w:rPr>
          <w:rFonts w:ascii="Code" w:hAnsi="Code" w:cs="Code"/>
          <w:color w:val="000000"/>
          <w:sz w:val="24"/>
          <w:szCs w:val="24"/>
        </w:rPr>
        <w:t xml:space="preserve"> to do </w:t>
      </w:r>
      <w:r w:rsidR="0045274D">
        <w:rPr>
          <w:rFonts w:ascii="Code" w:hAnsi="Code" w:cs="Code"/>
          <w:color w:val="000000"/>
          <w:sz w:val="24"/>
          <w:szCs w:val="24"/>
        </w:rPr>
        <w:t>much</w:t>
      </w:r>
      <w:r w:rsidR="00AC5B3B">
        <w:rPr>
          <w:rFonts w:ascii="Code" w:hAnsi="Code" w:cs="Code"/>
          <w:color w:val="000000"/>
          <w:sz w:val="24"/>
          <w:szCs w:val="24"/>
        </w:rPr>
        <w:t xml:space="preserve"> more than list some theories, without explanation of their relevance, while Bennett failed to provide backing for </w:t>
      </w:r>
      <w:r w:rsidR="00E865DB">
        <w:rPr>
          <w:rFonts w:ascii="Code" w:hAnsi="Code" w:cs="Code"/>
          <w:color w:val="000000"/>
          <w:sz w:val="24"/>
          <w:szCs w:val="24"/>
        </w:rPr>
        <w:t>some unexamined assertions.</w:t>
      </w:r>
    </w:p>
    <w:p w14:paraId="2EF6C180" w14:textId="4B6A1F58" w:rsidR="00862BBF" w:rsidRDefault="00862BBF" w:rsidP="00E051BB">
      <w:pPr>
        <w:autoSpaceDE w:val="0"/>
        <w:autoSpaceDN w:val="0"/>
        <w:adjustRightInd w:val="0"/>
        <w:spacing w:after="0" w:line="240" w:lineRule="auto"/>
        <w:rPr>
          <w:rFonts w:ascii="Code" w:hAnsi="Code" w:cs="Code"/>
          <w:color w:val="000000"/>
          <w:sz w:val="24"/>
          <w:szCs w:val="24"/>
        </w:rPr>
      </w:pPr>
    </w:p>
    <w:p w14:paraId="2B94BBCB" w14:textId="77777777" w:rsidR="008B03D8" w:rsidRDefault="008B03D8" w:rsidP="00D72EF5">
      <w:pPr>
        <w:rPr>
          <w:b/>
          <w:bCs/>
          <w:sz w:val="24"/>
          <w:szCs w:val="24"/>
          <w:u w:val="single"/>
        </w:rPr>
      </w:pPr>
    </w:p>
    <w:p w14:paraId="298CE45E" w14:textId="3645B746" w:rsidR="00E051BB" w:rsidRDefault="00C10B6B" w:rsidP="00D72EF5">
      <w:pPr>
        <w:rPr>
          <w:b/>
          <w:bCs/>
          <w:sz w:val="24"/>
          <w:szCs w:val="24"/>
          <w:u w:val="single"/>
        </w:rPr>
      </w:pPr>
      <w:r>
        <w:rPr>
          <w:b/>
          <w:bCs/>
          <w:sz w:val="24"/>
          <w:szCs w:val="24"/>
          <w:u w:val="single"/>
        </w:rPr>
        <w:t>CONCLUSION</w:t>
      </w:r>
    </w:p>
    <w:p w14:paraId="2A74C01F" w14:textId="0D51CDFF" w:rsidR="00BC5B74" w:rsidRDefault="00D9517F" w:rsidP="00D72EF5">
      <w:pPr>
        <w:rPr>
          <w:sz w:val="24"/>
          <w:szCs w:val="24"/>
        </w:rPr>
      </w:pPr>
      <w:r w:rsidRPr="00D9517F">
        <w:rPr>
          <w:bCs/>
          <w:sz w:val="24"/>
          <w:szCs w:val="24"/>
        </w:rPr>
        <w:t xml:space="preserve">This essay compared and contrasted two academic papers.  The two papers chosen were </w:t>
      </w:r>
      <w:r w:rsidRPr="00D9517F">
        <w:rPr>
          <w:sz w:val="24"/>
          <w:szCs w:val="24"/>
        </w:rPr>
        <w:t xml:space="preserve">T. L. Brink, ‘Inconsistency of Belief Among Roman Catholic Girls: Concerning Religion, Astrology, Reincarnation’ </w:t>
      </w:r>
      <w:r w:rsidRPr="00D9517F">
        <w:rPr>
          <w:sz w:val="23"/>
          <w:szCs w:val="23"/>
        </w:rPr>
        <w:t xml:space="preserve">Review of Religious Research, 20:1 (1978) pp.82-85, and G. Bennett, “If I Knew You Were </w:t>
      </w:r>
      <w:r w:rsidRPr="00D9517F">
        <w:rPr>
          <w:sz w:val="24"/>
          <w:szCs w:val="24"/>
        </w:rPr>
        <w:t xml:space="preserve">Coming I’d Have Baked a Cake”: The Folklore of Foreknowledge in a Neighbourhood Group’, Out of the Ordinary: Folklore and the Supernatural, edited by Barbara Walker, Logan, Utah: Utah University Press, pp. 122-142.  </w:t>
      </w:r>
      <w:r w:rsidR="00A84722">
        <w:rPr>
          <w:sz w:val="24"/>
          <w:szCs w:val="24"/>
        </w:rPr>
        <w:t xml:space="preserve">Both papers were published in academic journals. </w:t>
      </w:r>
      <w:r w:rsidRPr="00D9517F">
        <w:rPr>
          <w:sz w:val="24"/>
          <w:szCs w:val="24"/>
        </w:rPr>
        <w:t xml:space="preserve">Examination of these papers focused on the themes of </w:t>
      </w:r>
      <w:r w:rsidR="00CA4A14" w:rsidRPr="00D9517F">
        <w:rPr>
          <w:sz w:val="24"/>
          <w:szCs w:val="24"/>
        </w:rPr>
        <w:t>methodology</w:t>
      </w:r>
      <w:r w:rsidR="00CA4A14">
        <w:rPr>
          <w:sz w:val="24"/>
          <w:szCs w:val="24"/>
        </w:rPr>
        <w:t xml:space="preserve">, </w:t>
      </w:r>
      <w:r w:rsidR="00CA4A14" w:rsidRPr="00D9517F">
        <w:rPr>
          <w:sz w:val="24"/>
          <w:szCs w:val="24"/>
        </w:rPr>
        <w:t>the insider/outsider perspective</w:t>
      </w:r>
      <w:r w:rsidR="0045274D">
        <w:rPr>
          <w:sz w:val="24"/>
          <w:szCs w:val="24"/>
        </w:rPr>
        <w:t>,</w:t>
      </w:r>
      <w:r w:rsidR="00CA4A14">
        <w:rPr>
          <w:sz w:val="24"/>
          <w:szCs w:val="24"/>
        </w:rPr>
        <w:t xml:space="preserve"> and</w:t>
      </w:r>
      <w:r w:rsidR="00CA4A14" w:rsidRPr="00D9517F">
        <w:rPr>
          <w:sz w:val="24"/>
          <w:szCs w:val="24"/>
        </w:rPr>
        <w:t xml:space="preserve"> </w:t>
      </w:r>
      <w:r w:rsidRPr="00D9517F">
        <w:rPr>
          <w:sz w:val="24"/>
          <w:szCs w:val="24"/>
        </w:rPr>
        <w:t>literature review</w:t>
      </w:r>
      <w:r w:rsidR="00CA4A14">
        <w:rPr>
          <w:sz w:val="24"/>
          <w:szCs w:val="24"/>
        </w:rPr>
        <w:t>.</w:t>
      </w:r>
      <w:r w:rsidR="00052CFF">
        <w:rPr>
          <w:sz w:val="24"/>
          <w:szCs w:val="24"/>
        </w:rPr>
        <w:t xml:space="preserve">  There were clear differences in the methodology used by the papers, with Brink adopting a quantitative, positivist approach</w:t>
      </w:r>
      <w:r w:rsidR="00437671">
        <w:rPr>
          <w:sz w:val="24"/>
          <w:szCs w:val="24"/>
        </w:rPr>
        <w:t xml:space="preserve"> and the use of a questionnaire</w:t>
      </w:r>
      <w:r w:rsidR="00052CFF">
        <w:rPr>
          <w:sz w:val="24"/>
          <w:szCs w:val="24"/>
        </w:rPr>
        <w:t xml:space="preserve">, and Bennett taking a qualitative approach </w:t>
      </w:r>
      <w:r w:rsidR="00343A5C">
        <w:rPr>
          <w:sz w:val="24"/>
          <w:szCs w:val="24"/>
        </w:rPr>
        <w:t>focussed</w:t>
      </w:r>
      <w:r w:rsidR="00052CFF">
        <w:rPr>
          <w:sz w:val="24"/>
          <w:szCs w:val="24"/>
        </w:rPr>
        <w:t xml:space="preserve"> on the experience</w:t>
      </w:r>
      <w:r w:rsidR="00FB21B1">
        <w:rPr>
          <w:sz w:val="24"/>
          <w:szCs w:val="24"/>
        </w:rPr>
        <w:t>s</w:t>
      </w:r>
      <w:r w:rsidR="00052CFF">
        <w:rPr>
          <w:sz w:val="24"/>
          <w:szCs w:val="24"/>
        </w:rPr>
        <w:t xml:space="preserve"> of her participants</w:t>
      </w:r>
      <w:r w:rsidR="006F2595">
        <w:rPr>
          <w:sz w:val="24"/>
          <w:szCs w:val="24"/>
        </w:rPr>
        <w:t xml:space="preserve"> and the use of unstructured interviews, </w:t>
      </w:r>
      <w:r w:rsidR="005526F0">
        <w:rPr>
          <w:sz w:val="24"/>
          <w:szCs w:val="24"/>
        </w:rPr>
        <w:t>suited to</w:t>
      </w:r>
      <w:r w:rsidR="006F2595">
        <w:rPr>
          <w:sz w:val="24"/>
          <w:szCs w:val="24"/>
        </w:rPr>
        <w:t xml:space="preserve"> her topic and aim</w:t>
      </w:r>
      <w:r w:rsidR="00052CFF">
        <w:rPr>
          <w:sz w:val="24"/>
          <w:szCs w:val="24"/>
        </w:rPr>
        <w:t>.</w:t>
      </w:r>
      <w:r w:rsidR="006262D3">
        <w:rPr>
          <w:sz w:val="24"/>
          <w:szCs w:val="24"/>
        </w:rPr>
        <w:t xml:space="preserve">  Given the topics investigated by Brink, a more qualitative approach</w:t>
      </w:r>
      <w:r w:rsidR="00D44D0C">
        <w:rPr>
          <w:sz w:val="24"/>
          <w:szCs w:val="24"/>
        </w:rPr>
        <w:t xml:space="preserve">, and a greater consideration of the meanings of his concepts, </w:t>
      </w:r>
      <w:r w:rsidR="006262D3">
        <w:rPr>
          <w:sz w:val="24"/>
          <w:szCs w:val="24"/>
        </w:rPr>
        <w:t xml:space="preserve">may have been more appropriate.  </w:t>
      </w:r>
      <w:r w:rsidR="00AC01FD">
        <w:rPr>
          <w:sz w:val="24"/>
          <w:szCs w:val="24"/>
        </w:rPr>
        <w:t xml:space="preserve">Neither researcher </w:t>
      </w:r>
      <w:r w:rsidR="004E4062">
        <w:rPr>
          <w:sz w:val="24"/>
          <w:szCs w:val="24"/>
        </w:rPr>
        <w:t>explicitly</w:t>
      </w:r>
      <w:r w:rsidR="00AC01FD">
        <w:rPr>
          <w:sz w:val="24"/>
          <w:szCs w:val="24"/>
        </w:rPr>
        <w:t xml:space="preserve"> considered their position on an insider-outsider perspective, which can be seen as a shortcoming, since more thorough reflection on this issue might have allowed them to avoid </w:t>
      </w:r>
      <w:r w:rsidR="00AC01FD">
        <w:rPr>
          <w:sz w:val="24"/>
          <w:szCs w:val="24"/>
        </w:rPr>
        <w:lastRenderedPageBreak/>
        <w:t xml:space="preserve">some ethical </w:t>
      </w:r>
      <w:r w:rsidR="00A43FE7">
        <w:rPr>
          <w:sz w:val="24"/>
          <w:szCs w:val="24"/>
        </w:rPr>
        <w:t>issues and</w:t>
      </w:r>
      <w:r w:rsidR="00AC01FD">
        <w:rPr>
          <w:sz w:val="24"/>
          <w:szCs w:val="24"/>
        </w:rPr>
        <w:t xml:space="preserve"> </w:t>
      </w:r>
      <w:r w:rsidR="005D413C">
        <w:rPr>
          <w:sz w:val="24"/>
          <w:szCs w:val="24"/>
        </w:rPr>
        <w:t xml:space="preserve">could have </w:t>
      </w:r>
      <w:r w:rsidR="00AC01FD">
        <w:rPr>
          <w:sz w:val="24"/>
          <w:szCs w:val="24"/>
        </w:rPr>
        <w:t>strengthened the validity of their data.</w:t>
      </w:r>
      <w:r w:rsidR="003165CB">
        <w:rPr>
          <w:sz w:val="24"/>
          <w:szCs w:val="24"/>
        </w:rPr>
        <w:t xml:space="preserve"> </w:t>
      </w:r>
      <w:r w:rsidR="000E20FD">
        <w:rPr>
          <w:sz w:val="24"/>
          <w:szCs w:val="24"/>
        </w:rPr>
        <w:t>Both</w:t>
      </w:r>
      <w:r w:rsidR="00F35AD1">
        <w:rPr>
          <w:sz w:val="24"/>
          <w:szCs w:val="24"/>
        </w:rPr>
        <w:t xml:space="preserve"> Brink and Bennett demonstrated awareness of the need to position their work against the academic background, by citing works of other scholars.  This was much more fully explained by Bennett, who wrote a lengthy introduction giving a historical outline of the academic background.  Brink merely mentioned other </w:t>
      </w:r>
      <w:r w:rsidR="00D44D0C">
        <w:rPr>
          <w:sz w:val="24"/>
          <w:szCs w:val="24"/>
        </w:rPr>
        <w:t>studies</w:t>
      </w:r>
      <w:r w:rsidR="00F35AD1">
        <w:rPr>
          <w:sz w:val="24"/>
          <w:szCs w:val="24"/>
        </w:rPr>
        <w:t xml:space="preserve"> by </w:t>
      </w:r>
      <w:r w:rsidR="00D44D0C">
        <w:rPr>
          <w:sz w:val="24"/>
          <w:szCs w:val="24"/>
        </w:rPr>
        <w:t xml:space="preserve">a short-hand </w:t>
      </w:r>
      <w:r w:rsidR="00F35AD1">
        <w:rPr>
          <w:sz w:val="24"/>
          <w:szCs w:val="24"/>
        </w:rPr>
        <w:t>name, without explaining their findings</w:t>
      </w:r>
      <w:r w:rsidR="00E15768">
        <w:rPr>
          <w:sz w:val="24"/>
          <w:szCs w:val="24"/>
        </w:rPr>
        <w:t xml:space="preserve"> or their relevance</w:t>
      </w:r>
      <w:r w:rsidR="00F35AD1">
        <w:rPr>
          <w:sz w:val="24"/>
          <w:szCs w:val="24"/>
        </w:rPr>
        <w:t xml:space="preserve">.  </w:t>
      </w:r>
      <w:r w:rsidR="005D413C">
        <w:rPr>
          <w:sz w:val="24"/>
          <w:szCs w:val="24"/>
        </w:rPr>
        <w:t xml:space="preserve">In both papers, there was an indication of how the research could be built on by further work.  </w:t>
      </w:r>
      <w:r w:rsidR="006D5450">
        <w:rPr>
          <w:sz w:val="24"/>
          <w:szCs w:val="24"/>
        </w:rPr>
        <w:t xml:space="preserve">While dealing with similar topics in the sense of seeking to understand more about the beliefs of their participants, </w:t>
      </w:r>
      <w:r w:rsidR="006942EC">
        <w:rPr>
          <w:sz w:val="24"/>
          <w:szCs w:val="24"/>
        </w:rPr>
        <w:t>these two studies took very different approaches in each of the three themes discussed in this essay and provide</w:t>
      </w:r>
      <w:r w:rsidR="00E15768">
        <w:rPr>
          <w:sz w:val="24"/>
          <w:szCs w:val="24"/>
        </w:rPr>
        <w:t>d</w:t>
      </w:r>
      <w:r w:rsidR="00BC5B74">
        <w:rPr>
          <w:sz w:val="24"/>
          <w:szCs w:val="24"/>
        </w:rPr>
        <w:t xml:space="preserve"> an interesting basis for further work in illuminating their areas of interest.</w:t>
      </w:r>
    </w:p>
    <w:p w14:paraId="4F1E2C39" w14:textId="77777777" w:rsidR="00BC5B74" w:rsidRPr="00D9517F" w:rsidRDefault="00BC5B74" w:rsidP="00D72EF5">
      <w:pPr>
        <w:rPr>
          <w:b/>
          <w:bCs/>
          <w:sz w:val="24"/>
          <w:szCs w:val="24"/>
          <w:u w:val="single"/>
        </w:rPr>
      </w:pPr>
    </w:p>
    <w:p w14:paraId="32F30C44" w14:textId="22DD372A" w:rsidR="001A3E2B" w:rsidRDefault="001A3E2B" w:rsidP="001A3E2B">
      <w:pPr>
        <w:rPr>
          <w:b/>
          <w:sz w:val="24"/>
          <w:szCs w:val="24"/>
          <w:u w:val="single"/>
        </w:rPr>
      </w:pPr>
      <w:r>
        <w:rPr>
          <w:b/>
          <w:sz w:val="24"/>
          <w:szCs w:val="24"/>
          <w:u w:val="single"/>
        </w:rPr>
        <w:t>BIBLIOGRAPHY</w:t>
      </w:r>
    </w:p>
    <w:p w14:paraId="40EC4858" w14:textId="145E7BB2" w:rsidR="001A3E2B" w:rsidRDefault="001A3E2B" w:rsidP="001A3E2B">
      <w:pPr>
        <w:rPr>
          <w:b/>
          <w:sz w:val="24"/>
          <w:szCs w:val="24"/>
          <w:u w:val="single"/>
        </w:rPr>
      </w:pPr>
      <w:r>
        <w:rPr>
          <w:b/>
          <w:sz w:val="24"/>
          <w:szCs w:val="24"/>
          <w:u w:val="single"/>
        </w:rPr>
        <w:t>SECONDARY SOURCES</w:t>
      </w:r>
    </w:p>
    <w:p w14:paraId="2E42DC27" w14:textId="77777777" w:rsidR="006E79B5" w:rsidRDefault="006E79B5" w:rsidP="006E79B5">
      <w:pPr>
        <w:pStyle w:val="EndNoteBibliography"/>
        <w:spacing w:after="0"/>
        <w:ind w:left="720" w:hanging="720"/>
        <w:rPr>
          <w:b/>
          <w:bCs/>
          <w:sz w:val="24"/>
          <w:szCs w:val="24"/>
          <w:u w:val="single"/>
        </w:rPr>
      </w:pPr>
    </w:p>
    <w:p w14:paraId="2EE3183E" w14:textId="77777777" w:rsidR="00DB0652" w:rsidRPr="00DB0652" w:rsidRDefault="00E051BB" w:rsidP="00DB0652">
      <w:pPr>
        <w:pStyle w:val="EndNoteBibliography"/>
        <w:spacing w:after="0"/>
        <w:ind w:left="720" w:hanging="720"/>
      </w:pPr>
      <w:r>
        <w:rPr>
          <w:b/>
          <w:bCs/>
          <w:sz w:val="24"/>
          <w:szCs w:val="24"/>
          <w:u w:val="single"/>
        </w:rPr>
        <w:fldChar w:fldCharType="begin"/>
      </w:r>
      <w:r>
        <w:rPr>
          <w:b/>
          <w:bCs/>
          <w:sz w:val="24"/>
          <w:szCs w:val="24"/>
          <w:u w:val="single"/>
        </w:rPr>
        <w:instrText xml:space="preserve"> ADDIN EN.REFLIST </w:instrText>
      </w:r>
      <w:r>
        <w:rPr>
          <w:b/>
          <w:bCs/>
          <w:sz w:val="24"/>
          <w:szCs w:val="24"/>
          <w:u w:val="single"/>
        </w:rPr>
        <w:fldChar w:fldCharType="separate"/>
      </w:r>
      <w:r w:rsidR="00DB0652" w:rsidRPr="00DB0652">
        <w:t xml:space="preserve">Bell, Judith. </w:t>
      </w:r>
      <w:r w:rsidR="00DB0652" w:rsidRPr="00DB0652">
        <w:rPr>
          <w:i/>
        </w:rPr>
        <w:t>Doing Your Research Project : A Guide for First-Time Researchers in Education and Social Science.</w:t>
      </w:r>
      <w:r w:rsidR="00DB0652" w:rsidRPr="00DB0652">
        <w:t xml:space="preserve"> 2nd ed. Buckingham: Open University Press, 1993.</w:t>
      </w:r>
    </w:p>
    <w:p w14:paraId="33C2FAE2" w14:textId="77777777" w:rsidR="00DB0652" w:rsidRPr="00DB0652" w:rsidRDefault="00DB0652" w:rsidP="00DB0652">
      <w:pPr>
        <w:pStyle w:val="EndNoteBibliography"/>
        <w:spacing w:after="0"/>
        <w:ind w:left="720" w:hanging="720"/>
      </w:pPr>
      <w:r w:rsidRPr="00DB0652">
        <w:t xml:space="preserve">Bennett, Gillian. "“If I Knew You Were Coming, I’d Have Baked a Cake” the Folklore of Foreknowledge in a Neighborhood Group." In </w:t>
      </w:r>
      <w:r w:rsidRPr="00DB0652">
        <w:rPr>
          <w:i/>
        </w:rPr>
        <w:t>Out of the Ordinary</w:t>
      </w:r>
      <w:r w:rsidRPr="00DB0652">
        <w:t>, edited by Barbara Walker. Folklore and the Supernatural, 122-42: University Press of Colorado, 1995.</w:t>
      </w:r>
    </w:p>
    <w:p w14:paraId="256BA2F5" w14:textId="77777777" w:rsidR="00DB0652" w:rsidRPr="00DB0652" w:rsidRDefault="00DB0652" w:rsidP="00DB0652">
      <w:pPr>
        <w:pStyle w:val="EndNoteBibliography"/>
        <w:spacing w:after="0"/>
        <w:ind w:left="720" w:hanging="720"/>
      </w:pPr>
      <w:r w:rsidRPr="00DB0652">
        <w:t xml:space="preserve">Boote, David N., and Penny Beile. "Scholars before Researchers: On the Centrality of the Dissertation Literature Review in Research Preparation." </w:t>
      </w:r>
      <w:r w:rsidRPr="00DB0652">
        <w:rPr>
          <w:i/>
        </w:rPr>
        <w:t xml:space="preserve">Educational Researcher </w:t>
      </w:r>
      <w:r w:rsidRPr="00DB0652">
        <w:t>34, no. 6 (2005): 3-15.</w:t>
      </w:r>
    </w:p>
    <w:p w14:paraId="0F85AA18" w14:textId="77777777" w:rsidR="00DB0652" w:rsidRPr="00DB0652" w:rsidRDefault="00DB0652" w:rsidP="00DB0652">
      <w:pPr>
        <w:pStyle w:val="EndNoteBibliography"/>
        <w:spacing w:after="0"/>
        <w:ind w:left="720" w:hanging="720"/>
      </w:pPr>
      <w:r w:rsidRPr="00DB0652">
        <w:t xml:space="preserve">Brink, T. L. "Inconsistency of Belief among Roman Catholic Girls: Concerning Religion, Astrology, Reincarnation." </w:t>
      </w:r>
      <w:r w:rsidRPr="00DB0652">
        <w:rPr>
          <w:i/>
        </w:rPr>
        <w:t xml:space="preserve">Review of Religious Research </w:t>
      </w:r>
      <w:r w:rsidRPr="00DB0652">
        <w:t>20, no. 1 (1978): 82-85.</w:t>
      </w:r>
    </w:p>
    <w:p w14:paraId="101B4192" w14:textId="77777777" w:rsidR="00DB0652" w:rsidRPr="00DB0652" w:rsidRDefault="00DB0652" w:rsidP="00DB0652">
      <w:pPr>
        <w:pStyle w:val="EndNoteBibliography"/>
        <w:spacing w:after="0"/>
        <w:ind w:left="720" w:hanging="720"/>
      </w:pPr>
      <w:r w:rsidRPr="00DB0652">
        <w:t xml:space="preserve">Bryman, Alan. </w:t>
      </w:r>
      <w:r w:rsidRPr="00DB0652">
        <w:rPr>
          <w:i/>
        </w:rPr>
        <w:t>Quantity and Quality in Social Research.</w:t>
      </w:r>
      <w:r w:rsidRPr="00DB0652">
        <w:t xml:space="preserve"> Contemporary Social Research Series. London: Routledge, 1992.</w:t>
      </w:r>
    </w:p>
    <w:p w14:paraId="04DCC6B3" w14:textId="77777777" w:rsidR="00DB0652" w:rsidRPr="00DB0652" w:rsidRDefault="00DB0652" w:rsidP="00DB0652">
      <w:pPr>
        <w:pStyle w:val="EndNoteBibliography"/>
        <w:spacing w:after="0"/>
        <w:ind w:left="720" w:hanging="720"/>
      </w:pPr>
      <w:r w:rsidRPr="00DB0652">
        <w:t xml:space="preserve">Hart, Chris. </w:t>
      </w:r>
      <w:r w:rsidRPr="00DB0652">
        <w:rPr>
          <w:i/>
        </w:rPr>
        <w:t>Doing a Literature Review : Releasing the Research Imagination.</w:t>
      </w:r>
      <w:r w:rsidRPr="00DB0652">
        <w:t xml:space="preserve"> Second edition. ed. Los Angeles, London, New Dehli, Singapore, Washington DC: Sage, 2011.</w:t>
      </w:r>
    </w:p>
    <w:p w14:paraId="611E9C70" w14:textId="77777777" w:rsidR="00DB0652" w:rsidRPr="00DB0652" w:rsidRDefault="00DB0652" w:rsidP="00DB0652">
      <w:pPr>
        <w:pStyle w:val="EndNoteBibliography"/>
        <w:spacing w:after="0"/>
        <w:ind w:left="720" w:hanging="720"/>
      </w:pPr>
      <w:r w:rsidRPr="00DB0652">
        <w:t xml:space="preserve">Hellawell, David. "Inside-Out: Analysis of the Insider-Outsider Concept as a Heuristic Device to Develop Reflexivity in Students Doing Qualitative Research." </w:t>
      </w:r>
      <w:r w:rsidRPr="00DB0652">
        <w:rPr>
          <w:i/>
        </w:rPr>
        <w:t xml:space="preserve">Teaching in higher education </w:t>
      </w:r>
      <w:r w:rsidRPr="00DB0652">
        <w:t>11, no. 4 (2006): 483-94.</w:t>
      </w:r>
    </w:p>
    <w:p w14:paraId="639E064F" w14:textId="77777777" w:rsidR="00DB0652" w:rsidRPr="00DB0652" w:rsidRDefault="00DB0652" w:rsidP="00DB0652">
      <w:pPr>
        <w:pStyle w:val="EndNoteBibliography"/>
        <w:spacing w:after="0"/>
        <w:ind w:left="720" w:hanging="720"/>
      </w:pPr>
      <w:r w:rsidRPr="00DB0652">
        <w:t xml:space="preserve">Hennink, Monique M., Hutter, Inge, Bailey, Ajay. </w:t>
      </w:r>
      <w:r w:rsidRPr="00DB0652">
        <w:rPr>
          <w:i/>
        </w:rPr>
        <w:t>Qualitative Research Methods.</w:t>
      </w:r>
      <w:r w:rsidRPr="00DB0652">
        <w:t xml:space="preserve"> Second edition. ed.: Sage, 2020.</w:t>
      </w:r>
    </w:p>
    <w:p w14:paraId="7A4F7391" w14:textId="77777777" w:rsidR="00DB0652" w:rsidRPr="00DB0652" w:rsidRDefault="00DB0652" w:rsidP="00DB0652">
      <w:pPr>
        <w:pStyle w:val="EndNoteBibliography"/>
        <w:spacing w:after="0"/>
        <w:ind w:left="720" w:hanging="720"/>
      </w:pPr>
      <w:r w:rsidRPr="00DB0652">
        <w:t xml:space="preserve">Hufford, David. "The Scholarly Voice and the Personal Voice: Reflexivity in Belief Studies." </w:t>
      </w:r>
      <w:r w:rsidRPr="00DB0652">
        <w:rPr>
          <w:i/>
        </w:rPr>
        <w:t xml:space="preserve">Western Folklore </w:t>
      </w:r>
      <w:r w:rsidRPr="00DB0652">
        <w:t>54, no. 1 (1995): 57-76.</w:t>
      </w:r>
    </w:p>
    <w:p w14:paraId="7513E221" w14:textId="77777777" w:rsidR="00DB0652" w:rsidRPr="00DB0652" w:rsidRDefault="00DB0652" w:rsidP="00DB0652">
      <w:pPr>
        <w:pStyle w:val="EndNoteBibliography"/>
        <w:spacing w:after="0"/>
        <w:ind w:left="720" w:hanging="720"/>
      </w:pPr>
      <w:r w:rsidRPr="00DB0652">
        <w:t xml:space="preserve">McCutcheon, Russell T. </w:t>
      </w:r>
      <w:r w:rsidRPr="00DB0652">
        <w:rPr>
          <w:i/>
        </w:rPr>
        <w:t>The Insider/Outsider Problem in the Study of Religion : A Reader.</w:t>
      </w:r>
      <w:r w:rsidRPr="00DB0652">
        <w:t xml:space="preserve"> London ; New York: Continuum, 2005.</w:t>
      </w:r>
    </w:p>
    <w:p w14:paraId="06C9D17F" w14:textId="77777777" w:rsidR="00DB0652" w:rsidRPr="00DB0652" w:rsidRDefault="00DB0652" w:rsidP="00DB0652">
      <w:pPr>
        <w:pStyle w:val="EndNoteBibliography"/>
        <w:spacing w:after="0"/>
        <w:ind w:left="720" w:hanging="720"/>
      </w:pPr>
      <w:r w:rsidRPr="00DB0652">
        <w:t xml:space="preserve">Pike, Kenneth L. </w:t>
      </w:r>
      <w:r w:rsidRPr="00DB0652">
        <w:rPr>
          <w:i/>
        </w:rPr>
        <w:t>Language in Relation to a Unified Theory of the Structure of Human Behavior ... Second, Revised Edition.</w:t>
      </w:r>
      <w:r w:rsidRPr="00DB0652">
        <w:t xml:space="preserve"> The Hague ; Paris: Mouton &amp; Co, 1967.</w:t>
      </w:r>
    </w:p>
    <w:p w14:paraId="6E745D9A" w14:textId="77777777" w:rsidR="00DB0652" w:rsidRPr="00DB0652" w:rsidRDefault="00DB0652" w:rsidP="00DB0652">
      <w:pPr>
        <w:pStyle w:val="EndNoteBibliography"/>
        <w:ind w:left="720" w:hanging="720"/>
      </w:pPr>
      <w:r w:rsidRPr="00DB0652">
        <w:t xml:space="preserve">Wuthnow, Robert. "Astrology and Marginality." </w:t>
      </w:r>
      <w:r w:rsidRPr="00DB0652">
        <w:rPr>
          <w:i/>
        </w:rPr>
        <w:t xml:space="preserve">Journal for the Scientific Study of Religion </w:t>
      </w:r>
      <w:r w:rsidRPr="00DB0652">
        <w:t>15, no. 2 (1976): 157-68.</w:t>
      </w:r>
    </w:p>
    <w:p w14:paraId="42A658B9" w14:textId="1B972CF2" w:rsidR="00C10B6B" w:rsidRPr="00C10B6B" w:rsidRDefault="00E051BB" w:rsidP="00D72EF5">
      <w:pPr>
        <w:rPr>
          <w:b/>
          <w:bCs/>
          <w:sz w:val="24"/>
          <w:szCs w:val="24"/>
          <w:u w:val="single"/>
        </w:rPr>
      </w:pPr>
      <w:r>
        <w:rPr>
          <w:b/>
          <w:bCs/>
          <w:sz w:val="24"/>
          <w:szCs w:val="24"/>
          <w:u w:val="single"/>
        </w:rPr>
        <w:fldChar w:fldCharType="end"/>
      </w:r>
    </w:p>
    <w:sectPr w:rsidR="00C10B6B" w:rsidRPr="00C10B6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255CD" w14:textId="77777777" w:rsidR="00B85FCB" w:rsidRDefault="00B85FCB" w:rsidP="005F4F77">
      <w:pPr>
        <w:spacing w:after="0" w:line="240" w:lineRule="auto"/>
      </w:pPr>
      <w:r>
        <w:separator/>
      </w:r>
    </w:p>
  </w:endnote>
  <w:endnote w:type="continuationSeparator" w:id="0">
    <w:p w14:paraId="2342832C" w14:textId="77777777" w:rsidR="00B85FCB" w:rsidRDefault="00B85FCB" w:rsidP="005F4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de">
    <w:altName w:val="Calibri"/>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05151" w14:textId="77777777" w:rsidR="00B85FCB" w:rsidRDefault="00B85FCB" w:rsidP="005F4F77">
      <w:pPr>
        <w:spacing w:after="0" w:line="240" w:lineRule="auto"/>
      </w:pPr>
      <w:r>
        <w:separator/>
      </w:r>
    </w:p>
  </w:footnote>
  <w:footnote w:type="continuationSeparator" w:id="0">
    <w:p w14:paraId="74F42A31" w14:textId="77777777" w:rsidR="00B85FCB" w:rsidRDefault="00B85FCB" w:rsidP="005F4F77">
      <w:pPr>
        <w:spacing w:after="0" w:line="240" w:lineRule="auto"/>
      </w:pPr>
      <w:r>
        <w:continuationSeparator/>
      </w:r>
    </w:p>
  </w:footnote>
  <w:footnote w:id="1">
    <w:p w14:paraId="2FB5985D" w14:textId="645FBF90" w:rsidR="002C73B5" w:rsidRPr="002C73B5" w:rsidRDefault="002C73B5">
      <w:pPr>
        <w:pStyle w:val="FootnoteText"/>
        <w:rPr>
          <w:lang w:val="en-GB"/>
        </w:rPr>
      </w:pPr>
      <w:r>
        <w:rPr>
          <w:rStyle w:val="FootnoteReference"/>
        </w:rPr>
        <w:footnoteRef/>
      </w:r>
      <w:r>
        <w:t xml:space="preserve"> </w:t>
      </w:r>
      <w:r>
        <w:fldChar w:fldCharType="begin"/>
      </w:r>
      <w:r w:rsidR="00DB0652">
        <w:instrText xml:space="preserve"> ADDIN EN.CITE &lt;EndNote&gt;&lt;Cite&gt;&lt;Author&gt;Brink&lt;/Author&gt;&lt;Year&gt;1978&lt;/Year&gt;&lt;RecNum&gt;133&lt;/RecNum&gt;&lt;DisplayText&gt;T. L. Brink, &amp;quot;Inconsistency of Belief among Roman Catholic Girls: Concerning Religion, Astrology, Reincarnation,&amp;quot; &lt;style face="italic"&gt;Review of Religious Research&lt;/style&gt; 20, no. 1 (1978).&lt;/DisplayText&gt;&lt;record&gt;&lt;rec-number&gt;133&lt;/rec-number&gt;&lt;foreign-keys&gt;&lt;key app="EN" db-id="wpdwtde5sx2ssoev59spxrs909rs0ep5rsdt" timestamp="1611864015" guid="ef3948f7-9762-4327-a1c3-b302686e4ac0"&gt;133&lt;/key&gt;&lt;/foreign-keys&gt;&lt;ref-type name="Journal Article"&gt;17&lt;/ref-type&gt;&lt;contributors&gt;&lt;authors&gt;&lt;author&gt;Brink, T. L.&lt;/author&gt;&lt;/authors&gt;&lt;/contributors&gt;&lt;titles&gt;&lt;title&gt;Inconsistency of Belief among Roman Catholic Girls: Concerning Religion, Astrology, Reincarnation&lt;/title&gt;&lt;secondary-title&gt;Review of Religious Research&lt;/secondary-title&gt;&lt;/titles&gt;&lt;periodical&gt;&lt;full-title&gt;Review of Religious Research&lt;/full-title&gt;&lt;/periodical&gt;&lt;pages&gt;82-85&lt;/pages&gt;&lt;volume&gt;20&lt;/volume&gt;&lt;number&gt;1&lt;/number&gt;&lt;keywords&gt;&lt;keyword&gt;Religion, Catholic, Astrology, Belief&lt;/keyword&gt;&lt;/keywords&gt;&lt;dates&gt;&lt;year&gt;1978&lt;/year&gt;&lt;/dates&gt;&lt;urls&gt;&lt;/urls&gt;&lt;/record&gt;&lt;/Cite&gt;&lt;/EndNote&gt;</w:instrText>
      </w:r>
      <w:r>
        <w:fldChar w:fldCharType="separate"/>
      </w:r>
      <w:r w:rsidR="00EB39B1">
        <w:rPr>
          <w:noProof/>
        </w:rPr>
        <w:t xml:space="preserve">T. L. Brink, "Inconsistency of Belief among Roman Catholic Girls: Concerning Religion, Astrology, Reincarnation," </w:t>
      </w:r>
      <w:r w:rsidR="00EB39B1" w:rsidRPr="00EB39B1">
        <w:rPr>
          <w:i/>
          <w:noProof/>
        </w:rPr>
        <w:t>Review of Religious Research</w:t>
      </w:r>
      <w:r w:rsidR="00EB39B1">
        <w:rPr>
          <w:noProof/>
        </w:rPr>
        <w:t xml:space="preserve"> 20, no. 1 (1978).</w:t>
      </w:r>
      <w:r>
        <w:fldChar w:fldCharType="end"/>
      </w:r>
      <w:r>
        <w:t xml:space="preserve"> P.82.</w:t>
      </w:r>
    </w:p>
  </w:footnote>
  <w:footnote w:id="2">
    <w:p w14:paraId="2B077F44" w14:textId="5CC0AE53" w:rsidR="00E073D9" w:rsidRPr="00E073D9" w:rsidRDefault="00E073D9">
      <w:pPr>
        <w:pStyle w:val="FootnoteText"/>
        <w:rPr>
          <w:lang w:val="en-GB"/>
        </w:rPr>
      </w:pPr>
      <w:r>
        <w:rPr>
          <w:rStyle w:val="FootnoteReference"/>
        </w:rPr>
        <w:footnoteRef/>
      </w:r>
      <w:r>
        <w:t xml:space="preserve"> </w:t>
      </w:r>
      <w:r>
        <w:fldChar w:fldCharType="begin"/>
      </w:r>
      <w:r w:rsidR="00DB0652">
        <w:instrText xml:space="preserve"> ADDIN EN.CITE &lt;EndNote&gt;&lt;Cite&gt;&lt;Author&gt;Bennett&lt;/Author&gt;&lt;Year&gt;1995&lt;/Year&gt;&lt;RecNum&gt;157&lt;/RecNum&gt;&lt;DisplayText&gt;Gillian Bennett, &amp;quot;“If I Knew You Were Coming, I’d Have Baked a Cake” The Folklore of Foreknowledge in a Neighborhood Group,&amp;quot; in &lt;style face="italic"&gt;Out Of The Ordinary&lt;/style&gt;, ed. Barbara Walker, Folklore and the Supernatural (University Press of Colorado, 1995).&lt;/DisplayText&gt;&lt;record&gt;&lt;rec-number&gt;157&lt;/rec-number&gt;&lt;foreign-keys&gt;&lt;key app="EN" db-id="wpdwtde5sx2ssoev59spxrs909rs0ep5rsdt" timestamp="1613575299" guid="18b74148-ce8b-4e41-a1be-5cd9b8490f33"&gt;157&lt;/key&gt;&lt;/foreign-keys&gt;&lt;ref-type name="Book Section"&gt;5&lt;/ref-type&gt;&lt;contributors&gt;&lt;authors&gt;&lt;author&gt;Bennett, Gillian&lt;/author&gt;&lt;/authors&gt;&lt;secondary-authors&gt;&lt;author&gt;Walker, Barbara&lt;/author&gt;&lt;/secondary-authors&gt;&lt;/contributors&gt;&lt;titles&gt;&lt;title&gt;“If I Knew You Were Coming, I’d Have Baked a Cake” The Folklore of Foreknowledge in a Neighborhood Group&lt;/title&gt;&lt;secondary-title&gt;Out Of The Ordinary&lt;/secondary-title&gt;&lt;tertiary-title&gt;Folklore and the Supernatural&lt;/tertiary-title&gt;&lt;/titles&gt;&lt;pages&gt;122-142&lt;/pages&gt;&lt;dates&gt;&lt;year&gt;1995&lt;/year&gt;&lt;/dates&gt;&lt;publisher&gt;University Press of Colorado&lt;/publisher&gt;&lt;isbn&gt;9780874211917&lt;/isbn&gt;&lt;urls&gt;&lt;related-urls&gt;&lt;url&gt;http://www.jstor.org.ezproxy.uwtsd.ac.uk/stable/j.ctt46nwn8.13&lt;/url&gt;&lt;/related-urls&gt;&lt;/urls&gt;&lt;remote-database-name&gt;JSTOR&lt;/remote-database-name&gt;&lt;access-date&gt;2021/02/17/&lt;/access-date&gt;&lt;/record&gt;&lt;/Cite&gt;&lt;/EndNote&gt;</w:instrText>
      </w:r>
      <w:r>
        <w:fldChar w:fldCharType="separate"/>
      </w:r>
      <w:r>
        <w:rPr>
          <w:noProof/>
        </w:rPr>
        <w:t xml:space="preserve">Gillian Bennett, "“If I Knew You Were Coming, I’d Have Baked a Cake” The Folklore of Foreknowledge in a Neighborhood Group," in </w:t>
      </w:r>
      <w:r w:rsidRPr="00E073D9">
        <w:rPr>
          <w:i/>
          <w:noProof/>
        </w:rPr>
        <w:t>Out Of The Ordinary</w:t>
      </w:r>
      <w:r>
        <w:rPr>
          <w:noProof/>
        </w:rPr>
        <w:t>, ed. Barbara Walker, Folklore and the Supernatural (University Press of Colorado, 1995).</w:t>
      </w:r>
      <w:r>
        <w:fldChar w:fldCharType="end"/>
      </w:r>
      <w:r>
        <w:t>p.122.</w:t>
      </w:r>
    </w:p>
  </w:footnote>
  <w:footnote w:id="3">
    <w:p w14:paraId="6A43809D" w14:textId="43CE1D68" w:rsidR="00D86F94" w:rsidRPr="00D86F94" w:rsidRDefault="00D86F94">
      <w:pPr>
        <w:pStyle w:val="FootnoteText"/>
        <w:rPr>
          <w:lang w:val="en-GB"/>
        </w:rPr>
      </w:pPr>
      <w:r>
        <w:rPr>
          <w:rStyle w:val="FootnoteReference"/>
        </w:rPr>
        <w:footnoteRef/>
      </w:r>
      <w:r>
        <w:t xml:space="preserve"> </w:t>
      </w:r>
      <w:r>
        <w:fldChar w:fldCharType="begin"/>
      </w:r>
      <w:r w:rsidR="00DB0652">
        <w:instrText xml:space="preserve"> ADDIN EN.CITE &lt;EndNote&gt;&lt;Cite&gt;&lt;Author&gt;Brink&lt;/Author&gt;&lt;Year&gt;1978&lt;/Year&gt;&lt;RecNum&gt;133&lt;/RecNum&gt;&lt;DisplayText&gt;Brink, &amp;quot;Inconsistency of Belief among Roman Catholic Girls: Concerning Religion, Astrology, Reincarnation.&amp;quot;&lt;/DisplayText&gt;&lt;record&gt;&lt;rec-number&gt;133&lt;/rec-number&gt;&lt;foreign-keys&gt;&lt;key app="EN" db-id="wpdwtde5sx2ssoev59spxrs909rs0ep5rsdt" timestamp="1611864015" guid="ef3948f7-9762-4327-a1c3-b302686e4ac0"&gt;133&lt;/key&gt;&lt;/foreign-keys&gt;&lt;ref-type name="Journal Article"&gt;17&lt;/ref-type&gt;&lt;contributors&gt;&lt;authors&gt;&lt;author&gt;Brink, T. L.&lt;/author&gt;&lt;/authors&gt;&lt;/contributors&gt;&lt;titles&gt;&lt;title&gt;Inconsistency of Belief among Roman Catholic Girls: Concerning Religion, Astrology, Reincarnation&lt;/title&gt;&lt;secondary-title&gt;Review of Religious Research&lt;/secondary-title&gt;&lt;/titles&gt;&lt;periodical&gt;&lt;full-title&gt;Review of Religious Research&lt;/full-title&gt;&lt;/periodical&gt;&lt;pages&gt;82-85&lt;/pages&gt;&lt;volume&gt;20&lt;/volume&gt;&lt;number&gt;1&lt;/number&gt;&lt;keywords&gt;&lt;keyword&gt;Religion, Catholic, Astrology, Belief&lt;/keyword&gt;&lt;/keywords&gt;&lt;dates&gt;&lt;year&gt;1978&lt;/year&gt;&lt;/dates&gt;&lt;urls&gt;&lt;/urls&gt;&lt;/record&gt;&lt;/Cite&gt;&lt;/EndNote&gt;</w:instrText>
      </w:r>
      <w:r>
        <w:fldChar w:fldCharType="separate"/>
      </w:r>
      <w:r>
        <w:rPr>
          <w:noProof/>
        </w:rPr>
        <w:t>Brink, "Inconsistency of Belief among Roman Catholic Girls: Concerning Religion, Astrology, Reincarnation."</w:t>
      </w:r>
      <w:r>
        <w:fldChar w:fldCharType="end"/>
      </w:r>
      <w:r>
        <w:t xml:space="preserve"> P.84.</w:t>
      </w:r>
    </w:p>
  </w:footnote>
  <w:footnote w:id="4">
    <w:p w14:paraId="1461E28F" w14:textId="64D7E17D" w:rsidR="00EA16FB" w:rsidRPr="00EA16FB" w:rsidRDefault="00EA16FB">
      <w:pPr>
        <w:pStyle w:val="FootnoteText"/>
        <w:rPr>
          <w:lang w:val="en-GB"/>
        </w:rPr>
      </w:pPr>
      <w:r>
        <w:rPr>
          <w:rStyle w:val="FootnoteReference"/>
        </w:rPr>
        <w:footnoteRef/>
      </w:r>
      <w:r>
        <w:t xml:space="preserve"> </w:t>
      </w:r>
      <w:r>
        <w:fldChar w:fldCharType="begin"/>
      </w:r>
      <w:r w:rsidR="00DB0652">
        <w:instrText xml:space="preserve"> ADDIN EN.CITE &lt;EndNote&gt;&lt;Cite&gt;&lt;Author&gt;Bell&lt;/Author&gt;&lt;Year&gt;1993&lt;/Year&gt;&lt;RecNum&gt;175&lt;/RecNum&gt;&lt;DisplayText&gt;Judith Bell, &lt;style face="italic"&gt;Doing your research project : a guide for first-time researchers in education and social science&lt;/style&gt;, 2nd ed. (Buckingham: Open University Press, 1993).&lt;/DisplayText&gt;&lt;record&gt;&lt;rec-number&gt;175&lt;/rec-number&gt;&lt;foreign-keys&gt;&lt;key app="EN" db-id="wpdwtde5sx2ssoev59spxrs909rs0ep5rsdt" timestamp="1617178830" guid="c67930f0-819a-4c03-a23e-2db5a8bd8638"&gt;175&lt;/key&gt;&lt;/foreign-keys&gt;&lt;ref-type name="Book"&gt;6&lt;/ref-type&gt;&lt;contributors&gt;&lt;authors&gt;&lt;author&gt;Bell, Judith&lt;/author&gt;&lt;/authors&gt;&lt;/contributors&gt;&lt;titles&gt;&lt;title&gt;Doing your research project : a guide for first-time researchers in education and social science&lt;/title&gt;&lt;/titles&gt;&lt;edition&gt;2nd&lt;/edition&gt;&lt;keywords&gt;&lt;keyword&gt;Education Research.&lt;/keyword&gt;&lt;keyword&gt;Education Research Methodology.&lt;/keyword&gt;&lt;keyword&gt;Social sciences Research.&lt;/keyword&gt;&lt;keyword&gt;Social sciences Research Methodology.&lt;/keyword&gt;&lt;keyword&gt;Independent study.&lt;/keyword&gt;&lt;/keywords&gt;&lt;dates&gt;&lt;year&gt;1993&lt;/year&gt;&lt;/dates&gt;&lt;pub-location&gt;Buckingham&lt;/pub-location&gt;&lt;publisher&gt;Open University Press&lt;/publisher&gt;&lt;isbn&gt;0335190944 (pbk) : ¹8.99&lt;/isbn&gt;&lt;accession-num&gt;b9347836&lt;/accession-num&gt;&lt;call-num&gt;370.78 20&amp;#xD;British Library HMNTS YK.1993.a.12736&lt;/call-num&gt;&lt;urls&gt;&lt;/urls&gt;&lt;/record&gt;&lt;/Cite&gt;&lt;/EndNote&gt;</w:instrText>
      </w:r>
      <w:r>
        <w:fldChar w:fldCharType="separate"/>
      </w:r>
      <w:r>
        <w:rPr>
          <w:noProof/>
        </w:rPr>
        <w:t xml:space="preserve">Judith Bell, </w:t>
      </w:r>
      <w:r w:rsidRPr="00EA16FB">
        <w:rPr>
          <w:i/>
          <w:noProof/>
        </w:rPr>
        <w:t>Doing your research project : a guide for first-time researchers in education and social science</w:t>
      </w:r>
      <w:r>
        <w:rPr>
          <w:noProof/>
        </w:rPr>
        <w:t>, 2nd ed. (Buckingham: Open University Press, 1993).</w:t>
      </w:r>
      <w:r>
        <w:fldChar w:fldCharType="end"/>
      </w:r>
      <w:r>
        <w:t xml:space="preserve"> </w:t>
      </w:r>
      <w:r w:rsidR="008135E5">
        <w:t>p</w:t>
      </w:r>
      <w:r>
        <w:t>.5.</w:t>
      </w:r>
    </w:p>
  </w:footnote>
  <w:footnote w:id="5">
    <w:p w14:paraId="3106C584" w14:textId="2FD108BE" w:rsidR="00A816AF" w:rsidRPr="00A816AF" w:rsidRDefault="00A816AF">
      <w:pPr>
        <w:pStyle w:val="FootnoteText"/>
        <w:rPr>
          <w:lang w:val="en-GB"/>
        </w:rPr>
      </w:pPr>
      <w:r>
        <w:rPr>
          <w:rStyle w:val="FootnoteReference"/>
        </w:rPr>
        <w:footnoteRef/>
      </w:r>
      <w:r>
        <w:t xml:space="preserve"> </w:t>
      </w:r>
      <w:r w:rsidR="000C6018">
        <w:fldChar w:fldCharType="begin"/>
      </w:r>
      <w:r w:rsidR="00DB0652">
        <w:instrText xml:space="preserve"> ADDIN EN.CITE &lt;EndNote&gt;&lt;Cite&gt;&lt;Author&gt;Bryman&lt;/Author&gt;&lt;Year&gt;1992&lt;/Year&gt;&lt;RecNum&gt;179&lt;/RecNum&gt;&lt;DisplayText&gt;Alan Bryman, &lt;style face="italic"&gt;Quantity and quality in social research&lt;/style&gt;, Contemporary social research series, (London: Routledge, 1992).&lt;/DisplayText&gt;&lt;record&gt;&lt;rec-number&gt;179&lt;/rec-number&gt;&lt;foreign-keys&gt;&lt;key app="EN" db-id="wpdwtde5sx2ssoev59spxrs909rs0ep5rsdt" timestamp="1617179021" guid="0612fc20-2c6a-4614-a568-7069ba9a72c1"&gt;179&lt;/key&gt;&lt;/foreign-keys&gt;&lt;ref-type name="Book"&gt;6&lt;/ref-type&gt;&lt;contributors&gt;&lt;authors&gt;&lt;author&gt;Bryman, Alan&lt;/author&gt;&lt;/authors&gt;&lt;/contributors&gt;&lt;titles&gt;&lt;title&gt;Quantity and quality in social research&lt;/title&gt;&lt;secondary-title&gt;Contemporary social research series&lt;/secondary-title&gt;&lt;/titles&gt;&lt;pages&gt;viii, 198 p.&lt;/pages&gt;&lt;number&gt;18&lt;/number&gt;&lt;keywords&gt;&lt;keyword&gt;Social sciences Methodology.&lt;/keyword&gt;&lt;keyword&gt;Social sciences Research.&lt;/keyword&gt;&lt;keyword&gt;Research.&lt;/keyword&gt;&lt;keyword&gt;Sociology.&lt;/keyword&gt;&lt;keyword&gt;Research management.&lt;/keyword&gt;&lt;keyword&gt;Data collection.&lt;/keyword&gt;&lt;/keywords&gt;&lt;dates&gt;&lt;year&gt;1992&lt;/year&gt;&lt;/dates&gt;&lt;pub-location&gt;London&lt;/pub-location&gt;&lt;publisher&gt;Routledge&lt;/publisher&gt;&lt;isbn&gt;0415078989&lt;/isbn&gt;&lt;accession-num&gt;012059353&lt;/accession-num&gt;&lt;call-num&gt;SBSBL H62 BRY 1992&amp;#xD;CEDBL 300.72 BRY&amp;#xD;CMSNU 300.72 BRY&amp;#xD;NUFCL H 62.B&amp;#xD;SSLBL H62.BRY&amp;#xD;SSLBL H62.BRY852 Continuing Education Library 300.72 BRY&amp;#xD;Mission Studies Library 300.72 BRY&amp;#xD;Nuffield College Library H 62.B&amp;#xD;Sainsbury Library H62 BRY 1992&amp;#xD;Social Science Library H62.BRY&lt;/call-num&gt;&lt;urls&gt;&lt;/urls&gt;&lt;/record&gt;&lt;/Cite&gt;&lt;/EndNote&gt;</w:instrText>
      </w:r>
      <w:r w:rsidR="000C6018">
        <w:fldChar w:fldCharType="separate"/>
      </w:r>
      <w:r w:rsidR="000C6018">
        <w:rPr>
          <w:noProof/>
        </w:rPr>
        <w:t xml:space="preserve">Alan Bryman, </w:t>
      </w:r>
      <w:r w:rsidR="000C6018" w:rsidRPr="000C6018">
        <w:rPr>
          <w:i/>
          <w:noProof/>
        </w:rPr>
        <w:t>Quantity and quality in social research</w:t>
      </w:r>
      <w:r w:rsidR="000C6018">
        <w:rPr>
          <w:noProof/>
        </w:rPr>
        <w:t>, Contemporary social research series, (London: Routledge, 1992).</w:t>
      </w:r>
      <w:r w:rsidR="000C6018">
        <w:fldChar w:fldCharType="end"/>
      </w:r>
      <w:r w:rsidR="000C6018">
        <w:t xml:space="preserve"> </w:t>
      </w:r>
      <w:r w:rsidR="008135E5">
        <w:t>p</w:t>
      </w:r>
      <w:r w:rsidR="000C6018">
        <w:t>.12.</w:t>
      </w:r>
    </w:p>
  </w:footnote>
  <w:footnote w:id="6">
    <w:p w14:paraId="5E417686" w14:textId="697F9AB2" w:rsidR="00E258E6" w:rsidRPr="007E411D" w:rsidRDefault="00E258E6" w:rsidP="00E258E6">
      <w:pPr>
        <w:pStyle w:val="FootnoteText"/>
        <w:rPr>
          <w:lang w:val="en-GB"/>
        </w:rPr>
      </w:pPr>
      <w:r>
        <w:rPr>
          <w:rStyle w:val="FootnoteReference"/>
        </w:rPr>
        <w:footnoteRef/>
      </w:r>
      <w:r>
        <w:t xml:space="preserve"> </w:t>
      </w:r>
      <w:r>
        <w:rPr>
          <w:lang w:val="en-GB"/>
        </w:rPr>
        <w:t xml:space="preserve"> </w:t>
      </w:r>
      <w:r w:rsidR="00081172">
        <w:rPr>
          <w:lang w:val="en-GB"/>
        </w:rPr>
        <w:fldChar w:fldCharType="begin"/>
      </w:r>
      <w:r w:rsidR="00DB0652">
        <w:rPr>
          <w:lang w:val="en-GB"/>
        </w:rPr>
        <w:instrText xml:space="preserve"> ADDIN EN.CITE &lt;EndNote&gt;&lt;Cite&gt;&lt;Author&gt;Hennink&lt;/Author&gt;&lt;Year&gt;2020&lt;/Year&gt;&lt;RecNum&gt;156&lt;/RecNum&gt;&lt;DisplayText&gt;Monique M. Hennink, Hutter, Inge, Bailey, Ajay, &lt;style face="italic"&gt;Qualitative research methods&lt;/style&gt;, Second edition. ed. (Sage, 2020).&lt;/DisplayText&gt;&lt;record&gt;&lt;rec-number&gt;156&lt;/rec-number&gt;&lt;foreign-keys&gt;&lt;key app="EN" db-id="wpdwtde5sx2ssoev59spxrs909rs0ep5rsdt" timestamp="1613575299" guid="e879eed8-4a2b-4b01-a96d-1d39470cb434"&gt;156&lt;/key&gt;&lt;/foreign-keys&gt;&lt;ref-type name="Book"&gt;6&lt;/ref-type&gt;&lt;contributors&gt;&lt;authors&gt;&lt;author&gt;Hennink, Monique M., Hutter, Inge, 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research.&lt;/keyword&gt;&lt;/keywords&gt;&lt;dates&gt;&lt;year&gt;2020&lt;/year&gt;&lt;/dates&gt;&lt;publisher&gt;Sage&lt;/publisher&gt;&lt;isbn&gt;9781473944244 (ePub ebook) : ¹25.99&amp;#xD;9781473903906 (hbk.) : ¹90.00&amp;#xD;9781473903913 (pbk.) : ¹31.99&lt;/isbn&gt;&lt;call-num&gt;300.72 23&amp;#xD;British Library HMNTS DRT ELD.DS.480879&lt;/call-num&gt;&lt;urls&gt;&lt;/urls&gt;&lt;/record&gt;&lt;/Cite&gt;&lt;/EndNote&gt;</w:instrText>
      </w:r>
      <w:r w:rsidR="00081172">
        <w:rPr>
          <w:lang w:val="en-GB"/>
        </w:rPr>
        <w:fldChar w:fldCharType="separate"/>
      </w:r>
      <w:r w:rsidR="00081172">
        <w:rPr>
          <w:noProof/>
          <w:lang w:val="en-GB"/>
        </w:rPr>
        <w:t xml:space="preserve">Monique M. Hennink, Hutter, Inge, Bailey, Ajay, </w:t>
      </w:r>
      <w:r w:rsidR="00081172" w:rsidRPr="00081172">
        <w:rPr>
          <w:i/>
          <w:noProof/>
          <w:lang w:val="en-GB"/>
        </w:rPr>
        <w:t>Qualitative research methods</w:t>
      </w:r>
      <w:r w:rsidR="00081172">
        <w:rPr>
          <w:noProof/>
          <w:lang w:val="en-GB"/>
        </w:rPr>
        <w:t>, Second edition. ed. (Sage, 2020).</w:t>
      </w:r>
      <w:r w:rsidR="00081172">
        <w:rPr>
          <w:lang w:val="en-GB"/>
        </w:rPr>
        <w:fldChar w:fldCharType="end"/>
      </w:r>
      <w:r>
        <w:t xml:space="preserve"> p.11.</w:t>
      </w:r>
    </w:p>
  </w:footnote>
  <w:footnote w:id="7">
    <w:p w14:paraId="27E036F1" w14:textId="34DB9F53" w:rsidR="00081172" w:rsidRPr="00081172" w:rsidRDefault="00081172">
      <w:pPr>
        <w:pStyle w:val="FootnoteText"/>
        <w:rPr>
          <w:lang w:val="en-GB"/>
        </w:rPr>
      </w:pPr>
      <w:r>
        <w:rPr>
          <w:rStyle w:val="FootnoteReference"/>
        </w:rPr>
        <w:footnoteRef/>
      </w:r>
      <w:r>
        <w:t xml:space="preserve"> </w:t>
      </w:r>
      <w:r>
        <w:fldChar w:fldCharType="begin"/>
      </w:r>
      <w:r w:rsidR="00DB0652">
        <w:instrText xml:space="preserve"> ADDIN EN.CITE &lt;EndNote&gt;&lt;Cite&gt;&lt;Author&gt;Hennink&lt;/Author&gt;&lt;Year&gt;2020&lt;/Year&gt;&lt;RecNum&gt;156&lt;/RecNum&gt;&lt;DisplayText&gt;Hennink, &lt;style face="italic"&gt;Qualitative research methods&lt;/style&gt;.&lt;/DisplayText&gt;&lt;record&gt;&lt;rec-number&gt;156&lt;/rec-number&gt;&lt;foreign-keys&gt;&lt;key app="EN" db-id="wpdwtde5sx2ssoev59spxrs909rs0ep5rsdt" timestamp="1613575299" guid="e879eed8-4a2b-4b01-a96d-1d39470cb434"&gt;156&lt;/key&gt;&lt;/foreign-keys&gt;&lt;ref-type name="Book"&gt;6&lt;/ref-type&gt;&lt;contributors&gt;&lt;authors&gt;&lt;author&gt;Hennink, Monique M., Hutter, Inge, 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research.&lt;/keyword&gt;&lt;/keywords&gt;&lt;dates&gt;&lt;year&gt;2020&lt;/year&gt;&lt;/dates&gt;&lt;publisher&gt;Sage&lt;/publisher&gt;&lt;isbn&gt;9781473944244 (ePub ebook) : ¹25.99&amp;#xD;9781473903906 (hbk.) : ¹90.00&amp;#xD;9781473903913 (pbk.) : ¹31.99&lt;/isbn&gt;&lt;call-num&gt;300.72 23&amp;#xD;British Library HMNTS DRT ELD.DS.480879&lt;/call-num&gt;&lt;urls&gt;&lt;/urls&gt;&lt;/record&gt;&lt;/Cite&gt;&lt;/EndNote&gt;</w:instrText>
      </w:r>
      <w:r>
        <w:fldChar w:fldCharType="separate"/>
      </w:r>
      <w:r>
        <w:rPr>
          <w:noProof/>
        </w:rPr>
        <w:t xml:space="preserve">Hennink, </w:t>
      </w:r>
      <w:r w:rsidRPr="00081172">
        <w:rPr>
          <w:i/>
          <w:noProof/>
        </w:rPr>
        <w:t>Qualitative research methods</w:t>
      </w:r>
      <w:r>
        <w:rPr>
          <w:noProof/>
        </w:rPr>
        <w:t>.</w:t>
      </w:r>
      <w:r>
        <w:fldChar w:fldCharType="end"/>
      </w:r>
      <w:r>
        <w:t xml:space="preserve"> p.17.</w:t>
      </w:r>
      <w:r w:rsidR="008135E5">
        <w:t xml:space="preserve"> </w:t>
      </w:r>
      <w:r w:rsidR="00854673">
        <w:fldChar w:fldCharType="begin"/>
      </w:r>
      <w:r w:rsidR="00DB0652">
        <w:instrText xml:space="preserve"> ADDIN EN.CITE &lt;EndNote&gt;&lt;Cite&gt;&lt;Author&gt;Bennett&lt;/Author&gt;&lt;Year&gt;1995&lt;/Year&gt;&lt;RecNum&gt;157&lt;/RecNum&gt;&lt;DisplayText&gt;Bennett, &amp;quot;“If I Knew You Were Coming, I’d Have Baked a Cake” The Folklore of Foreknowledge in a Neighborhood Group.&amp;quot;&lt;/DisplayText&gt;&lt;record&gt;&lt;rec-number&gt;157&lt;/rec-number&gt;&lt;foreign-keys&gt;&lt;key app="EN" db-id="wpdwtde5sx2ssoev59spxrs909rs0ep5rsdt" timestamp="1613575299" guid="18b74148-ce8b-4e41-a1be-5cd9b8490f33"&gt;157&lt;/key&gt;&lt;/foreign-keys&gt;&lt;ref-type name="Book Section"&gt;5&lt;/ref-type&gt;&lt;contributors&gt;&lt;authors&gt;&lt;author&gt;Bennett, Gillian&lt;/author&gt;&lt;/authors&gt;&lt;secondary-authors&gt;&lt;author&gt;Walker, Barbara&lt;/author&gt;&lt;/secondary-authors&gt;&lt;/contributors&gt;&lt;titles&gt;&lt;title&gt;“If I Knew You Were Coming, I’d Have Baked a Cake” The Folklore of Foreknowledge in a Neighborhood Group&lt;/title&gt;&lt;secondary-title&gt;Out Of The Ordinary&lt;/secondary-title&gt;&lt;tertiary-title&gt;Folklore and the Supernatural&lt;/tertiary-title&gt;&lt;/titles&gt;&lt;pages&gt;122-142&lt;/pages&gt;&lt;dates&gt;&lt;year&gt;1995&lt;/year&gt;&lt;/dates&gt;&lt;publisher&gt;University Press of Colorado&lt;/publisher&gt;&lt;isbn&gt;9780874211917&lt;/isbn&gt;&lt;urls&gt;&lt;related-urls&gt;&lt;url&gt;http://www.jstor.org.ezproxy.uwtsd.ac.uk/stable/j.ctt46nwn8.13&lt;/url&gt;&lt;/related-urls&gt;&lt;/urls&gt;&lt;remote-database-name&gt;JSTOR&lt;/remote-database-name&gt;&lt;access-date&gt;2021/02/17/&lt;/access-date&gt;&lt;/record&gt;&lt;/Cite&gt;&lt;/EndNote&gt;</w:instrText>
      </w:r>
      <w:r w:rsidR="00854673">
        <w:fldChar w:fldCharType="separate"/>
      </w:r>
      <w:r w:rsidR="00854673">
        <w:rPr>
          <w:noProof/>
        </w:rPr>
        <w:t>Bennett, "“If I Knew You Were Coming, I’d Have Baked a Cake” The Folklore of Foreknowledge in a Neighborhood Group."</w:t>
      </w:r>
      <w:r w:rsidR="00854673">
        <w:fldChar w:fldCharType="end"/>
      </w:r>
      <w:r w:rsidR="00854673">
        <w:t xml:space="preserve"> </w:t>
      </w:r>
      <w:r w:rsidR="008135E5">
        <w:t>p</w:t>
      </w:r>
      <w:r w:rsidR="00854673">
        <w:t>.122.</w:t>
      </w:r>
    </w:p>
  </w:footnote>
  <w:footnote w:id="8">
    <w:p w14:paraId="39285967" w14:textId="3ECE774E" w:rsidR="00E258E6" w:rsidRPr="001A0EC3" w:rsidRDefault="00E258E6" w:rsidP="00E258E6">
      <w:pPr>
        <w:pStyle w:val="FootnoteText"/>
        <w:rPr>
          <w:lang w:val="en-GB"/>
        </w:rPr>
      </w:pPr>
      <w:r>
        <w:rPr>
          <w:rStyle w:val="FootnoteReference"/>
        </w:rPr>
        <w:footnoteRef/>
      </w:r>
      <w:r>
        <w:t xml:space="preserve"> </w:t>
      </w:r>
      <w:r>
        <w:fldChar w:fldCharType="begin"/>
      </w:r>
      <w:r w:rsidR="00DB0652">
        <w:instrText xml:space="preserve"> ADDIN EN.CITE &lt;EndNote&gt;&lt;Cite&gt;&lt;Author&gt;Bennett&lt;/Author&gt;&lt;Year&gt;1995&lt;/Year&gt;&lt;RecNum&gt;157&lt;/RecNum&gt;&lt;DisplayText&gt;Bennett, &amp;quot;“If I Knew You Were Coming, I’d Have Baked a Cake” The Folklore of Foreknowledge in a Neighborhood Group.&amp;quot;&lt;/DisplayText&gt;&lt;record&gt;&lt;rec-number&gt;157&lt;/rec-number&gt;&lt;foreign-keys&gt;&lt;key app="EN" db-id="wpdwtde5sx2ssoev59spxrs909rs0ep5rsdt" timestamp="1613575299" guid="18b74148-ce8b-4e41-a1be-5cd9b8490f33"&gt;157&lt;/key&gt;&lt;/foreign-keys&gt;&lt;ref-type name="Book Section"&gt;5&lt;/ref-type&gt;&lt;contributors&gt;&lt;authors&gt;&lt;author&gt;Bennett, Gillian&lt;/author&gt;&lt;/authors&gt;&lt;secondary-authors&gt;&lt;author&gt;Walker, Barbara&lt;/author&gt;&lt;/secondary-authors&gt;&lt;/contributors&gt;&lt;titles&gt;&lt;title&gt;“If I Knew You Were Coming, I’d Have Baked a Cake” The Folklore of Foreknowledge in a Neighborhood Group&lt;/title&gt;&lt;secondary-title&gt;Out Of The Ordinary&lt;/secondary-title&gt;&lt;tertiary-title&gt;Folklore and the Supernatural&lt;/tertiary-title&gt;&lt;/titles&gt;&lt;pages&gt;122-142&lt;/pages&gt;&lt;dates&gt;&lt;year&gt;1995&lt;/year&gt;&lt;/dates&gt;&lt;publisher&gt;University Press of Colorado&lt;/publisher&gt;&lt;isbn&gt;9780874211917&lt;/isbn&gt;&lt;urls&gt;&lt;related-urls&gt;&lt;url&gt;http://www.jstor.org.ezproxy.uwtsd.ac.uk/stable/j.ctt46nwn8.13&lt;/url&gt;&lt;/related-urls&gt;&lt;/urls&gt;&lt;remote-database-name&gt;JSTOR&lt;/remote-database-name&gt;&lt;access-date&gt;2021/02/17/&lt;/access-date&gt;&lt;/record&gt;&lt;/Cite&gt;&lt;/EndNote&gt;</w:instrText>
      </w:r>
      <w:r>
        <w:fldChar w:fldCharType="separate"/>
      </w:r>
      <w:r w:rsidR="00E073D9">
        <w:rPr>
          <w:noProof/>
        </w:rPr>
        <w:t>Bennett, "“If I Knew You Were Coming, I’d Have Baked a Cake” The Folklore of Foreknowledge in a Neighborhood Group."</w:t>
      </w:r>
      <w:r>
        <w:fldChar w:fldCharType="end"/>
      </w:r>
      <w:r>
        <w:t xml:space="preserve"> p.126.</w:t>
      </w:r>
    </w:p>
  </w:footnote>
  <w:footnote w:id="9">
    <w:p w14:paraId="449F2C18" w14:textId="700DFFB5" w:rsidR="00370FA8" w:rsidRPr="00370FA8" w:rsidRDefault="00370FA8">
      <w:pPr>
        <w:pStyle w:val="FootnoteText"/>
        <w:rPr>
          <w:lang w:val="en-GB"/>
        </w:rPr>
      </w:pPr>
      <w:r>
        <w:rPr>
          <w:rStyle w:val="FootnoteReference"/>
        </w:rPr>
        <w:footnoteRef/>
      </w:r>
      <w:r>
        <w:t xml:space="preserve"> </w:t>
      </w:r>
      <w:r>
        <w:fldChar w:fldCharType="begin"/>
      </w:r>
      <w:r w:rsidR="00DB0652">
        <w:instrText xml:space="preserve"> ADDIN EN.CITE &lt;EndNote&gt;&lt;Cite&gt;&lt;Author&gt;Bryman&lt;/Author&gt;&lt;Year&gt;1992&lt;/Year&gt;&lt;RecNum&gt;179&lt;/RecNum&gt;&lt;DisplayText&gt;Bryman, &lt;style face="italic"&gt;Quantity and quality in social research&lt;/style&gt;.&lt;/DisplayText&gt;&lt;record&gt;&lt;rec-number&gt;179&lt;/rec-number&gt;&lt;foreign-keys&gt;&lt;key app="EN" db-id="wpdwtde5sx2ssoev59spxrs909rs0ep5rsdt" timestamp="1617179021" guid="0612fc20-2c6a-4614-a568-7069ba9a72c1"&gt;179&lt;/key&gt;&lt;/foreign-keys&gt;&lt;ref-type name="Book"&gt;6&lt;/ref-type&gt;&lt;contributors&gt;&lt;authors&gt;&lt;author&gt;Bryman, Alan&lt;/author&gt;&lt;/authors&gt;&lt;/contributors&gt;&lt;titles&gt;&lt;title&gt;Quantity and quality in social research&lt;/title&gt;&lt;secondary-title&gt;Contemporary social research series&lt;/secondary-title&gt;&lt;/titles&gt;&lt;pages&gt;viii, 198 p.&lt;/pages&gt;&lt;number&gt;18&lt;/number&gt;&lt;keywords&gt;&lt;keyword&gt;Social sciences Methodology.&lt;/keyword&gt;&lt;keyword&gt;Social sciences Research.&lt;/keyword&gt;&lt;keyword&gt;Research.&lt;/keyword&gt;&lt;keyword&gt;Sociology.&lt;/keyword&gt;&lt;keyword&gt;Research management.&lt;/keyword&gt;&lt;keyword&gt;Data collection.&lt;/keyword&gt;&lt;/keywords&gt;&lt;dates&gt;&lt;year&gt;1992&lt;/year&gt;&lt;/dates&gt;&lt;pub-location&gt;London&lt;/pub-location&gt;&lt;publisher&gt;Routledge&lt;/publisher&gt;&lt;isbn&gt;0415078989&lt;/isbn&gt;&lt;accession-num&gt;012059353&lt;/accession-num&gt;&lt;call-num&gt;SBSBL H62 BRY 1992&amp;#xD;CEDBL 300.72 BRY&amp;#xD;CMSNU 300.72 BRY&amp;#xD;NUFCL H 62.B&amp;#xD;SSLBL H62.BRY&amp;#xD;SSLBL H62.BRY852 Continuing Education Library 300.72 BRY&amp;#xD;Mission Studies Library 300.72 BRY&amp;#xD;Nuffield College Library H 62.B&amp;#xD;Sainsbury Library H62 BRY 1992&amp;#xD;Social Science Library H62.BRY&lt;/call-num&gt;&lt;urls&gt;&lt;/urls&gt;&lt;/record&gt;&lt;/Cite&gt;&lt;/EndNote&gt;</w:instrText>
      </w:r>
      <w:r>
        <w:fldChar w:fldCharType="separate"/>
      </w:r>
      <w:r>
        <w:rPr>
          <w:noProof/>
        </w:rPr>
        <w:t xml:space="preserve">Bryman, </w:t>
      </w:r>
      <w:r w:rsidRPr="00370FA8">
        <w:rPr>
          <w:i/>
          <w:noProof/>
        </w:rPr>
        <w:t>Quantity and quality in social research</w:t>
      </w:r>
      <w:r>
        <w:rPr>
          <w:noProof/>
        </w:rPr>
        <w:t>.</w:t>
      </w:r>
      <w:r>
        <w:fldChar w:fldCharType="end"/>
      </w:r>
      <w:r>
        <w:t xml:space="preserve"> </w:t>
      </w:r>
      <w:r w:rsidR="008135E5">
        <w:t>p</w:t>
      </w:r>
      <w:r>
        <w:t>.126.</w:t>
      </w:r>
    </w:p>
  </w:footnote>
  <w:footnote w:id="10">
    <w:p w14:paraId="70B76782" w14:textId="1BDC0DEF" w:rsidR="00DB0652" w:rsidRPr="00DB0652" w:rsidRDefault="00DB0652">
      <w:pPr>
        <w:pStyle w:val="FootnoteText"/>
        <w:rPr>
          <w:lang w:val="en-GB"/>
        </w:rPr>
      </w:pPr>
      <w:r>
        <w:rPr>
          <w:rStyle w:val="FootnoteReference"/>
        </w:rPr>
        <w:footnoteRef/>
      </w:r>
      <w:r>
        <w:t xml:space="preserve"> </w:t>
      </w:r>
      <w:r>
        <w:fldChar w:fldCharType="begin"/>
      </w:r>
      <w:r>
        <w:instrText xml:space="preserve"> ADDIN EN.CITE &lt;EndNote&gt;&lt;Cite&gt;&lt;Author&gt;McCutcheon&lt;/Author&gt;&lt;Year&gt;2005&lt;/Year&gt;&lt;RecNum&gt;189&lt;/RecNum&gt;&lt;DisplayText&gt;Russell T. McCutcheon, &lt;style face="italic"&gt;The insider/outsider problem in the study of religion : a reader&lt;/style&gt; (London ; New York: Continuum, 2005).&lt;/DisplayText&gt;&lt;record&gt;&lt;rec-number&gt;189&lt;/rec-number&gt;&lt;foreign-keys&gt;&lt;key app="EN" db-id="wpdwtde5sx2ssoev59spxrs909rs0ep5rsdt" timestamp="1617179916" guid="323e7dbd-bbe4-4c80-a8d7-049d20def392"&gt;189&lt;/key&gt;&lt;/foreign-keys&gt;&lt;ref-type name="Book"&gt;6&lt;/ref-type&gt;&lt;contributors&gt;&lt;authors&gt;&lt;author&gt;McCutcheon, Russell T.&lt;/author&gt;&lt;/authors&gt;&lt;/contributors&gt;&lt;titles&gt;&lt;title&gt;The insider/outsider problem in the study of religion : a reader&lt;/title&gt;&lt;/titles&gt;&lt;keywords&gt;&lt;keyword&gt;Religion Study and teaching.&lt;/keyword&gt;&lt;keyword&gt;Electronic books.&lt;/keyword&gt;&lt;/keywords&gt;&lt;dates&gt;&lt;year&gt;2005&lt;/year&gt;&lt;/dates&gt;&lt;pub-location&gt;London ; New York&lt;/pub-location&gt;&lt;publisher&gt;Continuum&lt;/publisher&gt;&lt;isbn&gt;9781441115782 (electronic bk.)&amp;#xD;1441115781 (electronic bk.)&lt;/isbn&gt;&lt;call-num&gt;200.71 22&amp;#xD;British Library HMNTS DRT ELD.DS.419246&lt;/call-num&gt;&lt;urls&gt;&lt;/urls&gt;&lt;/record&gt;&lt;/Cite&gt;&lt;/EndNote&gt;</w:instrText>
      </w:r>
      <w:r>
        <w:fldChar w:fldCharType="separate"/>
      </w:r>
      <w:r>
        <w:rPr>
          <w:noProof/>
        </w:rPr>
        <w:t xml:space="preserve">Russell T. McCutcheon, </w:t>
      </w:r>
      <w:r w:rsidRPr="00DB0652">
        <w:rPr>
          <w:i/>
          <w:noProof/>
        </w:rPr>
        <w:t>The insider/outsider problem in the study of religion : a reader</w:t>
      </w:r>
      <w:r>
        <w:rPr>
          <w:noProof/>
        </w:rPr>
        <w:t xml:space="preserve"> (London ; New York: Continuum, 2005).</w:t>
      </w:r>
      <w:r>
        <w:fldChar w:fldCharType="end"/>
      </w:r>
      <w:r>
        <w:t xml:space="preserve"> P.vii.</w:t>
      </w:r>
    </w:p>
  </w:footnote>
  <w:footnote w:id="11">
    <w:p w14:paraId="39451F14" w14:textId="66CF1585" w:rsidR="00A03316" w:rsidRPr="00A03316" w:rsidRDefault="00A03316">
      <w:pPr>
        <w:pStyle w:val="FootnoteText"/>
        <w:rPr>
          <w:lang w:val="en-GB"/>
        </w:rPr>
      </w:pPr>
      <w:r>
        <w:rPr>
          <w:rStyle w:val="FootnoteReference"/>
        </w:rPr>
        <w:footnoteRef/>
      </w:r>
      <w:r>
        <w:t xml:space="preserve"> </w:t>
      </w:r>
      <w:r>
        <w:fldChar w:fldCharType="begin"/>
      </w:r>
      <w:r w:rsidR="00DB0652">
        <w:instrText xml:space="preserve"> ADDIN EN.CITE &lt;EndNote&gt;&lt;Cite&gt;&lt;Author&gt;Pike&lt;/Author&gt;&lt;Year&gt;1967&lt;/Year&gt;&lt;RecNum&gt;191&lt;/RecNum&gt;&lt;DisplayText&gt;Kenneth L. Pike, &lt;style face="italic"&gt;Language in relation to a unified theory of the structure of human behavior ... Second, revised edition&lt;/style&gt; (The Hague ; Paris: Mouton &amp;amp; Co, 1967).&lt;/DisplayText&gt;&lt;record&gt;&lt;rec-number&gt;191&lt;/rec-number&gt;&lt;foreign-keys&gt;&lt;key app="EN" db-id="wpdwtde5sx2ssoev59spxrs909rs0ep5rsdt" timestamp="1617180098" guid="f40d10b3-3c4a-4d19-8c33-e590a99e5b57"&gt;191&lt;/key&gt;&lt;/foreign-keys&gt;&lt;ref-type name="Book"&gt;6&lt;/ref-type&gt;&lt;contributors&gt;&lt;authors&gt;&lt;author&gt;Pike, Kenneth L.&lt;/author&gt;&lt;/authors&gt;&lt;/contributors&gt;&lt;titles&gt;&lt;title&gt;Language in relation to a unified theory of the structure of human behavior ... Second, revised edition&lt;/title&gt;&lt;/titles&gt;&lt;dates&gt;&lt;year&gt;1967&lt;/year&gt;&lt;/dates&gt;&lt;pub-location&gt;The Hague ; Paris&lt;/pub-location&gt;&lt;publisher&gt;Mouton &amp;amp; Co&lt;/publisher&gt;&lt;accession-num&gt;2590380062&lt;/accession-num&gt;&lt;call-num&gt;British Library HMNTS X.0981/78.b.(24.)&amp;#xD;British Library DSC 4647.300000 vol 24&lt;/call-num&gt;&lt;urls&gt;&lt;/urls&gt;&lt;/record&gt;&lt;/Cite&gt;&lt;/EndNote&gt;</w:instrText>
      </w:r>
      <w:r>
        <w:fldChar w:fldCharType="separate"/>
      </w:r>
      <w:r>
        <w:rPr>
          <w:noProof/>
        </w:rPr>
        <w:t xml:space="preserve">Kenneth L. Pike, </w:t>
      </w:r>
      <w:r w:rsidRPr="00A03316">
        <w:rPr>
          <w:i/>
          <w:noProof/>
        </w:rPr>
        <w:t>Language in relation to a unified theory of the structure of human behavior ... Second, revised edition</w:t>
      </w:r>
      <w:r>
        <w:rPr>
          <w:noProof/>
        </w:rPr>
        <w:t xml:space="preserve"> (The Hague ; Paris: Mouton &amp; Co, 1967).</w:t>
      </w:r>
      <w:r>
        <w:fldChar w:fldCharType="end"/>
      </w:r>
    </w:p>
  </w:footnote>
  <w:footnote w:id="12">
    <w:p w14:paraId="665A29B1" w14:textId="0BC94F06" w:rsidR="006D5D8B" w:rsidRPr="006D5D8B" w:rsidRDefault="006D5D8B">
      <w:pPr>
        <w:pStyle w:val="FootnoteText"/>
        <w:rPr>
          <w:lang w:val="en-GB"/>
        </w:rPr>
      </w:pPr>
      <w:r>
        <w:rPr>
          <w:rStyle w:val="FootnoteReference"/>
        </w:rPr>
        <w:footnoteRef/>
      </w:r>
      <w:r>
        <w:t xml:space="preserve"> </w:t>
      </w:r>
      <w:r>
        <w:fldChar w:fldCharType="begin"/>
      </w:r>
      <w:r w:rsidR="00DB0652">
        <w:instrText xml:space="preserve"> ADDIN EN.CITE &lt;EndNote&gt;&lt;Cite&gt;&lt;Author&gt;Hennink&lt;/Author&gt;&lt;Year&gt;2020&lt;/Year&gt;&lt;RecNum&gt;156&lt;/RecNum&gt;&lt;DisplayText&gt;Hennink, &lt;style face="italic"&gt;Qualitative research methods&lt;/style&gt;.&lt;/DisplayText&gt;&lt;record&gt;&lt;rec-number&gt;156&lt;/rec-number&gt;&lt;foreign-keys&gt;&lt;key app="EN" db-id="wpdwtde5sx2ssoev59spxrs909rs0ep5rsdt" timestamp="1613575299" guid="e879eed8-4a2b-4b01-a96d-1d39470cb434"&gt;156&lt;/key&gt;&lt;/foreign-keys&gt;&lt;ref-type name="Book"&gt;6&lt;/ref-type&gt;&lt;contributors&gt;&lt;authors&gt;&lt;author&gt;Hennink, Monique M., Hutter, Inge, 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research.&lt;/keyword&gt;&lt;/keywords&gt;&lt;dates&gt;&lt;year&gt;2020&lt;/year&gt;&lt;/dates&gt;&lt;publisher&gt;Sage&lt;/publisher&gt;&lt;isbn&gt;9781473944244 (ePub ebook) : ¹25.99&amp;#xD;9781473903906 (hbk.) : ¹90.00&amp;#xD;9781473903913 (pbk.) : ¹31.99&lt;/isbn&gt;&lt;call-num&gt;300.72 23&amp;#xD;British Library HMNTS DRT ELD.DS.480879&lt;/call-num&gt;&lt;urls&gt;&lt;/urls&gt;&lt;/record&gt;&lt;/Cite&gt;&lt;/EndNote&gt;</w:instrText>
      </w:r>
      <w:r>
        <w:fldChar w:fldCharType="separate"/>
      </w:r>
      <w:r>
        <w:rPr>
          <w:noProof/>
        </w:rPr>
        <w:t xml:space="preserve">Hennink, </w:t>
      </w:r>
      <w:r w:rsidRPr="006D5D8B">
        <w:rPr>
          <w:i/>
          <w:noProof/>
        </w:rPr>
        <w:t>Qualitative research methods</w:t>
      </w:r>
      <w:r>
        <w:rPr>
          <w:noProof/>
        </w:rPr>
        <w:t>.</w:t>
      </w:r>
      <w:r>
        <w:fldChar w:fldCharType="end"/>
      </w:r>
      <w:r>
        <w:t xml:space="preserve"> p.18.</w:t>
      </w:r>
    </w:p>
  </w:footnote>
  <w:footnote w:id="13">
    <w:p w14:paraId="5C89EF3F" w14:textId="0A17F9DA" w:rsidR="007075AF" w:rsidRPr="007075AF" w:rsidRDefault="007075AF">
      <w:pPr>
        <w:pStyle w:val="FootnoteText"/>
        <w:rPr>
          <w:lang w:val="en-GB"/>
        </w:rPr>
      </w:pPr>
      <w:r>
        <w:rPr>
          <w:rStyle w:val="FootnoteReference"/>
        </w:rPr>
        <w:footnoteRef/>
      </w:r>
      <w:r>
        <w:t xml:space="preserve"> </w:t>
      </w:r>
      <w:r>
        <w:fldChar w:fldCharType="begin"/>
      </w:r>
      <w:r w:rsidR="00DB0652">
        <w:instrText xml:space="preserve"> ADDIN EN.CITE &lt;EndNote&gt;&lt;Cite&gt;&lt;Author&gt;Hellawell&lt;/Author&gt;&lt;Year&gt;2006&lt;/Year&gt;&lt;RecNum&gt;176&lt;/RecNum&gt;&lt;DisplayText&gt;David Hellawell, &amp;quot;Inside-out: analysis of the insider-outsider concept as a heuristic device to develop reflexivity in students doing qualitative research,&amp;quot; &lt;style face="italic"&gt;Teaching in higher education&lt;/style&gt; 11, no. 4 (2006).&lt;/DisplayText&gt;&lt;record&gt;&lt;rec-number&gt;176&lt;/rec-number&gt;&lt;foreign-keys&gt;&lt;key app="EN" db-id="wpdwtde5sx2ssoev59spxrs909rs0ep5rsdt" timestamp="1617178830" guid="bf99630d-730b-4fe8-ae59-6bbab4432883"&gt;176&lt;/key&gt;&lt;/foreign-keys&gt;&lt;ref-type name="Journal Article"&gt;17&lt;/ref-type&gt;&lt;contributors&gt;&lt;authors&gt;&lt;author&gt;Hellawell, David&lt;/author&gt;&lt;/authors&gt;&lt;/contributors&gt;&lt;titles&gt;&lt;title&gt;Inside-out: analysis of the insider-outsider concept as a heuristic device to develop reflexivity in students doing qualitative research&lt;/title&gt;&lt;secondary-title&gt;Teaching in higher education&lt;/secondary-title&gt;&lt;/titles&gt;&lt;periodical&gt;&lt;full-title&gt;Teaching in higher education&lt;/full-title&gt;&lt;/periodical&gt;&lt;pages&gt;483-494&lt;/pages&gt;&lt;volume&gt;11&lt;/volume&gt;&lt;number&gt;4&lt;/number&gt;&lt;keywords&gt;&lt;keyword&gt;Insider, Outsider&lt;/keyword&gt;&lt;/keywords&gt;&lt;dates&gt;&lt;year&gt;2006&lt;/year&gt;&lt;/dates&gt;&lt;publisher&gt;Taylor &amp;amp; Francis Group&lt;/publisher&gt;&lt;isbn&gt;1356-2517&lt;/isbn&gt;&lt;urls&gt;&lt;/urls&gt;&lt;/record&gt;&lt;/Cite&gt;&lt;/EndNote&gt;</w:instrText>
      </w:r>
      <w:r>
        <w:fldChar w:fldCharType="separate"/>
      </w:r>
      <w:r>
        <w:rPr>
          <w:noProof/>
        </w:rPr>
        <w:t xml:space="preserve">David Hellawell, "Inside-out: analysis of the insider-outsider concept as a heuristic device to develop reflexivity in students doing qualitative research," </w:t>
      </w:r>
      <w:r w:rsidRPr="007075AF">
        <w:rPr>
          <w:i/>
          <w:noProof/>
        </w:rPr>
        <w:t>Teaching in higher education</w:t>
      </w:r>
      <w:r>
        <w:rPr>
          <w:noProof/>
        </w:rPr>
        <w:t xml:space="preserve"> 11, no. 4 (2006).</w:t>
      </w:r>
      <w:r>
        <w:fldChar w:fldCharType="end"/>
      </w:r>
      <w:r>
        <w:t xml:space="preserve"> p.489.</w:t>
      </w:r>
    </w:p>
  </w:footnote>
  <w:footnote w:id="14">
    <w:p w14:paraId="79967EC4" w14:textId="78DAEF38" w:rsidR="00E25039" w:rsidRPr="00E25039" w:rsidRDefault="00E25039">
      <w:pPr>
        <w:pStyle w:val="FootnoteText"/>
        <w:rPr>
          <w:lang w:val="en-GB"/>
        </w:rPr>
      </w:pPr>
      <w:r>
        <w:rPr>
          <w:rStyle w:val="FootnoteReference"/>
        </w:rPr>
        <w:footnoteRef/>
      </w:r>
      <w:r>
        <w:t xml:space="preserve"> </w:t>
      </w:r>
      <w:r>
        <w:fldChar w:fldCharType="begin"/>
      </w:r>
      <w:r w:rsidR="00DB0652">
        <w:instrText xml:space="preserve"> ADDIN EN.CITE &lt;EndNote&gt;&lt;Cite&gt;&lt;Author&gt;Hennink&lt;/Author&gt;&lt;Year&gt;2020&lt;/Year&gt;&lt;RecNum&gt;156&lt;/RecNum&gt;&lt;DisplayText&gt;Hennink, &lt;style face="italic"&gt;Qualitative research methods&lt;/style&gt;.&lt;/DisplayText&gt;&lt;record&gt;&lt;rec-number&gt;156&lt;/rec-number&gt;&lt;foreign-keys&gt;&lt;key app="EN" db-id="wpdwtde5sx2ssoev59spxrs909rs0ep5rsdt" timestamp="1613575299" guid="e879eed8-4a2b-4b01-a96d-1d39470cb434"&gt;156&lt;/key&gt;&lt;/foreign-keys&gt;&lt;ref-type name="Book"&gt;6&lt;/ref-type&gt;&lt;contributors&gt;&lt;authors&gt;&lt;author&gt;Hennink, Monique M., Hutter, Inge, 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research.&lt;/keyword&gt;&lt;/keywords&gt;&lt;dates&gt;&lt;year&gt;2020&lt;/year&gt;&lt;/dates&gt;&lt;publisher&gt;Sage&lt;/publisher&gt;&lt;isbn&gt;9781473944244 (ePub ebook) : ¹25.99&amp;#xD;9781473903906 (hbk.) : ¹90.00&amp;#xD;9781473903913 (pbk.) : ¹31.99&lt;/isbn&gt;&lt;call-num&gt;300.72 23&amp;#xD;British Library HMNTS DRT ELD.DS.480879&lt;/call-num&gt;&lt;urls&gt;&lt;/urls&gt;&lt;/record&gt;&lt;/Cite&gt;&lt;/EndNote&gt;</w:instrText>
      </w:r>
      <w:r>
        <w:fldChar w:fldCharType="separate"/>
      </w:r>
      <w:r>
        <w:rPr>
          <w:noProof/>
        </w:rPr>
        <w:t xml:space="preserve">Hennink, </w:t>
      </w:r>
      <w:r w:rsidRPr="00E25039">
        <w:rPr>
          <w:i/>
          <w:noProof/>
        </w:rPr>
        <w:t>Qualitative research methods</w:t>
      </w:r>
      <w:r>
        <w:rPr>
          <w:noProof/>
        </w:rPr>
        <w:t>.</w:t>
      </w:r>
      <w:r>
        <w:fldChar w:fldCharType="end"/>
      </w:r>
      <w:r>
        <w:t xml:space="preserve"> p.15</w:t>
      </w:r>
      <w:r w:rsidR="0008577D">
        <w:t>.</w:t>
      </w:r>
    </w:p>
  </w:footnote>
  <w:footnote w:id="15">
    <w:p w14:paraId="6729C5C3" w14:textId="335BC229" w:rsidR="00ED7DDA" w:rsidRPr="005F4D31" w:rsidRDefault="00ED7DDA" w:rsidP="00ED7DDA">
      <w:pPr>
        <w:pStyle w:val="FootnoteText"/>
        <w:rPr>
          <w:lang w:val="en-GB"/>
        </w:rPr>
      </w:pPr>
      <w:r>
        <w:rPr>
          <w:rStyle w:val="FootnoteReference"/>
        </w:rPr>
        <w:footnoteRef/>
      </w:r>
      <w:r>
        <w:t xml:space="preserve"> </w:t>
      </w:r>
      <w:r>
        <w:fldChar w:fldCharType="begin"/>
      </w:r>
      <w:r w:rsidR="00DB0652">
        <w:instrText xml:space="preserve"> ADDIN EN.CITE &lt;EndNote&gt;&lt;Cite&gt;&lt;Author&gt;Hufford&lt;/Author&gt;&lt;Year&gt;1995&lt;/Year&gt;&lt;RecNum&gt;135&lt;/RecNum&gt;&lt;DisplayText&gt;David Hufford, &amp;quot;The Scholarly Voice and the Personal Voice: Reflexivity in Belief Studies,&amp;quot; &lt;style face="italic"&gt;Western Folklore&lt;/style&gt; 54, no. 1 (1995).&lt;/DisplayText&gt;&lt;record&gt;&lt;rec-number&gt;135&lt;/rec-number&gt;&lt;foreign-keys&gt;&lt;key app="EN" db-id="wpdwtde5sx2ssoev59spxrs909rs0ep5rsdt" timestamp="1611864020" guid="fb3e7c2f-d131-4bfd-a849-5a7e307677cd"&gt;135&lt;/key&gt;&lt;/foreign-keys&gt;&lt;ref-type name="Journal Article"&gt;17&lt;/ref-type&gt;&lt;contributors&gt;&lt;authors&gt;&lt;author&gt;Hufford, David&lt;/author&gt;&lt;/authors&gt;&lt;/contributors&gt;&lt;titles&gt;&lt;title&gt;The Scholarly Voice and the Personal Voice: Reflexivity in Belief Studies&lt;/title&gt;&lt;secondary-title&gt;Western Folklore&lt;/secondary-title&gt;&lt;/titles&gt;&lt;periodical&gt;&lt;full-title&gt;Western Folklore&lt;/full-title&gt;&lt;/periodical&gt;&lt;pages&gt;57-76&lt;/pages&gt;&lt;volume&gt;54&lt;/volume&gt;&lt;number&gt;1&lt;/number&gt;&lt;keywords&gt;&lt;keyword&gt;Reflexivity, Scholarship&lt;/keyword&gt;&lt;/keywords&gt;&lt;dates&gt;&lt;year&gt;1995&lt;/year&gt;&lt;/dates&gt;&lt;urls&gt;&lt;/urls&gt;&lt;/record&gt;&lt;/Cite&gt;&lt;/EndNote&gt;</w:instrText>
      </w:r>
      <w:r>
        <w:fldChar w:fldCharType="separate"/>
      </w:r>
      <w:r>
        <w:rPr>
          <w:noProof/>
        </w:rPr>
        <w:t xml:space="preserve">David Hufford, "The Scholarly Voice and the Personal Voice: Reflexivity in Belief Studies," </w:t>
      </w:r>
      <w:r w:rsidRPr="005F4D31">
        <w:rPr>
          <w:i/>
          <w:noProof/>
        </w:rPr>
        <w:t>Western Folklore</w:t>
      </w:r>
      <w:r>
        <w:rPr>
          <w:noProof/>
        </w:rPr>
        <w:t xml:space="preserve"> 54, no. 1 (1995).</w:t>
      </w:r>
      <w:r>
        <w:fldChar w:fldCharType="end"/>
      </w:r>
      <w:r>
        <w:t xml:space="preserve"> </w:t>
      </w:r>
      <w:r w:rsidR="008135E5">
        <w:t>p</w:t>
      </w:r>
      <w:r>
        <w:t>.58.</w:t>
      </w:r>
    </w:p>
  </w:footnote>
  <w:footnote w:id="16">
    <w:p w14:paraId="67C09272" w14:textId="2E4ADA46" w:rsidR="00492ED9" w:rsidRPr="00492ED9" w:rsidRDefault="00492ED9">
      <w:pPr>
        <w:pStyle w:val="FootnoteText"/>
        <w:rPr>
          <w:lang w:val="en-GB"/>
        </w:rPr>
      </w:pPr>
      <w:r>
        <w:rPr>
          <w:rStyle w:val="FootnoteReference"/>
        </w:rPr>
        <w:footnoteRef/>
      </w:r>
      <w:r>
        <w:t xml:space="preserve"> </w:t>
      </w:r>
      <w:r>
        <w:fldChar w:fldCharType="begin"/>
      </w:r>
      <w:r w:rsidR="00DB0652">
        <w:instrText xml:space="preserve"> ADDIN EN.CITE &lt;EndNote&gt;&lt;Cite&gt;&lt;Author&gt;Bell&lt;/Author&gt;&lt;Year&gt;1993&lt;/Year&gt;&lt;RecNum&gt;175&lt;/RecNum&gt;&lt;DisplayText&gt;Bell, &lt;style face="italic"&gt;Doing your research project : a guide for first-time researchers in education and social science&lt;/style&gt;.&lt;/DisplayText&gt;&lt;record&gt;&lt;rec-number&gt;175&lt;/rec-number&gt;&lt;foreign-keys&gt;&lt;key app="EN" db-id="wpdwtde5sx2ssoev59spxrs909rs0ep5rsdt" timestamp="1617178830" guid="c67930f0-819a-4c03-a23e-2db5a8bd8638"&gt;175&lt;/key&gt;&lt;/foreign-keys&gt;&lt;ref-type name="Book"&gt;6&lt;/ref-type&gt;&lt;contributors&gt;&lt;authors&gt;&lt;author&gt;Bell, Judith&lt;/author&gt;&lt;/authors&gt;&lt;/contributors&gt;&lt;titles&gt;&lt;title&gt;Doing your research project : a guide for first-time researchers in education and social science&lt;/title&gt;&lt;/titles&gt;&lt;edition&gt;2nd&lt;/edition&gt;&lt;keywords&gt;&lt;keyword&gt;Education Research.&lt;/keyword&gt;&lt;keyword&gt;Education Research Methodology.&lt;/keyword&gt;&lt;keyword&gt;Social sciences Research.&lt;/keyword&gt;&lt;keyword&gt;Social sciences Research Methodology.&lt;/keyword&gt;&lt;keyword&gt;Independent study.&lt;/keyword&gt;&lt;/keywords&gt;&lt;dates&gt;&lt;year&gt;1993&lt;/year&gt;&lt;/dates&gt;&lt;pub-location&gt;Buckingham&lt;/pub-location&gt;&lt;publisher&gt;Open University Press&lt;/publisher&gt;&lt;isbn&gt;0335190944 (pbk) : ¹8.99&lt;/isbn&gt;&lt;accession-num&gt;b9347836&lt;/accession-num&gt;&lt;call-num&gt;370.78 20&amp;#xD;British Library HMNTS YK.1993.a.12736&lt;/call-num&gt;&lt;urls&gt;&lt;/urls&gt;&lt;/record&gt;&lt;/Cite&gt;&lt;/EndNote&gt;</w:instrText>
      </w:r>
      <w:r>
        <w:fldChar w:fldCharType="separate"/>
      </w:r>
      <w:r w:rsidR="00EA16FB">
        <w:rPr>
          <w:noProof/>
        </w:rPr>
        <w:t xml:space="preserve">Bell, </w:t>
      </w:r>
      <w:r w:rsidR="00EA16FB" w:rsidRPr="00EA16FB">
        <w:rPr>
          <w:i/>
          <w:noProof/>
        </w:rPr>
        <w:t>Doing your research project : a guide for first-time researchers in education and social science</w:t>
      </w:r>
      <w:r w:rsidR="00EA16FB">
        <w:rPr>
          <w:noProof/>
        </w:rPr>
        <w:t>.</w:t>
      </w:r>
      <w:r>
        <w:fldChar w:fldCharType="end"/>
      </w:r>
      <w:r>
        <w:t xml:space="preserve"> p.35.</w:t>
      </w:r>
    </w:p>
  </w:footnote>
  <w:footnote w:id="17">
    <w:p w14:paraId="7FB35BF5" w14:textId="18959EF1" w:rsidR="00E051BB" w:rsidRPr="00DB5EA1" w:rsidRDefault="00E051BB" w:rsidP="00E051BB">
      <w:pPr>
        <w:pStyle w:val="FootnoteText"/>
        <w:rPr>
          <w:lang w:val="en-GB"/>
        </w:rPr>
      </w:pPr>
      <w:r>
        <w:rPr>
          <w:rStyle w:val="FootnoteReference"/>
        </w:rPr>
        <w:footnoteRef/>
      </w:r>
      <w:r>
        <w:t xml:space="preserve"> </w:t>
      </w:r>
      <w:r>
        <w:fldChar w:fldCharType="begin"/>
      </w:r>
      <w:r w:rsidR="00DB0652">
        <w:instrText xml:space="preserve"> ADDIN EN.CITE &lt;EndNote&gt;&lt;Cite&gt;&lt;Author&gt;Boote&lt;/Author&gt;&lt;Year&gt;2005&lt;/Year&gt;&lt;RecNum&gt;177&lt;/RecNum&gt;&lt;DisplayText&gt;David N. Boote and Penny Beile, &amp;quot;Scholars before Researchers: On the Centrality of the Dissertation Literature Review in Research Preparation,&amp;quot; &lt;style face="italic"&gt;Educational Researcher&lt;/style&gt; 34, no. 6 (2005).&lt;/DisplayText&gt;&lt;record&gt;&lt;rec-number&gt;177&lt;/rec-number&gt;&lt;foreign-keys&gt;&lt;key app="EN" db-id="wpdwtde5sx2ssoev59spxrs909rs0ep5rsdt" timestamp="1617178833" guid="3fa4128b-1566-4d8c-bcf1-483d1c66ddac"&gt;177&lt;/key&gt;&lt;/foreign-keys&gt;&lt;ref-type name="Journal Article"&gt;17&lt;/ref-type&gt;&lt;contributors&gt;&lt;authors&gt;&lt;author&gt;Boote, David N.&lt;/author&gt;&lt;author&gt;Beile, Penny&lt;/author&gt;&lt;/authors&gt;&lt;/contributors&gt;&lt;titles&gt;&lt;title&gt;Scholars before Researchers: On the Centrality of the Dissertation Literature Review in Research Preparation&lt;/title&gt;&lt;secondary-title&gt;Educational Researcher&lt;/secondary-title&gt;&lt;/titles&gt;&lt;periodical&gt;&lt;full-title&gt;Educational Researcher&lt;/full-title&gt;&lt;/periodical&gt;&lt;pages&gt;3-15&lt;/pages&gt;&lt;volume&gt;34&lt;/volume&gt;&lt;number&gt;6&lt;/number&gt;&lt;keywords&gt;&lt;keyword&gt;literature, review&lt;/keyword&gt;&lt;/keywords&gt;&lt;dates&gt;&lt;year&gt;2005&lt;/year&gt;&lt;/dates&gt;&lt;publisher&gt;[American Educational Research Association, Sage Publications, Inc.]&lt;/publisher&gt;&lt;isbn&gt;0013189X, 1935102X&lt;/isbn&gt;&lt;urls&gt;&lt;/urls&gt;&lt;custom1&gt;Full publication date: Aug. - Sep., 2005&lt;/custom1&gt;&lt;remote-database-name&gt;JSTOR&lt;/remote-database-name&gt;&lt;access-date&gt;2021/03/15/&lt;/access-date&gt;&lt;/record&gt;&lt;/Cite&gt;&lt;/EndNote&gt;</w:instrText>
      </w:r>
      <w:r>
        <w:fldChar w:fldCharType="separate"/>
      </w:r>
      <w:r w:rsidR="008B03D8">
        <w:rPr>
          <w:noProof/>
        </w:rPr>
        <w:t xml:space="preserve">David N. Boote and Penny Beile, "Scholars before Researchers: On the Centrality of the Dissertation Literature Review in Research Preparation," </w:t>
      </w:r>
      <w:r w:rsidR="008B03D8" w:rsidRPr="008B03D8">
        <w:rPr>
          <w:i/>
          <w:noProof/>
        </w:rPr>
        <w:t>Educational Researcher</w:t>
      </w:r>
      <w:r w:rsidR="008B03D8">
        <w:rPr>
          <w:noProof/>
        </w:rPr>
        <w:t xml:space="preserve"> 34, no. 6 (2005).</w:t>
      </w:r>
      <w:r>
        <w:fldChar w:fldCharType="end"/>
      </w:r>
      <w:r>
        <w:t xml:space="preserve"> p.3.</w:t>
      </w:r>
    </w:p>
  </w:footnote>
  <w:footnote w:id="18">
    <w:p w14:paraId="36E50643" w14:textId="2F8C00EF" w:rsidR="00E051BB" w:rsidRPr="00E051BB" w:rsidRDefault="00E051BB">
      <w:pPr>
        <w:pStyle w:val="FootnoteText"/>
        <w:rPr>
          <w:lang w:val="en-GB"/>
        </w:rPr>
      </w:pPr>
      <w:r>
        <w:rPr>
          <w:rStyle w:val="FootnoteReference"/>
        </w:rPr>
        <w:footnoteRef/>
      </w:r>
      <w:r>
        <w:t xml:space="preserve"> </w:t>
      </w:r>
      <w:r>
        <w:fldChar w:fldCharType="begin"/>
      </w:r>
      <w:r w:rsidR="00DB0652">
        <w:instrText xml:space="preserve"> ADDIN EN.CITE &lt;EndNote&gt;&lt;Cite&gt;&lt;Author&gt;Bennett&lt;/Author&gt;&lt;Year&gt;1995&lt;/Year&gt;&lt;RecNum&gt;157&lt;/RecNum&gt;&lt;DisplayText&gt;Bennett, &amp;quot;“If I Knew You Were Coming, I’d Have Baked a Cake” The Folklore of Foreknowledge in a Neighborhood Group.&amp;quot;&lt;/DisplayText&gt;&lt;record&gt;&lt;rec-number&gt;157&lt;/rec-number&gt;&lt;foreign-keys&gt;&lt;key app="EN" db-id="wpdwtde5sx2ssoev59spxrs909rs0ep5rsdt" timestamp="1613575299" guid="18b74148-ce8b-4e41-a1be-5cd9b8490f33"&gt;157&lt;/key&gt;&lt;/foreign-keys&gt;&lt;ref-type name="Book Section"&gt;5&lt;/ref-type&gt;&lt;contributors&gt;&lt;authors&gt;&lt;author&gt;Bennett, Gillian&lt;/author&gt;&lt;/authors&gt;&lt;secondary-authors&gt;&lt;author&gt;Walker, Barbara&lt;/author&gt;&lt;/secondary-authors&gt;&lt;/contributors&gt;&lt;titles&gt;&lt;title&gt;“If I Knew You Were Coming, I’d Have Baked a Cake” The Folklore of Foreknowledge in a Neighborhood Group&lt;/title&gt;&lt;secondary-title&gt;Out Of The Ordinary&lt;/secondary-title&gt;&lt;tertiary-title&gt;Folklore and the Supernatural&lt;/tertiary-title&gt;&lt;/titles&gt;&lt;pages&gt;122-142&lt;/pages&gt;&lt;dates&gt;&lt;year&gt;1995&lt;/year&gt;&lt;/dates&gt;&lt;publisher&gt;University Press of Colorado&lt;/publisher&gt;&lt;isbn&gt;9780874211917&lt;/isbn&gt;&lt;urls&gt;&lt;related-urls&gt;&lt;url&gt;http://www.jstor.org.ezproxy.uwtsd.ac.uk/stable/j.ctt46nwn8.13&lt;/url&gt;&lt;/related-urls&gt;&lt;/urls&gt;&lt;remote-database-name&gt;JSTOR&lt;/remote-database-name&gt;&lt;access-date&gt;2021/02/17/&lt;/access-date&gt;&lt;/record&gt;&lt;/Cite&gt;&lt;/EndNote&gt;</w:instrText>
      </w:r>
      <w:r>
        <w:fldChar w:fldCharType="separate"/>
      </w:r>
      <w:r w:rsidR="00EB39B1">
        <w:rPr>
          <w:noProof/>
        </w:rPr>
        <w:t>Bennett, "“If I Knew You Were Coming, I’d Have Baked a Cake” The Folklore of Foreknowledge in a Neighborhood Group."</w:t>
      </w:r>
      <w:r>
        <w:fldChar w:fldCharType="end"/>
      </w:r>
      <w:r>
        <w:t xml:space="preserve"> </w:t>
      </w:r>
      <w:r w:rsidR="008135E5">
        <w:t>p</w:t>
      </w:r>
      <w:r>
        <w:t>.122.</w:t>
      </w:r>
    </w:p>
  </w:footnote>
  <w:footnote w:id="19">
    <w:p w14:paraId="726EF87B" w14:textId="577FD963" w:rsidR="00E051BB" w:rsidRPr="00DB6B6B" w:rsidRDefault="00E051BB" w:rsidP="00E051BB">
      <w:pPr>
        <w:pStyle w:val="FootnoteText"/>
        <w:rPr>
          <w:lang w:val="en-GB"/>
        </w:rPr>
      </w:pPr>
      <w:r>
        <w:rPr>
          <w:rStyle w:val="FootnoteReference"/>
        </w:rPr>
        <w:footnoteRef/>
      </w:r>
      <w:r>
        <w:t xml:space="preserve"> </w:t>
      </w:r>
      <w:r>
        <w:fldChar w:fldCharType="begin"/>
      </w:r>
      <w:r w:rsidR="00DB0652">
        <w:instrText xml:space="preserve"> ADDIN EN.CITE &lt;EndNote&gt;&lt;Cite&gt;&lt;Author&gt;Brink&lt;/Author&gt;&lt;Year&gt;1978&lt;/Year&gt;&lt;RecNum&gt;133&lt;/RecNum&gt;&lt;DisplayText&gt;Brink, &amp;quot;Inconsistency of Belief among Roman Catholic Girls: Concerning Religion, Astrology, Reincarnation.&amp;quot;&lt;/DisplayText&gt;&lt;record&gt;&lt;rec-number&gt;133&lt;/rec-number&gt;&lt;foreign-keys&gt;&lt;key app="EN" db-id="wpdwtde5sx2ssoev59spxrs909rs0ep5rsdt" timestamp="1611864015" guid="ef3948f7-9762-4327-a1c3-b302686e4ac0"&gt;133&lt;/key&gt;&lt;/foreign-keys&gt;&lt;ref-type name="Journal Article"&gt;17&lt;/ref-type&gt;&lt;contributors&gt;&lt;authors&gt;&lt;author&gt;Brink, T. L.&lt;/author&gt;&lt;/authors&gt;&lt;/contributors&gt;&lt;titles&gt;&lt;title&gt;Inconsistency of Belief among Roman Catholic Girls: Concerning Religion, Astrology, Reincarnation&lt;/title&gt;&lt;secondary-title&gt;Review of Religious Research&lt;/secondary-title&gt;&lt;/titles&gt;&lt;periodical&gt;&lt;full-title&gt;Review of Religious Research&lt;/full-title&gt;&lt;/periodical&gt;&lt;pages&gt;82-85&lt;/pages&gt;&lt;volume&gt;20&lt;/volume&gt;&lt;number&gt;1&lt;/number&gt;&lt;keywords&gt;&lt;keyword&gt;Religion, Catholic, Astrology, Belief&lt;/keyword&gt;&lt;/keywords&gt;&lt;dates&gt;&lt;year&gt;1978&lt;/year&gt;&lt;/dates&gt;&lt;urls&gt;&lt;/urls&gt;&lt;/record&gt;&lt;/Cite&gt;&lt;/EndNote&gt;</w:instrText>
      </w:r>
      <w:r>
        <w:fldChar w:fldCharType="separate"/>
      </w:r>
      <w:r w:rsidR="00EB39B1">
        <w:rPr>
          <w:noProof/>
        </w:rPr>
        <w:t>Brink, "Inconsistency of Belief among Roman Catholic Girls: Concerning Religion, Astrology, Reincarnation."</w:t>
      </w:r>
      <w:r>
        <w:fldChar w:fldCharType="end"/>
      </w:r>
      <w:r>
        <w:t xml:space="preserve"> </w:t>
      </w:r>
      <w:r w:rsidR="008135E5">
        <w:t>p</w:t>
      </w:r>
      <w:r>
        <w:t>.82.</w:t>
      </w:r>
    </w:p>
  </w:footnote>
  <w:footnote w:id="20">
    <w:p w14:paraId="263F7AD3" w14:textId="5A60A025" w:rsidR="00E051BB" w:rsidRPr="006A5BBD" w:rsidRDefault="00E051BB" w:rsidP="00E051BB">
      <w:pPr>
        <w:pStyle w:val="FootnoteText"/>
        <w:rPr>
          <w:lang w:val="en-GB"/>
        </w:rPr>
      </w:pPr>
      <w:r>
        <w:rPr>
          <w:rStyle w:val="FootnoteReference"/>
        </w:rPr>
        <w:footnoteRef/>
      </w:r>
      <w:r>
        <w:t xml:space="preserve"> </w:t>
      </w:r>
      <w:r>
        <w:fldChar w:fldCharType="begin"/>
      </w:r>
      <w:r w:rsidR="00DB0652">
        <w:instrText xml:space="preserve"> ADDIN EN.CITE &lt;EndNote&gt;&lt;Cite&gt;&lt;Author&gt;Hart&lt;/Author&gt;&lt;Year&gt;2011&lt;/Year&gt;&lt;RecNum&gt;173&lt;/RecNum&gt;&lt;DisplayText&gt;Chris Hart, &lt;style face="italic"&gt;Doing a literature review : releasing the research imagination&lt;/style&gt;, Second edition. ed. (Los Angeles, London, New Dehli, Singapore, Washington DC: Sage, 2011).&lt;/DisplayText&gt;&lt;record&gt;&lt;rec-number&gt;173&lt;/rec-number&gt;&lt;foreign-keys&gt;&lt;key app="EN" db-id="wpdwtde5sx2ssoev59spxrs909rs0ep5rsdt" timestamp="1617178714" guid="f5959e16-82c4-48d4-b6f2-0ec9b129e7c9"&gt;173&lt;/key&gt;&lt;/foreign-keys&gt;&lt;ref-type name="Book"&gt;6&lt;/ref-type&gt;&lt;contributors&gt;&lt;authors&gt;&lt;author&gt;Hart, Chris&lt;/author&gt;&lt;/authors&gt;&lt;/contributors&gt;&lt;titles&gt;&lt;title&gt;Doing a literature review : releasing the research imagination&lt;/title&gt;&lt;/titles&gt;&lt;edition&gt;Second edition.&lt;/edition&gt;&lt;keywords&gt;&lt;keyword&gt;Dissertations, Academic.&lt;/keyword&gt;&lt;keyword&gt;Literature History and criticism.&lt;/keyword&gt;&lt;/keywords&gt;&lt;dates&gt;&lt;year&gt;2011&lt;/year&gt;&lt;/dates&gt;&lt;pub-location&gt;Los Angeles, London, New Dehli, Singapore, Washington DC&lt;/pub-location&gt;&lt;publisher&gt;Sage&lt;/publisher&gt;&lt;isbn&gt;9781526423122 (ePub ebook) : ¹21.99&lt;/isbn&gt;&lt;call-num&gt;808.066378 23&amp;#xD;British Library HMNTS DRT ELD.DS.238898&lt;/call-num&gt;&lt;urls&gt;&lt;/urls&gt;&lt;/record&gt;&lt;/Cite&gt;&lt;/EndNote&gt;</w:instrText>
      </w:r>
      <w:r>
        <w:fldChar w:fldCharType="separate"/>
      </w:r>
      <w:r w:rsidR="00492ED9">
        <w:rPr>
          <w:noProof/>
        </w:rPr>
        <w:t xml:space="preserve">Chris Hart, </w:t>
      </w:r>
      <w:r w:rsidR="00492ED9" w:rsidRPr="00492ED9">
        <w:rPr>
          <w:i/>
          <w:noProof/>
        </w:rPr>
        <w:t>Doing a literature review : releasing the research imagination</w:t>
      </w:r>
      <w:r w:rsidR="00492ED9">
        <w:rPr>
          <w:noProof/>
        </w:rPr>
        <w:t>, Second edition. ed. (Los Angeles, London, New Dehli, Singapore, Washington DC: Sage, 2011).</w:t>
      </w:r>
      <w:r>
        <w:fldChar w:fldCharType="end"/>
      </w:r>
      <w:r>
        <w:t xml:space="preserve"> p.13.</w:t>
      </w:r>
    </w:p>
  </w:footnote>
  <w:footnote w:id="21">
    <w:p w14:paraId="4244A1F6" w14:textId="72EEBE85" w:rsidR="0021482F" w:rsidRPr="0021482F" w:rsidRDefault="0021482F">
      <w:pPr>
        <w:pStyle w:val="FootnoteText"/>
        <w:rPr>
          <w:lang w:val="en-GB"/>
        </w:rPr>
      </w:pPr>
      <w:r>
        <w:rPr>
          <w:rStyle w:val="FootnoteReference"/>
        </w:rPr>
        <w:footnoteRef/>
      </w:r>
      <w:r>
        <w:t xml:space="preserve"> </w:t>
      </w:r>
      <w:r>
        <w:fldChar w:fldCharType="begin"/>
      </w:r>
      <w:r w:rsidR="00DB0652">
        <w:instrText xml:space="preserve"> ADDIN EN.CITE &lt;EndNote&gt;&lt;Cite&gt;&lt;Author&gt;Hennink&lt;/Author&gt;&lt;Year&gt;2020&lt;/Year&gt;&lt;RecNum&gt;156&lt;/RecNum&gt;&lt;DisplayText&gt;Hennink, &lt;style face="italic"&gt;Qualitative research methods&lt;/style&gt;.&lt;/DisplayText&gt;&lt;record&gt;&lt;rec-number&gt;156&lt;/rec-number&gt;&lt;foreign-keys&gt;&lt;key app="EN" db-id="wpdwtde5sx2ssoev59spxrs909rs0ep5rsdt" timestamp="1613575299" guid="e879eed8-4a2b-4b01-a96d-1d39470cb434"&gt;156&lt;/key&gt;&lt;/foreign-keys&gt;&lt;ref-type name="Book"&gt;6&lt;/ref-type&gt;&lt;contributors&gt;&lt;authors&gt;&lt;author&gt;Hennink, Monique M., Hutter, Inge, Bailey, Ajay&lt;/author&gt;&lt;/authors&gt;&lt;/contributors&gt;&lt;titles&gt;&lt;title&gt;Qualitative research methods&lt;/title&gt;&lt;/titles&gt;&lt;edition&gt;Second edition.&lt;/edition&gt;&lt;keywords&gt;&lt;keyword&gt;Social sciences Research.&lt;/keyword&gt;&lt;keyword&gt;Qualitative research.&lt;/keyword&gt;&lt;/keywords&gt;&lt;dates&gt;&lt;year&gt;2020&lt;/year&gt;&lt;/dates&gt;&lt;publisher&gt;Sage&lt;/publisher&gt;&lt;isbn&gt;9781473944244 (ePub ebook) : ¹25.99&amp;#xD;9781473903906 (hbk.) : ¹90.00&amp;#xD;9781473903913 (pbk.) : ¹31.99&lt;/isbn&gt;&lt;call-num&gt;300.72 23&amp;#xD;British Library HMNTS DRT ELD.DS.480879&lt;/call-num&gt;&lt;urls&gt;&lt;/urls&gt;&lt;/record&gt;&lt;/Cite&gt;&lt;/EndNote&gt;</w:instrText>
      </w:r>
      <w:r>
        <w:fldChar w:fldCharType="separate"/>
      </w:r>
      <w:r w:rsidR="00FF48C2">
        <w:rPr>
          <w:noProof/>
        </w:rPr>
        <w:t xml:space="preserve">Hennink, </w:t>
      </w:r>
      <w:r w:rsidR="00FF48C2" w:rsidRPr="00FF48C2">
        <w:rPr>
          <w:i/>
          <w:noProof/>
        </w:rPr>
        <w:t>Qualitative research methods</w:t>
      </w:r>
      <w:r w:rsidR="00FF48C2">
        <w:rPr>
          <w:noProof/>
        </w:rPr>
        <w:t>.</w:t>
      </w:r>
      <w:r>
        <w:fldChar w:fldCharType="end"/>
      </w:r>
      <w:r>
        <w:t xml:space="preserve"> </w:t>
      </w:r>
      <w:r w:rsidR="008135E5">
        <w:t>p</w:t>
      </w:r>
      <w:r>
        <w:t>.314.</w:t>
      </w:r>
    </w:p>
  </w:footnote>
  <w:footnote w:id="22">
    <w:p w14:paraId="16A6DAAF" w14:textId="7EA03707" w:rsidR="00395DE4" w:rsidRPr="00395DE4" w:rsidRDefault="00395DE4">
      <w:pPr>
        <w:pStyle w:val="FootnoteText"/>
        <w:rPr>
          <w:lang w:val="en-GB"/>
        </w:rPr>
      </w:pPr>
      <w:r>
        <w:rPr>
          <w:rStyle w:val="FootnoteReference"/>
        </w:rPr>
        <w:footnoteRef/>
      </w:r>
      <w:r>
        <w:t xml:space="preserve"> </w:t>
      </w:r>
      <w:r w:rsidR="00A52B7F">
        <w:fldChar w:fldCharType="begin"/>
      </w:r>
      <w:r w:rsidR="00DB0652">
        <w:instrText xml:space="preserve"> ADDIN EN.CITE &lt;EndNote&gt;&lt;Cite&gt;&lt;Author&gt;Wuthnow&lt;/Author&gt;&lt;Year&gt;1976&lt;/Year&gt;&lt;RecNum&gt;192&lt;/RecNum&gt;&lt;DisplayText&gt;Robert Wuthnow, &amp;quot;Astrology and Marginality,&amp;quot; &lt;style face="italic"&gt;Journal for the Scientific Study of Religion&lt;/style&gt; 15, no. 2 (1976).&lt;/DisplayText&gt;&lt;record&gt;&lt;rec-number&gt;192&lt;/rec-number&gt;&lt;foreign-keys&gt;&lt;key app="EN" db-id="wpdwtde5sx2ssoev59spxrs909rs0ep5rsdt" timestamp="1617180098" guid="a76053e5-524e-469b-88f9-ab7d1768f040"&gt;192&lt;/key&gt;&lt;/foreign-keys&gt;&lt;ref-type name="Journal Article"&gt;17&lt;/ref-type&gt;&lt;contributors&gt;&lt;authors&gt;&lt;author&gt;Wuthnow, Robert&lt;/author&gt;&lt;/authors&gt;&lt;/contributors&gt;&lt;titles&gt;&lt;title&gt;Astrology and Marginality&lt;/title&gt;&lt;secondary-title&gt;Journal for the Scientific Study of Religion&lt;/secondary-title&gt;&lt;/titles&gt;&lt;periodical&gt;&lt;full-title&gt;Journal for the Scientific Study of Religion&lt;/full-title&gt;&lt;/periodical&gt;&lt;pages&gt;157-168&lt;/pages&gt;&lt;volume&gt;15&lt;/volume&gt;&lt;number&gt;2&lt;/number&gt;&lt;dates&gt;&lt;year&gt;1976&lt;/year&gt;&lt;/dates&gt;&lt;publisher&gt;[Society for the Scientific Study of Religion, Wiley]&lt;/publisher&gt;&lt;isbn&gt;00218294, 14685906&lt;/isbn&gt;&lt;urls&gt;&lt;/urls&gt;&lt;custom1&gt;Full publication date: Jun., 1976&lt;/custom1&gt;&lt;remote-database-name&gt;JSTOR&lt;/remote-database-name&gt;&lt;access-date&gt;2021/03/24/&lt;/access-date&gt;&lt;/record&gt;&lt;/Cite&gt;&lt;/EndNote&gt;</w:instrText>
      </w:r>
      <w:r w:rsidR="00A52B7F">
        <w:fldChar w:fldCharType="separate"/>
      </w:r>
      <w:r w:rsidR="00FE727F">
        <w:rPr>
          <w:noProof/>
        </w:rPr>
        <w:t xml:space="preserve">Robert Wuthnow, "Astrology and Marginality," </w:t>
      </w:r>
      <w:r w:rsidR="00FE727F" w:rsidRPr="00FE727F">
        <w:rPr>
          <w:i/>
          <w:noProof/>
        </w:rPr>
        <w:t>Journal for the Scientific Study of Religion</w:t>
      </w:r>
      <w:r w:rsidR="00FE727F">
        <w:rPr>
          <w:noProof/>
        </w:rPr>
        <w:t xml:space="preserve"> 15, no. 2 (1976).</w:t>
      </w:r>
      <w:r w:rsidR="00A52B7F">
        <w:fldChar w:fldCharType="end"/>
      </w:r>
    </w:p>
  </w:footnote>
  <w:footnote w:id="23">
    <w:p w14:paraId="6416A38E" w14:textId="5D5BA118" w:rsidR="00174744" w:rsidRPr="00174744" w:rsidRDefault="00174744">
      <w:pPr>
        <w:pStyle w:val="FootnoteText"/>
        <w:rPr>
          <w:lang w:val="en-GB"/>
        </w:rPr>
      </w:pPr>
      <w:r>
        <w:rPr>
          <w:rStyle w:val="FootnoteReference"/>
        </w:rPr>
        <w:footnoteRef/>
      </w:r>
      <w:r>
        <w:t xml:space="preserve"> </w:t>
      </w:r>
      <w:r>
        <w:fldChar w:fldCharType="begin"/>
      </w:r>
      <w:r w:rsidR="00DB0652">
        <w:instrText xml:space="preserve"> ADDIN EN.CITE &lt;EndNote&gt;&lt;Cite&gt;&lt;Author&gt;Bennett&lt;/Author&gt;&lt;Year&gt;1995&lt;/Year&gt;&lt;RecNum&gt;157&lt;/RecNum&gt;&lt;DisplayText&gt;Bennett, &amp;quot;“If I Knew You Were Coming, I’d Have Baked a Cake” The Folklore of Foreknowledge in a Neighborhood Group.&amp;quot;&lt;/DisplayText&gt;&lt;record&gt;&lt;rec-number&gt;157&lt;/rec-number&gt;&lt;foreign-keys&gt;&lt;key app="EN" db-id="wpdwtde5sx2ssoev59spxrs909rs0ep5rsdt" timestamp="1613575299" guid="18b74148-ce8b-4e41-a1be-5cd9b8490f33"&gt;157&lt;/key&gt;&lt;/foreign-keys&gt;&lt;ref-type name="Book Section"&gt;5&lt;/ref-type&gt;&lt;contributors&gt;&lt;authors&gt;&lt;author&gt;Bennett, Gillian&lt;/author&gt;&lt;/authors&gt;&lt;secondary-authors&gt;&lt;author&gt;Walker, Barbara&lt;/author&gt;&lt;/secondary-authors&gt;&lt;/contributors&gt;&lt;titles&gt;&lt;title&gt;“If I Knew You Were Coming, I’d Have Baked a Cake” The Folklore of Foreknowledge in a Neighborhood Group&lt;/title&gt;&lt;secondary-title&gt;Out Of The Ordinary&lt;/secondary-title&gt;&lt;tertiary-title&gt;Folklore and the Supernatural&lt;/tertiary-title&gt;&lt;/titles&gt;&lt;pages&gt;122-142&lt;/pages&gt;&lt;dates&gt;&lt;year&gt;1995&lt;/year&gt;&lt;/dates&gt;&lt;publisher&gt;University Press of Colorado&lt;/publisher&gt;&lt;isbn&gt;9780874211917&lt;/isbn&gt;&lt;urls&gt;&lt;related-urls&gt;&lt;url&gt;http://www.jstor.org.ezproxy.uwtsd.ac.uk/stable/j.ctt46nwn8.13&lt;/url&gt;&lt;/related-urls&gt;&lt;/urls&gt;&lt;remote-database-name&gt;JSTOR&lt;/remote-database-name&gt;&lt;access-date&gt;2021/02/17/&lt;/access-date&gt;&lt;/record&gt;&lt;/Cite&gt;&lt;/EndNote&gt;</w:instrText>
      </w:r>
      <w:r>
        <w:fldChar w:fldCharType="separate"/>
      </w:r>
      <w:r w:rsidR="00EB39B1">
        <w:rPr>
          <w:noProof/>
        </w:rPr>
        <w:t>Bennett, "“If I Knew You Were Coming, I’d Have Baked a Cake” The Folklore of Foreknowledge in a Neighborhood Group."</w:t>
      </w:r>
      <w:r>
        <w:fldChar w:fldCharType="end"/>
      </w:r>
      <w:r>
        <w:t xml:space="preserve"> </w:t>
      </w:r>
      <w:r w:rsidR="008135E5">
        <w:t>p</w:t>
      </w:r>
      <w:r>
        <w:t>.135.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85F92" w14:textId="56BBB9B1" w:rsidR="00B440A0" w:rsidRPr="00B440A0" w:rsidRDefault="00B440A0" w:rsidP="00B440A0">
    <w:pPr>
      <w:pStyle w:val="Header"/>
    </w:pPr>
    <w:r w:rsidRPr="00D72EF5">
      <w:rPr>
        <w:sz w:val="24"/>
        <w:szCs w:val="24"/>
        <w:lang w:val="en-GB"/>
      </w:rPr>
      <w:t>WENDY FEY</w:t>
    </w:r>
    <w:r>
      <w:rPr>
        <w:sz w:val="24"/>
        <w:szCs w:val="24"/>
        <w:lang w:val="en-GB"/>
      </w:rPr>
      <w:t xml:space="preserve">  </w:t>
    </w:r>
    <w:r w:rsidRPr="00D72EF5">
      <w:rPr>
        <w:sz w:val="24"/>
        <w:szCs w:val="24"/>
        <w:lang w:val="en-GB"/>
      </w:rPr>
      <w:t>HPCA701</w:t>
    </w:r>
    <w:r w:rsidR="00213807">
      <w:rPr>
        <w:sz w:val="24"/>
        <w:szCs w:val="24"/>
        <w:lang w:val="en-GB"/>
      </w:rPr>
      <w:t>6</w:t>
    </w:r>
    <w:r>
      <w:rPr>
        <w:sz w:val="24"/>
        <w:szCs w:val="24"/>
        <w:lang w:val="en-GB"/>
      </w:rPr>
      <w:t xml:space="preserve">  </w:t>
    </w:r>
    <w:r w:rsidRPr="00D72EF5">
      <w:rPr>
        <w:sz w:val="24"/>
        <w:szCs w:val="24"/>
        <w:lang w:val="en-GB"/>
      </w:rPr>
      <w:t xml:space="preserve">ESSAY </w:t>
    </w:r>
    <w:r w:rsidRPr="00B440A0">
      <w:t xml:space="preserve"> </w:t>
    </w:r>
    <w:sdt>
      <w:sdtPr>
        <w:id w:val="1477648756"/>
        <w:docPartObj>
          <w:docPartGallery w:val="Page Numbers (Top of Page)"/>
          <w:docPartUnique/>
        </w:docPartObj>
      </w:sdtPr>
      <w:sdtEndPr/>
      <w:sdtContent>
        <w:r w:rsidR="00412649">
          <w:t>1</w:t>
        </w:r>
        <w:r>
          <w:tab/>
        </w:r>
        <w:r>
          <w:tab/>
          <w:t xml:space="preserve">Page </w:t>
        </w:r>
        <w:r>
          <w:rPr>
            <w:b/>
            <w:bCs/>
            <w:sz w:val="24"/>
            <w:szCs w:val="24"/>
          </w:rPr>
          <w:fldChar w:fldCharType="begin"/>
        </w:r>
        <w:r>
          <w:rPr>
            <w:b/>
            <w:bCs/>
          </w:rPr>
          <w:instrText xml:space="preserve"> PAGE </w:instrText>
        </w:r>
        <w:r>
          <w:rPr>
            <w:b/>
            <w:bCs/>
            <w:sz w:val="24"/>
            <w:szCs w:val="24"/>
          </w:rPr>
          <w:fldChar w:fldCharType="separate"/>
        </w:r>
        <w:r w:rsidR="00E837CA">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837CA">
          <w:rPr>
            <w:b/>
            <w:bCs/>
            <w:noProof/>
          </w:rPr>
          <w:t>4</w:t>
        </w:r>
        <w:r>
          <w:rPr>
            <w:b/>
            <w:bCs/>
            <w:sz w:val="24"/>
            <w:szCs w:val="24"/>
          </w:rPr>
          <w:fldChar w:fldCharType="end"/>
        </w:r>
      </w:sdtContent>
    </w:sdt>
  </w:p>
  <w:p w14:paraId="5390E3EA" w14:textId="77777777" w:rsidR="00D320DD" w:rsidRDefault="00D320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icago 17th Footno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pdwtde5sx2ssoev59spxrs909rs0ep5rsdt&quot;&gt;My EndNote Library&lt;record-ids&gt;&lt;item&gt;133&lt;/item&gt;&lt;item&gt;135&lt;/item&gt;&lt;item&gt;156&lt;/item&gt;&lt;item&gt;157&lt;/item&gt;&lt;item&gt;173&lt;/item&gt;&lt;item&gt;175&lt;/item&gt;&lt;item&gt;176&lt;/item&gt;&lt;item&gt;177&lt;/item&gt;&lt;item&gt;179&lt;/item&gt;&lt;item&gt;189&lt;/item&gt;&lt;item&gt;191&lt;/item&gt;&lt;item&gt;192&lt;/item&gt;&lt;/record-ids&gt;&lt;/item&gt;&lt;/Libraries&gt;"/>
  </w:docVars>
  <w:rsids>
    <w:rsidRoot w:val="00840C5C"/>
    <w:rsid w:val="0000569D"/>
    <w:rsid w:val="00007BB6"/>
    <w:rsid w:val="00011F7A"/>
    <w:rsid w:val="0001298A"/>
    <w:rsid w:val="000131C1"/>
    <w:rsid w:val="0001582E"/>
    <w:rsid w:val="000232A8"/>
    <w:rsid w:val="00024435"/>
    <w:rsid w:val="00027A4B"/>
    <w:rsid w:val="00030370"/>
    <w:rsid w:val="000310E4"/>
    <w:rsid w:val="000322FE"/>
    <w:rsid w:val="0003263E"/>
    <w:rsid w:val="00035AD1"/>
    <w:rsid w:val="00037332"/>
    <w:rsid w:val="0004202B"/>
    <w:rsid w:val="000455D7"/>
    <w:rsid w:val="00047593"/>
    <w:rsid w:val="00052CFF"/>
    <w:rsid w:val="000600EF"/>
    <w:rsid w:val="0006169B"/>
    <w:rsid w:val="00062C0C"/>
    <w:rsid w:val="00062D1F"/>
    <w:rsid w:val="00063663"/>
    <w:rsid w:val="0006431E"/>
    <w:rsid w:val="00070055"/>
    <w:rsid w:val="00071CE5"/>
    <w:rsid w:val="000751EF"/>
    <w:rsid w:val="0007746F"/>
    <w:rsid w:val="00080175"/>
    <w:rsid w:val="00081172"/>
    <w:rsid w:val="0008186E"/>
    <w:rsid w:val="000829F4"/>
    <w:rsid w:val="000843CD"/>
    <w:rsid w:val="0008577D"/>
    <w:rsid w:val="00090163"/>
    <w:rsid w:val="00093A44"/>
    <w:rsid w:val="000A4CDA"/>
    <w:rsid w:val="000B2684"/>
    <w:rsid w:val="000B271B"/>
    <w:rsid w:val="000B784D"/>
    <w:rsid w:val="000C2331"/>
    <w:rsid w:val="000C6018"/>
    <w:rsid w:val="000C671C"/>
    <w:rsid w:val="000C79F4"/>
    <w:rsid w:val="000D0240"/>
    <w:rsid w:val="000D43DA"/>
    <w:rsid w:val="000D7F6C"/>
    <w:rsid w:val="000E20FD"/>
    <w:rsid w:val="000E5C94"/>
    <w:rsid w:val="000E700E"/>
    <w:rsid w:val="000F2347"/>
    <w:rsid w:val="000F2A1A"/>
    <w:rsid w:val="000F3151"/>
    <w:rsid w:val="000F5876"/>
    <w:rsid w:val="001043FC"/>
    <w:rsid w:val="00107422"/>
    <w:rsid w:val="00115246"/>
    <w:rsid w:val="00117FAD"/>
    <w:rsid w:val="00121C81"/>
    <w:rsid w:val="0012512B"/>
    <w:rsid w:val="00130D47"/>
    <w:rsid w:val="00130DA0"/>
    <w:rsid w:val="00131D0C"/>
    <w:rsid w:val="00131FB6"/>
    <w:rsid w:val="001324C7"/>
    <w:rsid w:val="001370CE"/>
    <w:rsid w:val="00140448"/>
    <w:rsid w:val="00142DA1"/>
    <w:rsid w:val="001439D0"/>
    <w:rsid w:val="00150BF7"/>
    <w:rsid w:val="0015295F"/>
    <w:rsid w:val="00155D25"/>
    <w:rsid w:val="00157B5E"/>
    <w:rsid w:val="001654BC"/>
    <w:rsid w:val="00165A6D"/>
    <w:rsid w:val="00171E2D"/>
    <w:rsid w:val="001735DA"/>
    <w:rsid w:val="00174030"/>
    <w:rsid w:val="00174744"/>
    <w:rsid w:val="00175A74"/>
    <w:rsid w:val="00183005"/>
    <w:rsid w:val="00183391"/>
    <w:rsid w:val="00184641"/>
    <w:rsid w:val="0018469E"/>
    <w:rsid w:val="0018606B"/>
    <w:rsid w:val="00190683"/>
    <w:rsid w:val="00191167"/>
    <w:rsid w:val="00194CB6"/>
    <w:rsid w:val="0019533A"/>
    <w:rsid w:val="001A0EC3"/>
    <w:rsid w:val="001A1EBD"/>
    <w:rsid w:val="001A3454"/>
    <w:rsid w:val="001A3949"/>
    <w:rsid w:val="001A3E2B"/>
    <w:rsid w:val="001B1F50"/>
    <w:rsid w:val="001B2955"/>
    <w:rsid w:val="001B7A95"/>
    <w:rsid w:val="001C067E"/>
    <w:rsid w:val="001C0C43"/>
    <w:rsid w:val="001C0E6A"/>
    <w:rsid w:val="001C1C88"/>
    <w:rsid w:val="001C6A6E"/>
    <w:rsid w:val="001C731D"/>
    <w:rsid w:val="001C7958"/>
    <w:rsid w:val="001D0C76"/>
    <w:rsid w:val="001D111E"/>
    <w:rsid w:val="001E4EEE"/>
    <w:rsid w:val="001E5C3D"/>
    <w:rsid w:val="001E700B"/>
    <w:rsid w:val="001F3311"/>
    <w:rsid w:val="001F3380"/>
    <w:rsid w:val="001F3616"/>
    <w:rsid w:val="001F3C6F"/>
    <w:rsid w:val="001F5DCF"/>
    <w:rsid w:val="001F74B6"/>
    <w:rsid w:val="00200EC4"/>
    <w:rsid w:val="00203519"/>
    <w:rsid w:val="00205ED3"/>
    <w:rsid w:val="00213807"/>
    <w:rsid w:val="002138E4"/>
    <w:rsid w:val="00213A07"/>
    <w:rsid w:val="0021482F"/>
    <w:rsid w:val="002161AE"/>
    <w:rsid w:val="002163FE"/>
    <w:rsid w:val="002169EA"/>
    <w:rsid w:val="00221FC4"/>
    <w:rsid w:val="00226A5B"/>
    <w:rsid w:val="0022713E"/>
    <w:rsid w:val="002326BE"/>
    <w:rsid w:val="00232F06"/>
    <w:rsid w:val="00234345"/>
    <w:rsid w:val="00235BE4"/>
    <w:rsid w:val="00235DE5"/>
    <w:rsid w:val="0024070D"/>
    <w:rsid w:val="00242425"/>
    <w:rsid w:val="002447F2"/>
    <w:rsid w:val="00245143"/>
    <w:rsid w:val="0024518E"/>
    <w:rsid w:val="00246A92"/>
    <w:rsid w:val="00250E59"/>
    <w:rsid w:val="00251204"/>
    <w:rsid w:val="002513DF"/>
    <w:rsid w:val="002519F8"/>
    <w:rsid w:val="00251FC2"/>
    <w:rsid w:val="002525BD"/>
    <w:rsid w:val="00253CB8"/>
    <w:rsid w:val="00255CA7"/>
    <w:rsid w:val="00256D7D"/>
    <w:rsid w:val="002604BA"/>
    <w:rsid w:val="00260626"/>
    <w:rsid w:val="00264C1E"/>
    <w:rsid w:val="002729E4"/>
    <w:rsid w:val="00273B71"/>
    <w:rsid w:val="002801FF"/>
    <w:rsid w:val="0028037B"/>
    <w:rsid w:val="002808BD"/>
    <w:rsid w:val="00281CFE"/>
    <w:rsid w:val="00291075"/>
    <w:rsid w:val="00292C4E"/>
    <w:rsid w:val="002957E5"/>
    <w:rsid w:val="002957EC"/>
    <w:rsid w:val="002A1BD9"/>
    <w:rsid w:val="002A1E6E"/>
    <w:rsid w:val="002A489F"/>
    <w:rsid w:val="002B0C8E"/>
    <w:rsid w:val="002B1E7F"/>
    <w:rsid w:val="002B7316"/>
    <w:rsid w:val="002C0B96"/>
    <w:rsid w:val="002C73B5"/>
    <w:rsid w:val="002D2A3F"/>
    <w:rsid w:val="002D3563"/>
    <w:rsid w:val="002D37C5"/>
    <w:rsid w:val="002D4A32"/>
    <w:rsid w:val="002D6D51"/>
    <w:rsid w:val="002D6FB3"/>
    <w:rsid w:val="002E2810"/>
    <w:rsid w:val="002E7521"/>
    <w:rsid w:val="002F30CA"/>
    <w:rsid w:val="002F38AF"/>
    <w:rsid w:val="002F3A1E"/>
    <w:rsid w:val="002F4509"/>
    <w:rsid w:val="00301D58"/>
    <w:rsid w:val="003040CF"/>
    <w:rsid w:val="0030461C"/>
    <w:rsid w:val="00305715"/>
    <w:rsid w:val="00307EA7"/>
    <w:rsid w:val="003165CB"/>
    <w:rsid w:val="00317311"/>
    <w:rsid w:val="00321C5B"/>
    <w:rsid w:val="00323158"/>
    <w:rsid w:val="00323E2B"/>
    <w:rsid w:val="00326977"/>
    <w:rsid w:val="00332CFF"/>
    <w:rsid w:val="00332F4B"/>
    <w:rsid w:val="00333DB1"/>
    <w:rsid w:val="00334C3B"/>
    <w:rsid w:val="00334D41"/>
    <w:rsid w:val="0034252F"/>
    <w:rsid w:val="003426FC"/>
    <w:rsid w:val="00343A5C"/>
    <w:rsid w:val="00351B34"/>
    <w:rsid w:val="0035430C"/>
    <w:rsid w:val="003558F7"/>
    <w:rsid w:val="00360C43"/>
    <w:rsid w:val="00361C42"/>
    <w:rsid w:val="0036434E"/>
    <w:rsid w:val="00366DC4"/>
    <w:rsid w:val="00370FA8"/>
    <w:rsid w:val="00372395"/>
    <w:rsid w:val="00373F21"/>
    <w:rsid w:val="0037599A"/>
    <w:rsid w:val="00376AD6"/>
    <w:rsid w:val="003821BB"/>
    <w:rsid w:val="003832E6"/>
    <w:rsid w:val="00384089"/>
    <w:rsid w:val="00385934"/>
    <w:rsid w:val="00385F06"/>
    <w:rsid w:val="00387152"/>
    <w:rsid w:val="00395DE4"/>
    <w:rsid w:val="003975DD"/>
    <w:rsid w:val="003A3073"/>
    <w:rsid w:val="003A33CD"/>
    <w:rsid w:val="003A4C84"/>
    <w:rsid w:val="003A7297"/>
    <w:rsid w:val="003B275C"/>
    <w:rsid w:val="003B3C27"/>
    <w:rsid w:val="003B4A77"/>
    <w:rsid w:val="003B5692"/>
    <w:rsid w:val="003C1C59"/>
    <w:rsid w:val="003C2F17"/>
    <w:rsid w:val="003C35F2"/>
    <w:rsid w:val="003C4281"/>
    <w:rsid w:val="003C69DF"/>
    <w:rsid w:val="003D06E9"/>
    <w:rsid w:val="003D10E4"/>
    <w:rsid w:val="003D2187"/>
    <w:rsid w:val="003D28ED"/>
    <w:rsid w:val="003D34AE"/>
    <w:rsid w:val="003D417B"/>
    <w:rsid w:val="003E3EA6"/>
    <w:rsid w:val="003E42CF"/>
    <w:rsid w:val="003E5E57"/>
    <w:rsid w:val="003E7A7B"/>
    <w:rsid w:val="003F2CCA"/>
    <w:rsid w:val="003F43C8"/>
    <w:rsid w:val="003F57B7"/>
    <w:rsid w:val="003F646B"/>
    <w:rsid w:val="00403E38"/>
    <w:rsid w:val="00404617"/>
    <w:rsid w:val="00404A84"/>
    <w:rsid w:val="00411965"/>
    <w:rsid w:val="0041225D"/>
    <w:rsid w:val="00412649"/>
    <w:rsid w:val="004143C5"/>
    <w:rsid w:val="00417565"/>
    <w:rsid w:val="004248EB"/>
    <w:rsid w:val="00426AA7"/>
    <w:rsid w:val="0043100F"/>
    <w:rsid w:val="0043341F"/>
    <w:rsid w:val="00433503"/>
    <w:rsid w:val="00437671"/>
    <w:rsid w:val="004411AE"/>
    <w:rsid w:val="004436EE"/>
    <w:rsid w:val="00444A80"/>
    <w:rsid w:val="0044577E"/>
    <w:rsid w:val="0045274D"/>
    <w:rsid w:val="004534A9"/>
    <w:rsid w:val="00454972"/>
    <w:rsid w:val="00457AF9"/>
    <w:rsid w:val="004604BE"/>
    <w:rsid w:val="004616A1"/>
    <w:rsid w:val="00467784"/>
    <w:rsid w:val="004705D3"/>
    <w:rsid w:val="00472961"/>
    <w:rsid w:val="00477DE6"/>
    <w:rsid w:val="00482B05"/>
    <w:rsid w:val="00484950"/>
    <w:rsid w:val="00487B10"/>
    <w:rsid w:val="00492ED9"/>
    <w:rsid w:val="004934DA"/>
    <w:rsid w:val="004A1BC1"/>
    <w:rsid w:val="004A1D0F"/>
    <w:rsid w:val="004A53EB"/>
    <w:rsid w:val="004A62D5"/>
    <w:rsid w:val="004B448B"/>
    <w:rsid w:val="004B6E95"/>
    <w:rsid w:val="004C3270"/>
    <w:rsid w:val="004C658D"/>
    <w:rsid w:val="004C6C00"/>
    <w:rsid w:val="004C729A"/>
    <w:rsid w:val="004D31A5"/>
    <w:rsid w:val="004E0983"/>
    <w:rsid w:val="004E2206"/>
    <w:rsid w:val="004E4062"/>
    <w:rsid w:val="004F1D3C"/>
    <w:rsid w:val="004F3982"/>
    <w:rsid w:val="004F3BEF"/>
    <w:rsid w:val="004F3C33"/>
    <w:rsid w:val="004F3FD6"/>
    <w:rsid w:val="004F445E"/>
    <w:rsid w:val="00511E98"/>
    <w:rsid w:val="00512C31"/>
    <w:rsid w:val="00514285"/>
    <w:rsid w:val="005143DE"/>
    <w:rsid w:val="00515EE2"/>
    <w:rsid w:val="00516C5D"/>
    <w:rsid w:val="00523F65"/>
    <w:rsid w:val="00524206"/>
    <w:rsid w:val="00524EE6"/>
    <w:rsid w:val="005253B9"/>
    <w:rsid w:val="005330E7"/>
    <w:rsid w:val="00536AB7"/>
    <w:rsid w:val="00536D1E"/>
    <w:rsid w:val="00541302"/>
    <w:rsid w:val="00546592"/>
    <w:rsid w:val="005524B6"/>
    <w:rsid w:val="005526F0"/>
    <w:rsid w:val="00556C7A"/>
    <w:rsid w:val="00556D95"/>
    <w:rsid w:val="00562BC1"/>
    <w:rsid w:val="00563539"/>
    <w:rsid w:val="005635B2"/>
    <w:rsid w:val="00565214"/>
    <w:rsid w:val="00570A58"/>
    <w:rsid w:val="0057228F"/>
    <w:rsid w:val="005737F0"/>
    <w:rsid w:val="00573FBA"/>
    <w:rsid w:val="0058728B"/>
    <w:rsid w:val="005971E8"/>
    <w:rsid w:val="005A2103"/>
    <w:rsid w:val="005A519F"/>
    <w:rsid w:val="005A76BE"/>
    <w:rsid w:val="005A7F91"/>
    <w:rsid w:val="005B04C2"/>
    <w:rsid w:val="005B633E"/>
    <w:rsid w:val="005C095B"/>
    <w:rsid w:val="005C4CDB"/>
    <w:rsid w:val="005C527D"/>
    <w:rsid w:val="005C5CFB"/>
    <w:rsid w:val="005D0FAB"/>
    <w:rsid w:val="005D239E"/>
    <w:rsid w:val="005D3440"/>
    <w:rsid w:val="005D413C"/>
    <w:rsid w:val="005D7096"/>
    <w:rsid w:val="005E0F78"/>
    <w:rsid w:val="005E5FD9"/>
    <w:rsid w:val="005E73D7"/>
    <w:rsid w:val="005F134C"/>
    <w:rsid w:val="005F4D31"/>
    <w:rsid w:val="005F4F77"/>
    <w:rsid w:val="005F595A"/>
    <w:rsid w:val="005F7017"/>
    <w:rsid w:val="006051BA"/>
    <w:rsid w:val="006079E8"/>
    <w:rsid w:val="00611E32"/>
    <w:rsid w:val="00611F24"/>
    <w:rsid w:val="006127E2"/>
    <w:rsid w:val="006161EF"/>
    <w:rsid w:val="00623ED8"/>
    <w:rsid w:val="00625920"/>
    <w:rsid w:val="006262D3"/>
    <w:rsid w:val="006304BD"/>
    <w:rsid w:val="00635D0E"/>
    <w:rsid w:val="00643E8F"/>
    <w:rsid w:val="00645564"/>
    <w:rsid w:val="00647EDC"/>
    <w:rsid w:val="00651C40"/>
    <w:rsid w:val="0065212A"/>
    <w:rsid w:val="0065263E"/>
    <w:rsid w:val="006546E0"/>
    <w:rsid w:val="0065566B"/>
    <w:rsid w:val="006571CF"/>
    <w:rsid w:val="006633F3"/>
    <w:rsid w:val="0066658C"/>
    <w:rsid w:val="006750E1"/>
    <w:rsid w:val="00684906"/>
    <w:rsid w:val="00684B6E"/>
    <w:rsid w:val="006910F8"/>
    <w:rsid w:val="00691E2D"/>
    <w:rsid w:val="00691ECE"/>
    <w:rsid w:val="00692B32"/>
    <w:rsid w:val="00693BC0"/>
    <w:rsid w:val="006942EC"/>
    <w:rsid w:val="00695AEE"/>
    <w:rsid w:val="00695E65"/>
    <w:rsid w:val="00696B63"/>
    <w:rsid w:val="006A0380"/>
    <w:rsid w:val="006A1675"/>
    <w:rsid w:val="006A5BBD"/>
    <w:rsid w:val="006A6689"/>
    <w:rsid w:val="006A6CE3"/>
    <w:rsid w:val="006A6E90"/>
    <w:rsid w:val="006C03AE"/>
    <w:rsid w:val="006C337F"/>
    <w:rsid w:val="006C3434"/>
    <w:rsid w:val="006C5015"/>
    <w:rsid w:val="006C7655"/>
    <w:rsid w:val="006C794E"/>
    <w:rsid w:val="006D3455"/>
    <w:rsid w:val="006D407F"/>
    <w:rsid w:val="006D4C7F"/>
    <w:rsid w:val="006D5450"/>
    <w:rsid w:val="006D5D8B"/>
    <w:rsid w:val="006D6A72"/>
    <w:rsid w:val="006E3FD5"/>
    <w:rsid w:val="006E79B5"/>
    <w:rsid w:val="006E7FCE"/>
    <w:rsid w:val="006F0733"/>
    <w:rsid w:val="006F2595"/>
    <w:rsid w:val="006F407E"/>
    <w:rsid w:val="006F614F"/>
    <w:rsid w:val="006F6D59"/>
    <w:rsid w:val="006F77E1"/>
    <w:rsid w:val="006F7800"/>
    <w:rsid w:val="006F7C7C"/>
    <w:rsid w:val="007009EC"/>
    <w:rsid w:val="00703FAA"/>
    <w:rsid w:val="0070475F"/>
    <w:rsid w:val="00706BAD"/>
    <w:rsid w:val="007075AF"/>
    <w:rsid w:val="00713285"/>
    <w:rsid w:val="00715A6A"/>
    <w:rsid w:val="00720B07"/>
    <w:rsid w:val="007212B6"/>
    <w:rsid w:val="0072221E"/>
    <w:rsid w:val="00723FCF"/>
    <w:rsid w:val="00727602"/>
    <w:rsid w:val="00731783"/>
    <w:rsid w:val="00731EC7"/>
    <w:rsid w:val="007323D5"/>
    <w:rsid w:val="0073525F"/>
    <w:rsid w:val="00737F8E"/>
    <w:rsid w:val="00740B57"/>
    <w:rsid w:val="0074169F"/>
    <w:rsid w:val="00741C37"/>
    <w:rsid w:val="00746D9D"/>
    <w:rsid w:val="00747F98"/>
    <w:rsid w:val="007506EE"/>
    <w:rsid w:val="0075341E"/>
    <w:rsid w:val="00755994"/>
    <w:rsid w:val="00757CB3"/>
    <w:rsid w:val="0076051D"/>
    <w:rsid w:val="0076349A"/>
    <w:rsid w:val="007658C9"/>
    <w:rsid w:val="00770930"/>
    <w:rsid w:val="00772BE6"/>
    <w:rsid w:val="007758EC"/>
    <w:rsid w:val="00777866"/>
    <w:rsid w:val="00780F24"/>
    <w:rsid w:val="00782F1E"/>
    <w:rsid w:val="00783F1B"/>
    <w:rsid w:val="0079101B"/>
    <w:rsid w:val="00792104"/>
    <w:rsid w:val="00792567"/>
    <w:rsid w:val="00793FD0"/>
    <w:rsid w:val="00795F8A"/>
    <w:rsid w:val="007A3E10"/>
    <w:rsid w:val="007A5E2D"/>
    <w:rsid w:val="007A6F15"/>
    <w:rsid w:val="007A7138"/>
    <w:rsid w:val="007C1775"/>
    <w:rsid w:val="007C39F8"/>
    <w:rsid w:val="007C60EC"/>
    <w:rsid w:val="007C69AE"/>
    <w:rsid w:val="007D1E9C"/>
    <w:rsid w:val="007D2CF9"/>
    <w:rsid w:val="007D4340"/>
    <w:rsid w:val="007D466E"/>
    <w:rsid w:val="007D70CC"/>
    <w:rsid w:val="007D70E0"/>
    <w:rsid w:val="007E1D3B"/>
    <w:rsid w:val="007E1E13"/>
    <w:rsid w:val="007E2E29"/>
    <w:rsid w:val="007E3066"/>
    <w:rsid w:val="007E397F"/>
    <w:rsid w:val="007E411D"/>
    <w:rsid w:val="007E5794"/>
    <w:rsid w:val="007E59A8"/>
    <w:rsid w:val="007F0684"/>
    <w:rsid w:val="007F2E22"/>
    <w:rsid w:val="007F6DAF"/>
    <w:rsid w:val="007F7641"/>
    <w:rsid w:val="00804B1E"/>
    <w:rsid w:val="00804CBC"/>
    <w:rsid w:val="00807135"/>
    <w:rsid w:val="0080749D"/>
    <w:rsid w:val="00810C38"/>
    <w:rsid w:val="008135E5"/>
    <w:rsid w:val="008153AD"/>
    <w:rsid w:val="00816D9C"/>
    <w:rsid w:val="0081789A"/>
    <w:rsid w:val="00820431"/>
    <w:rsid w:val="0082296D"/>
    <w:rsid w:val="00822C49"/>
    <w:rsid w:val="00822D17"/>
    <w:rsid w:val="00822E41"/>
    <w:rsid w:val="00824BFC"/>
    <w:rsid w:val="00825AC7"/>
    <w:rsid w:val="00831285"/>
    <w:rsid w:val="00835705"/>
    <w:rsid w:val="00835AC1"/>
    <w:rsid w:val="00837493"/>
    <w:rsid w:val="00837692"/>
    <w:rsid w:val="00837993"/>
    <w:rsid w:val="00840C5C"/>
    <w:rsid w:val="00840E78"/>
    <w:rsid w:val="00841B2A"/>
    <w:rsid w:val="0084248D"/>
    <w:rsid w:val="008427D5"/>
    <w:rsid w:val="00843642"/>
    <w:rsid w:val="00843DBE"/>
    <w:rsid w:val="00845EEE"/>
    <w:rsid w:val="0084622B"/>
    <w:rsid w:val="00846E0A"/>
    <w:rsid w:val="00852A0C"/>
    <w:rsid w:val="00854673"/>
    <w:rsid w:val="00856270"/>
    <w:rsid w:val="00856578"/>
    <w:rsid w:val="00860705"/>
    <w:rsid w:val="008617B2"/>
    <w:rsid w:val="00862419"/>
    <w:rsid w:val="00862BBF"/>
    <w:rsid w:val="00862BCA"/>
    <w:rsid w:val="00862DC5"/>
    <w:rsid w:val="008632F9"/>
    <w:rsid w:val="008641B3"/>
    <w:rsid w:val="008654A8"/>
    <w:rsid w:val="00867370"/>
    <w:rsid w:val="00872999"/>
    <w:rsid w:val="008746CE"/>
    <w:rsid w:val="00874713"/>
    <w:rsid w:val="008762DF"/>
    <w:rsid w:val="0088173F"/>
    <w:rsid w:val="00881A56"/>
    <w:rsid w:val="0088493D"/>
    <w:rsid w:val="00890D3D"/>
    <w:rsid w:val="0089538B"/>
    <w:rsid w:val="008A018F"/>
    <w:rsid w:val="008A42A0"/>
    <w:rsid w:val="008A4C67"/>
    <w:rsid w:val="008A64FE"/>
    <w:rsid w:val="008B03D8"/>
    <w:rsid w:val="008B1B00"/>
    <w:rsid w:val="008B205D"/>
    <w:rsid w:val="008B38AA"/>
    <w:rsid w:val="008B3AB8"/>
    <w:rsid w:val="008B5E70"/>
    <w:rsid w:val="008B7A4A"/>
    <w:rsid w:val="008B7EA0"/>
    <w:rsid w:val="008C1144"/>
    <w:rsid w:val="008C56F8"/>
    <w:rsid w:val="008C608C"/>
    <w:rsid w:val="008C63F1"/>
    <w:rsid w:val="008C6770"/>
    <w:rsid w:val="008D26B1"/>
    <w:rsid w:val="008D6B4A"/>
    <w:rsid w:val="008E2885"/>
    <w:rsid w:val="008E4D80"/>
    <w:rsid w:val="008E78DC"/>
    <w:rsid w:val="008F2D58"/>
    <w:rsid w:val="008F38AD"/>
    <w:rsid w:val="008F4733"/>
    <w:rsid w:val="009014C1"/>
    <w:rsid w:val="00905B0F"/>
    <w:rsid w:val="00906A64"/>
    <w:rsid w:val="00910736"/>
    <w:rsid w:val="0091421C"/>
    <w:rsid w:val="00915875"/>
    <w:rsid w:val="009169D5"/>
    <w:rsid w:val="00916AF5"/>
    <w:rsid w:val="00917AB1"/>
    <w:rsid w:val="00917E0E"/>
    <w:rsid w:val="009208EF"/>
    <w:rsid w:val="00920AF6"/>
    <w:rsid w:val="00925055"/>
    <w:rsid w:val="009270A2"/>
    <w:rsid w:val="00927289"/>
    <w:rsid w:val="009365AE"/>
    <w:rsid w:val="009373BF"/>
    <w:rsid w:val="0094154D"/>
    <w:rsid w:val="00941F21"/>
    <w:rsid w:val="0094699C"/>
    <w:rsid w:val="0095262B"/>
    <w:rsid w:val="00964457"/>
    <w:rsid w:val="00964E79"/>
    <w:rsid w:val="009678F7"/>
    <w:rsid w:val="00967CCA"/>
    <w:rsid w:val="0097150B"/>
    <w:rsid w:val="00971A10"/>
    <w:rsid w:val="00971AC6"/>
    <w:rsid w:val="009729BA"/>
    <w:rsid w:val="00973DAC"/>
    <w:rsid w:val="00975EDC"/>
    <w:rsid w:val="00982378"/>
    <w:rsid w:val="00982AA1"/>
    <w:rsid w:val="00982F50"/>
    <w:rsid w:val="00985E49"/>
    <w:rsid w:val="0098735A"/>
    <w:rsid w:val="00992D48"/>
    <w:rsid w:val="0099766B"/>
    <w:rsid w:val="009A02A2"/>
    <w:rsid w:val="009A3451"/>
    <w:rsid w:val="009A3FE5"/>
    <w:rsid w:val="009A4D1E"/>
    <w:rsid w:val="009A723A"/>
    <w:rsid w:val="009A7A7A"/>
    <w:rsid w:val="009B07DD"/>
    <w:rsid w:val="009B3C80"/>
    <w:rsid w:val="009B3F06"/>
    <w:rsid w:val="009B709A"/>
    <w:rsid w:val="009B7D12"/>
    <w:rsid w:val="009B7E89"/>
    <w:rsid w:val="009C49C0"/>
    <w:rsid w:val="009C698D"/>
    <w:rsid w:val="009E4F60"/>
    <w:rsid w:val="009E51D5"/>
    <w:rsid w:val="009F177E"/>
    <w:rsid w:val="009F1958"/>
    <w:rsid w:val="009F288B"/>
    <w:rsid w:val="009F661A"/>
    <w:rsid w:val="00A00665"/>
    <w:rsid w:val="00A03316"/>
    <w:rsid w:val="00A11B61"/>
    <w:rsid w:val="00A11C32"/>
    <w:rsid w:val="00A12881"/>
    <w:rsid w:val="00A1326A"/>
    <w:rsid w:val="00A14CF8"/>
    <w:rsid w:val="00A1629A"/>
    <w:rsid w:val="00A17582"/>
    <w:rsid w:val="00A20300"/>
    <w:rsid w:val="00A20B8A"/>
    <w:rsid w:val="00A21469"/>
    <w:rsid w:val="00A2173C"/>
    <w:rsid w:val="00A22CA0"/>
    <w:rsid w:val="00A27372"/>
    <w:rsid w:val="00A2768E"/>
    <w:rsid w:val="00A27B92"/>
    <w:rsid w:val="00A30BC9"/>
    <w:rsid w:val="00A41C6C"/>
    <w:rsid w:val="00A431E6"/>
    <w:rsid w:val="00A432D7"/>
    <w:rsid w:val="00A4341E"/>
    <w:rsid w:val="00A43959"/>
    <w:rsid w:val="00A43FE7"/>
    <w:rsid w:val="00A447AE"/>
    <w:rsid w:val="00A4630A"/>
    <w:rsid w:val="00A46E9F"/>
    <w:rsid w:val="00A50F2E"/>
    <w:rsid w:val="00A516F8"/>
    <w:rsid w:val="00A51AE4"/>
    <w:rsid w:val="00A52B7F"/>
    <w:rsid w:val="00A52BF4"/>
    <w:rsid w:val="00A5554B"/>
    <w:rsid w:val="00A5596F"/>
    <w:rsid w:val="00A56E54"/>
    <w:rsid w:val="00A572B4"/>
    <w:rsid w:val="00A61328"/>
    <w:rsid w:val="00A66D9D"/>
    <w:rsid w:val="00A74742"/>
    <w:rsid w:val="00A77560"/>
    <w:rsid w:val="00A816AF"/>
    <w:rsid w:val="00A82732"/>
    <w:rsid w:val="00A8410D"/>
    <w:rsid w:val="00A84722"/>
    <w:rsid w:val="00A85744"/>
    <w:rsid w:val="00A865B7"/>
    <w:rsid w:val="00A86C0A"/>
    <w:rsid w:val="00A95667"/>
    <w:rsid w:val="00A95FBB"/>
    <w:rsid w:val="00AA02C0"/>
    <w:rsid w:val="00AA2759"/>
    <w:rsid w:val="00AA2C2C"/>
    <w:rsid w:val="00AA52D5"/>
    <w:rsid w:val="00AA57BD"/>
    <w:rsid w:val="00AB0760"/>
    <w:rsid w:val="00AB106D"/>
    <w:rsid w:val="00AB2531"/>
    <w:rsid w:val="00AB2DAB"/>
    <w:rsid w:val="00AB5FA2"/>
    <w:rsid w:val="00AC01FD"/>
    <w:rsid w:val="00AC0668"/>
    <w:rsid w:val="00AC1913"/>
    <w:rsid w:val="00AC2AD2"/>
    <w:rsid w:val="00AC39F3"/>
    <w:rsid w:val="00AC3F8A"/>
    <w:rsid w:val="00AC5B3B"/>
    <w:rsid w:val="00AC739F"/>
    <w:rsid w:val="00AD2C67"/>
    <w:rsid w:val="00AD7595"/>
    <w:rsid w:val="00AE1664"/>
    <w:rsid w:val="00AE24BB"/>
    <w:rsid w:val="00AE3974"/>
    <w:rsid w:val="00AE5CD2"/>
    <w:rsid w:val="00AE6E4A"/>
    <w:rsid w:val="00AF1799"/>
    <w:rsid w:val="00AF6F18"/>
    <w:rsid w:val="00B0101A"/>
    <w:rsid w:val="00B02C9A"/>
    <w:rsid w:val="00B048F9"/>
    <w:rsid w:val="00B058EA"/>
    <w:rsid w:val="00B05927"/>
    <w:rsid w:val="00B05F00"/>
    <w:rsid w:val="00B07EB8"/>
    <w:rsid w:val="00B1215C"/>
    <w:rsid w:val="00B12626"/>
    <w:rsid w:val="00B13D8A"/>
    <w:rsid w:val="00B13DCD"/>
    <w:rsid w:val="00B166DD"/>
    <w:rsid w:val="00B23410"/>
    <w:rsid w:val="00B3269A"/>
    <w:rsid w:val="00B3463B"/>
    <w:rsid w:val="00B35393"/>
    <w:rsid w:val="00B440A0"/>
    <w:rsid w:val="00B44895"/>
    <w:rsid w:val="00B5149B"/>
    <w:rsid w:val="00B51A40"/>
    <w:rsid w:val="00B52709"/>
    <w:rsid w:val="00B52CC8"/>
    <w:rsid w:val="00B55A59"/>
    <w:rsid w:val="00B60CBC"/>
    <w:rsid w:val="00B628A8"/>
    <w:rsid w:val="00B712D3"/>
    <w:rsid w:val="00B75961"/>
    <w:rsid w:val="00B759F8"/>
    <w:rsid w:val="00B76BAF"/>
    <w:rsid w:val="00B77242"/>
    <w:rsid w:val="00B80F71"/>
    <w:rsid w:val="00B82EC3"/>
    <w:rsid w:val="00B85FCB"/>
    <w:rsid w:val="00B90420"/>
    <w:rsid w:val="00B93AC9"/>
    <w:rsid w:val="00B93F12"/>
    <w:rsid w:val="00B9698A"/>
    <w:rsid w:val="00B97520"/>
    <w:rsid w:val="00BA0B29"/>
    <w:rsid w:val="00BA1640"/>
    <w:rsid w:val="00BA433A"/>
    <w:rsid w:val="00BB0206"/>
    <w:rsid w:val="00BB1276"/>
    <w:rsid w:val="00BB72BD"/>
    <w:rsid w:val="00BC137E"/>
    <w:rsid w:val="00BC1D16"/>
    <w:rsid w:val="00BC3603"/>
    <w:rsid w:val="00BC5B74"/>
    <w:rsid w:val="00BC6BEA"/>
    <w:rsid w:val="00BD17E6"/>
    <w:rsid w:val="00BD45A2"/>
    <w:rsid w:val="00BE08A9"/>
    <w:rsid w:val="00BE35FC"/>
    <w:rsid w:val="00BE4585"/>
    <w:rsid w:val="00BE5D0D"/>
    <w:rsid w:val="00BE700D"/>
    <w:rsid w:val="00BE7022"/>
    <w:rsid w:val="00BF0AA8"/>
    <w:rsid w:val="00BF22F7"/>
    <w:rsid w:val="00BF421D"/>
    <w:rsid w:val="00BF4244"/>
    <w:rsid w:val="00BF7E12"/>
    <w:rsid w:val="00BF7F75"/>
    <w:rsid w:val="00C0064C"/>
    <w:rsid w:val="00C0103B"/>
    <w:rsid w:val="00C03C3D"/>
    <w:rsid w:val="00C0459F"/>
    <w:rsid w:val="00C0685F"/>
    <w:rsid w:val="00C10B6B"/>
    <w:rsid w:val="00C14EC8"/>
    <w:rsid w:val="00C20B9C"/>
    <w:rsid w:val="00C24799"/>
    <w:rsid w:val="00C252C7"/>
    <w:rsid w:val="00C26965"/>
    <w:rsid w:val="00C26D9A"/>
    <w:rsid w:val="00C3054C"/>
    <w:rsid w:val="00C306B0"/>
    <w:rsid w:val="00C34255"/>
    <w:rsid w:val="00C35FAF"/>
    <w:rsid w:val="00C40B90"/>
    <w:rsid w:val="00C4232E"/>
    <w:rsid w:val="00C43BFC"/>
    <w:rsid w:val="00C448F6"/>
    <w:rsid w:val="00C451DA"/>
    <w:rsid w:val="00C53EA2"/>
    <w:rsid w:val="00C577C1"/>
    <w:rsid w:val="00C61523"/>
    <w:rsid w:val="00C62546"/>
    <w:rsid w:val="00C63571"/>
    <w:rsid w:val="00C64FF2"/>
    <w:rsid w:val="00C65590"/>
    <w:rsid w:val="00C70CB2"/>
    <w:rsid w:val="00C72933"/>
    <w:rsid w:val="00C774CC"/>
    <w:rsid w:val="00C809B6"/>
    <w:rsid w:val="00C80FA7"/>
    <w:rsid w:val="00C81343"/>
    <w:rsid w:val="00C82D5A"/>
    <w:rsid w:val="00C846CA"/>
    <w:rsid w:val="00C85C7F"/>
    <w:rsid w:val="00C87474"/>
    <w:rsid w:val="00C91872"/>
    <w:rsid w:val="00C91A03"/>
    <w:rsid w:val="00C9362B"/>
    <w:rsid w:val="00C93B4A"/>
    <w:rsid w:val="00C95749"/>
    <w:rsid w:val="00C95F5B"/>
    <w:rsid w:val="00CA1DE7"/>
    <w:rsid w:val="00CA47E1"/>
    <w:rsid w:val="00CA4A14"/>
    <w:rsid w:val="00CA790F"/>
    <w:rsid w:val="00CB3216"/>
    <w:rsid w:val="00CB3973"/>
    <w:rsid w:val="00CB4C24"/>
    <w:rsid w:val="00CC01CC"/>
    <w:rsid w:val="00CC089E"/>
    <w:rsid w:val="00CC0C3B"/>
    <w:rsid w:val="00CC2D89"/>
    <w:rsid w:val="00CC5EF9"/>
    <w:rsid w:val="00CC6FFC"/>
    <w:rsid w:val="00CD2055"/>
    <w:rsid w:val="00CD28CC"/>
    <w:rsid w:val="00CD529B"/>
    <w:rsid w:val="00CD53AD"/>
    <w:rsid w:val="00CD642D"/>
    <w:rsid w:val="00CE0B96"/>
    <w:rsid w:val="00CE25FA"/>
    <w:rsid w:val="00CE49FA"/>
    <w:rsid w:val="00CE5074"/>
    <w:rsid w:val="00CF0F04"/>
    <w:rsid w:val="00CF1579"/>
    <w:rsid w:val="00CF58C1"/>
    <w:rsid w:val="00CF61C2"/>
    <w:rsid w:val="00D009F4"/>
    <w:rsid w:val="00D00E79"/>
    <w:rsid w:val="00D016A3"/>
    <w:rsid w:val="00D017F3"/>
    <w:rsid w:val="00D01F9A"/>
    <w:rsid w:val="00D0202E"/>
    <w:rsid w:val="00D03C14"/>
    <w:rsid w:val="00D05110"/>
    <w:rsid w:val="00D065EA"/>
    <w:rsid w:val="00D1252A"/>
    <w:rsid w:val="00D14ADF"/>
    <w:rsid w:val="00D14D9A"/>
    <w:rsid w:val="00D1687A"/>
    <w:rsid w:val="00D319AA"/>
    <w:rsid w:val="00D31FD8"/>
    <w:rsid w:val="00D320DD"/>
    <w:rsid w:val="00D32174"/>
    <w:rsid w:val="00D33A73"/>
    <w:rsid w:val="00D35472"/>
    <w:rsid w:val="00D36175"/>
    <w:rsid w:val="00D37AA5"/>
    <w:rsid w:val="00D37C22"/>
    <w:rsid w:val="00D425F6"/>
    <w:rsid w:val="00D426D6"/>
    <w:rsid w:val="00D44D0C"/>
    <w:rsid w:val="00D4538E"/>
    <w:rsid w:val="00D5634A"/>
    <w:rsid w:val="00D57461"/>
    <w:rsid w:val="00D6045A"/>
    <w:rsid w:val="00D60EDE"/>
    <w:rsid w:val="00D6175E"/>
    <w:rsid w:val="00D64D54"/>
    <w:rsid w:val="00D66C5A"/>
    <w:rsid w:val="00D67223"/>
    <w:rsid w:val="00D6749D"/>
    <w:rsid w:val="00D67EDD"/>
    <w:rsid w:val="00D72EF5"/>
    <w:rsid w:val="00D737B6"/>
    <w:rsid w:val="00D80BCE"/>
    <w:rsid w:val="00D83D71"/>
    <w:rsid w:val="00D83DA4"/>
    <w:rsid w:val="00D84091"/>
    <w:rsid w:val="00D84E08"/>
    <w:rsid w:val="00D85325"/>
    <w:rsid w:val="00D86F94"/>
    <w:rsid w:val="00D911BA"/>
    <w:rsid w:val="00D91C85"/>
    <w:rsid w:val="00D92233"/>
    <w:rsid w:val="00D9517F"/>
    <w:rsid w:val="00D953D4"/>
    <w:rsid w:val="00D9739A"/>
    <w:rsid w:val="00DA002F"/>
    <w:rsid w:val="00DA4924"/>
    <w:rsid w:val="00DA7CBE"/>
    <w:rsid w:val="00DB0652"/>
    <w:rsid w:val="00DB07F3"/>
    <w:rsid w:val="00DB163E"/>
    <w:rsid w:val="00DB2E68"/>
    <w:rsid w:val="00DB3562"/>
    <w:rsid w:val="00DB4AF9"/>
    <w:rsid w:val="00DB5EA1"/>
    <w:rsid w:val="00DB665D"/>
    <w:rsid w:val="00DB6B6B"/>
    <w:rsid w:val="00DB775F"/>
    <w:rsid w:val="00DC0EEF"/>
    <w:rsid w:val="00DC45B7"/>
    <w:rsid w:val="00DC5BF9"/>
    <w:rsid w:val="00DD07BD"/>
    <w:rsid w:val="00DD56A5"/>
    <w:rsid w:val="00DD6796"/>
    <w:rsid w:val="00DD7C95"/>
    <w:rsid w:val="00DD7DF1"/>
    <w:rsid w:val="00DE1022"/>
    <w:rsid w:val="00DE3C3B"/>
    <w:rsid w:val="00DE46E8"/>
    <w:rsid w:val="00DE63A5"/>
    <w:rsid w:val="00DF655F"/>
    <w:rsid w:val="00DF6AF7"/>
    <w:rsid w:val="00E01C6D"/>
    <w:rsid w:val="00E023A2"/>
    <w:rsid w:val="00E051BB"/>
    <w:rsid w:val="00E05F79"/>
    <w:rsid w:val="00E073D9"/>
    <w:rsid w:val="00E07A89"/>
    <w:rsid w:val="00E1211E"/>
    <w:rsid w:val="00E14800"/>
    <w:rsid w:val="00E15768"/>
    <w:rsid w:val="00E16429"/>
    <w:rsid w:val="00E17F38"/>
    <w:rsid w:val="00E20BDE"/>
    <w:rsid w:val="00E233EE"/>
    <w:rsid w:val="00E23992"/>
    <w:rsid w:val="00E23A67"/>
    <w:rsid w:val="00E25039"/>
    <w:rsid w:val="00E25210"/>
    <w:rsid w:val="00E258E6"/>
    <w:rsid w:val="00E25B08"/>
    <w:rsid w:val="00E26568"/>
    <w:rsid w:val="00E30974"/>
    <w:rsid w:val="00E32377"/>
    <w:rsid w:val="00E419C6"/>
    <w:rsid w:val="00E44570"/>
    <w:rsid w:val="00E50D32"/>
    <w:rsid w:val="00E56DCF"/>
    <w:rsid w:val="00E61F2F"/>
    <w:rsid w:val="00E6292E"/>
    <w:rsid w:val="00E649DD"/>
    <w:rsid w:val="00E6586D"/>
    <w:rsid w:val="00E70B76"/>
    <w:rsid w:val="00E77DA0"/>
    <w:rsid w:val="00E817DA"/>
    <w:rsid w:val="00E837CA"/>
    <w:rsid w:val="00E84FA7"/>
    <w:rsid w:val="00E85F21"/>
    <w:rsid w:val="00E865DB"/>
    <w:rsid w:val="00E9104B"/>
    <w:rsid w:val="00E92D95"/>
    <w:rsid w:val="00E930F6"/>
    <w:rsid w:val="00E97B1B"/>
    <w:rsid w:val="00EA16FB"/>
    <w:rsid w:val="00EA2949"/>
    <w:rsid w:val="00EA4653"/>
    <w:rsid w:val="00EA68EC"/>
    <w:rsid w:val="00EA7C89"/>
    <w:rsid w:val="00EB064A"/>
    <w:rsid w:val="00EB2353"/>
    <w:rsid w:val="00EB3370"/>
    <w:rsid w:val="00EB39B1"/>
    <w:rsid w:val="00EC4138"/>
    <w:rsid w:val="00EC4B17"/>
    <w:rsid w:val="00EC61BB"/>
    <w:rsid w:val="00EC7262"/>
    <w:rsid w:val="00ED0FF3"/>
    <w:rsid w:val="00ED1436"/>
    <w:rsid w:val="00ED2153"/>
    <w:rsid w:val="00ED218F"/>
    <w:rsid w:val="00ED21F1"/>
    <w:rsid w:val="00ED7DDA"/>
    <w:rsid w:val="00EE55E8"/>
    <w:rsid w:val="00EE6DD8"/>
    <w:rsid w:val="00EF5624"/>
    <w:rsid w:val="00F03AEC"/>
    <w:rsid w:val="00F0716F"/>
    <w:rsid w:val="00F130B8"/>
    <w:rsid w:val="00F157CF"/>
    <w:rsid w:val="00F2540C"/>
    <w:rsid w:val="00F300E1"/>
    <w:rsid w:val="00F35AD1"/>
    <w:rsid w:val="00F4271D"/>
    <w:rsid w:val="00F427A9"/>
    <w:rsid w:val="00F45478"/>
    <w:rsid w:val="00F46C59"/>
    <w:rsid w:val="00F52F41"/>
    <w:rsid w:val="00F55172"/>
    <w:rsid w:val="00F55BBB"/>
    <w:rsid w:val="00F602B4"/>
    <w:rsid w:val="00F61ABA"/>
    <w:rsid w:val="00F637A6"/>
    <w:rsid w:val="00F66AC9"/>
    <w:rsid w:val="00F674F2"/>
    <w:rsid w:val="00F70E85"/>
    <w:rsid w:val="00F71D13"/>
    <w:rsid w:val="00F722FF"/>
    <w:rsid w:val="00F727A6"/>
    <w:rsid w:val="00F77FFC"/>
    <w:rsid w:val="00F80A98"/>
    <w:rsid w:val="00F82D5D"/>
    <w:rsid w:val="00F92F37"/>
    <w:rsid w:val="00F94A02"/>
    <w:rsid w:val="00FA1D39"/>
    <w:rsid w:val="00FA2A7A"/>
    <w:rsid w:val="00FA31A4"/>
    <w:rsid w:val="00FA74E0"/>
    <w:rsid w:val="00FB1706"/>
    <w:rsid w:val="00FB1CE2"/>
    <w:rsid w:val="00FB21B1"/>
    <w:rsid w:val="00FB37D5"/>
    <w:rsid w:val="00FB4120"/>
    <w:rsid w:val="00FB62ED"/>
    <w:rsid w:val="00FB65AA"/>
    <w:rsid w:val="00FB7F32"/>
    <w:rsid w:val="00FC03FA"/>
    <w:rsid w:val="00FC188A"/>
    <w:rsid w:val="00FC32E0"/>
    <w:rsid w:val="00FC45E8"/>
    <w:rsid w:val="00FC7A64"/>
    <w:rsid w:val="00FD17E9"/>
    <w:rsid w:val="00FD3070"/>
    <w:rsid w:val="00FD5288"/>
    <w:rsid w:val="00FD76D7"/>
    <w:rsid w:val="00FE0811"/>
    <w:rsid w:val="00FE727F"/>
    <w:rsid w:val="00FE778A"/>
    <w:rsid w:val="00FF0613"/>
    <w:rsid w:val="00FF127F"/>
    <w:rsid w:val="00FF1EE1"/>
    <w:rsid w:val="00FF48C2"/>
    <w:rsid w:val="00FF4CE2"/>
    <w:rsid w:val="00FF7507"/>
    <w:rsid w:val="00FF7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73F55E"/>
  <w15:docId w15:val="{010D9B09-C3B6-4B2D-99DE-A1178277B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1A5"/>
  </w:style>
  <w:style w:type="paragraph" w:styleId="Heading3">
    <w:name w:val="heading 3"/>
    <w:basedOn w:val="Normal"/>
    <w:link w:val="Heading3Char"/>
    <w:qFormat/>
    <w:rsid w:val="00CE25FA"/>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F4F77"/>
    <w:pPr>
      <w:spacing w:after="0" w:line="240" w:lineRule="auto"/>
    </w:pPr>
    <w:rPr>
      <w:sz w:val="20"/>
      <w:szCs w:val="20"/>
    </w:rPr>
  </w:style>
  <w:style w:type="character" w:customStyle="1" w:styleId="FootnoteTextChar">
    <w:name w:val="Footnote Text Char"/>
    <w:basedOn w:val="DefaultParagraphFont"/>
    <w:link w:val="FootnoteText"/>
    <w:uiPriority w:val="99"/>
    <w:rsid w:val="005F4F77"/>
    <w:rPr>
      <w:sz w:val="20"/>
      <w:szCs w:val="20"/>
    </w:rPr>
  </w:style>
  <w:style w:type="character" w:styleId="FootnoteReference">
    <w:name w:val="footnote reference"/>
    <w:basedOn w:val="DefaultParagraphFont"/>
    <w:uiPriority w:val="99"/>
    <w:semiHidden/>
    <w:unhideWhenUsed/>
    <w:rsid w:val="005F4F77"/>
    <w:rPr>
      <w:vertAlign w:val="superscript"/>
    </w:rPr>
  </w:style>
  <w:style w:type="paragraph" w:customStyle="1" w:styleId="Default">
    <w:name w:val="Default"/>
    <w:rsid w:val="00AE6E4A"/>
    <w:pPr>
      <w:autoSpaceDE w:val="0"/>
      <w:autoSpaceDN w:val="0"/>
      <w:adjustRightInd w:val="0"/>
      <w:spacing w:after="0" w:line="240" w:lineRule="auto"/>
    </w:pPr>
    <w:rPr>
      <w:rFonts w:ascii="Code" w:hAnsi="Code" w:cs="Code"/>
      <w:color w:val="000000"/>
      <w:sz w:val="24"/>
      <w:szCs w:val="24"/>
    </w:rPr>
  </w:style>
  <w:style w:type="paragraph" w:styleId="Header">
    <w:name w:val="header"/>
    <w:basedOn w:val="Normal"/>
    <w:link w:val="HeaderChar"/>
    <w:uiPriority w:val="99"/>
    <w:unhideWhenUsed/>
    <w:rsid w:val="00B77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242"/>
  </w:style>
  <w:style w:type="paragraph" w:styleId="Footer">
    <w:name w:val="footer"/>
    <w:basedOn w:val="Normal"/>
    <w:link w:val="FooterChar"/>
    <w:uiPriority w:val="99"/>
    <w:unhideWhenUsed/>
    <w:rsid w:val="00B77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242"/>
  </w:style>
  <w:style w:type="character" w:customStyle="1" w:styleId="Heading3Char">
    <w:name w:val="Heading 3 Char"/>
    <w:basedOn w:val="DefaultParagraphFont"/>
    <w:link w:val="Heading3"/>
    <w:rsid w:val="00CE25FA"/>
    <w:rPr>
      <w:rFonts w:ascii="Tahoma" w:eastAsia="SimSun" w:hAnsi="Tahoma" w:cs="Tahoma"/>
      <w:b/>
      <w:bCs/>
      <w:sz w:val="20"/>
      <w:szCs w:val="20"/>
      <w:lang w:val="en-GB" w:eastAsia="zh-CN"/>
    </w:rPr>
  </w:style>
  <w:style w:type="paragraph" w:styleId="NormalWeb">
    <w:name w:val="Normal (Web)"/>
    <w:basedOn w:val="Normal"/>
    <w:uiPriority w:val="99"/>
    <w:rsid w:val="00CE25FA"/>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CE25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5FA"/>
    <w:rPr>
      <w:rFonts w:ascii="Tahoma" w:hAnsi="Tahoma" w:cs="Tahoma"/>
      <w:sz w:val="16"/>
      <w:szCs w:val="16"/>
    </w:rPr>
  </w:style>
  <w:style w:type="paragraph" w:customStyle="1" w:styleId="EndNoteBibliographyTitle">
    <w:name w:val="EndNote Bibliography Title"/>
    <w:basedOn w:val="Normal"/>
    <w:link w:val="EndNoteBibliographyTitleChar"/>
    <w:rsid w:val="009E4F60"/>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E4F60"/>
    <w:rPr>
      <w:rFonts w:ascii="Calibri" w:hAnsi="Calibri" w:cs="Calibri"/>
      <w:noProof/>
    </w:rPr>
  </w:style>
  <w:style w:type="paragraph" w:customStyle="1" w:styleId="EndNoteBibliography">
    <w:name w:val="EndNote Bibliography"/>
    <w:basedOn w:val="Normal"/>
    <w:link w:val="EndNoteBibliographyChar"/>
    <w:rsid w:val="009E4F60"/>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9E4F60"/>
    <w:rPr>
      <w:rFonts w:ascii="Calibri" w:hAnsi="Calibri" w:cs="Calibri"/>
      <w:noProof/>
    </w:rPr>
  </w:style>
  <w:style w:type="character" w:styleId="Hyperlink">
    <w:name w:val="Hyperlink"/>
    <w:basedOn w:val="DefaultParagraphFont"/>
    <w:uiPriority w:val="99"/>
    <w:unhideWhenUsed/>
    <w:rsid w:val="00C95749"/>
    <w:rPr>
      <w:color w:val="0000FF" w:themeColor="hyperlink"/>
      <w:u w:val="single"/>
    </w:rPr>
  </w:style>
  <w:style w:type="character" w:styleId="UnresolvedMention">
    <w:name w:val="Unresolved Mention"/>
    <w:basedOn w:val="DefaultParagraphFont"/>
    <w:uiPriority w:val="99"/>
    <w:semiHidden/>
    <w:unhideWhenUsed/>
    <w:rsid w:val="00C957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26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F3D1A-9A3E-46A8-AC96-A6C8DD1DD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3092</Words>
  <Characters>17630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Wendy Kay Fey (2011982)</cp:lastModifiedBy>
  <cp:revision>2</cp:revision>
  <dcterms:created xsi:type="dcterms:W3CDTF">2021-03-31T16:08:00Z</dcterms:created>
  <dcterms:modified xsi:type="dcterms:W3CDTF">2021-03-31T16:08:00Z</dcterms:modified>
</cp:coreProperties>
</file>