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5100C" w14:textId="35AAE984" w:rsidR="001540BC" w:rsidRPr="0060171F" w:rsidRDefault="00551D0E" w:rsidP="0039389F">
      <w:pPr>
        <w:spacing w:after="0" w:line="360" w:lineRule="auto"/>
        <w:jc w:val="center"/>
        <w:rPr>
          <w:rFonts w:ascii="Times New Roman" w:hAnsi="Times New Roman" w:cs="Times New Roman"/>
          <w:b/>
          <w:bCs/>
          <w:color w:val="000000" w:themeColor="text1"/>
          <w:sz w:val="24"/>
          <w:szCs w:val="24"/>
          <w:u w:val="single"/>
        </w:rPr>
      </w:pPr>
      <w:r w:rsidRPr="0039389F">
        <w:rPr>
          <w:rFonts w:ascii="Times New Roman" w:hAnsi="Times New Roman" w:cs="Times New Roman"/>
          <w:b/>
          <w:bCs/>
          <w:color w:val="000000" w:themeColor="text1"/>
          <w:sz w:val="32"/>
          <w:szCs w:val="32"/>
          <w:u w:val="single"/>
        </w:rPr>
        <w:t>UNIVERSITY OF WALES TRINITY SAINT DAVID</w:t>
      </w:r>
    </w:p>
    <w:p w14:paraId="5180BCBF" w14:textId="12DE23A4" w:rsidR="00DA7B27" w:rsidRPr="00F90A82" w:rsidRDefault="00D92D84" w:rsidP="00485544">
      <w:pPr>
        <w:spacing w:line="360" w:lineRule="auto"/>
        <w:jc w:val="center"/>
        <w:rPr>
          <w:rFonts w:ascii="Times New Roman" w:hAnsi="Times New Roman" w:cs="Times New Roman"/>
          <w:color w:val="000000" w:themeColor="text1"/>
          <w:sz w:val="24"/>
          <w:szCs w:val="24"/>
        </w:rPr>
      </w:pPr>
      <w:r w:rsidRPr="00F90A82">
        <w:rPr>
          <w:rFonts w:ascii="Times New Roman" w:hAnsi="Times New Roman" w:cs="Times New Roman"/>
          <w:noProof/>
          <w:color w:val="000000" w:themeColor="text1"/>
          <w:sz w:val="24"/>
          <w:szCs w:val="24"/>
        </w:rPr>
        <w:drawing>
          <wp:inline distT="0" distB="0" distL="0" distR="0" wp14:anchorId="4FAB88E7" wp14:editId="7633898C">
            <wp:extent cx="2267712" cy="1888662"/>
            <wp:effectExtent l="0" t="0" r="0" b="0"/>
            <wp:docPr id="21464656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81239" cy="1983213"/>
                    </a:xfrm>
                    <a:prstGeom prst="rect">
                      <a:avLst/>
                    </a:prstGeom>
                    <a:noFill/>
                    <a:ln>
                      <a:noFill/>
                    </a:ln>
                  </pic:spPr>
                </pic:pic>
              </a:graphicData>
            </a:graphic>
          </wp:inline>
        </w:drawing>
      </w:r>
    </w:p>
    <w:p w14:paraId="7700C95E" w14:textId="77777777" w:rsidR="0039389F" w:rsidRPr="00F90A82" w:rsidRDefault="0039389F" w:rsidP="00485544">
      <w:pPr>
        <w:spacing w:line="360" w:lineRule="auto"/>
        <w:jc w:val="center"/>
        <w:rPr>
          <w:rFonts w:ascii="Times New Roman" w:hAnsi="Times New Roman" w:cs="Times New Roman"/>
          <w:color w:val="000000" w:themeColor="text1"/>
          <w:sz w:val="32"/>
          <w:szCs w:val="32"/>
        </w:rPr>
      </w:pPr>
    </w:p>
    <w:p w14:paraId="1BD65C24" w14:textId="0C246C64" w:rsidR="00DA7B27" w:rsidRPr="00F90A82" w:rsidRDefault="00246F13" w:rsidP="00485544">
      <w:pPr>
        <w:spacing w:line="360" w:lineRule="auto"/>
        <w:jc w:val="center"/>
        <w:rPr>
          <w:rFonts w:ascii="Times New Roman" w:hAnsi="Times New Roman" w:cs="Times New Roman"/>
          <w:b/>
          <w:bCs/>
          <w:color w:val="000000" w:themeColor="text1"/>
          <w:sz w:val="32"/>
          <w:szCs w:val="32"/>
        </w:rPr>
      </w:pPr>
      <w:r w:rsidRPr="00F90A82">
        <w:rPr>
          <w:rFonts w:ascii="Times New Roman" w:hAnsi="Times New Roman" w:cs="Times New Roman"/>
          <w:b/>
          <w:bCs/>
          <w:color w:val="000000" w:themeColor="text1"/>
          <w:sz w:val="32"/>
          <w:szCs w:val="32"/>
        </w:rPr>
        <w:t>Analysis</w:t>
      </w:r>
      <w:r w:rsidR="00FB20CF">
        <w:rPr>
          <w:rFonts w:ascii="Times New Roman" w:hAnsi="Times New Roman" w:cs="Times New Roman"/>
          <w:b/>
          <w:bCs/>
          <w:color w:val="000000" w:themeColor="text1"/>
          <w:sz w:val="32"/>
          <w:szCs w:val="32"/>
        </w:rPr>
        <w:t xml:space="preserve">, </w:t>
      </w:r>
      <w:r w:rsidR="002F151B">
        <w:rPr>
          <w:rFonts w:ascii="Times New Roman" w:hAnsi="Times New Roman" w:cs="Times New Roman"/>
          <w:b/>
          <w:bCs/>
          <w:color w:val="000000" w:themeColor="text1"/>
          <w:sz w:val="32"/>
          <w:szCs w:val="32"/>
        </w:rPr>
        <w:t xml:space="preserve">Financial </w:t>
      </w:r>
      <w:r w:rsidRPr="00F90A82">
        <w:rPr>
          <w:rFonts w:ascii="Times New Roman" w:hAnsi="Times New Roman" w:cs="Times New Roman"/>
          <w:b/>
          <w:bCs/>
          <w:color w:val="000000" w:themeColor="text1"/>
          <w:sz w:val="32"/>
          <w:szCs w:val="32"/>
        </w:rPr>
        <w:t>Statements</w:t>
      </w:r>
      <w:r w:rsidR="00FB20CF">
        <w:rPr>
          <w:rFonts w:ascii="Times New Roman" w:hAnsi="Times New Roman" w:cs="Times New Roman"/>
          <w:b/>
          <w:bCs/>
          <w:color w:val="000000" w:themeColor="text1"/>
          <w:sz w:val="32"/>
          <w:szCs w:val="32"/>
        </w:rPr>
        <w:t>, Ratios</w:t>
      </w:r>
      <w:r w:rsidRPr="00F90A82">
        <w:rPr>
          <w:rFonts w:ascii="Times New Roman" w:hAnsi="Times New Roman" w:cs="Times New Roman"/>
          <w:b/>
          <w:bCs/>
          <w:color w:val="000000" w:themeColor="text1"/>
          <w:sz w:val="32"/>
          <w:szCs w:val="32"/>
        </w:rPr>
        <w:t xml:space="preserve"> and Accounting Principles</w:t>
      </w:r>
    </w:p>
    <w:p w14:paraId="1855BBAC" w14:textId="46588327" w:rsidR="00DA7B27" w:rsidRDefault="00DA7B27" w:rsidP="00485544">
      <w:pPr>
        <w:spacing w:line="360" w:lineRule="auto"/>
        <w:jc w:val="center"/>
        <w:rPr>
          <w:rFonts w:ascii="Times New Roman" w:hAnsi="Times New Roman" w:cs="Times New Roman"/>
          <w:color w:val="000000" w:themeColor="text1"/>
          <w:sz w:val="24"/>
          <w:szCs w:val="24"/>
        </w:rPr>
      </w:pPr>
    </w:p>
    <w:p w14:paraId="09B0156F" w14:textId="77777777" w:rsidR="0060171F" w:rsidRPr="00F90A82" w:rsidRDefault="0060171F" w:rsidP="00485544">
      <w:pPr>
        <w:spacing w:line="360" w:lineRule="auto"/>
        <w:jc w:val="center"/>
        <w:rPr>
          <w:rFonts w:ascii="Times New Roman" w:hAnsi="Times New Roman" w:cs="Times New Roman"/>
          <w:color w:val="000000" w:themeColor="text1"/>
          <w:sz w:val="24"/>
          <w:szCs w:val="24"/>
        </w:rPr>
      </w:pPr>
    </w:p>
    <w:p w14:paraId="66DF990F" w14:textId="62607DF2" w:rsidR="00551D0E" w:rsidRPr="00F90A82" w:rsidRDefault="00551D0E" w:rsidP="00485544">
      <w:pPr>
        <w:spacing w:line="360" w:lineRule="auto"/>
        <w:jc w:val="center"/>
        <w:rPr>
          <w:rFonts w:ascii="Times New Roman" w:hAnsi="Times New Roman" w:cs="Times New Roman"/>
          <w:color w:val="000000" w:themeColor="text1"/>
          <w:sz w:val="24"/>
          <w:szCs w:val="24"/>
        </w:rPr>
      </w:pPr>
      <w:r w:rsidRPr="00F90A82">
        <w:rPr>
          <w:rFonts w:ascii="Times New Roman" w:hAnsi="Times New Roman" w:cs="Times New Roman"/>
          <w:color w:val="000000" w:themeColor="text1"/>
          <w:sz w:val="24"/>
          <w:szCs w:val="24"/>
        </w:rPr>
        <w:t xml:space="preserve">Lecturer: </w:t>
      </w:r>
      <w:r w:rsidR="005D0B9E" w:rsidRPr="00F90A82">
        <w:rPr>
          <w:rFonts w:ascii="Times New Roman" w:hAnsi="Times New Roman" w:cs="Times New Roman"/>
          <w:color w:val="000000" w:themeColor="text1"/>
          <w:sz w:val="24"/>
          <w:szCs w:val="24"/>
        </w:rPr>
        <w:t>Nadeem Mirza</w:t>
      </w:r>
    </w:p>
    <w:p w14:paraId="2AFFBF26" w14:textId="77777777" w:rsidR="00551D0E" w:rsidRPr="00F90A82" w:rsidRDefault="00551D0E" w:rsidP="00485544">
      <w:pPr>
        <w:spacing w:line="360" w:lineRule="auto"/>
        <w:jc w:val="center"/>
        <w:rPr>
          <w:rFonts w:ascii="Times New Roman" w:hAnsi="Times New Roman" w:cs="Times New Roman"/>
          <w:color w:val="000000" w:themeColor="text1"/>
          <w:sz w:val="24"/>
          <w:szCs w:val="24"/>
        </w:rPr>
      </w:pPr>
      <w:r w:rsidRPr="00F90A82">
        <w:rPr>
          <w:rFonts w:ascii="Times New Roman" w:hAnsi="Times New Roman" w:cs="Times New Roman"/>
          <w:color w:val="000000" w:themeColor="text1"/>
          <w:sz w:val="24"/>
          <w:szCs w:val="24"/>
        </w:rPr>
        <w:t>Student name: Mihai Tilea</w:t>
      </w:r>
    </w:p>
    <w:p w14:paraId="3054E175" w14:textId="77777777" w:rsidR="00551D0E" w:rsidRPr="00F90A82" w:rsidRDefault="00551D0E" w:rsidP="00485544">
      <w:pPr>
        <w:spacing w:line="360" w:lineRule="auto"/>
        <w:jc w:val="center"/>
        <w:rPr>
          <w:rFonts w:ascii="Times New Roman" w:hAnsi="Times New Roman" w:cs="Times New Roman"/>
          <w:color w:val="000000" w:themeColor="text1"/>
          <w:sz w:val="24"/>
          <w:szCs w:val="24"/>
        </w:rPr>
      </w:pPr>
      <w:r w:rsidRPr="00F90A82">
        <w:rPr>
          <w:rFonts w:ascii="Times New Roman" w:hAnsi="Times New Roman" w:cs="Times New Roman"/>
          <w:color w:val="000000" w:themeColor="text1"/>
          <w:sz w:val="24"/>
          <w:szCs w:val="24"/>
        </w:rPr>
        <w:t>Student Id: 2124071</w:t>
      </w:r>
    </w:p>
    <w:p w14:paraId="76567D66" w14:textId="62211595" w:rsidR="00551D0E" w:rsidRPr="00F90A82" w:rsidRDefault="00551D0E" w:rsidP="00485544">
      <w:pPr>
        <w:spacing w:line="360" w:lineRule="auto"/>
        <w:jc w:val="center"/>
        <w:rPr>
          <w:rFonts w:ascii="Times New Roman" w:hAnsi="Times New Roman" w:cs="Times New Roman"/>
          <w:color w:val="000000" w:themeColor="text1"/>
          <w:sz w:val="24"/>
          <w:szCs w:val="24"/>
        </w:rPr>
      </w:pPr>
      <w:r w:rsidRPr="00F90A82">
        <w:rPr>
          <w:rFonts w:ascii="Times New Roman" w:hAnsi="Times New Roman" w:cs="Times New Roman"/>
          <w:color w:val="000000" w:themeColor="text1"/>
          <w:sz w:val="24"/>
          <w:szCs w:val="24"/>
        </w:rPr>
        <w:t>Module code: LCBB400</w:t>
      </w:r>
      <w:r w:rsidR="00FD2705" w:rsidRPr="00F90A82">
        <w:rPr>
          <w:rFonts w:ascii="Times New Roman" w:hAnsi="Times New Roman" w:cs="Times New Roman"/>
          <w:color w:val="000000" w:themeColor="text1"/>
          <w:sz w:val="24"/>
          <w:szCs w:val="24"/>
        </w:rPr>
        <w:t>1</w:t>
      </w:r>
    </w:p>
    <w:p w14:paraId="22982F17" w14:textId="552FDA19" w:rsidR="009126B0" w:rsidRPr="00F90A82" w:rsidRDefault="00551D0E" w:rsidP="00485544">
      <w:pPr>
        <w:spacing w:line="360" w:lineRule="auto"/>
        <w:jc w:val="center"/>
        <w:rPr>
          <w:rFonts w:ascii="Times New Roman" w:hAnsi="Times New Roman" w:cs="Times New Roman"/>
          <w:color w:val="000000" w:themeColor="text1"/>
          <w:kern w:val="0"/>
          <w:sz w:val="24"/>
          <w:szCs w:val="24"/>
          <w14:ligatures w14:val="none"/>
        </w:rPr>
      </w:pPr>
      <w:r w:rsidRPr="00F90A82">
        <w:rPr>
          <w:rFonts w:ascii="Times New Roman" w:hAnsi="Times New Roman" w:cs="Times New Roman"/>
          <w:color w:val="000000" w:themeColor="text1"/>
          <w:kern w:val="0"/>
          <w:sz w:val="24"/>
          <w:szCs w:val="24"/>
          <w14:ligatures w14:val="none"/>
        </w:rPr>
        <w:t>Date: 2</w:t>
      </w:r>
      <w:r w:rsidR="00F60C26" w:rsidRPr="00F90A82">
        <w:rPr>
          <w:rFonts w:ascii="Times New Roman" w:hAnsi="Times New Roman" w:cs="Times New Roman"/>
          <w:color w:val="000000" w:themeColor="text1"/>
          <w:kern w:val="0"/>
          <w:sz w:val="24"/>
          <w:szCs w:val="24"/>
          <w14:ligatures w14:val="none"/>
        </w:rPr>
        <w:t>2</w:t>
      </w:r>
      <w:r w:rsidRPr="00F90A82">
        <w:rPr>
          <w:rFonts w:ascii="Times New Roman" w:hAnsi="Times New Roman" w:cs="Times New Roman"/>
          <w:color w:val="000000" w:themeColor="text1"/>
          <w:kern w:val="0"/>
          <w:sz w:val="24"/>
          <w:szCs w:val="24"/>
          <w14:ligatures w14:val="none"/>
        </w:rPr>
        <w:t>/1</w:t>
      </w:r>
      <w:r w:rsidR="00FD2705" w:rsidRPr="00F90A82">
        <w:rPr>
          <w:rFonts w:ascii="Times New Roman" w:hAnsi="Times New Roman" w:cs="Times New Roman"/>
          <w:color w:val="000000" w:themeColor="text1"/>
          <w:kern w:val="0"/>
          <w:sz w:val="24"/>
          <w:szCs w:val="24"/>
          <w14:ligatures w14:val="none"/>
        </w:rPr>
        <w:t>2</w:t>
      </w:r>
      <w:r w:rsidRPr="00F90A82">
        <w:rPr>
          <w:rFonts w:ascii="Times New Roman" w:hAnsi="Times New Roman" w:cs="Times New Roman"/>
          <w:color w:val="000000" w:themeColor="text1"/>
          <w:kern w:val="0"/>
          <w:sz w:val="24"/>
          <w:szCs w:val="24"/>
          <w14:ligatures w14:val="none"/>
        </w:rPr>
        <w:t>/2023</w:t>
      </w:r>
    </w:p>
    <w:p w14:paraId="0AC0DF1F" w14:textId="166E0B3F" w:rsidR="005552FB" w:rsidRPr="00F90A82" w:rsidRDefault="009126B0" w:rsidP="00485544">
      <w:pPr>
        <w:spacing w:line="360" w:lineRule="auto"/>
        <w:rPr>
          <w:rFonts w:ascii="Times New Roman" w:hAnsi="Times New Roman" w:cs="Times New Roman"/>
          <w:color w:val="000000" w:themeColor="text1"/>
          <w:kern w:val="0"/>
          <w:sz w:val="24"/>
          <w:szCs w:val="24"/>
          <w14:ligatures w14:val="none"/>
        </w:rPr>
      </w:pPr>
      <w:r w:rsidRPr="00F90A82">
        <w:rPr>
          <w:rFonts w:ascii="Times New Roman" w:hAnsi="Times New Roman" w:cs="Times New Roman"/>
          <w:color w:val="000000" w:themeColor="text1"/>
          <w:kern w:val="0"/>
          <w:sz w:val="24"/>
          <w:szCs w:val="24"/>
          <w14:ligatures w14:val="none"/>
        </w:rPr>
        <w:br w:type="page"/>
      </w:r>
    </w:p>
    <w:sdt>
      <w:sdtPr>
        <w:rPr>
          <w:rFonts w:ascii="Times New Roman" w:eastAsiaTheme="minorHAnsi" w:hAnsi="Times New Roman" w:cs="Times New Roman"/>
          <w:color w:val="000000" w:themeColor="text1"/>
          <w:kern w:val="2"/>
          <w:sz w:val="24"/>
          <w:szCs w:val="24"/>
          <w:lang w:val="en-GB"/>
        </w:rPr>
        <w:id w:val="-1581751138"/>
        <w:docPartObj>
          <w:docPartGallery w:val="Table of Contents"/>
          <w:docPartUnique/>
        </w:docPartObj>
      </w:sdtPr>
      <w:sdtEndPr>
        <w:rPr>
          <w:b/>
          <w:bCs/>
          <w:noProof/>
        </w:rPr>
      </w:sdtEndPr>
      <w:sdtContent>
        <w:p w14:paraId="373232C5" w14:textId="19AB049B" w:rsidR="00DF2ABA" w:rsidRPr="00F90A82" w:rsidRDefault="00DF2ABA" w:rsidP="00485544">
          <w:pPr>
            <w:pStyle w:val="TOCHeading"/>
            <w:spacing w:line="360" w:lineRule="auto"/>
            <w:rPr>
              <w:rFonts w:ascii="Times New Roman" w:hAnsi="Times New Roman" w:cs="Times New Roman"/>
              <w:color w:val="000000" w:themeColor="text1"/>
              <w:sz w:val="24"/>
              <w:szCs w:val="24"/>
            </w:rPr>
          </w:pPr>
          <w:r w:rsidRPr="00F90A82">
            <w:rPr>
              <w:rFonts w:ascii="Times New Roman" w:hAnsi="Times New Roman" w:cs="Times New Roman"/>
              <w:color w:val="000000" w:themeColor="text1"/>
              <w:sz w:val="24"/>
              <w:szCs w:val="24"/>
            </w:rPr>
            <w:t>Table of Contents</w:t>
          </w:r>
        </w:p>
        <w:p w14:paraId="236D26DA" w14:textId="5D42C283" w:rsidR="001501BF" w:rsidRDefault="00DF2ABA">
          <w:pPr>
            <w:pStyle w:val="TOC1"/>
            <w:tabs>
              <w:tab w:val="right" w:leader="dot" w:pos="9016"/>
            </w:tabs>
            <w:rPr>
              <w:rFonts w:eastAsiaTheme="minorEastAsia"/>
              <w:noProof/>
              <w:lang w:eastAsia="en-GB"/>
            </w:rPr>
          </w:pPr>
          <w:r w:rsidRPr="00F90A82">
            <w:rPr>
              <w:rFonts w:ascii="Times New Roman" w:hAnsi="Times New Roman" w:cs="Times New Roman"/>
              <w:color w:val="000000" w:themeColor="text1"/>
              <w:sz w:val="24"/>
              <w:szCs w:val="24"/>
            </w:rPr>
            <w:fldChar w:fldCharType="begin"/>
          </w:r>
          <w:r w:rsidRPr="00F90A82">
            <w:rPr>
              <w:rFonts w:ascii="Times New Roman" w:hAnsi="Times New Roman" w:cs="Times New Roman"/>
              <w:color w:val="000000" w:themeColor="text1"/>
              <w:sz w:val="24"/>
              <w:szCs w:val="24"/>
            </w:rPr>
            <w:instrText xml:space="preserve"> TOC \o "1-3" \h \z \u </w:instrText>
          </w:r>
          <w:r w:rsidRPr="00F90A82">
            <w:rPr>
              <w:rFonts w:ascii="Times New Roman" w:hAnsi="Times New Roman" w:cs="Times New Roman"/>
              <w:color w:val="000000" w:themeColor="text1"/>
              <w:sz w:val="24"/>
              <w:szCs w:val="24"/>
            </w:rPr>
            <w:fldChar w:fldCharType="separate"/>
          </w:r>
          <w:hyperlink w:anchor="_Toc153903205" w:history="1">
            <w:r w:rsidR="001501BF" w:rsidRPr="005A03D3">
              <w:rPr>
                <w:rStyle w:val="Hyperlink"/>
                <w:rFonts w:ascii="Times New Roman" w:hAnsi="Times New Roman" w:cs="Times New Roman"/>
                <w:b/>
                <w:bCs/>
                <w:noProof/>
              </w:rPr>
              <w:t>1.0.0 Introduction</w:t>
            </w:r>
            <w:r w:rsidR="001501BF">
              <w:rPr>
                <w:noProof/>
                <w:webHidden/>
              </w:rPr>
              <w:tab/>
            </w:r>
            <w:r w:rsidR="001501BF">
              <w:rPr>
                <w:noProof/>
                <w:webHidden/>
              </w:rPr>
              <w:fldChar w:fldCharType="begin"/>
            </w:r>
            <w:r w:rsidR="001501BF">
              <w:rPr>
                <w:noProof/>
                <w:webHidden/>
              </w:rPr>
              <w:instrText xml:space="preserve"> PAGEREF _Toc153903205 \h </w:instrText>
            </w:r>
            <w:r w:rsidR="001501BF">
              <w:rPr>
                <w:noProof/>
                <w:webHidden/>
              </w:rPr>
            </w:r>
            <w:r w:rsidR="001501BF">
              <w:rPr>
                <w:noProof/>
                <w:webHidden/>
              </w:rPr>
              <w:fldChar w:fldCharType="separate"/>
            </w:r>
            <w:r w:rsidR="001501BF">
              <w:rPr>
                <w:noProof/>
                <w:webHidden/>
              </w:rPr>
              <w:t>3</w:t>
            </w:r>
            <w:r w:rsidR="001501BF">
              <w:rPr>
                <w:noProof/>
                <w:webHidden/>
              </w:rPr>
              <w:fldChar w:fldCharType="end"/>
            </w:r>
          </w:hyperlink>
        </w:p>
        <w:p w14:paraId="2D783464" w14:textId="37C3E389" w:rsidR="001501BF" w:rsidRDefault="00A664BC">
          <w:pPr>
            <w:pStyle w:val="TOC1"/>
            <w:tabs>
              <w:tab w:val="right" w:leader="dot" w:pos="9016"/>
            </w:tabs>
            <w:rPr>
              <w:rFonts w:eastAsiaTheme="minorEastAsia"/>
              <w:noProof/>
              <w:lang w:eastAsia="en-GB"/>
            </w:rPr>
          </w:pPr>
          <w:hyperlink w:anchor="_Toc153903206" w:history="1">
            <w:r w:rsidR="001501BF" w:rsidRPr="005A03D3">
              <w:rPr>
                <w:rStyle w:val="Hyperlink"/>
                <w:rFonts w:ascii="Times New Roman" w:hAnsi="Times New Roman" w:cs="Times New Roman"/>
                <w:b/>
                <w:bCs/>
                <w:noProof/>
              </w:rPr>
              <w:t>2.0.0 Understanding Accountancy</w:t>
            </w:r>
            <w:r w:rsidR="001501BF">
              <w:rPr>
                <w:noProof/>
                <w:webHidden/>
              </w:rPr>
              <w:tab/>
            </w:r>
            <w:r w:rsidR="001501BF">
              <w:rPr>
                <w:noProof/>
                <w:webHidden/>
              </w:rPr>
              <w:fldChar w:fldCharType="begin"/>
            </w:r>
            <w:r w:rsidR="001501BF">
              <w:rPr>
                <w:noProof/>
                <w:webHidden/>
              </w:rPr>
              <w:instrText xml:space="preserve"> PAGEREF _Toc153903206 \h </w:instrText>
            </w:r>
            <w:r w:rsidR="001501BF">
              <w:rPr>
                <w:noProof/>
                <w:webHidden/>
              </w:rPr>
            </w:r>
            <w:r w:rsidR="001501BF">
              <w:rPr>
                <w:noProof/>
                <w:webHidden/>
              </w:rPr>
              <w:fldChar w:fldCharType="separate"/>
            </w:r>
            <w:r w:rsidR="001501BF">
              <w:rPr>
                <w:noProof/>
                <w:webHidden/>
              </w:rPr>
              <w:t>3</w:t>
            </w:r>
            <w:r w:rsidR="001501BF">
              <w:rPr>
                <w:noProof/>
                <w:webHidden/>
              </w:rPr>
              <w:fldChar w:fldCharType="end"/>
            </w:r>
          </w:hyperlink>
        </w:p>
        <w:p w14:paraId="777EA6D5" w14:textId="686478CB" w:rsidR="001501BF" w:rsidRDefault="00A664BC">
          <w:pPr>
            <w:pStyle w:val="TOC2"/>
            <w:tabs>
              <w:tab w:val="right" w:leader="dot" w:pos="9016"/>
            </w:tabs>
            <w:rPr>
              <w:rFonts w:eastAsiaTheme="minorEastAsia"/>
              <w:noProof/>
              <w:lang w:eastAsia="en-GB"/>
            </w:rPr>
          </w:pPr>
          <w:hyperlink w:anchor="_Toc153903207" w:history="1">
            <w:r w:rsidR="001501BF" w:rsidRPr="005A03D3">
              <w:rPr>
                <w:rStyle w:val="Hyperlink"/>
                <w:rFonts w:ascii="Times New Roman" w:hAnsi="Times New Roman" w:cs="Times New Roman"/>
                <w:b/>
                <w:bCs/>
                <w:noProof/>
              </w:rPr>
              <w:t>2.1.1 Financial Position Statement</w:t>
            </w:r>
            <w:r w:rsidR="001501BF">
              <w:rPr>
                <w:noProof/>
                <w:webHidden/>
              </w:rPr>
              <w:tab/>
            </w:r>
            <w:r w:rsidR="001501BF">
              <w:rPr>
                <w:noProof/>
                <w:webHidden/>
              </w:rPr>
              <w:fldChar w:fldCharType="begin"/>
            </w:r>
            <w:r w:rsidR="001501BF">
              <w:rPr>
                <w:noProof/>
                <w:webHidden/>
              </w:rPr>
              <w:instrText xml:space="preserve"> PAGEREF _Toc153903207 \h </w:instrText>
            </w:r>
            <w:r w:rsidR="001501BF">
              <w:rPr>
                <w:noProof/>
                <w:webHidden/>
              </w:rPr>
            </w:r>
            <w:r w:rsidR="001501BF">
              <w:rPr>
                <w:noProof/>
                <w:webHidden/>
              </w:rPr>
              <w:fldChar w:fldCharType="separate"/>
            </w:r>
            <w:r w:rsidR="001501BF">
              <w:rPr>
                <w:noProof/>
                <w:webHidden/>
              </w:rPr>
              <w:t>3</w:t>
            </w:r>
            <w:r w:rsidR="001501BF">
              <w:rPr>
                <w:noProof/>
                <w:webHidden/>
              </w:rPr>
              <w:fldChar w:fldCharType="end"/>
            </w:r>
          </w:hyperlink>
        </w:p>
        <w:p w14:paraId="50D336A9" w14:textId="57660350" w:rsidR="001501BF" w:rsidRDefault="00A664BC">
          <w:pPr>
            <w:pStyle w:val="TOC2"/>
            <w:tabs>
              <w:tab w:val="right" w:leader="dot" w:pos="9016"/>
            </w:tabs>
            <w:rPr>
              <w:rFonts w:eastAsiaTheme="minorEastAsia"/>
              <w:noProof/>
              <w:lang w:eastAsia="en-GB"/>
            </w:rPr>
          </w:pPr>
          <w:hyperlink w:anchor="_Toc153903208" w:history="1">
            <w:r w:rsidR="001501BF" w:rsidRPr="005A03D3">
              <w:rPr>
                <w:rStyle w:val="Hyperlink"/>
                <w:rFonts w:ascii="Times New Roman" w:hAnsi="Times New Roman" w:cs="Times New Roman"/>
                <w:b/>
                <w:bCs/>
                <w:noProof/>
              </w:rPr>
              <w:t>2.1.2 Non-Current Assets</w:t>
            </w:r>
            <w:r w:rsidR="001501BF">
              <w:rPr>
                <w:noProof/>
                <w:webHidden/>
              </w:rPr>
              <w:tab/>
            </w:r>
            <w:r w:rsidR="001501BF">
              <w:rPr>
                <w:noProof/>
                <w:webHidden/>
              </w:rPr>
              <w:fldChar w:fldCharType="begin"/>
            </w:r>
            <w:r w:rsidR="001501BF">
              <w:rPr>
                <w:noProof/>
                <w:webHidden/>
              </w:rPr>
              <w:instrText xml:space="preserve"> PAGEREF _Toc153903208 \h </w:instrText>
            </w:r>
            <w:r w:rsidR="001501BF">
              <w:rPr>
                <w:noProof/>
                <w:webHidden/>
              </w:rPr>
            </w:r>
            <w:r w:rsidR="001501BF">
              <w:rPr>
                <w:noProof/>
                <w:webHidden/>
              </w:rPr>
              <w:fldChar w:fldCharType="separate"/>
            </w:r>
            <w:r w:rsidR="001501BF">
              <w:rPr>
                <w:noProof/>
                <w:webHidden/>
              </w:rPr>
              <w:t>4</w:t>
            </w:r>
            <w:r w:rsidR="001501BF">
              <w:rPr>
                <w:noProof/>
                <w:webHidden/>
              </w:rPr>
              <w:fldChar w:fldCharType="end"/>
            </w:r>
          </w:hyperlink>
        </w:p>
        <w:p w14:paraId="51E4BFD8" w14:textId="091A98FF" w:rsidR="001501BF" w:rsidRDefault="00A664BC">
          <w:pPr>
            <w:pStyle w:val="TOC2"/>
            <w:tabs>
              <w:tab w:val="right" w:leader="dot" w:pos="9016"/>
            </w:tabs>
            <w:rPr>
              <w:rFonts w:eastAsiaTheme="minorEastAsia"/>
              <w:noProof/>
              <w:lang w:eastAsia="en-GB"/>
            </w:rPr>
          </w:pPr>
          <w:hyperlink w:anchor="_Toc153903209" w:history="1">
            <w:r w:rsidR="001501BF" w:rsidRPr="005A03D3">
              <w:rPr>
                <w:rStyle w:val="Hyperlink"/>
                <w:rFonts w:ascii="Times New Roman" w:hAnsi="Times New Roman" w:cs="Times New Roman"/>
                <w:b/>
                <w:bCs/>
                <w:noProof/>
              </w:rPr>
              <w:t>2.1.3 Managers and Shareholders</w:t>
            </w:r>
            <w:r w:rsidR="001501BF">
              <w:rPr>
                <w:noProof/>
                <w:webHidden/>
              </w:rPr>
              <w:tab/>
            </w:r>
            <w:r w:rsidR="001501BF">
              <w:rPr>
                <w:noProof/>
                <w:webHidden/>
              </w:rPr>
              <w:fldChar w:fldCharType="begin"/>
            </w:r>
            <w:r w:rsidR="001501BF">
              <w:rPr>
                <w:noProof/>
                <w:webHidden/>
              </w:rPr>
              <w:instrText xml:space="preserve"> PAGEREF _Toc153903209 \h </w:instrText>
            </w:r>
            <w:r w:rsidR="001501BF">
              <w:rPr>
                <w:noProof/>
                <w:webHidden/>
              </w:rPr>
            </w:r>
            <w:r w:rsidR="001501BF">
              <w:rPr>
                <w:noProof/>
                <w:webHidden/>
              </w:rPr>
              <w:fldChar w:fldCharType="separate"/>
            </w:r>
            <w:r w:rsidR="001501BF">
              <w:rPr>
                <w:noProof/>
                <w:webHidden/>
              </w:rPr>
              <w:t>4</w:t>
            </w:r>
            <w:r w:rsidR="001501BF">
              <w:rPr>
                <w:noProof/>
                <w:webHidden/>
              </w:rPr>
              <w:fldChar w:fldCharType="end"/>
            </w:r>
          </w:hyperlink>
        </w:p>
        <w:p w14:paraId="4FA0A220" w14:textId="59A4AACB" w:rsidR="001501BF" w:rsidRDefault="00A664BC">
          <w:pPr>
            <w:pStyle w:val="TOC2"/>
            <w:tabs>
              <w:tab w:val="right" w:leader="dot" w:pos="9016"/>
            </w:tabs>
            <w:rPr>
              <w:rFonts w:eastAsiaTheme="minorEastAsia"/>
              <w:noProof/>
              <w:lang w:eastAsia="en-GB"/>
            </w:rPr>
          </w:pPr>
          <w:hyperlink w:anchor="_Toc153903210" w:history="1">
            <w:r w:rsidR="001501BF" w:rsidRPr="005A03D3">
              <w:rPr>
                <w:rStyle w:val="Hyperlink"/>
                <w:rFonts w:ascii="Times New Roman" w:hAnsi="Times New Roman" w:cs="Times New Roman"/>
                <w:b/>
                <w:bCs/>
                <w:noProof/>
              </w:rPr>
              <w:t>2.1.4 Entries in Financial Statements</w:t>
            </w:r>
            <w:r w:rsidR="001501BF">
              <w:rPr>
                <w:noProof/>
                <w:webHidden/>
              </w:rPr>
              <w:tab/>
            </w:r>
            <w:r w:rsidR="001501BF">
              <w:rPr>
                <w:noProof/>
                <w:webHidden/>
              </w:rPr>
              <w:fldChar w:fldCharType="begin"/>
            </w:r>
            <w:r w:rsidR="001501BF">
              <w:rPr>
                <w:noProof/>
                <w:webHidden/>
              </w:rPr>
              <w:instrText xml:space="preserve"> PAGEREF _Toc153903210 \h </w:instrText>
            </w:r>
            <w:r w:rsidR="001501BF">
              <w:rPr>
                <w:noProof/>
                <w:webHidden/>
              </w:rPr>
            </w:r>
            <w:r w:rsidR="001501BF">
              <w:rPr>
                <w:noProof/>
                <w:webHidden/>
              </w:rPr>
              <w:fldChar w:fldCharType="separate"/>
            </w:r>
            <w:r w:rsidR="001501BF">
              <w:rPr>
                <w:noProof/>
                <w:webHidden/>
              </w:rPr>
              <w:t>4</w:t>
            </w:r>
            <w:r w:rsidR="001501BF">
              <w:rPr>
                <w:noProof/>
                <w:webHidden/>
              </w:rPr>
              <w:fldChar w:fldCharType="end"/>
            </w:r>
          </w:hyperlink>
        </w:p>
        <w:p w14:paraId="60788B9A" w14:textId="18482F50" w:rsidR="001501BF" w:rsidRDefault="00A664BC">
          <w:pPr>
            <w:pStyle w:val="TOC2"/>
            <w:tabs>
              <w:tab w:val="right" w:leader="dot" w:pos="9016"/>
            </w:tabs>
            <w:rPr>
              <w:rFonts w:eastAsiaTheme="minorEastAsia"/>
              <w:noProof/>
              <w:lang w:eastAsia="en-GB"/>
            </w:rPr>
          </w:pPr>
          <w:hyperlink w:anchor="_Toc153903211" w:history="1">
            <w:r w:rsidR="001501BF" w:rsidRPr="005A03D3">
              <w:rPr>
                <w:rStyle w:val="Hyperlink"/>
                <w:rFonts w:ascii="Times New Roman" w:hAnsi="Times New Roman" w:cs="Times New Roman"/>
                <w:b/>
                <w:bCs/>
                <w:noProof/>
              </w:rPr>
              <w:t>2.1.5 Financial Accounts Regulation</w:t>
            </w:r>
            <w:r w:rsidR="001501BF">
              <w:rPr>
                <w:noProof/>
                <w:webHidden/>
              </w:rPr>
              <w:tab/>
            </w:r>
            <w:r w:rsidR="001501BF">
              <w:rPr>
                <w:noProof/>
                <w:webHidden/>
              </w:rPr>
              <w:fldChar w:fldCharType="begin"/>
            </w:r>
            <w:r w:rsidR="001501BF">
              <w:rPr>
                <w:noProof/>
                <w:webHidden/>
              </w:rPr>
              <w:instrText xml:space="preserve"> PAGEREF _Toc153903211 \h </w:instrText>
            </w:r>
            <w:r w:rsidR="001501BF">
              <w:rPr>
                <w:noProof/>
                <w:webHidden/>
              </w:rPr>
            </w:r>
            <w:r w:rsidR="001501BF">
              <w:rPr>
                <w:noProof/>
                <w:webHidden/>
              </w:rPr>
              <w:fldChar w:fldCharType="separate"/>
            </w:r>
            <w:r w:rsidR="001501BF">
              <w:rPr>
                <w:noProof/>
                <w:webHidden/>
              </w:rPr>
              <w:t>5</w:t>
            </w:r>
            <w:r w:rsidR="001501BF">
              <w:rPr>
                <w:noProof/>
                <w:webHidden/>
              </w:rPr>
              <w:fldChar w:fldCharType="end"/>
            </w:r>
          </w:hyperlink>
        </w:p>
        <w:p w14:paraId="0B9074F4" w14:textId="24FABF79" w:rsidR="001501BF" w:rsidRDefault="00A664BC">
          <w:pPr>
            <w:pStyle w:val="TOC2"/>
            <w:tabs>
              <w:tab w:val="right" w:leader="dot" w:pos="9016"/>
            </w:tabs>
            <w:rPr>
              <w:rFonts w:eastAsiaTheme="minorEastAsia"/>
              <w:noProof/>
              <w:lang w:eastAsia="en-GB"/>
            </w:rPr>
          </w:pPr>
          <w:hyperlink w:anchor="_Toc153903212" w:history="1">
            <w:r w:rsidR="001501BF" w:rsidRPr="005A03D3">
              <w:rPr>
                <w:rStyle w:val="Hyperlink"/>
                <w:rFonts w:ascii="Times New Roman" w:hAnsi="Times New Roman" w:cs="Times New Roman"/>
                <w:b/>
                <w:bCs/>
                <w:noProof/>
              </w:rPr>
              <w:t>2.1.6 Balancing Ledger Accounts</w:t>
            </w:r>
            <w:r w:rsidR="001501BF">
              <w:rPr>
                <w:noProof/>
                <w:webHidden/>
              </w:rPr>
              <w:tab/>
            </w:r>
            <w:r w:rsidR="001501BF">
              <w:rPr>
                <w:noProof/>
                <w:webHidden/>
              </w:rPr>
              <w:fldChar w:fldCharType="begin"/>
            </w:r>
            <w:r w:rsidR="001501BF">
              <w:rPr>
                <w:noProof/>
                <w:webHidden/>
              </w:rPr>
              <w:instrText xml:space="preserve"> PAGEREF _Toc153903212 \h </w:instrText>
            </w:r>
            <w:r w:rsidR="001501BF">
              <w:rPr>
                <w:noProof/>
                <w:webHidden/>
              </w:rPr>
            </w:r>
            <w:r w:rsidR="001501BF">
              <w:rPr>
                <w:noProof/>
                <w:webHidden/>
              </w:rPr>
              <w:fldChar w:fldCharType="separate"/>
            </w:r>
            <w:r w:rsidR="001501BF">
              <w:rPr>
                <w:noProof/>
                <w:webHidden/>
              </w:rPr>
              <w:t>5</w:t>
            </w:r>
            <w:r w:rsidR="001501BF">
              <w:rPr>
                <w:noProof/>
                <w:webHidden/>
              </w:rPr>
              <w:fldChar w:fldCharType="end"/>
            </w:r>
          </w:hyperlink>
        </w:p>
        <w:p w14:paraId="3FE37E98" w14:textId="6DF41027" w:rsidR="001501BF" w:rsidRDefault="00A664BC">
          <w:pPr>
            <w:pStyle w:val="TOC1"/>
            <w:tabs>
              <w:tab w:val="right" w:leader="dot" w:pos="9016"/>
            </w:tabs>
            <w:rPr>
              <w:rFonts w:eastAsiaTheme="minorEastAsia"/>
              <w:noProof/>
              <w:lang w:eastAsia="en-GB"/>
            </w:rPr>
          </w:pPr>
          <w:hyperlink w:anchor="_Toc153903213" w:history="1">
            <w:r w:rsidR="001501BF" w:rsidRPr="005A03D3">
              <w:rPr>
                <w:rStyle w:val="Hyperlink"/>
                <w:rFonts w:ascii="Times New Roman" w:hAnsi="Times New Roman" w:cs="Times New Roman"/>
                <w:b/>
                <w:bCs/>
                <w:noProof/>
              </w:rPr>
              <w:t>3.0.0 Income Statement for Wales Plc</w:t>
            </w:r>
            <w:r w:rsidR="001501BF">
              <w:rPr>
                <w:noProof/>
                <w:webHidden/>
              </w:rPr>
              <w:tab/>
            </w:r>
            <w:r w:rsidR="001501BF">
              <w:rPr>
                <w:noProof/>
                <w:webHidden/>
              </w:rPr>
              <w:fldChar w:fldCharType="begin"/>
            </w:r>
            <w:r w:rsidR="001501BF">
              <w:rPr>
                <w:noProof/>
                <w:webHidden/>
              </w:rPr>
              <w:instrText xml:space="preserve"> PAGEREF _Toc153903213 \h </w:instrText>
            </w:r>
            <w:r w:rsidR="001501BF">
              <w:rPr>
                <w:noProof/>
                <w:webHidden/>
              </w:rPr>
            </w:r>
            <w:r w:rsidR="001501BF">
              <w:rPr>
                <w:noProof/>
                <w:webHidden/>
              </w:rPr>
              <w:fldChar w:fldCharType="separate"/>
            </w:r>
            <w:r w:rsidR="001501BF">
              <w:rPr>
                <w:noProof/>
                <w:webHidden/>
              </w:rPr>
              <w:t>5</w:t>
            </w:r>
            <w:r w:rsidR="001501BF">
              <w:rPr>
                <w:noProof/>
                <w:webHidden/>
              </w:rPr>
              <w:fldChar w:fldCharType="end"/>
            </w:r>
          </w:hyperlink>
        </w:p>
        <w:p w14:paraId="157C71C7" w14:textId="6717430A" w:rsidR="001501BF" w:rsidRDefault="00A664BC">
          <w:pPr>
            <w:pStyle w:val="TOC1"/>
            <w:tabs>
              <w:tab w:val="right" w:leader="dot" w:pos="9016"/>
            </w:tabs>
            <w:rPr>
              <w:rFonts w:eastAsiaTheme="minorEastAsia"/>
              <w:noProof/>
              <w:lang w:eastAsia="en-GB"/>
            </w:rPr>
          </w:pPr>
          <w:hyperlink w:anchor="_Toc153903214" w:history="1">
            <w:r w:rsidR="001501BF" w:rsidRPr="005A03D3">
              <w:rPr>
                <w:rStyle w:val="Hyperlink"/>
                <w:rFonts w:ascii="Times New Roman" w:hAnsi="Times New Roman" w:cs="Times New Roman"/>
                <w:b/>
                <w:bCs/>
                <w:noProof/>
              </w:rPr>
              <w:t>4.0.0 Formulas and Ratios for ‘Sweet Plc’</w:t>
            </w:r>
            <w:r w:rsidR="001501BF">
              <w:rPr>
                <w:noProof/>
                <w:webHidden/>
              </w:rPr>
              <w:tab/>
            </w:r>
            <w:r w:rsidR="001501BF">
              <w:rPr>
                <w:noProof/>
                <w:webHidden/>
              </w:rPr>
              <w:fldChar w:fldCharType="begin"/>
            </w:r>
            <w:r w:rsidR="001501BF">
              <w:rPr>
                <w:noProof/>
                <w:webHidden/>
              </w:rPr>
              <w:instrText xml:space="preserve"> PAGEREF _Toc153903214 \h </w:instrText>
            </w:r>
            <w:r w:rsidR="001501BF">
              <w:rPr>
                <w:noProof/>
                <w:webHidden/>
              </w:rPr>
            </w:r>
            <w:r w:rsidR="001501BF">
              <w:rPr>
                <w:noProof/>
                <w:webHidden/>
              </w:rPr>
              <w:fldChar w:fldCharType="separate"/>
            </w:r>
            <w:r w:rsidR="001501BF">
              <w:rPr>
                <w:noProof/>
                <w:webHidden/>
              </w:rPr>
              <w:t>7</w:t>
            </w:r>
            <w:r w:rsidR="001501BF">
              <w:rPr>
                <w:noProof/>
                <w:webHidden/>
              </w:rPr>
              <w:fldChar w:fldCharType="end"/>
            </w:r>
          </w:hyperlink>
        </w:p>
        <w:p w14:paraId="622589A0" w14:textId="7B4CFEBD" w:rsidR="001501BF" w:rsidRDefault="00A664BC">
          <w:pPr>
            <w:pStyle w:val="TOC3"/>
            <w:tabs>
              <w:tab w:val="right" w:leader="dot" w:pos="9016"/>
            </w:tabs>
            <w:rPr>
              <w:rFonts w:eastAsiaTheme="minorEastAsia"/>
              <w:noProof/>
              <w:lang w:eastAsia="en-GB"/>
            </w:rPr>
          </w:pPr>
          <w:hyperlink w:anchor="_Toc153903215" w:history="1">
            <w:r w:rsidR="001501BF" w:rsidRPr="005A03D3">
              <w:rPr>
                <w:rStyle w:val="Hyperlink"/>
                <w:rFonts w:ascii="Times New Roman" w:hAnsi="Times New Roman" w:cs="Times New Roman"/>
                <w:b/>
                <w:bCs/>
                <w:noProof/>
              </w:rPr>
              <w:t>4.1.1 ‘Sweet Plc’ ROCE</w:t>
            </w:r>
            <w:r w:rsidR="001501BF">
              <w:rPr>
                <w:noProof/>
                <w:webHidden/>
              </w:rPr>
              <w:tab/>
            </w:r>
            <w:r w:rsidR="001501BF">
              <w:rPr>
                <w:noProof/>
                <w:webHidden/>
              </w:rPr>
              <w:fldChar w:fldCharType="begin"/>
            </w:r>
            <w:r w:rsidR="001501BF">
              <w:rPr>
                <w:noProof/>
                <w:webHidden/>
              </w:rPr>
              <w:instrText xml:space="preserve"> PAGEREF _Toc153903215 \h </w:instrText>
            </w:r>
            <w:r w:rsidR="001501BF">
              <w:rPr>
                <w:noProof/>
                <w:webHidden/>
              </w:rPr>
            </w:r>
            <w:r w:rsidR="001501BF">
              <w:rPr>
                <w:noProof/>
                <w:webHidden/>
              </w:rPr>
              <w:fldChar w:fldCharType="separate"/>
            </w:r>
            <w:r w:rsidR="001501BF">
              <w:rPr>
                <w:noProof/>
                <w:webHidden/>
              </w:rPr>
              <w:t>7</w:t>
            </w:r>
            <w:r w:rsidR="001501BF">
              <w:rPr>
                <w:noProof/>
                <w:webHidden/>
              </w:rPr>
              <w:fldChar w:fldCharType="end"/>
            </w:r>
          </w:hyperlink>
        </w:p>
        <w:p w14:paraId="551DB104" w14:textId="5A5357D8" w:rsidR="001501BF" w:rsidRDefault="00A664BC">
          <w:pPr>
            <w:pStyle w:val="TOC3"/>
            <w:tabs>
              <w:tab w:val="right" w:leader="dot" w:pos="9016"/>
            </w:tabs>
            <w:rPr>
              <w:rFonts w:eastAsiaTheme="minorEastAsia"/>
              <w:noProof/>
              <w:lang w:eastAsia="en-GB"/>
            </w:rPr>
          </w:pPr>
          <w:hyperlink w:anchor="_Toc153903216" w:history="1">
            <w:r w:rsidR="001501BF" w:rsidRPr="005A03D3">
              <w:rPr>
                <w:rStyle w:val="Hyperlink"/>
                <w:rFonts w:ascii="Times New Roman" w:hAnsi="Times New Roman" w:cs="Times New Roman"/>
                <w:b/>
                <w:bCs/>
                <w:noProof/>
              </w:rPr>
              <w:t>4.1.2 ‘Sweet Plc’ ROE</w:t>
            </w:r>
            <w:r w:rsidR="001501BF">
              <w:rPr>
                <w:noProof/>
                <w:webHidden/>
              </w:rPr>
              <w:tab/>
            </w:r>
            <w:r w:rsidR="001501BF">
              <w:rPr>
                <w:noProof/>
                <w:webHidden/>
              </w:rPr>
              <w:fldChar w:fldCharType="begin"/>
            </w:r>
            <w:r w:rsidR="001501BF">
              <w:rPr>
                <w:noProof/>
                <w:webHidden/>
              </w:rPr>
              <w:instrText xml:space="preserve"> PAGEREF _Toc153903216 \h </w:instrText>
            </w:r>
            <w:r w:rsidR="001501BF">
              <w:rPr>
                <w:noProof/>
                <w:webHidden/>
              </w:rPr>
            </w:r>
            <w:r w:rsidR="001501BF">
              <w:rPr>
                <w:noProof/>
                <w:webHidden/>
              </w:rPr>
              <w:fldChar w:fldCharType="separate"/>
            </w:r>
            <w:r w:rsidR="001501BF">
              <w:rPr>
                <w:noProof/>
                <w:webHidden/>
              </w:rPr>
              <w:t>7</w:t>
            </w:r>
            <w:r w:rsidR="001501BF">
              <w:rPr>
                <w:noProof/>
                <w:webHidden/>
              </w:rPr>
              <w:fldChar w:fldCharType="end"/>
            </w:r>
          </w:hyperlink>
        </w:p>
        <w:p w14:paraId="6F1CC3E3" w14:textId="1929BADB" w:rsidR="001501BF" w:rsidRDefault="00A664BC">
          <w:pPr>
            <w:pStyle w:val="TOC3"/>
            <w:tabs>
              <w:tab w:val="right" w:leader="dot" w:pos="9016"/>
            </w:tabs>
            <w:rPr>
              <w:rFonts w:eastAsiaTheme="minorEastAsia"/>
              <w:noProof/>
              <w:lang w:eastAsia="en-GB"/>
            </w:rPr>
          </w:pPr>
          <w:hyperlink w:anchor="_Toc153903217" w:history="1">
            <w:r w:rsidR="001501BF" w:rsidRPr="005A03D3">
              <w:rPr>
                <w:rStyle w:val="Hyperlink"/>
                <w:rFonts w:ascii="Times New Roman" w:hAnsi="Times New Roman" w:cs="Times New Roman"/>
                <w:b/>
                <w:bCs/>
                <w:noProof/>
              </w:rPr>
              <w:t>4.1.3 Earnings per Share</w:t>
            </w:r>
            <w:r w:rsidR="001501BF">
              <w:rPr>
                <w:noProof/>
                <w:webHidden/>
              </w:rPr>
              <w:tab/>
            </w:r>
            <w:r w:rsidR="001501BF">
              <w:rPr>
                <w:noProof/>
                <w:webHidden/>
              </w:rPr>
              <w:fldChar w:fldCharType="begin"/>
            </w:r>
            <w:r w:rsidR="001501BF">
              <w:rPr>
                <w:noProof/>
                <w:webHidden/>
              </w:rPr>
              <w:instrText xml:space="preserve"> PAGEREF _Toc153903217 \h </w:instrText>
            </w:r>
            <w:r w:rsidR="001501BF">
              <w:rPr>
                <w:noProof/>
                <w:webHidden/>
              </w:rPr>
            </w:r>
            <w:r w:rsidR="001501BF">
              <w:rPr>
                <w:noProof/>
                <w:webHidden/>
              </w:rPr>
              <w:fldChar w:fldCharType="separate"/>
            </w:r>
            <w:r w:rsidR="001501BF">
              <w:rPr>
                <w:noProof/>
                <w:webHidden/>
              </w:rPr>
              <w:t>8</w:t>
            </w:r>
            <w:r w:rsidR="001501BF">
              <w:rPr>
                <w:noProof/>
                <w:webHidden/>
              </w:rPr>
              <w:fldChar w:fldCharType="end"/>
            </w:r>
          </w:hyperlink>
        </w:p>
        <w:p w14:paraId="3D93C8B6" w14:textId="371B8CA9" w:rsidR="001501BF" w:rsidRDefault="00A664BC">
          <w:pPr>
            <w:pStyle w:val="TOC3"/>
            <w:tabs>
              <w:tab w:val="right" w:leader="dot" w:pos="9016"/>
            </w:tabs>
            <w:rPr>
              <w:rFonts w:eastAsiaTheme="minorEastAsia"/>
              <w:noProof/>
              <w:lang w:eastAsia="en-GB"/>
            </w:rPr>
          </w:pPr>
          <w:hyperlink w:anchor="_Toc153903218" w:history="1">
            <w:r w:rsidR="001501BF" w:rsidRPr="005A03D3">
              <w:rPr>
                <w:rStyle w:val="Hyperlink"/>
                <w:rFonts w:ascii="Times New Roman" w:hAnsi="Times New Roman" w:cs="Times New Roman"/>
                <w:b/>
                <w:bCs/>
                <w:noProof/>
              </w:rPr>
              <w:t>4.1.4 Net Profit Margin</w:t>
            </w:r>
            <w:r w:rsidR="001501BF">
              <w:rPr>
                <w:noProof/>
                <w:webHidden/>
              </w:rPr>
              <w:tab/>
            </w:r>
            <w:r w:rsidR="001501BF">
              <w:rPr>
                <w:noProof/>
                <w:webHidden/>
              </w:rPr>
              <w:fldChar w:fldCharType="begin"/>
            </w:r>
            <w:r w:rsidR="001501BF">
              <w:rPr>
                <w:noProof/>
                <w:webHidden/>
              </w:rPr>
              <w:instrText xml:space="preserve"> PAGEREF _Toc153903218 \h </w:instrText>
            </w:r>
            <w:r w:rsidR="001501BF">
              <w:rPr>
                <w:noProof/>
                <w:webHidden/>
              </w:rPr>
            </w:r>
            <w:r w:rsidR="001501BF">
              <w:rPr>
                <w:noProof/>
                <w:webHidden/>
              </w:rPr>
              <w:fldChar w:fldCharType="separate"/>
            </w:r>
            <w:r w:rsidR="001501BF">
              <w:rPr>
                <w:noProof/>
                <w:webHidden/>
              </w:rPr>
              <w:t>8</w:t>
            </w:r>
            <w:r w:rsidR="001501BF">
              <w:rPr>
                <w:noProof/>
                <w:webHidden/>
              </w:rPr>
              <w:fldChar w:fldCharType="end"/>
            </w:r>
          </w:hyperlink>
        </w:p>
        <w:p w14:paraId="6987C1A9" w14:textId="066302F5" w:rsidR="001501BF" w:rsidRDefault="00A664BC">
          <w:pPr>
            <w:pStyle w:val="TOC3"/>
            <w:tabs>
              <w:tab w:val="right" w:leader="dot" w:pos="9016"/>
            </w:tabs>
            <w:rPr>
              <w:rFonts w:eastAsiaTheme="minorEastAsia"/>
              <w:noProof/>
              <w:lang w:eastAsia="en-GB"/>
            </w:rPr>
          </w:pPr>
          <w:hyperlink w:anchor="_Toc153903219" w:history="1">
            <w:r w:rsidR="001501BF" w:rsidRPr="005A03D3">
              <w:rPr>
                <w:rStyle w:val="Hyperlink"/>
                <w:rFonts w:ascii="Times New Roman" w:hAnsi="Times New Roman" w:cs="Times New Roman"/>
                <w:b/>
                <w:bCs/>
                <w:noProof/>
              </w:rPr>
              <w:t>4.1.5 Asset Turnover</w:t>
            </w:r>
            <w:r w:rsidR="001501BF">
              <w:rPr>
                <w:noProof/>
                <w:webHidden/>
              </w:rPr>
              <w:tab/>
            </w:r>
            <w:r w:rsidR="001501BF">
              <w:rPr>
                <w:noProof/>
                <w:webHidden/>
              </w:rPr>
              <w:fldChar w:fldCharType="begin"/>
            </w:r>
            <w:r w:rsidR="001501BF">
              <w:rPr>
                <w:noProof/>
                <w:webHidden/>
              </w:rPr>
              <w:instrText xml:space="preserve"> PAGEREF _Toc153903219 \h </w:instrText>
            </w:r>
            <w:r w:rsidR="001501BF">
              <w:rPr>
                <w:noProof/>
                <w:webHidden/>
              </w:rPr>
            </w:r>
            <w:r w:rsidR="001501BF">
              <w:rPr>
                <w:noProof/>
                <w:webHidden/>
              </w:rPr>
              <w:fldChar w:fldCharType="separate"/>
            </w:r>
            <w:r w:rsidR="001501BF">
              <w:rPr>
                <w:noProof/>
                <w:webHidden/>
              </w:rPr>
              <w:t>9</w:t>
            </w:r>
            <w:r w:rsidR="001501BF">
              <w:rPr>
                <w:noProof/>
                <w:webHidden/>
              </w:rPr>
              <w:fldChar w:fldCharType="end"/>
            </w:r>
          </w:hyperlink>
        </w:p>
        <w:p w14:paraId="181D5E8B" w14:textId="77B89554" w:rsidR="001501BF" w:rsidRDefault="00A664BC">
          <w:pPr>
            <w:pStyle w:val="TOC3"/>
            <w:tabs>
              <w:tab w:val="right" w:leader="dot" w:pos="9016"/>
            </w:tabs>
            <w:rPr>
              <w:rFonts w:eastAsiaTheme="minorEastAsia"/>
              <w:noProof/>
              <w:lang w:eastAsia="en-GB"/>
            </w:rPr>
          </w:pPr>
          <w:hyperlink w:anchor="_Toc153903220" w:history="1">
            <w:r w:rsidR="001501BF" w:rsidRPr="005A03D3">
              <w:rPr>
                <w:rStyle w:val="Hyperlink"/>
                <w:rFonts w:ascii="Times New Roman" w:hAnsi="Times New Roman" w:cs="Times New Roman"/>
                <w:b/>
                <w:bCs/>
                <w:noProof/>
              </w:rPr>
              <w:t>4.1.6 Stock Holding Days</w:t>
            </w:r>
            <w:r w:rsidR="001501BF">
              <w:rPr>
                <w:noProof/>
                <w:webHidden/>
              </w:rPr>
              <w:tab/>
            </w:r>
            <w:r w:rsidR="001501BF">
              <w:rPr>
                <w:noProof/>
                <w:webHidden/>
              </w:rPr>
              <w:fldChar w:fldCharType="begin"/>
            </w:r>
            <w:r w:rsidR="001501BF">
              <w:rPr>
                <w:noProof/>
                <w:webHidden/>
              </w:rPr>
              <w:instrText xml:space="preserve"> PAGEREF _Toc153903220 \h </w:instrText>
            </w:r>
            <w:r w:rsidR="001501BF">
              <w:rPr>
                <w:noProof/>
                <w:webHidden/>
              </w:rPr>
            </w:r>
            <w:r w:rsidR="001501BF">
              <w:rPr>
                <w:noProof/>
                <w:webHidden/>
              </w:rPr>
              <w:fldChar w:fldCharType="separate"/>
            </w:r>
            <w:r w:rsidR="001501BF">
              <w:rPr>
                <w:noProof/>
                <w:webHidden/>
              </w:rPr>
              <w:t>9</w:t>
            </w:r>
            <w:r w:rsidR="001501BF">
              <w:rPr>
                <w:noProof/>
                <w:webHidden/>
              </w:rPr>
              <w:fldChar w:fldCharType="end"/>
            </w:r>
          </w:hyperlink>
        </w:p>
        <w:p w14:paraId="39C0AE6C" w14:textId="1B8D2983" w:rsidR="001501BF" w:rsidRDefault="00A664BC">
          <w:pPr>
            <w:pStyle w:val="TOC3"/>
            <w:tabs>
              <w:tab w:val="right" w:leader="dot" w:pos="9016"/>
            </w:tabs>
            <w:rPr>
              <w:rFonts w:eastAsiaTheme="minorEastAsia"/>
              <w:noProof/>
              <w:lang w:eastAsia="en-GB"/>
            </w:rPr>
          </w:pPr>
          <w:hyperlink w:anchor="_Toc153903221" w:history="1">
            <w:r w:rsidR="001501BF" w:rsidRPr="005A03D3">
              <w:rPr>
                <w:rStyle w:val="Hyperlink"/>
                <w:rFonts w:ascii="Times New Roman" w:hAnsi="Times New Roman" w:cs="Times New Roman"/>
                <w:b/>
                <w:bCs/>
                <w:noProof/>
              </w:rPr>
              <w:t>4.1.7 Debtors Collection Period</w:t>
            </w:r>
            <w:r w:rsidR="001501BF">
              <w:rPr>
                <w:noProof/>
                <w:webHidden/>
              </w:rPr>
              <w:tab/>
            </w:r>
            <w:r w:rsidR="001501BF">
              <w:rPr>
                <w:noProof/>
                <w:webHidden/>
              </w:rPr>
              <w:fldChar w:fldCharType="begin"/>
            </w:r>
            <w:r w:rsidR="001501BF">
              <w:rPr>
                <w:noProof/>
                <w:webHidden/>
              </w:rPr>
              <w:instrText xml:space="preserve"> PAGEREF _Toc153903221 \h </w:instrText>
            </w:r>
            <w:r w:rsidR="001501BF">
              <w:rPr>
                <w:noProof/>
                <w:webHidden/>
              </w:rPr>
            </w:r>
            <w:r w:rsidR="001501BF">
              <w:rPr>
                <w:noProof/>
                <w:webHidden/>
              </w:rPr>
              <w:fldChar w:fldCharType="separate"/>
            </w:r>
            <w:r w:rsidR="001501BF">
              <w:rPr>
                <w:noProof/>
                <w:webHidden/>
              </w:rPr>
              <w:t>10</w:t>
            </w:r>
            <w:r w:rsidR="001501BF">
              <w:rPr>
                <w:noProof/>
                <w:webHidden/>
              </w:rPr>
              <w:fldChar w:fldCharType="end"/>
            </w:r>
          </w:hyperlink>
        </w:p>
        <w:p w14:paraId="2FF03A5B" w14:textId="0D93861F" w:rsidR="001501BF" w:rsidRDefault="00A664BC">
          <w:pPr>
            <w:pStyle w:val="TOC3"/>
            <w:tabs>
              <w:tab w:val="right" w:leader="dot" w:pos="9016"/>
            </w:tabs>
            <w:rPr>
              <w:rFonts w:eastAsiaTheme="minorEastAsia"/>
              <w:noProof/>
              <w:lang w:eastAsia="en-GB"/>
            </w:rPr>
          </w:pPr>
          <w:hyperlink w:anchor="_Toc153903222" w:history="1">
            <w:r w:rsidR="001501BF" w:rsidRPr="005A03D3">
              <w:rPr>
                <w:rStyle w:val="Hyperlink"/>
                <w:rFonts w:ascii="Times New Roman" w:hAnsi="Times New Roman" w:cs="Times New Roman"/>
                <w:b/>
                <w:bCs/>
                <w:noProof/>
              </w:rPr>
              <w:t>4.1.8 Current Ratio</w:t>
            </w:r>
            <w:r w:rsidR="001501BF">
              <w:rPr>
                <w:noProof/>
                <w:webHidden/>
              </w:rPr>
              <w:tab/>
            </w:r>
            <w:r w:rsidR="001501BF">
              <w:rPr>
                <w:noProof/>
                <w:webHidden/>
              </w:rPr>
              <w:fldChar w:fldCharType="begin"/>
            </w:r>
            <w:r w:rsidR="001501BF">
              <w:rPr>
                <w:noProof/>
                <w:webHidden/>
              </w:rPr>
              <w:instrText xml:space="preserve"> PAGEREF _Toc153903222 \h </w:instrText>
            </w:r>
            <w:r w:rsidR="001501BF">
              <w:rPr>
                <w:noProof/>
                <w:webHidden/>
              </w:rPr>
            </w:r>
            <w:r w:rsidR="001501BF">
              <w:rPr>
                <w:noProof/>
                <w:webHidden/>
              </w:rPr>
              <w:fldChar w:fldCharType="separate"/>
            </w:r>
            <w:r w:rsidR="001501BF">
              <w:rPr>
                <w:noProof/>
                <w:webHidden/>
              </w:rPr>
              <w:t>10</w:t>
            </w:r>
            <w:r w:rsidR="001501BF">
              <w:rPr>
                <w:noProof/>
                <w:webHidden/>
              </w:rPr>
              <w:fldChar w:fldCharType="end"/>
            </w:r>
          </w:hyperlink>
        </w:p>
        <w:p w14:paraId="2DFB75B9" w14:textId="1F82A3B0" w:rsidR="001501BF" w:rsidRDefault="00A664BC">
          <w:pPr>
            <w:pStyle w:val="TOC3"/>
            <w:tabs>
              <w:tab w:val="right" w:leader="dot" w:pos="9016"/>
            </w:tabs>
            <w:rPr>
              <w:rFonts w:eastAsiaTheme="minorEastAsia"/>
              <w:noProof/>
              <w:lang w:eastAsia="en-GB"/>
            </w:rPr>
          </w:pPr>
          <w:hyperlink w:anchor="_Toc153903223" w:history="1">
            <w:r w:rsidR="001501BF" w:rsidRPr="005A03D3">
              <w:rPr>
                <w:rStyle w:val="Hyperlink"/>
                <w:rFonts w:ascii="Times New Roman" w:hAnsi="Times New Roman" w:cs="Times New Roman"/>
                <w:b/>
                <w:bCs/>
                <w:noProof/>
              </w:rPr>
              <w:t>4.1.9 Gearing Ratio</w:t>
            </w:r>
            <w:r w:rsidR="001501BF">
              <w:rPr>
                <w:noProof/>
                <w:webHidden/>
              </w:rPr>
              <w:tab/>
            </w:r>
            <w:r w:rsidR="001501BF">
              <w:rPr>
                <w:noProof/>
                <w:webHidden/>
              </w:rPr>
              <w:fldChar w:fldCharType="begin"/>
            </w:r>
            <w:r w:rsidR="001501BF">
              <w:rPr>
                <w:noProof/>
                <w:webHidden/>
              </w:rPr>
              <w:instrText xml:space="preserve"> PAGEREF _Toc153903223 \h </w:instrText>
            </w:r>
            <w:r w:rsidR="001501BF">
              <w:rPr>
                <w:noProof/>
                <w:webHidden/>
              </w:rPr>
            </w:r>
            <w:r w:rsidR="001501BF">
              <w:rPr>
                <w:noProof/>
                <w:webHidden/>
              </w:rPr>
              <w:fldChar w:fldCharType="separate"/>
            </w:r>
            <w:r w:rsidR="001501BF">
              <w:rPr>
                <w:noProof/>
                <w:webHidden/>
              </w:rPr>
              <w:t>10</w:t>
            </w:r>
            <w:r w:rsidR="001501BF">
              <w:rPr>
                <w:noProof/>
                <w:webHidden/>
              </w:rPr>
              <w:fldChar w:fldCharType="end"/>
            </w:r>
          </w:hyperlink>
        </w:p>
        <w:p w14:paraId="22E00AAF" w14:textId="0C5DE02D" w:rsidR="001501BF" w:rsidRDefault="00A664BC">
          <w:pPr>
            <w:pStyle w:val="TOC3"/>
            <w:tabs>
              <w:tab w:val="right" w:leader="dot" w:pos="9016"/>
            </w:tabs>
            <w:rPr>
              <w:rFonts w:eastAsiaTheme="minorEastAsia"/>
              <w:noProof/>
              <w:lang w:eastAsia="en-GB"/>
            </w:rPr>
          </w:pPr>
          <w:hyperlink w:anchor="_Toc153903224" w:history="1">
            <w:r w:rsidR="001501BF" w:rsidRPr="005A03D3">
              <w:rPr>
                <w:rStyle w:val="Hyperlink"/>
                <w:rFonts w:ascii="Times New Roman" w:hAnsi="Times New Roman" w:cs="Times New Roman"/>
                <w:b/>
                <w:bCs/>
                <w:noProof/>
              </w:rPr>
              <w:t>4.1.10 Interest Cover</w:t>
            </w:r>
            <w:r w:rsidR="001501BF">
              <w:rPr>
                <w:noProof/>
                <w:webHidden/>
              </w:rPr>
              <w:tab/>
            </w:r>
            <w:r w:rsidR="001501BF">
              <w:rPr>
                <w:noProof/>
                <w:webHidden/>
              </w:rPr>
              <w:fldChar w:fldCharType="begin"/>
            </w:r>
            <w:r w:rsidR="001501BF">
              <w:rPr>
                <w:noProof/>
                <w:webHidden/>
              </w:rPr>
              <w:instrText xml:space="preserve"> PAGEREF _Toc153903224 \h </w:instrText>
            </w:r>
            <w:r w:rsidR="001501BF">
              <w:rPr>
                <w:noProof/>
                <w:webHidden/>
              </w:rPr>
            </w:r>
            <w:r w:rsidR="001501BF">
              <w:rPr>
                <w:noProof/>
                <w:webHidden/>
              </w:rPr>
              <w:fldChar w:fldCharType="separate"/>
            </w:r>
            <w:r w:rsidR="001501BF">
              <w:rPr>
                <w:noProof/>
                <w:webHidden/>
              </w:rPr>
              <w:t>11</w:t>
            </w:r>
            <w:r w:rsidR="001501BF">
              <w:rPr>
                <w:noProof/>
                <w:webHidden/>
              </w:rPr>
              <w:fldChar w:fldCharType="end"/>
            </w:r>
          </w:hyperlink>
        </w:p>
        <w:p w14:paraId="08069233" w14:textId="2D90493F" w:rsidR="001501BF" w:rsidRDefault="00A664BC">
          <w:pPr>
            <w:pStyle w:val="TOC1"/>
            <w:tabs>
              <w:tab w:val="right" w:leader="dot" w:pos="9016"/>
            </w:tabs>
            <w:rPr>
              <w:rFonts w:eastAsiaTheme="minorEastAsia"/>
              <w:noProof/>
              <w:lang w:eastAsia="en-GB"/>
            </w:rPr>
          </w:pPr>
          <w:hyperlink w:anchor="_Toc153903225" w:history="1">
            <w:r w:rsidR="001501BF" w:rsidRPr="005A03D3">
              <w:rPr>
                <w:rStyle w:val="Hyperlink"/>
                <w:rFonts w:ascii="Times New Roman" w:hAnsi="Times New Roman" w:cs="Times New Roman"/>
                <w:b/>
                <w:bCs/>
                <w:noProof/>
              </w:rPr>
              <w:t>4.2.0 Critical Discussion on ‘Sweets Plc’ Financial Performance</w:t>
            </w:r>
            <w:r w:rsidR="001501BF">
              <w:rPr>
                <w:noProof/>
                <w:webHidden/>
              </w:rPr>
              <w:tab/>
            </w:r>
            <w:r w:rsidR="001501BF">
              <w:rPr>
                <w:noProof/>
                <w:webHidden/>
              </w:rPr>
              <w:fldChar w:fldCharType="begin"/>
            </w:r>
            <w:r w:rsidR="001501BF">
              <w:rPr>
                <w:noProof/>
                <w:webHidden/>
              </w:rPr>
              <w:instrText xml:space="preserve"> PAGEREF _Toc153903225 \h </w:instrText>
            </w:r>
            <w:r w:rsidR="001501BF">
              <w:rPr>
                <w:noProof/>
                <w:webHidden/>
              </w:rPr>
            </w:r>
            <w:r w:rsidR="001501BF">
              <w:rPr>
                <w:noProof/>
                <w:webHidden/>
              </w:rPr>
              <w:fldChar w:fldCharType="separate"/>
            </w:r>
            <w:r w:rsidR="001501BF">
              <w:rPr>
                <w:noProof/>
                <w:webHidden/>
              </w:rPr>
              <w:t>11</w:t>
            </w:r>
            <w:r w:rsidR="001501BF">
              <w:rPr>
                <w:noProof/>
                <w:webHidden/>
              </w:rPr>
              <w:fldChar w:fldCharType="end"/>
            </w:r>
          </w:hyperlink>
        </w:p>
        <w:p w14:paraId="7F2371F6" w14:textId="34E7C026" w:rsidR="001501BF" w:rsidRDefault="00A664BC">
          <w:pPr>
            <w:pStyle w:val="TOC1"/>
            <w:tabs>
              <w:tab w:val="right" w:leader="dot" w:pos="9016"/>
            </w:tabs>
            <w:rPr>
              <w:rFonts w:eastAsiaTheme="minorEastAsia"/>
              <w:noProof/>
              <w:lang w:eastAsia="en-GB"/>
            </w:rPr>
          </w:pPr>
          <w:hyperlink w:anchor="_Toc153903226" w:history="1">
            <w:r w:rsidR="001501BF" w:rsidRPr="005A03D3">
              <w:rPr>
                <w:rStyle w:val="Hyperlink"/>
                <w:rFonts w:ascii="Times New Roman" w:hAnsi="Times New Roman" w:cs="Times New Roman"/>
                <w:b/>
                <w:bCs/>
                <w:noProof/>
              </w:rPr>
              <w:t>5.0.0 Conclusion</w:t>
            </w:r>
            <w:r w:rsidR="001501BF">
              <w:rPr>
                <w:noProof/>
                <w:webHidden/>
              </w:rPr>
              <w:tab/>
            </w:r>
            <w:r w:rsidR="001501BF">
              <w:rPr>
                <w:noProof/>
                <w:webHidden/>
              </w:rPr>
              <w:fldChar w:fldCharType="begin"/>
            </w:r>
            <w:r w:rsidR="001501BF">
              <w:rPr>
                <w:noProof/>
                <w:webHidden/>
              </w:rPr>
              <w:instrText xml:space="preserve"> PAGEREF _Toc153903226 \h </w:instrText>
            </w:r>
            <w:r w:rsidR="001501BF">
              <w:rPr>
                <w:noProof/>
                <w:webHidden/>
              </w:rPr>
            </w:r>
            <w:r w:rsidR="001501BF">
              <w:rPr>
                <w:noProof/>
                <w:webHidden/>
              </w:rPr>
              <w:fldChar w:fldCharType="separate"/>
            </w:r>
            <w:r w:rsidR="001501BF">
              <w:rPr>
                <w:noProof/>
                <w:webHidden/>
              </w:rPr>
              <w:t>13</w:t>
            </w:r>
            <w:r w:rsidR="001501BF">
              <w:rPr>
                <w:noProof/>
                <w:webHidden/>
              </w:rPr>
              <w:fldChar w:fldCharType="end"/>
            </w:r>
          </w:hyperlink>
        </w:p>
        <w:p w14:paraId="0DD7D67E" w14:textId="5EDA95CC" w:rsidR="001501BF" w:rsidRDefault="00A664BC">
          <w:pPr>
            <w:pStyle w:val="TOC1"/>
            <w:tabs>
              <w:tab w:val="right" w:leader="dot" w:pos="9016"/>
            </w:tabs>
            <w:rPr>
              <w:rFonts w:eastAsiaTheme="minorEastAsia"/>
              <w:noProof/>
              <w:lang w:eastAsia="en-GB"/>
            </w:rPr>
          </w:pPr>
          <w:hyperlink w:anchor="_Toc153903227" w:history="1">
            <w:r w:rsidR="001501BF" w:rsidRPr="005A03D3">
              <w:rPr>
                <w:rStyle w:val="Hyperlink"/>
                <w:rFonts w:ascii="Times New Roman" w:hAnsi="Times New Roman" w:cs="Times New Roman"/>
                <w:b/>
                <w:bCs/>
                <w:noProof/>
              </w:rPr>
              <w:t>6.0.0 Refrences</w:t>
            </w:r>
            <w:r w:rsidR="001501BF">
              <w:rPr>
                <w:noProof/>
                <w:webHidden/>
              </w:rPr>
              <w:tab/>
            </w:r>
            <w:r w:rsidR="001501BF">
              <w:rPr>
                <w:noProof/>
                <w:webHidden/>
              </w:rPr>
              <w:fldChar w:fldCharType="begin"/>
            </w:r>
            <w:r w:rsidR="001501BF">
              <w:rPr>
                <w:noProof/>
                <w:webHidden/>
              </w:rPr>
              <w:instrText xml:space="preserve"> PAGEREF _Toc153903227 \h </w:instrText>
            </w:r>
            <w:r w:rsidR="001501BF">
              <w:rPr>
                <w:noProof/>
                <w:webHidden/>
              </w:rPr>
            </w:r>
            <w:r w:rsidR="001501BF">
              <w:rPr>
                <w:noProof/>
                <w:webHidden/>
              </w:rPr>
              <w:fldChar w:fldCharType="separate"/>
            </w:r>
            <w:r w:rsidR="001501BF">
              <w:rPr>
                <w:noProof/>
                <w:webHidden/>
              </w:rPr>
              <w:t>14</w:t>
            </w:r>
            <w:r w:rsidR="001501BF">
              <w:rPr>
                <w:noProof/>
                <w:webHidden/>
              </w:rPr>
              <w:fldChar w:fldCharType="end"/>
            </w:r>
          </w:hyperlink>
        </w:p>
        <w:p w14:paraId="1BD278EC" w14:textId="2C4C5772" w:rsidR="00DF2ABA" w:rsidRPr="00F90A82" w:rsidRDefault="00DF2ABA" w:rsidP="00485544">
          <w:pPr>
            <w:spacing w:line="360" w:lineRule="auto"/>
            <w:rPr>
              <w:rFonts w:ascii="Times New Roman" w:hAnsi="Times New Roman" w:cs="Times New Roman"/>
              <w:color w:val="000000" w:themeColor="text1"/>
              <w:sz w:val="24"/>
              <w:szCs w:val="24"/>
            </w:rPr>
          </w:pPr>
          <w:r w:rsidRPr="00F90A82">
            <w:rPr>
              <w:rFonts w:ascii="Times New Roman" w:hAnsi="Times New Roman" w:cs="Times New Roman"/>
              <w:b/>
              <w:bCs/>
              <w:noProof/>
              <w:color w:val="000000" w:themeColor="text1"/>
              <w:sz w:val="24"/>
              <w:szCs w:val="24"/>
            </w:rPr>
            <w:fldChar w:fldCharType="end"/>
          </w:r>
        </w:p>
      </w:sdtContent>
    </w:sdt>
    <w:p w14:paraId="07B87E7F" w14:textId="6A147192" w:rsidR="00501BAC" w:rsidRPr="00F90A82" w:rsidRDefault="00501BAC" w:rsidP="00485544">
      <w:pPr>
        <w:spacing w:line="360" w:lineRule="auto"/>
        <w:jc w:val="center"/>
        <w:rPr>
          <w:rFonts w:ascii="Times New Roman" w:hAnsi="Times New Roman" w:cs="Times New Roman"/>
          <w:color w:val="000000" w:themeColor="text1"/>
          <w:sz w:val="24"/>
          <w:szCs w:val="24"/>
        </w:rPr>
      </w:pPr>
    </w:p>
    <w:p w14:paraId="523583F7" w14:textId="1EEF320A" w:rsidR="001E65DF" w:rsidRPr="00BB3E7F" w:rsidRDefault="00501BAC" w:rsidP="00813509">
      <w:pPr>
        <w:pStyle w:val="Heading1"/>
        <w:spacing w:line="360" w:lineRule="auto"/>
        <w:rPr>
          <w:rFonts w:ascii="Times New Roman" w:hAnsi="Times New Roman" w:cs="Times New Roman"/>
          <w:b/>
          <w:bCs/>
          <w:color w:val="000000" w:themeColor="text1"/>
          <w:sz w:val="24"/>
          <w:szCs w:val="24"/>
          <w:u w:val="single"/>
        </w:rPr>
      </w:pPr>
      <w:r w:rsidRPr="00F90A82">
        <w:rPr>
          <w:rFonts w:ascii="Times New Roman" w:hAnsi="Times New Roman" w:cs="Times New Roman"/>
          <w:color w:val="000000" w:themeColor="text1"/>
          <w:sz w:val="24"/>
          <w:szCs w:val="24"/>
        </w:rPr>
        <w:br w:type="page"/>
      </w:r>
      <w:bookmarkStart w:id="0" w:name="_Toc153903205"/>
      <w:r w:rsidR="00813509" w:rsidRPr="00BB3E7F">
        <w:rPr>
          <w:rFonts w:ascii="Times New Roman" w:hAnsi="Times New Roman" w:cs="Times New Roman"/>
          <w:b/>
          <w:bCs/>
          <w:color w:val="000000" w:themeColor="text1"/>
          <w:sz w:val="24"/>
          <w:szCs w:val="24"/>
          <w:u w:val="single"/>
        </w:rPr>
        <w:lastRenderedPageBreak/>
        <w:t>1.0</w:t>
      </w:r>
      <w:r w:rsidR="00A600EC">
        <w:rPr>
          <w:rFonts w:ascii="Times New Roman" w:hAnsi="Times New Roman" w:cs="Times New Roman"/>
          <w:b/>
          <w:bCs/>
          <w:color w:val="000000" w:themeColor="text1"/>
          <w:sz w:val="24"/>
          <w:szCs w:val="24"/>
          <w:u w:val="single"/>
        </w:rPr>
        <w:t>.0</w:t>
      </w:r>
      <w:r w:rsidR="00813509" w:rsidRPr="00BB3E7F">
        <w:rPr>
          <w:rFonts w:ascii="Times New Roman" w:hAnsi="Times New Roman" w:cs="Times New Roman"/>
          <w:b/>
          <w:bCs/>
          <w:color w:val="000000" w:themeColor="text1"/>
          <w:sz w:val="24"/>
          <w:szCs w:val="24"/>
          <w:u w:val="single"/>
        </w:rPr>
        <w:t xml:space="preserve"> </w:t>
      </w:r>
      <w:r w:rsidR="00017D6B" w:rsidRPr="00BB3E7F">
        <w:rPr>
          <w:rFonts w:ascii="Times New Roman" w:hAnsi="Times New Roman" w:cs="Times New Roman"/>
          <w:b/>
          <w:bCs/>
          <w:color w:val="000000" w:themeColor="text1"/>
          <w:sz w:val="28"/>
          <w:szCs w:val="28"/>
          <w:u w:val="single"/>
        </w:rPr>
        <w:t>Introduction</w:t>
      </w:r>
      <w:bookmarkEnd w:id="0"/>
      <w:r w:rsidR="00017D6B" w:rsidRPr="00BB3E7F">
        <w:rPr>
          <w:rFonts w:ascii="Times New Roman" w:hAnsi="Times New Roman" w:cs="Times New Roman"/>
          <w:b/>
          <w:bCs/>
          <w:color w:val="000000" w:themeColor="text1"/>
          <w:sz w:val="28"/>
          <w:szCs w:val="28"/>
          <w:u w:val="single"/>
        </w:rPr>
        <w:t xml:space="preserve"> </w:t>
      </w:r>
    </w:p>
    <w:p w14:paraId="3FBE9185" w14:textId="007AEBF6" w:rsidR="00CB1BBD" w:rsidRPr="003225C2" w:rsidRDefault="00AD228B" w:rsidP="00AD228B">
      <w:pPr>
        <w:pStyle w:val="NoSpacing"/>
        <w:spacing w:line="360" w:lineRule="auto"/>
        <w:jc w:val="both"/>
        <w:rPr>
          <w:rFonts w:ascii="Times New Roman" w:hAnsi="Times New Roman" w:cs="Times New Roman"/>
          <w:color w:val="000000" w:themeColor="text1"/>
          <w:sz w:val="24"/>
          <w:szCs w:val="24"/>
        </w:rPr>
      </w:pPr>
      <w:r w:rsidRPr="003225C2">
        <w:rPr>
          <w:rFonts w:ascii="Times New Roman" w:hAnsi="Times New Roman" w:cs="Times New Roman"/>
          <w:sz w:val="24"/>
          <w:szCs w:val="24"/>
        </w:rPr>
        <w:t>A</w:t>
      </w:r>
      <w:r w:rsidR="00E7701C" w:rsidRPr="003225C2">
        <w:rPr>
          <w:rFonts w:ascii="Times New Roman" w:hAnsi="Times New Roman" w:cs="Times New Roman"/>
          <w:sz w:val="24"/>
          <w:szCs w:val="24"/>
        </w:rPr>
        <w:t>c</w:t>
      </w:r>
      <w:r w:rsidR="00CB1BBD" w:rsidRPr="003225C2">
        <w:rPr>
          <w:rFonts w:ascii="Times New Roman" w:hAnsi="Times New Roman" w:cs="Times New Roman"/>
          <w:sz w:val="24"/>
          <w:szCs w:val="24"/>
        </w:rPr>
        <w:t>counting is the cornerstone of the financial world, providing a systematic approach to</w:t>
      </w:r>
      <w:r w:rsidR="00CB1BBD" w:rsidRPr="003225C2">
        <w:rPr>
          <w:rFonts w:ascii="Times New Roman" w:hAnsi="Times New Roman" w:cs="Times New Roman"/>
          <w:color w:val="000000" w:themeColor="text1"/>
          <w:sz w:val="24"/>
          <w:szCs w:val="24"/>
        </w:rPr>
        <w:t xml:space="preserve"> recording and analy</w:t>
      </w:r>
      <w:r w:rsidR="00E7701C" w:rsidRPr="003225C2">
        <w:rPr>
          <w:rFonts w:ascii="Times New Roman" w:hAnsi="Times New Roman" w:cs="Times New Roman"/>
          <w:color w:val="000000" w:themeColor="text1"/>
          <w:sz w:val="24"/>
          <w:szCs w:val="24"/>
        </w:rPr>
        <w:t>s</w:t>
      </w:r>
      <w:r w:rsidR="00CB1BBD" w:rsidRPr="003225C2">
        <w:rPr>
          <w:rFonts w:ascii="Times New Roman" w:hAnsi="Times New Roman" w:cs="Times New Roman"/>
          <w:color w:val="000000" w:themeColor="text1"/>
          <w:sz w:val="24"/>
          <w:szCs w:val="24"/>
        </w:rPr>
        <w:t>ing the economic activities of a business. It ensures transparency and accountability, serving as a key tool for decision-makers such as investors, creditors, and regulatory bodies (Warren, Reeve, and Duchac, 2018). The integrity of financial reporting hinges upon adherence to accounting principles and standards, which guide the preparation and presentation of financial statements (</w:t>
      </w:r>
      <w:proofErr w:type="spellStart"/>
      <w:r w:rsidR="00CB1BBD" w:rsidRPr="003225C2">
        <w:rPr>
          <w:rFonts w:ascii="Times New Roman" w:hAnsi="Times New Roman" w:cs="Times New Roman"/>
          <w:color w:val="000000" w:themeColor="text1"/>
          <w:sz w:val="24"/>
          <w:szCs w:val="24"/>
        </w:rPr>
        <w:t>Kieso</w:t>
      </w:r>
      <w:proofErr w:type="spellEnd"/>
      <w:r w:rsidR="00CB1BBD" w:rsidRPr="003225C2">
        <w:rPr>
          <w:rFonts w:ascii="Times New Roman" w:hAnsi="Times New Roman" w:cs="Times New Roman"/>
          <w:color w:val="000000" w:themeColor="text1"/>
          <w:sz w:val="24"/>
          <w:szCs w:val="24"/>
        </w:rPr>
        <w:t>, Weygandt, and Warfield, 2019). This report offers an insightful examination of accounting fundamentals, emphasizing the critical role of financial position statements in depicting a company’s wealth and liquidity. It seeks to elucidate the interplay between managerial decisions and shareholder interests, underpinned by the regulatory framework governing financial disclosures</w:t>
      </w:r>
      <w:r w:rsidR="00725A79">
        <w:rPr>
          <w:rFonts w:ascii="Times New Roman" w:hAnsi="Times New Roman" w:cs="Times New Roman"/>
          <w:color w:val="000000" w:themeColor="text1"/>
          <w:sz w:val="24"/>
          <w:szCs w:val="24"/>
        </w:rPr>
        <w:t>. The report will</w:t>
      </w:r>
      <w:r w:rsidR="00A52209">
        <w:rPr>
          <w:rFonts w:ascii="Times New Roman" w:hAnsi="Times New Roman" w:cs="Times New Roman"/>
          <w:color w:val="000000" w:themeColor="text1"/>
          <w:sz w:val="24"/>
          <w:szCs w:val="24"/>
        </w:rPr>
        <w:t xml:space="preserve"> </w:t>
      </w:r>
      <w:r w:rsidR="00F52E7A">
        <w:rPr>
          <w:rFonts w:ascii="Times New Roman" w:hAnsi="Times New Roman" w:cs="Times New Roman"/>
          <w:color w:val="000000" w:themeColor="text1"/>
          <w:sz w:val="24"/>
          <w:szCs w:val="24"/>
        </w:rPr>
        <w:t>analyse statements</w:t>
      </w:r>
      <w:r w:rsidR="00CB1BBD" w:rsidRPr="003225C2">
        <w:rPr>
          <w:rFonts w:ascii="Times New Roman" w:hAnsi="Times New Roman" w:cs="Times New Roman"/>
          <w:color w:val="000000" w:themeColor="text1"/>
          <w:sz w:val="24"/>
          <w:szCs w:val="24"/>
        </w:rPr>
        <w:t xml:space="preserve"> and </w:t>
      </w:r>
      <w:r w:rsidR="004970F3">
        <w:rPr>
          <w:rFonts w:ascii="Times New Roman" w:hAnsi="Times New Roman" w:cs="Times New Roman"/>
          <w:color w:val="000000" w:themeColor="text1"/>
          <w:sz w:val="24"/>
          <w:szCs w:val="24"/>
        </w:rPr>
        <w:t>interpret</w:t>
      </w:r>
      <w:r w:rsidR="00EB1244">
        <w:rPr>
          <w:rFonts w:ascii="Times New Roman" w:hAnsi="Times New Roman" w:cs="Times New Roman"/>
          <w:color w:val="000000" w:themeColor="text1"/>
          <w:sz w:val="24"/>
          <w:szCs w:val="24"/>
        </w:rPr>
        <w:t xml:space="preserve"> </w:t>
      </w:r>
      <w:r w:rsidR="00CB1BBD" w:rsidRPr="003225C2">
        <w:rPr>
          <w:rFonts w:ascii="Times New Roman" w:hAnsi="Times New Roman" w:cs="Times New Roman"/>
          <w:color w:val="000000" w:themeColor="text1"/>
          <w:sz w:val="24"/>
          <w:szCs w:val="24"/>
        </w:rPr>
        <w:t>financial ratios</w:t>
      </w:r>
      <w:r w:rsidR="00EB1244">
        <w:rPr>
          <w:rFonts w:ascii="Times New Roman" w:hAnsi="Times New Roman" w:cs="Times New Roman"/>
          <w:color w:val="000000" w:themeColor="text1"/>
          <w:sz w:val="24"/>
          <w:szCs w:val="24"/>
        </w:rPr>
        <w:t xml:space="preserve"> </w:t>
      </w:r>
      <w:r w:rsidR="00CB1BBD" w:rsidRPr="003225C2">
        <w:rPr>
          <w:rFonts w:ascii="Times New Roman" w:hAnsi="Times New Roman" w:cs="Times New Roman"/>
          <w:color w:val="000000" w:themeColor="text1"/>
          <w:sz w:val="24"/>
          <w:szCs w:val="24"/>
        </w:rPr>
        <w:t>to convey the practical application of accounting theories</w:t>
      </w:r>
      <w:r w:rsidR="00AB5E2C">
        <w:rPr>
          <w:rFonts w:ascii="Times New Roman" w:hAnsi="Times New Roman" w:cs="Times New Roman"/>
          <w:color w:val="000000" w:themeColor="text1"/>
          <w:sz w:val="24"/>
          <w:szCs w:val="24"/>
        </w:rPr>
        <w:t xml:space="preserve">. </w:t>
      </w:r>
    </w:p>
    <w:p w14:paraId="69B07403" w14:textId="3BA8FFA7" w:rsidR="0096222D" w:rsidRPr="00BB3E7F" w:rsidRDefault="00813509" w:rsidP="00485544">
      <w:pPr>
        <w:pStyle w:val="Heading1"/>
        <w:spacing w:line="360" w:lineRule="auto"/>
        <w:rPr>
          <w:rFonts w:ascii="Times New Roman" w:hAnsi="Times New Roman" w:cs="Times New Roman"/>
          <w:b/>
          <w:bCs/>
          <w:color w:val="000000" w:themeColor="text1"/>
          <w:sz w:val="28"/>
          <w:szCs w:val="28"/>
          <w:u w:val="single"/>
        </w:rPr>
      </w:pPr>
      <w:bookmarkStart w:id="1" w:name="_Toc153903206"/>
      <w:r w:rsidRPr="00BB3E7F">
        <w:rPr>
          <w:rFonts w:ascii="Times New Roman" w:hAnsi="Times New Roman" w:cs="Times New Roman"/>
          <w:b/>
          <w:bCs/>
          <w:color w:val="000000" w:themeColor="text1"/>
          <w:sz w:val="28"/>
          <w:szCs w:val="28"/>
          <w:u w:val="single"/>
        </w:rPr>
        <w:t>2.</w:t>
      </w:r>
      <w:r w:rsidR="00107C01" w:rsidRPr="00BB3E7F">
        <w:rPr>
          <w:rFonts w:ascii="Times New Roman" w:hAnsi="Times New Roman" w:cs="Times New Roman"/>
          <w:b/>
          <w:bCs/>
          <w:color w:val="000000" w:themeColor="text1"/>
          <w:sz w:val="28"/>
          <w:szCs w:val="28"/>
          <w:u w:val="single"/>
        </w:rPr>
        <w:t>0</w:t>
      </w:r>
      <w:r w:rsidR="00A600EC">
        <w:rPr>
          <w:rFonts w:ascii="Times New Roman" w:hAnsi="Times New Roman" w:cs="Times New Roman"/>
          <w:b/>
          <w:bCs/>
          <w:color w:val="000000" w:themeColor="text1"/>
          <w:sz w:val="28"/>
          <w:szCs w:val="28"/>
          <w:u w:val="single"/>
        </w:rPr>
        <w:t>.0</w:t>
      </w:r>
      <w:r w:rsidR="00BA6F36" w:rsidRPr="00BB3E7F">
        <w:rPr>
          <w:rFonts w:ascii="Times New Roman" w:hAnsi="Times New Roman" w:cs="Times New Roman"/>
          <w:b/>
          <w:bCs/>
          <w:color w:val="000000" w:themeColor="text1"/>
          <w:sz w:val="28"/>
          <w:szCs w:val="28"/>
          <w:u w:val="single"/>
        </w:rPr>
        <w:t xml:space="preserve"> U</w:t>
      </w:r>
      <w:r w:rsidR="00C54EA3" w:rsidRPr="00BB3E7F">
        <w:rPr>
          <w:rFonts w:ascii="Times New Roman" w:hAnsi="Times New Roman" w:cs="Times New Roman"/>
          <w:b/>
          <w:bCs/>
          <w:color w:val="000000" w:themeColor="text1"/>
          <w:sz w:val="28"/>
          <w:szCs w:val="28"/>
          <w:u w:val="single"/>
        </w:rPr>
        <w:t>nderstanding Accountancy</w:t>
      </w:r>
      <w:bookmarkEnd w:id="1"/>
    </w:p>
    <w:p w14:paraId="00A0A519" w14:textId="50AF9796" w:rsidR="007C5182" w:rsidRPr="00F52E7A" w:rsidRDefault="00F249FB" w:rsidP="00F52E7A">
      <w:pPr>
        <w:pStyle w:val="NoSpacing"/>
        <w:spacing w:after="240" w:line="360" w:lineRule="auto"/>
        <w:jc w:val="both"/>
        <w:rPr>
          <w:rFonts w:ascii="Times New Roman" w:hAnsi="Times New Roman" w:cs="Times New Roman"/>
          <w:sz w:val="24"/>
          <w:szCs w:val="24"/>
        </w:rPr>
      </w:pPr>
      <w:r w:rsidRPr="003C0894">
        <w:rPr>
          <w:rFonts w:ascii="Times New Roman" w:hAnsi="Times New Roman" w:cs="Times New Roman"/>
          <w:sz w:val="24"/>
          <w:szCs w:val="24"/>
        </w:rPr>
        <w:t>The financial position statement, also known as the balance sheet, is an essential component of a company's financial reporting. It offers a snapshot of the organization's financial standing at a given moment, detailing assets, liabilities, and shareholders' equity (</w:t>
      </w:r>
      <w:proofErr w:type="spellStart"/>
      <w:r w:rsidRPr="003C0894">
        <w:rPr>
          <w:rFonts w:ascii="Times New Roman" w:hAnsi="Times New Roman" w:cs="Times New Roman"/>
          <w:sz w:val="24"/>
          <w:szCs w:val="24"/>
        </w:rPr>
        <w:t>Atrill</w:t>
      </w:r>
      <w:proofErr w:type="spellEnd"/>
      <w:r w:rsidRPr="003C0894">
        <w:rPr>
          <w:rFonts w:ascii="Times New Roman" w:hAnsi="Times New Roman" w:cs="Times New Roman"/>
          <w:sz w:val="24"/>
          <w:szCs w:val="24"/>
        </w:rPr>
        <w:t xml:space="preserve"> and McLaney, 2018). This document is fundamental for evaluating a company's liquidity, solvency, and financial stability, crucial factors for stakeholders and potential investors (</w:t>
      </w:r>
      <w:proofErr w:type="spellStart"/>
      <w:r w:rsidRPr="003C0894">
        <w:rPr>
          <w:rFonts w:ascii="Times New Roman" w:hAnsi="Times New Roman" w:cs="Times New Roman"/>
          <w:sz w:val="24"/>
          <w:szCs w:val="24"/>
        </w:rPr>
        <w:t>Atrill</w:t>
      </w:r>
      <w:proofErr w:type="spellEnd"/>
      <w:r w:rsidRPr="003C0894">
        <w:rPr>
          <w:rFonts w:ascii="Times New Roman" w:hAnsi="Times New Roman" w:cs="Times New Roman"/>
          <w:sz w:val="24"/>
          <w:szCs w:val="24"/>
        </w:rPr>
        <w:t xml:space="preserve"> and McLaney, 2018). By </w:t>
      </w:r>
      <w:r w:rsidR="007C5182" w:rsidRPr="003C0894">
        <w:rPr>
          <w:rFonts w:ascii="Times New Roman" w:hAnsi="Times New Roman" w:cs="Times New Roman"/>
          <w:sz w:val="24"/>
          <w:szCs w:val="24"/>
        </w:rPr>
        <w:t>analysing</w:t>
      </w:r>
      <w:r w:rsidRPr="003C0894">
        <w:rPr>
          <w:rFonts w:ascii="Times New Roman" w:hAnsi="Times New Roman" w:cs="Times New Roman"/>
          <w:sz w:val="24"/>
          <w:szCs w:val="24"/>
        </w:rPr>
        <w:t xml:space="preserve"> a financial position statement, one can discern the outcomes of various financial strategies and the effectiveness of management in asset utilization. We will delve into the components of the financial position statement, interpret their implications for a company's fiscal health, and understand how it reflects the results of diverse accounting transactions and adherence to accounting standards.</w:t>
      </w:r>
    </w:p>
    <w:p w14:paraId="7202A94B" w14:textId="248CB4C2" w:rsidR="00C54EA3" w:rsidRPr="007836A8" w:rsidRDefault="00BA6F36" w:rsidP="00485544">
      <w:pPr>
        <w:pStyle w:val="Heading2"/>
        <w:spacing w:line="360" w:lineRule="auto"/>
        <w:rPr>
          <w:rFonts w:ascii="Times New Roman" w:hAnsi="Times New Roman" w:cs="Times New Roman"/>
          <w:b/>
          <w:bCs/>
          <w:color w:val="000000" w:themeColor="text1"/>
          <w:sz w:val="28"/>
          <w:szCs w:val="28"/>
          <w:u w:val="single"/>
        </w:rPr>
      </w:pPr>
      <w:bookmarkStart w:id="2" w:name="_Toc153903207"/>
      <w:r w:rsidRPr="007836A8">
        <w:rPr>
          <w:rFonts w:ascii="Times New Roman" w:hAnsi="Times New Roman" w:cs="Times New Roman"/>
          <w:b/>
          <w:bCs/>
          <w:color w:val="000000" w:themeColor="text1"/>
          <w:sz w:val="28"/>
          <w:szCs w:val="28"/>
          <w:u w:val="single"/>
        </w:rPr>
        <w:t>2</w:t>
      </w:r>
      <w:r w:rsidR="00107C01" w:rsidRPr="007836A8">
        <w:rPr>
          <w:rFonts w:ascii="Times New Roman" w:hAnsi="Times New Roman" w:cs="Times New Roman"/>
          <w:b/>
          <w:bCs/>
          <w:color w:val="000000" w:themeColor="text1"/>
          <w:sz w:val="28"/>
          <w:szCs w:val="28"/>
          <w:u w:val="single"/>
        </w:rPr>
        <w:t>.</w:t>
      </w:r>
      <w:r w:rsidR="00D11B24">
        <w:rPr>
          <w:rFonts w:ascii="Times New Roman" w:hAnsi="Times New Roman" w:cs="Times New Roman"/>
          <w:b/>
          <w:bCs/>
          <w:color w:val="000000" w:themeColor="text1"/>
          <w:sz w:val="28"/>
          <w:szCs w:val="28"/>
          <w:u w:val="single"/>
        </w:rPr>
        <w:t>1</w:t>
      </w:r>
      <w:r w:rsidR="00A600EC">
        <w:rPr>
          <w:rFonts w:ascii="Times New Roman" w:hAnsi="Times New Roman" w:cs="Times New Roman"/>
          <w:b/>
          <w:bCs/>
          <w:color w:val="000000" w:themeColor="text1"/>
          <w:sz w:val="28"/>
          <w:szCs w:val="28"/>
          <w:u w:val="single"/>
        </w:rPr>
        <w:t>.</w:t>
      </w:r>
      <w:r w:rsidR="00D11B24">
        <w:rPr>
          <w:rFonts w:ascii="Times New Roman" w:hAnsi="Times New Roman" w:cs="Times New Roman"/>
          <w:b/>
          <w:bCs/>
          <w:color w:val="000000" w:themeColor="text1"/>
          <w:sz w:val="28"/>
          <w:szCs w:val="28"/>
          <w:u w:val="single"/>
        </w:rPr>
        <w:t>1</w:t>
      </w:r>
      <w:r w:rsidRPr="007836A8">
        <w:rPr>
          <w:rFonts w:ascii="Times New Roman" w:hAnsi="Times New Roman" w:cs="Times New Roman"/>
          <w:b/>
          <w:bCs/>
          <w:color w:val="000000" w:themeColor="text1"/>
          <w:sz w:val="28"/>
          <w:szCs w:val="28"/>
          <w:u w:val="single"/>
        </w:rPr>
        <w:t xml:space="preserve"> </w:t>
      </w:r>
      <w:r w:rsidR="005F1FEE" w:rsidRPr="007836A8">
        <w:rPr>
          <w:rFonts w:ascii="Times New Roman" w:hAnsi="Times New Roman" w:cs="Times New Roman"/>
          <w:b/>
          <w:bCs/>
          <w:color w:val="000000" w:themeColor="text1"/>
          <w:sz w:val="28"/>
          <w:szCs w:val="28"/>
          <w:u w:val="single"/>
        </w:rPr>
        <w:t>Financial Position Statement</w:t>
      </w:r>
      <w:bookmarkEnd w:id="2"/>
    </w:p>
    <w:p w14:paraId="19162A81" w14:textId="263FFC3B" w:rsidR="009850A1" w:rsidRPr="00F90A82" w:rsidRDefault="002A1437" w:rsidP="008E73C8">
      <w:pPr>
        <w:spacing w:line="360" w:lineRule="auto"/>
        <w:jc w:val="both"/>
        <w:rPr>
          <w:rFonts w:ascii="Times New Roman" w:hAnsi="Times New Roman" w:cs="Times New Roman"/>
          <w:color w:val="000000" w:themeColor="text1"/>
          <w:sz w:val="24"/>
          <w:szCs w:val="24"/>
        </w:rPr>
      </w:pPr>
      <w:r w:rsidRPr="002A1437">
        <w:rPr>
          <w:rFonts w:ascii="Times New Roman" w:hAnsi="Times New Roman" w:cs="Times New Roman"/>
          <w:color w:val="000000" w:themeColor="text1"/>
          <w:sz w:val="24"/>
          <w:szCs w:val="24"/>
        </w:rPr>
        <w:t xml:space="preserve">Contrary to a prevalent misconception, the statement of financial position does not reflect the cash inflows and outflows within an accounting period. Instead, it provides a detailed account of a company's assets, liabilities, and equity at a specific point in time (Weygandt, Kimmel, and </w:t>
      </w:r>
      <w:proofErr w:type="spellStart"/>
      <w:r w:rsidRPr="002A1437">
        <w:rPr>
          <w:rFonts w:ascii="Times New Roman" w:hAnsi="Times New Roman" w:cs="Times New Roman"/>
          <w:color w:val="000000" w:themeColor="text1"/>
          <w:sz w:val="24"/>
          <w:szCs w:val="24"/>
        </w:rPr>
        <w:t>Kieso</w:t>
      </w:r>
      <w:proofErr w:type="spellEnd"/>
      <w:r w:rsidRPr="002A1437">
        <w:rPr>
          <w:rFonts w:ascii="Times New Roman" w:hAnsi="Times New Roman" w:cs="Times New Roman"/>
          <w:color w:val="000000" w:themeColor="text1"/>
          <w:sz w:val="24"/>
          <w:szCs w:val="24"/>
        </w:rPr>
        <w:t xml:space="preserve">, 2020). It is a fiscal snapshot that articulates the company's net worth, showcasing resources under control (assets), obligations (liabilities), and the remaining interest (equity) attributable to shareholders. The erroneous belief that it records cash movement is perhaps </w:t>
      </w:r>
      <w:r w:rsidRPr="002A1437">
        <w:rPr>
          <w:rFonts w:ascii="Times New Roman" w:hAnsi="Times New Roman" w:cs="Times New Roman"/>
          <w:color w:val="000000" w:themeColor="text1"/>
          <w:sz w:val="24"/>
          <w:szCs w:val="24"/>
        </w:rPr>
        <w:lastRenderedPageBreak/>
        <w:t>due to a misinterpretation of the term 'position', which here refers to the relative standing of financial resources and obligations, not to their movement over time.</w:t>
      </w:r>
    </w:p>
    <w:p w14:paraId="62E69318" w14:textId="51E02661" w:rsidR="005F1FEE" w:rsidRPr="007836A8" w:rsidRDefault="00BA6F36" w:rsidP="00485544">
      <w:pPr>
        <w:pStyle w:val="Heading2"/>
        <w:spacing w:line="360" w:lineRule="auto"/>
        <w:rPr>
          <w:rFonts w:ascii="Times New Roman" w:hAnsi="Times New Roman" w:cs="Times New Roman"/>
          <w:b/>
          <w:bCs/>
          <w:color w:val="000000" w:themeColor="text1"/>
          <w:sz w:val="28"/>
          <w:szCs w:val="28"/>
          <w:u w:val="single"/>
        </w:rPr>
      </w:pPr>
      <w:bookmarkStart w:id="3" w:name="_Toc153903208"/>
      <w:r w:rsidRPr="007836A8">
        <w:rPr>
          <w:rFonts w:ascii="Times New Roman" w:hAnsi="Times New Roman" w:cs="Times New Roman"/>
          <w:b/>
          <w:bCs/>
          <w:color w:val="000000" w:themeColor="text1"/>
          <w:sz w:val="28"/>
          <w:szCs w:val="28"/>
          <w:u w:val="single"/>
        </w:rPr>
        <w:t>2.</w:t>
      </w:r>
      <w:r w:rsidR="00D11B24">
        <w:rPr>
          <w:rFonts w:ascii="Times New Roman" w:hAnsi="Times New Roman" w:cs="Times New Roman"/>
          <w:b/>
          <w:bCs/>
          <w:color w:val="000000" w:themeColor="text1"/>
          <w:sz w:val="28"/>
          <w:szCs w:val="28"/>
          <w:u w:val="single"/>
        </w:rPr>
        <w:t>1.2</w:t>
      </w:r>
      <w:r w:rsidRPr="007836A8">
        <w:rPr>
          <w:rFonts w:ascii="Times New Roman" w:hAnsi="Times New Roman" w:cs="Times New Roman"/>
          <w:b/>
          <w:bCs/>
          <w:color w:val="000000" w:themeColor="text1"/>
          <w:sz w:val="28"/>
          <w:szCs w:val="28"/>
          <w:u w:val="single"/>
        </w:rPr>
        <w:t xml:space="preserve"> </w:t>
      </w:r>
      <w:r w:rsidR="0043276C" w:rsidRPr="007836A8">
        <w:rPr>
          <w:rFonts w:ascii="Times New Roman" w:hAnsi="Times New Roman" w:cs="Times New Roman"/>
          <w:b/>
          <w:bCs/>
          <w:color w:val="000000" w:themeColor="text1"/>
          <w:sz w:val="28"/>
          <w:szCs w:val="28"/>
          <w:u w:val="single"/>
        </w:rPr>
        <w:t>Non-Current</w:t>
      </w:r>
      <w:r w:rsidR="005F1FEE" w:rsidRPr="007836A8">
        <w:rPr>
          <w:rFonts w:ascii="Times New Roman" w:hAnsi="Times New Roman" w:cs="Times New Roman"/>
          <w:b/>
          <w:bCs/>
          <w:color w:val="000000" w:themeColor="text1"/>
          <w:sz w:val="28"/>
          <w:szCs w:val="28"/>
          <w:u w:val="single"/>
        </w:rPr>
        <w:t xml:space="preserve"> </w:t>
      </w:r>
      <w:r w:rsidR="0043276C" w:rsidRPr="007836A8">
        <w:rPr>
          <w:rFonts w:ascii="Times New Roman" w:hAnsi="Times New Roman" w:cs="Times New Roman"/>
          <w:b/>
          <w:bCs/>
          <w:color w:val="000000" w:themeColor="text1"/>
          <w:sz w:val="28"/>
          <w:szCs w:val="28"/>
          <w:u w:val="single"/>
        </w:rPr>
        <w:t>Assets</w:t>
      </w:r>
      <w:bookmarkEnd w:id="3"/>
    </w:p>
    <w:p w14:paraId="57ACF719" w14:textId="53685169" w:rsidR="00614729" w:rsidRDefault="008C14B0" w:rsidP="00BD1DA3">
      <w:pPr>
        <w:spacing w:line="360" w:lineRule="auto"/>
        <w:jc w:val="both"/>
        <w:rPr>
          <w:rFonts w:ascii="Times New Roman" w:hAnsi="Times New Roman" w:cs="Times New Roman"/>
          <w:color w:val="000000" w:themeColor="text1"/>
          <w:sz w:val="24"/>
          <w:szCs w:val="24"/>
        </w:rPr>
      </w:pPr>
      <w:r w:rsidRPr="008C14B0">
        <w:rPr>
          <w:rFonts w:ascii="Times New Roman" w:hAnsi="Times New Roman" w:cs="Times New Roman"/>
          <w:color w:val="000000" w:themeColor="text1"/>
          <w:sz w:val="24"/>
          <w:szCs w:val="24"/>
        </w:rPr>
        <w:t>Non-current assets are foundational to the strategic financial groundwork and reporting endeavours of a company. These long-term resources include tangible fixed assets such as property and equipment, as well as intangible assets like patents and copyrights. The misconception that non-current assets are simply "things that cannot be moved" fails to acknowledge their strategic importance. The valuation of non-current assets on the statement of financial position is governed by their expected useful life and the prospective cash flows they are anticipated to generate (</w:t>
      </w:r>
      <w:proofErr w:type="spellStart"/>
      <w:r w:rsidRPr="008C14B0">
        <w:rPr>
          <w:rFonts w:ascii="Times New Roman" w:hAnsi="Times New Roman" w:cs="Times New Roman"/>
          <w:color w:val="000000" w:themeColor="text1"/>
          <w:sz w:val="24"/>
          <w:szCs w:val="24"/>
        </w:rPr>
        <w:t>Atrill</w:t>
      </w:r>
      <w:proofErr w:type="spellEnd"/>
      <w:r w:rsidRPr="008C14B0">
        <w:rPr>
          <w:rFonts w:ascii="Times New Roman" w:hAnsi="Times New Roman" w:cs="Times New Roman"/>
          <w:color w:val="000000" w:themeColor="text1"/>
          <w:sz w:val="24"/>
          <w:szCs w:val="24"/>
        </w:rPr>
        <w:t xml:space="preserve"> and McLaney, 2016). These assets are vital for their role in securing future economic benefits and are central to gauging a company's investment prospects and financial health.</w:t>
      </w:r>
    </w:p>
    <w:p w14:paraId="7BE6D5F3" w14:textId="6A235596" w:rsidR="005F1FEE" w:rsidRPr="007836A8" w:rsidRDefault="003225C2" w:rsidP="00485544">
      <w:pPr>
        <w:pStyle w:val="Heading2"/>
        <w:spacing w:line="360" w:lineRule="auto"/>
        <w:rPr>
          <w:rFonts w:ascii="Times New Roman" w:hAnsi="Times New Roman" w:cs="Times New Roman"/>
          <w:b/>
          <w:bCs/>
          <w:color w:val="000000" w:themeColor="text1"/>
          <w:sz w:val="28"/>
          <w:szCs w:val="28"/>
          <w:u w:val="single"/>
        </w:rPr>
      </w:pPr>
      <w:bookmarkStart w:id="4" w:name="_Toc153903209"/>
      <w:r w:rsidRPr="007836A8">
        <w:rPr>
          <w:rFonts w:ascii="Times New Roman" w:hAnsi="Times New Roman" w:cs="Times New Roman"/>
          <w:b/>
          <w:bCs/>
          <w:color w:val="000000" w:themeColor="text1"/>
          <w:sz w:val="28"/>
          <w:szCs w:val="28"/>
          <w:u w:val="single"/>
        </w:rPr>
        <w:t>2.</w:t>
      </w:r>
      <w:r w:rsidR="00D11B24">
        <w:rPr>
          <w:rFonts w:ascii="Times New Roman" w:hAnsi="Times New Roman" w:cs="Times New Roman"/>
          <w:b/>
          <w:bCs/>
          <w:color w:val="000000" w:themeColor="text1"/>
          <w:sz w:val="28"/>
          <w:szCs w:val="28"/>
          <w:u w:val="single"/>
        </w:rPr>
        <w:t>1</w:t>
      </w:r>
      <w:r w:rsidR="00A600EC">
        <w:rPr>
          <w:rFonts w:ascii="Times New Roman" w:hAnsi="Times New Roman" w:cs="Times New Roman"/>
          <w:b/>
          <w:bCs/>
          <w:color w:val="000000" w:themeColor="text1"/>
          <w:sz w:val="28"/>
          <w:szCs w:val="28"/>
          <w:u w:val="single"/>
        </w:rPr>
        <w:t>.</w:t>
      </w:r>
      <w:r w:rsidR="00D11B24">
        <w:rPr>
          <w:rFonts w:ascii="Times New Roman" w:hAnsi="Times New Roman" w:cs="Times New Roman"/>
          <w:b/>
          <w:bCs/>
          <w:color w:val="000000" w:themeColor="text1"/>
          <w:sz w:val="28"/>
          <w:szCs w:val="28"/>
          <w:u w:val="single"/>
        </w:rPr>
        <w:t>3</w:t>
      </w:r>
      <w:r w:rsidR="00A600EC">
        <w:rPr>
          <w:rFonts w:ascii="Times New Roman" w:hAnsi="Times New Roman" w:cs="Times New Roman"/>
          <w:b/>
          <w:bCs/>
          <w:color w:val="000000" w:themeColor="text1"/>
          <w:sz w:val="28"/>
          <w:szCs w:val="28"/>
          <w:u w:val="single"/>
        </w:rPr>
        <w:t xml:space="preserve"> </w:t>
      </w:r>
      <w:r w:rsidRPr="007836A8">
        <w:rPr>
          <w:rFonts w:ascii="Times New Roman" w:hAnsi="Times New Roman" w:cs="Times New Roman"/>
          <w:b/>
          <w:bCs/>
          <w:color w:val="000000" w:themeColor="text1"/>
          <w:sz w:val="28"/>
          <w:szCs w:val="28"/>
          <w:u w:val="single"/>
        </w:rPr>
        <w:t>Managers</w:t>
      </w:r>
      <w:r w:rsidR="009A4FC4" w:rsidRPr="007836A8">
        <w:rPr>
          <w:rFonts w:ascii="Times New Roman" w:hAnsi="Times New Roman" w:cs="Times New Roman"/>
          <w:b/>
          <w:bCs/>
          <w:color w:val="000000" w:themeColor="text1"/>
          <w:sz w:val="28"/>
          <w:szCs w:val="28"/>
          <w:u w:val="single"/>
        </w:rPr>
        <w:t xml:space="preserve"> and Shareholders</w:t>
      </w:r>
      <w:bookmarkEnd w:id="4"/>
    </w:p>
    <w:p w14:paraId="45F2D0D9" w14:textId="0ABDF2A0" w:rsidR="00BD1DA3" w:rsidRDefault="00C779BE" w:rsidP="00B523E9">
      <w:pPr>
        <w:spacing w:line="360" w:lineRule="auto"/>
        <w:jc w:val="both"/>
        <w:rPr>
          <w:rFonts w:ascii="Times New Roman" w:hAnsi="Times New Roman" w:cs="Times New Roman"/>
          <w:color w:val="000000" w:themeColor="text1"/>
          <w:sz w:val="24"/>
          <w:szCs w:val="24"/>
        </w:rPr>
      </w:pPr>
      <w:r w:rsidRPr="00C779BE">
        <w:rPr>
          <w:rFonts w:ascii="Times New Roman" w:hAnsi="Times New Roman" w:cs="Times New Roman"/>
          <w:color w:val="000000" w:themeColor="text1"/>
          <w:sz w:val="24"/>
          <w:szCs w:val="24"/>
        </w:rPr>
        <w:t>The role of managers in disseminating financial information extends far beyond the narrow scope of current shareholders. In the modern financial landscape, managers are entrusted with the responsibility of providing comprehensive financial data to a wide array of stakeholders, including potential</w:t>
      </w:r>
      <w:r w:rsidR="00E0666E">
        <w:rPr>
          <w:rFonts w:ascii="Times New Roman" w:hAnsi="Times New Roman" w:cs="Times New Roman"/>
          <w:color w:val="000000" w:themeColor="text1"/>
          <w:sz w:val="24"/>
          <w:szCs w:val="24"/>
        </w:rPr>
        <w:t xml:space="preserve"> </w:t>
      </w:r>
      <w:r w:rsidRPr="00C779BE">
        <w:rPr>
          <w:rFonts w:ascii="Times New Roman" w:hAnsi="Times New Roman" w:cs="Times New Roman"/>
          <w:color w:val="000000" w:themeColor="text1"/>
          <w:sz w:val="24"/>
          <w:szCs w:val="24"/>
        </w:rPr>
        <w:t>investors, creditors, and regulatory bodies (Weetman, 201</w:t>
      </w:r>
      <w:r w:rsidR="00921EBB">
        <w:rPr>
          <w:rFonts w:ascii="Times New Roman" w:hAnsi="Times New Roman" w:cs="Times New Roman"/>
          <w:color w:val="000000" w:themeColor="text1"/>
          <w:sz w:val="24"/>
          <w:szCs w:val="24"/>
        </w:rPr>
        <w:t>9</w:t>
      </w:r>
      <w:r w:rsidRPr="00C779BE">
        <w:rPr>
          <w:rFonts w:ascii="Times New Roman" w:hAnsi="Times New Roman" w:cs="Times New Roman"/>
          <w:color w:val="000000" w:themeColor="text1"/>
          <w:sz w:val="24"/>
          <w:szCs w:val="24"/>
        </w:rPr>
        <w:t xml:space="preserve">). This expansive approach to information sharing is vital in maintaining the integrity of the financial system. A manager's duty is to present a holistic view of the company, detailing its operational strategies, potential risks, and </w:t>
      </w:r>
      <w:r w:rsidR="00972EE5" w:rsidRPr="00C779BE">
        <w:rPr>
          <w:rFonts w:ascii="Times New Roman" w:hAnsi="Times New Roman" w:cs="Times New Roman"/>
          <w:color w:val="000000" w:themeColor="text1"/>
          <w:sz w:val="24"/>
          <w:szCs w:val="24"/>
        </w:rPr>
        <w:t>prospects</w:t>
      </w:r>
      <w:r w:rsidRPr="00C779BE">
        <w:rPr>
          <w:rFonts w:ascii="Times New Roman" w:hAnsi="Times New Roman" w:cs="Times New Roman"/>
          <w:color w:val="000000" w:themeColor="text1"/>
          <w:sz w:val="24"/>
          <w:szCs w:val="24"/>
        </w:rPr>
        <w:t>. Such a level of transparency is essential for all stakeholders to make informed decisions and is not merely a matter of legal compliance but also a facet of sound corporate governance (</w:t>
      </w:r>
      <w:proofErr w:type="spellStart"/>
      <w:r w:rsidRPr="00C779BE">
        <w:rPr>
          <w:rFonts w:ascii="Times New Roman" w:hAnsi="Times New Roman" w:cs="Times New Roman"/>
          <w:color w:val="000000" w:themeColor="text1"/>
          <w:sz w:val="24"/>
          <w:szCs w:val="24"/>
        </w:rPr>
        <w:t>Atrill</w:t>
      </w:r>
      <w:proofErr w:type="spellEnd"/>
      <w:r w:rsidRPr="00C779BE">
        <w:rPr>
          <w:rFonts w:ascii="Times New Roman" w:hAnsi="Times New Roman" w:cs="Times New Roman"/>
          <w:color w:val="000000" w:themeColor="text1"/>
          <w:sz w:val="24"/>
          <w:szCs w:val="24"/>
        </w:rPr>
        <w:t xml:space="preserve"> et al., 2018).</w:t>
      </w:r>
    </w:p>
    <w:p w14:paraId="7B56A8CB" w14:textId="4A06BE0A" w:rsidR="009A4FC4" w:rsidRPr="007836A8" w:rsidRDefault="00BA6F36" w:rsidP="00485544">
      <w:pPr>
        <w:pStyle w:val="Heading2"/>
        <w:spacing w:line="360" w:lineRule="auto"/>
        <w:rPr>
          <w:rFonts w:ascii="Times New Roman" w:hAnsi="Times New Roman" w:cs="Times New Roman"/>
          <w:b/>
          <w:bCs/>
          <w:color w:val="000000" w:themeColor="text1"/>
          <w:sz w:val="28"/>
          <w:szCs w:val="28"/>
          <w:u w:val="single"/>
        </w:rPr>
      </w:pPr>
      <w:bookmarkStart w:id="5" w:name="_Toc153903210"/>
      <w:r w:rsidRPr="007836A8">
        <w:rPr>
          <w:rFonts w:ascii="Times New Roman" w:hAnsi="Times New Roman" w:cs="Times New Roman"/>
          <w:b/>
          <w:bCs/>
          <w:color w:val="000000" w:themeColor="text1"/>
          <w:sz w:val="28"/>
          <w:szCs w:val="28"/>
          <w:u w:val="single"/>
        </w:rPr>
        <w:t>2</w:t>
      </w:r>
      <w:r w:rsidR="00D11B24">
        <w:rPr>
          <w:rFonts w:ascii="Times New Roman" w:hAnsi="Times New Roman" w:cs="Times New Roman"/>
          <w:b/>
          <w:bCs/>
          <w:color w:val="000000" w:themeColor="text1"/>
          <w:sz w:val="28"/>
          <w:szCs w:val="28"/>
          <w:u w:val="single"/>
        </w:rPr>
        <w:t>.1</w:t>
      </w:r>
      <w:r w:rsidRPr="007836A8">
        <w:rPr>
          <w:rFonts w:ascii="Times New Roman" w:hAnsi="Times New Roman" w:cs="Times New Roman"/>
          <w:b/>
          <w:bCs/>
          <w:color w:val="000000" w:themeColor="text1"/>
          <w:sz w:val="28"/>
          <w:szCs w:val="28"/>
          <w:u w:val="single"/>
        </w:rPr>
        <w:t xml:space="preserve">.4 </w:t>
      </w:r>
      <w:r w:rsidR="009A4FC4" w:rsidRPr="007836A8">
        <w:rPr>
          <w:rFonts w:ascii="Times New Roman" w:hAnsi="Times New Roman" w:cs="Times New Roman"/>
          <w:b/>
          <w:bCs/>
          <w:color w:val="000000" w:themeColor="text1"/>
          <w:sz w:val="28"/>
          <w:szCs w:val="28"/>
          <w:u w:val="single"/>
        </w:rPr>
        <w:t>Entries in Financial Statements</w:t>
      </w:r>
      <w:bookmarkEnd w:id="5"/>
    </w:p>
    <w:p w14:paraId="181573C7" w14:textId="7EFDF0CE" w:rsidR="00BD1DA3" w:rsidRDefault="00E567B6" w:rsidP="005825BD">
      <w:pPr>
        <w:spacing w:line="360" w:lineRule="auto"/>
        <w:jc w:val="both"/>
        <w:rPr>
          <w:rFonts w:ascii="Times New Roman" w:hAnsi="Times New Roman" w:cs="Times New Roman"/>
          <w:color w:val="000000" w:themeColor="text1"/>
          <w:sz w:val="24"/>
          <w:szCs w:val="24"/>
        </w:rPr>
      </w:pPr>
      <w:r w:rsidRPr="00F90A82">
        <w:rPr>
          <w:rFonts w:ascii="Times New Roman" w:hAnsi="Times New Roman" w:cs="Times New Roman"/>
          <w:color w:val="000000" w:themeColor="text1"/>
          <w:sz w:val="24"/>
          <w:szCs w:val="24"/>
        </w:rPr>
        <w:t>The</w:t>
      </w:r>
      <w:r w:rsidR="00281350">
        <w:rPr>
          <w:rFonts w:ascii="Times New Roman" w:hAnsi="Times New Roman" w:cs="Times New Roman"/>
          <w:color w:val="000000" w:themeColor="text1"/>
          <w:sz w:val="24"/>
          <w:szCs w:val="24"/>
        </w:rPr>
        <w:t xml:space="preserve"> </w:t>
      </w:r>
      <w:r w:rsidR="00281350" w:rsidRPr="00281350">
        <w:rPr>
          <w:rFonts w:ascii="Times New Roman" w:hAnsi="Times New Roman" w:cs="Times New Roman"/>
          <w:color w:val="000000" w:themeColor="text1"/>
          <w:sz w:val="24"/>
          <w:szCs w:val="24"/>
        </w:rPr>
        <w:t>assertion that prepayments and accruals are unnecessary in the statement of financial position is a significant misunderstanding of accounting practices. These elements are crucial for adhering to the accrual basis of accounting, a fundamental accounting principle that requires financial events to be recorded when they occur, regardless of the timing of related cash transactions (</w:t>
      </w:r>
      <w:proofErr w:type="spellStart"/>
      <w:r w:rsidR="00281350" w:rsidRPr="00281350">
        <w:rPr>
          <w:rFonts w:ascii="Times New Roman" w:hAnsi="Times New Roman" w:cs="Times New Roman"/>
          <w:color w:val="000000" w:themeColor="text1"/>
          <w:sz w:val="24"/>
          <w:szCs w:val="24"/>
        </w:rPr>
        <w:t>Kieso</w:t>
      </w:r>
      <w:proofErr w:type="spellEnd"/>
      <w:r w:rsidR="00281350" w:rsidRPr="00281350">
        <w:rPr>
          <w:rFonts w:ascii="Times New Roman" w:hAnsi="Times New Roman" w:cs="Times New Roman"/>
          <w:color w:val="000000" w:themeColor="text1"/>
          <w:sz w:val="24"/>
          <w:szCs w:val="24"/>
        </w:rPr>
        <w:t>, Weygandt, and Warfield, 2019). Prepayments, representing advance payments for goods or services, are accounted for as assets until the corresponding benefits are realized. In contrast, accruals pertain to expenses that have been incurred but not yet settled, or revenues earned but not yet collected, recorded as liabilities or assets accordingly (Libby, Libby, and Short, 201</w:t>
      </w:r>
      <w:r w:rsidR="0030331F">
        <w:rPr>
          <w:rFonts w:ascii="Times New Roman" w:hAnsi="Times New Roman" w:cs="Times New Roman"/>
          <w:color w:val="000000" w:themeColor="text1"/>
          <w:sz w:val="24"/>
          <w:szCs w:val="24"/>
        </w:rPr>
        <w:t>4</w:t>
      </w:r>
      <w:r w:rsidR="00281350" w:rsidRPr="00281350">
        <w:rPr>
          <w:rFonts w:ascii="Times New Roman" w:hAnsi="Times New Roman" w:cs="Times New Roman"/>
          <w:color w:val="000000" w:themeColor="text1"/>
          <w:sz w:val="24"/>
          <w:szCs w:val="24"/>
        </w:rPr>
        <w:t xml:space="preserve">). The exclusion of these items from financial statements </w:t>
      </w:r>
      <w:r w:rsidR="00281350" w:rsidRPr="00281350">
        <w:rPr>
          <w:rFonts w:ascii="Times New Roman" w:hAnsi="Times New Roman" w:cs="Times New Roman"/>
          <w:color w:val="000000" w:themeColor="text1"/>
          <w:sz w:val="24"/>
          <w:szCs w:val="24"/>
        </w:rPr>
        <w:lastRenderedPageBreak/>
        <w:t>would lead to a distorted view of a company's fiscal status, misleading stakeholders about its imminent obligations and available resources. Therefore, prepayments and accruals are indispensable for presenting an accurate and fair representation of a company’s financial position at any given point in time.</w:t>
      </w:r>
    </w:p>
    <w:p w14:paraId="38571D5B" w14:textId="7A855A4A" w:rsidR="00BD1DA3" w:rsidRPr="007836A8" w:rsidRDefault="00EE17CA" w:rsidP="00C1188D">
      <w:pPr>
        <w:pStyle w:val="Heading2"/>
        <w:spacing w:before="0" w:line="360" w:lineRule="auto"/>
        <w:rPr>
          <w:rFonts w:ascii="Times New Roman" w:hAnsi="Times New Roman" w:cs="Times New Roman"/>
          <w:b/>
          <w:bCs/>
          <w:color w:val="000000" w:themeColor="text1"/>
          <w:sz w:val="28"/>
          <w:szCs w:val="28"/>
          <w:u w:val="single"/>
        </w:rPr>
      </w:pPr>
      <w:bookmarkStart w:id="6" w:name="_Toc153903211"/>
      <w:r w:rsidRPr="007836A8">
        <w:rPr>
          <w:rFonts w:ascii="Times New Roman" w:hAnsi="Times New Roman" w:cs="Times New Roman"/>
          <w:b/>
          <w:bCs/>
          <w:color w:val="000000" w:themeColor="text1"/>
          <w:sz w:val="28"/>
          <w:szCs w:val="28"/>
          <w:u w:val="single"/>
        </w:rPr>
        <w:t>2</w:t>
      </w:r>
      <w:r w:rsidR="00D11B24">
        <w:rPr>
          <w:rFonts w:ascii="Times New Roman" w:hAnsi="Times New Roman" w:cs="Times New Roman"/>
          <w:b/>
          <w:bCs/>
          <w:color w:val="000000" w:themeColor="text1"/>
          <w:sz w:val="28"/>
          <w:szCs w:val="28"/>
          <w:u w:val="single"/>
        </w:rPr>
        <w:t>.1</w:t>
      </w:r>
      <w:r w:rsidRPr="007836A8">
        <w:rPr>
          <w:rFonts w:ascii="Times New Roman" w:hAnsi="Times New Roman" w:cs="Times New Roman"/>
          <w:b/>
          <w:bCs/>
          <w:color w:val="000000" w:themeColor="text1"/>
          <w:sz w:val="28"/>
          <w:szCs w:val="28"/>
          <w:u w:val="single"/>
        </w:rPr>
        <w:t>.</w:t>
      </w:r>
      <w:r w:rsidR="003B7711" w:rsidRPr="007836A8">
        <w:rPr>
          <w:rFonts w:ascii="Times New Roman" w:hAnsi="Times New Roman" w:cs="Times New Roman"/>
          <w:b/>
          <w:bCs/>
          <w:color w:val="000000" w:themeColor="text1"/>
          <w:sz w:val="28"/>
          <w:szCs w:val="28"/>
          <w:u w:val="single"/>
        </w:rPr>
        <w:t>5</w:t>
      </w:r>
      <w:r w:rsidRPr="007836A8">
        <w:rPr>
          <w:rFonts w:ascii="Times New Roman" w:hAnsi="Times New Roman" w:cs="Times New Roman"/>
          <w:b/>
          <w:bCs/>
          <w:color w:val="000000" w:themeColor="text1"/>
          <w:sz w:val="28"/>
          <w:szCs w:val="28"/>
          <w:u w:val="single"/>
        </w:rPr>
        <w:t xml:space="preserve"> </w:t>
      </w:r>
      <w:r w:rsidR="006963FA" w:rsidRPr="007836A8">
        <w:rPr>
          <w:rFonts w:ascii="Times New Roman" w:hAnsi="Times New Roman" w:cs="Times New Roman"/>
          <w:b/>
          <w:bCs/>
          <w:color w:val="000000" w:themeColor="text1"/>
          <w:sz w:val="28"/>
          <w:szCs w:val="28"/>
          <w:u w:val="single"/>
        </w:rPr>
        <w:t>Financial Accounts Regulation</w:t>
      </w:r>
      <w:bookmarkEnd w:id="6"/>
    </w:p>
    <w:p w14:paraId="2E143A6E" w14:textId="64CB6855" w:rsidR="00C1188D" w:rsidRDefault="002F6AB1" w:rsidP="00C1188D">
      <w:pPr>
        <w:pStyle w:val="NormalWeb"/>
        <w:spacing w:before="0" w:beforeAutospacing="0" w:line="360" w:lineRule="auto"/>
        <w:jc w:val="both"/>
        <w:rPr>
          <w:color w:val="000000" w:themeColor="text1"/>
        </w:rPr>
      </w:pPr>
      <w:r>
        <w:rPr>
          <w:color w:val="000000" w:themeColor="text1"/>
        </w:rPr>
        <w:t>T</w:t>
      </w:r>
      <w:r w:rsidRPr="002F6AB1">
        <w:rPr>
          <w:color w:val="000000" w:themeColor="text1"/>
        </w:rPr>
        <w:t>he notion that regulation of financial accounts is unnecessary overlooks the critical role these standards play in maintaining the integrity and credibility of financial reporting. Far from being extraneous, regulations provide a structured framework that governs corporate financial practices. This framework is essential in safeguarding against fraudulent activities, errors, and the dissemination of misleading financial data (Scott, 2019). Regulations enforce standardized accounting principles, such as the accrual basis of accounting, which enhance the comparability and consistency of financial statements. Such standardization is vital in cultivating trust among investors, creditors, and other stakeholders in the financial system (Nobes and Parker, 2020). The role of regulatory bodies like the Financial Accounting Standards Board (FASB) and the International Accounting Standards Board (IASB) is paramount in setting and enforcing these standards.</w:t>
      </w:r>
    </w:p>
    <w:p w14:paraId="508C58FA" w14:textId="7BCBECC1" w:rsidR="006963FA" w:rsidRPr="007836A8" w:rsidRDefault="00EE17CA" w:rsidP="00485544">
      <w:pPr>
        <w:pStyle w:val="Heading2"/>
        <w:spacing w:line="360" w:lineRule="auto"/>
        <w:rPr>
          <w:rFonts w:ascii="Times New Roman" w:hAnsi="Times New Roman" w:cs="Times New Roman"/>
          <w:b/>
          <w:bCs/>
          <w:color w:val="000000" w:themeColor="text1"/>
          <w:sz w:val="28"/>
          <w:szCs w:val="28"/>
          <w:u w:val="single"/>
        </w:rPr>
      </w:pPr>
      <w:bookmarkStart w:id="7" w:name="_Toc153903212"/>
      <w:r w:rsidRPr="007836A8">
        <w:rPr>
          <w:rFonts w:ascii="Times New Roman" w:hAnsi="Times New Roman" w:cs="Times New Roman"/>
          <w:b/>
          <w:bCs/>
          <w:color w:val="000000" w:themeColor="text1"/>
          <w:sz w:val="28"/>
          <w:szCs w:val="28"/>
          <w:u w:val="single"/>
        </w:rPr>
        <w:t>2</w:t>
      </w:r>
      <w:r w:rsidR="00D11B24">
        <w:rPr>
          <w:rFonts w:ascii="Times New Roman" w:hAnsi="Times New Roman" w:cs="Times New Roman"/>
          <w:b/>
          <w:bCs/>
          <w:color w:val="000000" w:themeColor="text1"/>
          <w:sz w:val="28"/>
          <w:szCs w:val="28"/>
          <w:u w:val="single"/>
        </w:rPr>
        <w:t>.1</w:t>
      </w:r>
      <w:r w:rsidRPr="007836A8">
        <w:rPr>
          <w:rFonts w:ascii="Times New Roman" w:hAnsi="Times New Roman" w:cs="Times New Roman"/>
          <w:b/>
          <w:bCs/>
          <w:color w:val="000000" w:themeColor="text1"/>
          <w:sz w:val="28"/>
          <w:szCs w:val="28"/>
          <w:u w:val="single"/>
        </w:rPr>
        <w:t>.</w:t>
      </w:r>
      <w:r w:rsidR="003B7711" w:rsidRPr="007836A8">
        <w:rPr>
          <w:rFonts w:ascii="Times New Roman" w:hAnsi="Times New Roman" w:cs="Times New Roman"/>
          <w:b/>
          <w:bCs/>
          <w:color w:val="000000" w:themeColor="text1"/>
          <w:sz w:val="28"/>
          <w:szCs w:val="28"/>
          <w:u w:val="single"/>
        </w:rPr>
        <w:t>6</w:t>
      </w:r>
      <w:r w:rsidRPr="007836A8">
        <w:rPr>
          <w:rFonts w:ascii="Times New Roman" w:hAnsi="Times New Roman" w:cs="Times New Roman"/>
          <w:b/>
          <w:bCs/>
          <w:color w:val="000000" w:themeColor="text1"/>
          <w:sz w:val="28"/>
          <w:szCs w:val="28"/>
          <w:u w:val="single"/>
        </w:rPr>
        <w:t xml:space="preserve"> </w:t>
      </w:r>
      <w:r w:rsidR="00531BCC" w:rsidRPr="007836A8">
        <w:rPr>
          <w:rFonts w:ascii="Times New Roman" w:hAnsi="Times New Roman" w:cs="Times New Roman"/>
          <w:b/>
          <w:bCs/>
          <w:color w:val="000000" w:themeColor="text1"/>
          <w:sz w:val="28"/>
          <w:szCs w:val="28"/>
          <w:u w:val="single"/>
        </w:rPr>
        <w:t>Balancing Ledger Accounts</w:t>
      </w:r>
      <w:bookmarkEnd w:id="7"/>
    </w:p>
    <w:p w14:paraId="6E451656" w14:textId="3C175B69" w:rsidR="009D662B" w:rsidRDefault="002328E9" w:rsidP="008D3790">
      <w:pPr>
        <w:spacing w:line="360" w:lineRule="auto"/>
        <w:ind w:firstLine="360"/>
        <w:jc w:val="both"/>
        <w:rPr>
          <w:rFonts w:ascii="Times New Roman" w:hAnsi="Times New Roman" w:cs="Times New Roman"/>
          <w:color w:val="000000" w:themeColor="text1"/>
          <w:sz w:val="24"/>
          <w:szCs w:val="24"/>
        </w:rPr>
      </w:pPr>
      <w:r w:rsidRPr="002328E9">
        <w:rPr>
          <w:rFonts w:ascii="Times New Roman" w:hAnsi="Times New Roman" w:cs="Times New Roman"/>
          <w:color w:val="000000" w:themeColor="text1"/>
          <w:sz w:val="24"/>
          <w:szCs w:val="24"/>
        </w:rPr>
        <w:t>The emphasis on the importance of balancing ledger accounts and the trial balance in the accounting cycle is well-founded and highlights a crucial aspect of accounting practice. The double-entry ledger system, a fundamental principle in accounting, mandates that each entry in an account must be counterbalanced by a corresponding entry in another account, thereby ensuring the accounting equation is always in balance (Warren, Reeve, and Duchac, 2018). This system offers a dual check on the accuracy of financial records: each debit entry is matched with a corresponding credit entry. The preparation of a trial balance, which aggregates the balances of all ledger accounts, serves as an essential procedural step. This process verifies that the total debits and credits are equal, a reflection of the inherent balance in double-entry bookkeeping (</w:t>
      </w:r>
      <w:proofErr w:type="spellStart"/>
      <w:r w:rsidRPr="002328E9">
        <w:rPr>
          <w:rFonts w:ascii="Times New Roman" w:hAnsi="Times New Roman" w:cs="Times New Roman"/>
          <w:color w:val="000000" w:themeColor="text1"/>
          <w:sz w:val="24"/>
          <w:szCs w:val="24"/>
        </w:rPr>
        <w:t>Atrill</w:t>
      </w:r>
      <w:proofErr w:type="spellEnd"/>
      <w:r w:rsidRPr="002328E9">
        <w:rPr>
          <w:rFonts w:ascii="Times New Roman" w:hAnsi="Times New Roman" w:cs="Times New Roman"/>
          <w:color w:val="000000" w:themeColor="text1"/>
          <w:sz w:val="24"/>
          <w:szCs w:val="24"/>
        </w:rPr>
        <w:t xml:space="preserve"> and McLaney, 2018).</w:t>
      </w:r>
    </w:p>
    <w:p w14:paraId="33BA3B1F" w14:textId="4E12DBDB" w:rsidR="001724AB" w:rsidRPr="00504C13" w:rsidRDefault="00EE17CA" w:rsidP="00485544">
      <w:pPr>
        <w:pStyle w:val="Heading1"/>
        <w:spacing w:line="360" w:lineRule="auto"/>
        <w:rPr>
          <w:rFonts w:ascii="Times New Roman" w:hAnsi="Times New Roman" w:cs="Times New Roman"/>
          <w:b/>
          <w:bCs/>
          <w:color w:val="000000" w:themeColor="text1"/>
          <w:sz w:val="28"/>
          <w:szCs w:val="28"/>
          <w:u w:val="single"/>
        </w:rPr>
      </w:pPr>
      <w:bookmarkStart w:id="8" w:name="_Toc153903213"/>
      <w:r>
        <w:rPr>
          <w:rFonts w:ascii="Times New Roman" w:hAnsi="Times New Roman" w:cs="Times New Roman"/>
          <w:b/>
          <w:bCs/>
          <w:color w:val="000000" w:themeColor="text1"/>
          <w:sz w:val="28"/>
          <w:szCs w:val="28"/>
          <w:u w:val="single"/>
        </w:rPr>
        <w:t>3.0</w:t>
      </w:r>
      <w:r w:rsidR="00A600EC">
        <w:rPr>
          <w:rFonts w:ascii="Times New Roman" w:hAnsi="Times New Roman" w:cs="Times New Roman"/>
          <w:b/>
          <w:bCs/>
          <w:color w:val="000000" w:themeColor="text1"/>
          <w:sz w:val="28"/>
          <w:szCs w:val="28"/>
          <w:u w:val="single"/>
        </w:rPr>
        <w:t>.0</w:t>
      </w:r>
      <w:r>
        <w:rPr>
          <w:rFonts w:ascii="Times New Roman" w:hAnsi="Times New Roman" w:cs="Times New Roman"/>
          <w:b/>
          <w:bCs/>
          <w:color w:val="000000" w:themeColor="text1"/>
          <w:sz w:val="28"/>
          <w:szCs w:val="28"/>
          <w:u w:val="single"/>
        </w:rPr>
        <w:t xml:space="preserve"> </w:t>
      </w:r>
      <w:r w:rsidR="001724AB" w:rsidRPr="00504C13">
        <w:rPr>
          <w:rFonts w:ascii="Times New Roman" w:hAnsi="Times New Roman" w:cs="Times New Roman"/>
          <w:b/>
          <w:bCs/>
          <w:color w:val="000000" w:themeColor="text1"/>
          <w:sz w:val="28"/>
          <w:szCs w:val="28"/>
          <w:u w:val="single"/>
        </w:rPr>
        <w:t>Income Statement</w:t>
      </w:r>
      <w:r w:rsidR="004F340F" w:rsidRPr="00504C13">
        <w:rPr>
          <w:rFonts w:ascii="Times New Roman" w:hAnsi="Times New Roman" w:cs="Times New Roman"/>
          <w:b/>
          <w:bCs/>
          <w:color w:val="000000" w:themeColor="text1"/>
          <w:sz w:val="28"/>
          <w:szCs w:val="28"/>
          <w:u w:val="single"/>
        </w:rPr>
        <w:t xml:space="preserve"> </w:t>
      </w:r>
      <w:r w:rsidR="00E83C9C" w:rsidRPr="00504C13">
        <w:rPr>
          <w:rFonts w:ascii="Times New Roman" w:hAnsi="Times New Roman" w:cs="Times New Roman"/>
          <w:b/>
          <w:bCs/>
          <w:color w:val="000000" w:themeColor="text1"/>
          <w:sz w:val="28"/>
          <w:szCs w:val="28"/>
          <w:u w:val="single"/>
        </w:rPr>
        <w:t>for</w:t>
      </w:r>
      <w:r w:rsidR="004F340F" w:rsidRPr="00504C13">
        <w:rPr>
          <w:rFonts w:ascii="Times New Roman" w:hAnsi="Times New Roman" w:cs="Times New Roman"/>
          <w:b/>
          <w:bCs/>
          <w:color w:val="000000" w:themeColor="text1"/>
          <w:sz w:val="28"/>
          <w:szCs w:val="28"/>
          <w:u w:val="single"/>
        </w:rPr>
        <w:t xml:space="preserve"> Wales</w:t>
      </w:r>
      <w:r w:rsidR="009A1074" w:rsidRPr="00504C13">
        <w:rPr>
          <w:rFonts w:ascii="Times New Roman" w:hAnsi="Times New Roman" w:cs="Times New Roman"/>
          <w:b/>
          <w:bCs/>
          <w:color w:val="000000" w:themeColor="text1"/>
          <w:sz w:val="28"/>
          <w:szCs w:val="28"/>
          <w:u w:val="single"/>
        </w:rPr>
        <w:t xml:space="preserve"> Plc</w:t>
      </w:r>
      <w:bookmarkEnd w:id="8"/>
    </w:p>
    <w:p w14:paraId="47976FB3" w14:textId="33B55007" w:rsidR="00E93040" w:rsidRDefault="00E93040" w:rsidP="00E93040">
      <w:pPr>
        <w:spacing w:line="360" w:lineRule="auto"/>
        <w:jc w:val="both"/>
        <w:rPr>
          <w:rFonts w:ascii="Times New Roman" w:hAnsi="Times New Roman" w:cs="Times New Roman"/>
          <w:color w:val="000000" w:themeColor="text1"/>
          <w:sz w:val="24"/>
          <w:szCs w:val="24"/>
        </w:rPr>
      </w:pPr>
      <w:r w:rsidRPr="00F90A82">
        <w:rPr>
          <w:rFonts w:ascii="Times New Roman" w:hAnsi="Times New Roman" w:cs="Times New Roman"/>
          <w:color w:val="000000" w:themeColor="text1"/>
          <w:sz w:val="24"/>
          <w:szCs w:val="24"/>
        </w:rPr>
        <w:t>An income statement, also known as a profit and loss statement</w:t>
      </w:r>
      <w:r w:rsidR="00140AD2">
        <w:rPr>
          <w:rFonts w:ascii="Times New Roman" w:hAnsi="Times New Roman" w:cs="Times New Roman"/>
          <w:color w:val="000000" w:themeColor="text1"/>
          <w:sz w:val="24"/>
          <w:szCs w:val="24"/>
        </w:rPr>
        <w:t xml:space="preserve"> </w:t>
      </w:r>
      <w:r w:rsidR="00140AD2" w:rsidRPr="002328E9">
        <w:rPr>
          <w:rFonts w:ascii="Times New Roman" w:hAnsi="Times New Roman" w:cs="Times New Roman"/>
          <w:color w:val="000000" w:themeColor="text1"/>
          <w:sz w:val="24"/>
          <w:szCs w:val="24"/>
        </w:rPr>
        <w:t>(</w:t>
      </w:r>
      <w:proofErr w:type="spellStart"/>
      <w:r w:rsidR="00140AD2" w:rsidRPr="002328E9">
        <w:rPr>
          <w:rFonts w:ascii="Times New Roman" w:hAnsi="Times New Roman" w:cs="Times New Roman"/>
          <w:color w:val="000000" w:themeColor="text1"/>
          <w:sz w:val="24"/>
          <w:szCs w:val="24"/>
        </w:rPr>
        <w:t>Atrill</w:t>
      </w:r>
      <w:proofErr w:type="spellEnd"/>
      <w:r w:rsidR="00140AD2" w:rsidRPr="002328E9">
        <w:rPr>
          <w:rFonts w:ascii="Times New Roman" w:hAnsi="Times New Roman" w:cs="Times New Roman"/>
          <w:color w:val="000000" w:themeColor="text1"/>
          <w:sz w:val="24"/>
          <w:szCs w:val="24"/>
        </w:rPr>
        <w:t xml:space="preserve"> and McLaney, </w:t>
      </w:r>
      <w:r w:rsidR="00A03A38">
        <w:rPr>
          <w:rFonts w:ascii="Times New Roman" w:hAnsi="Times New Roman" w:cs="Times New Roman"/>
          <w:color w:val="000000" w:themeColor="text1"/>
          <w:sz w:val="24"/>
          <w:szCs w:val="24"/>
        </w:rPr>
        <w:t xml:space="preserve">pp.29, </w:t>
      </w:r>
      <w:r w:rsidR="00140AD2" w:rsidRPr="002328E9">
        <w:rPr>
          <w:rFonts w:ascii="Times New Roman" w:hAnsi="Times New Roman" w:cs="Times New Roman"/>
          <w:color w:val="000000" w:themeColor="text1"/>
          <w:sz w:val="24"/>
          <w:szCs w:val="24"/>
        </w:rPr>
        <w:t>2018</w:t>
      </w:r>
      <w:r w:rsidR="00140AD2">
        <w:rPr>
          <w:rFonts w:ascii="Times New Roman" w:hAnsi="Times New Roman" w:cs="Times New Roman"/>
          <w:color w:val="000000" w:themeColor="text1"/>
          <w:sz w:val="24"/>
          <w:szCs w:val="24"/>
        </w:rPr>
        <w:t>)</w:t>
      </w:r>
      <w:r w:rsidRPr="00F90A82">
        <w:rPr>
          <w:rFonts w:ascii="Times New Roman" w:hAnsi="Times New Roman" w:cs="Times New Roman"/>
          <w:color w:val="000000" w:themeColor="text1"/>
          <w:sz w:val="24"/>
          <w:szCs w:val="24"/>
        </w:rPr>
        <w:t xml:space="preserve">, is a financial document that provides a summary of a company's revenues, expenses, and profits over a specified period. Its role is to convey the company's financial performance, </w:t>
      </w:r>
      <w:r w:rsidRPr="00F90A82">
        <w:rPr>
          <w:rFonts w:ascii="Times New Roman" w:hAnsi="Times New Roman" w:cs="Times New Roman"/>
          <w:color w:val="000000" w:themeColor="text1"/>
          <w:sz w:val="24"/>
          <w:szCs w:val="24"/>
        </w:rPr>
        <w:lastRenderedPageBreak/>
        <w:t>showing how the revenues are transformed into the net income or net profit. It reflects the company's operational efficiency, cost management, and profitability.</w:t>
      </w:r>
    </w:p>
    <w:p w14:paraId="2235DBA4" w14:textId="049621E8" w:rsidR="007A55D6" w:rsidRPr="001E042A" w:rsidRDefault="007A55D6" w:rsidP="001E042A">
      <w:pPr>
        <w:pStyle w:val="ListParagraph"/>
        <w:numPr>
          <w:ilvl w:val="0"/>
          <w:numId w:val="64"/>
        </w:numPr>
        <w:spacing w:before="100" w:beforeAutospacing="1" w:after="100" w:afterAutospacing="1" w:line="240" w:lineRule="auto"/>
        <w:rPr>
          <w:rFonts w:ascii="Times New Roman" w:eastAsia="Times New Roman" w:hAnsi="Times New Roman" w:cs="Times New Roman"/>
          <w:color w:val="000000" w:themeColor="text1"/>
          <w:kern w:val="0"/>
          <w:sz w:val="24"/>
          <w:szCs w:val="24"/>
          <w:u w:val="single"/>
          <w:lang w:eastAsia="en-GB"/>
          <w14:ligatures w14:val="none"/>
        </w:rPr>
      </w:pPr>
      <w:r w:rsidRPr="001E042A">
        <w:rPr>
          <w:rFonts w:ascii="Times New Roman" w:eastAsia="Times New Roman" w:hAnsi="Times New Roman" w:cs="Times New Roman"/>
          <w:b/>
          <w:bCs/>
          <w:color w:val="000000" w:themeColor="text1"/>
          <w:kern w:val="0"/>
          <w:sz w:val="24"/>
          <w:szCs w:val="24"/>
          <w:u w:val="single"/>
          <w:lang w:eastAsia="en-GB"/>
          <w14:ligatures w14:val="none"/>
        </w:rPr>
        <w:t>Income Statement for Wales plc for the year ended 31st December 2022</w:t>
      </w:r>
    </w:p>
    <w:p w14:paraId="59A50E9D" w14:textId="77777777" w:rsidR="0055303C" w:rsidRPr="00492459" w:rsidRDefault="0055303C" w:rsidP="005056D7">
      <w:pPr>
        <w:spacing w:after="0" w:line="360" w:lineRule="auto"/>
        <w:rPr>
          <w:rFonts w:ascii="Times New Roman" w:eastAsia="Times New Roman" w:hAnsi="Times New Roman" w:cs="Times New Roman"/>
          <w:kern w:val="0"/>
          <w:sz w:val="24"/>
          <w:szCs w:val="24"/>
          <w:u w:val="single"/>
          <w:lang w:eastAsia="en-GB"/>
          <w14:ligatures w14:val="none"/>
        </w:rPr>
      </w:pPr>
      <w:r w:rsidRPr="00492459">
        <w:rPr>
          <w:rFonts w:ascii="Times New Roman" w:eastAsia="Times New Roman" w:hAnsi="Times New Roman" w:cs="Times New Roman"/>
          <w:b/>
          <w:bCs/>
          <w:kern w:val="0"/>
          <w:sz w:val="24"/>
          <w:szCs w:val="24"/>
          <w:u w:val="single"/>
          <w:lang w:eastAsia="en-GB"/>
          <w14:ligatures w14:val="none"/>
        </w:rPr>
        <w:t>Revenue</w:t>
      </w:r>
    </w:p>
    <w:p w14:paraId="2C2E8137" w14:textId="77777777" w:rsidR="0055303C" w:rsidRPr="0055303C" w:rsidRDefault="0055303C" w:rsidP="005056D7">
      <w:pPr>
        <w:numPr>
          <w:ilvl w:val="0"/>
          <w:numId w:val="15"/>
        </w:numPr>
        <w:spacing w:after="0" w:line="360" w:lineRule="auto"/>
        <w:rPr>
          <w:rFonts w:ascii="Times New Roman" w:eastAsia="Times New Roman" w:hAnsi="Times New Roman" w:cs="Times New Roman"/>
          <w:kern w:val="0"/>
          <w:sz w:val="24"/>
          <w:szCs w:val="24"/>
          <w:lang w:eastAsia="en-GB"/>
          <w14:ligatures w14:val="none"/>
        </w:rPr>
      </w:pPr>
      <w:r w:rsidRPr="0055303C">
        <w:rPr>
          <w:rFonts w:ascii="Times New Roman" w:eastAsia="Times New Roman" w:hAnsi="Times New Roman" w:cs="Times New Roman"/>
          <w:kern w:val="0"/>
          <w:sz w:val="24"/>
          <w:szCs w:val="24"/>
          <w:lang w:eastAsia="en-GB"/>
          <w14:ligatures w14:val="none"/>
        </w:rPr>
        <w:t>Sales Revenue: £900,000</w:t>
      </w:r>
    </w:p>
    <w:p w14:paraId="0F1FEF34" w14:textId="77777777" w:rsidR="0055303C" w:rsidRPr="00492459" w:rsidRDefault="0055303C" w:rsidP="005056D7">
      <w:pPr>
        <w:spacing w:after="0" w:line="360" w:lineRule="auto"/>
        <w:rPr>
          <w:rFonts w:ascii="Times New Roman" w:eastAsia="Times New Roman" w:hAnsi="Times New Roman" w:cs="Times New Roman"/>
          <w:kern w:val="0"/>
          <w:sz w:val="24"/>
          <w:szCs w:val="24"/>
          <w:u w:val="single"/>
          <w:lang w:eastAsia="en-GB"/>
          <w14:ligatures w14:val="none"/>
        </w:rPr>
      </w:pPr>
      <w:r w:rsidRPr="00492459">
        <w:rPr>
          <w:rFonts w:ascii="Times New Roman" w:eastAsia="Times New Roman" w:hAnsi="Times New Roman" w:cs="Times New Roman"/>
          <w:b/>
          <w:bCs/>
          <w:kern w:val="0"/>
          <w:sz w:val="24"/>
          <w:szCs w:val="24"/>
          <w:u w:val="single"/>
          <w:lang w:eastAsia="en-GB"/>
          <w14:ligatures w14:val="none"/>
        </w:rPr>
        <w:t>Cost of Sales</w:t>
      </w:r>
    </w:p>
    <w:p w14:paraId="572857A9" w14:textId="77777777" w:rsidR="0055303C" w:rsidRPr="0055303C" w:rsidRDefault="0055303C" w:rsidP="005056D7">
      <w:pPr>
        <w:numPr>
          <w:ilvl w:val="0"/>
          <w:numId w:val="16"/>
        </w:numPr>
        <w:spacing w:after="0" w:line="360" w:lineRule="auto"/>
        <w:rPr>
          <w:rFonts w:ascii="Times New Roman" w:eastAsia="Times New Roman" w:hAnsi="Times New Roman" w:cs="Times New Roman"/>
          <w:kern w:val="0"/>
          <w:sz w:val="24"/>
          <w:szCs w:val="24"/>
          <w:lang w:eastAsia="en-GB"/>
          <w14:ligatures w14:val="none"/>
        </w:rPr>
      </w:pPr>
      <w:r w:rsidRPr="0055303C">
        <w:rPr>
          <w:rFonts w:ascii="Times New Roman" w:eastAsia="Times New Roman" w:hAnsi="Times New Roman" w:cs="Times New Roman"/>
          <w:kern w:val="0"/>
          <w:sz w:val="24"/>
          <w:szCs w:val="24"/>
          <w:lang w:eastAsia="en-GB"/>
          <w14:ligatures w14:val="none"/>
        </w:rPr>
        <w:t>Cost of Sales: £578,650</w:t>
      </w:r>
    </w:p>
    <w:p w14:paraId="41B7C9F5" w14:textId="77777777" w:rsidR="0055303C" w:rsidRPr="0055303C" w:rsidRDefault="0055303C" w:rsidP="005056D7">
      <w:pPr>
        <w:numPr>
          <w:ilvl w:val="0"/>
          <w:numId w:val="16"/>
        </w:numPr>
        <w:spacing w:after="0" w:line="360" w:lineRule="auto"/>
        <w:rPr>
          <w:rFonts w:ascii="Times New Roman" w:eastAsia="Times New Roman" w:hAnsi="Times New Roman" w:cs="Times New Roman"/>
          <w:kern w:val="0"/>
          <w:sz w:val="24"/>
          <w:szCs w:val="24"/>
          <w:lang w:eastAsia="en-GB"/>
          <w14:ligatures w14:val="none"/>
        </w:rPr>
      </w:pPr>
      <w:r w:rsidRPr="0055303C">
        <w:rPr>
          <w:rFonts w:ascii="Times New Roman" w:eastAsia="Times New Roman" w:hAnsi="Times New Roman" w:cs="Times New Roman"/>
          <w:kern w:val="0"/>
          <w:sz w:val="24"/>
          <w:szCs w:val="24"/>
          <w:lang w:eastAsia="en-GB"/>
          <w14:ligatures w14:val="none"/>
        </w:rPr>
        <w:t>Depreciation: £65,000</w:t>
      </w:r>
    </w:p>
    <w:p w14:paraId="42CB947F" w14:textId="77777777" w:rsidR="0055303C" w:rsidRPr="0055303C" w:rsidRDefault="0055303C" w:rsidP="005056D7">
      <w:pPr>
        <w:numPr>
          <w:ilvl w:val="0"/>
          <w:numId w:val="16"/>
        </w:numPr>
        <w:spacing w:after="0" w:line="360" w:lineRule="auto"/>
        <w:rPr>
          <w:rFonts w:ascii="Times New Roman" w:eastAsia="Times New Roman" w:hAnsi="Times New Roman" w:cs="Times New Roman"/>
          <w:kern w:val="0"/>
          <w:sz w:val="24"/>
          <w:szCs w:val="24"/>
          <w:lang w:eastAsia="en-GB"/>
          <w14:ligatures w14:val="none"/>
        </w:rPr>
      </w:pPr>
      <w:r w:rsidRPr="0055303C">
        <w:rPr>
          <w:rFonts w:ascii="Times New Roman" w:eastAsia="Times New Roman" w:hAnsi="Times New Roman" w:cs="Times New Roman"/>
          <w:b/>
          <w:bCs/>
          <w:kern w:val="0"/>
          <w:sz w:val="24"/>
          <w:szCs w:val="24"/>
          <w:lang w:eastAsia="en-GB"/>
          <w14:ligatures w14:val="none"/>
        </w:rPr>
        <w:t>Adjusted Cost of Sales</w:t>
      </w:r>
      <w:r w:rsidRPr="0055303C">
        <w:rPr>
          <w:rFonts w:ascii="Times New Roman" w:eastAsia="Times New Roman" w:hAnsi="Times New Roman" w:cs="Times New Roman"/>
          <w:kern w:val="0"/>
          <w:sz w:val="24"/>
          <w:szCs w:val="24"/>
          <w:lang w:eastAsia="en-GB"/>
          <w14:ligatures w14:val="none"/>
        </w:rPr>
        <w:t>: £643,650</w:t>
      </w:r>
    </w:p>
    <w:p w14:paraId="170C9379" w14:textId="77777777" w:rsidR="0055303C" w:rsidRPr="00492459" w:rsidRDefault="0055303C" w:rsidP="005056D7">
      <w:pPr>
        <w:spacing w:after="0" w:line="360" w:lineRule="auto"/>
        <w:rPr>
          <w:rFonts w:ascii="Times New Roman" w:eastAsia="Times New Roman" w:hAnsi="Times New Roman" w:cs="Times New Roman"/>
          <w:kern w:val="0"/>
          <w:sz w:val="24"/>
          <w:szCs w:val="24"/>
          <w:u w:val="single"/>
          <w:lang w:eastAsia="en-GB"/>
          <w14:ligatures w14:val="none"/>
        </w:rPr>
      </w:pPr>
      <w:r w:rsidRPr="00492459">
        <w:rPr>
          <w:rFonts w:ascii="Times New Roman" w:eastAsia="Times New Roman" w:hAnsi="Times New Roman" w:cs="Times New Roman"/>
          <w:b/>
          <w:bCs/>
          <w:kern w:val="0"/>
          <w:sz w:val="24"/>
          <w:szCs w:val="24"/>
          <w:u w:val="single"/>
          <w:lang w:eastAsia="en-GB"/>
          <w14:ligatures w14:val="none"/>
        </w:rPr>
        <w:t>Gross Profit</w:t>
      </w:r>
    </w:p>
    <w:p w14:paraId="5882396F" w14:textId="77777777" w:rsidR="0055303C" w:rsidRPr="0055303C" w:rsidRDefault="0055303C" w:rsidP="005056D7">
      <w:pPr>
        <w:numPr>
          <w:ilvl w:val="0"/>
          <w:numId w:val="17"/>
        </w:numPr>
        <w:spacing w:after="0" w:line="360" w:lineRule="auto"/>
        <w:rPr>
          <w:rFonts w:ascii="Times New Roman" w:eastAsia="Times New Roman" w:hAnsi="Times New Roman" w:cs="Times New Roman"/>
          <w:kern w:val="0"/>
          <w:sz w:val="24"/>
          <w:szCs w:val="24"/>
          <w:lang w:eastAsia="en-GB"/>
          <w14:ligatures w14:val="none"/>
        </w:rPr>
      </w:pPr>
      <w:r w:rsidRPr="0055303C">
        <w:rPr>
          <w:rFonts w:ascii="Times New Roman" w:eastAsia="Times New Roman" w:hAnsi="Times New Roman" w:cs="Times New Roman"/>
          <w:b/>
          <w:bCs/>
          <w:kern w:val="0"/>
          <w:sz w:val="24"/>
          <w:szCs w:val="24"/>
          <w:lang w:eastAsia="en-GB"/>
          <w14:ligatures w14:val="none"/>
        </w:rPr>
        <w:t>Gross Profit</w:t>
      </w:r>
      <w:r w:rsidRPr="0055303C">
        <w:rPr>
          <w:rFonts w:ascii="Times New Roman" w:eastAsia="Times New Roman" w:hAnsi="Times New Roman" w:cs="Times New Roman"/>
          <w:kern w:val="0"/>
          <w:sz w:val="24"/>
          <w:szCs w:val="24"/>
          <w:lang w:eastAsia="en-GB"/>
          <w14:ligatures w14:val="none"/>
        </w:rPr>
        <w:t>: £256,350 (£900,000 - £643,650)</w:t>
      </w:r>
    </w:p>
    <w:p w14:paraId="16E2452C" w14:textId="77777777" w:rsidR="0055303C" w:rsidRPr="00492459" w:rsidRDefault="0055303C" w:rsidP="005056D7">
      <w:pPr>
        <w:spacing w:after="0" w:line="360" w:lineRule="auto"/>
        <w:rPr>
          <w:rFonts w:ascii="Times New Roman" w:eastAsia="Times New Roman" w:hAnsi="Times New Roman" w:cs="Times New Roman"/>
          <w:kern w:val="0"/>
          <w:sz w:val="24"/>
          <w:szCs w:val="24"/>
          <w:u w:val="single"/>
          <w:lang w:eastAsia="en-GB"/>
          <w14:ligatures w14:val="none"/>
        </w:rPr>
      </w:pPr>
      <w:r w:rsidRPr="00492459">
        <w:rPr>
          <w:rFonts w:ascii="Times New Roman" w:eastAsia="Times New Roman" w:hAnsi="Times New Roman" w:cs="Times New Roman"/>
          <w:b/>
          <w:bCs/>
          <w:kern w:val="0"/>
          <w:sz w:val="24"/>
          <w:szCs w:val="24"/>
          <w:u w:val="single"/>
          <w:lang w:eastAsia="en-GB"/>
          <w14:ligatures w14:val="none"/>
        </w:rPr>
        <w:t>Operating Expenses</w:t>
      </w:r>
    </w:p>
    <w:p w14:paraId="01846767" w14:textId="77777777" w:rsidR="0055303C" w:rsidRPr="0055303C" w:rsidRDefault="0055303C" w:rsidP="005056D7">
      <w:pPr>
        <w:numPr>
          <w:ilvl w:val="0"/>
          <w:numId w:val="18"/>
        </w:numPr>
        <w:spacing w:after="0" w:line="360" w:lineRule="auto"/>
        <w:rPr>
          <w:rFonts w:ascii="Times New Roman" w:eastAsia="Times New Roman" w:hAnsi="Times New Roman" w:cs="Times New Roman"/>
          <w:kern w:val="0"/>
          <w:sz w:val="24"/>
          <w:szCs w:val="24"/>
          <w:lang w:eastAsia="en-GB"/>
          <w14:ligatures w14:val="none"/>
        </w:rPr>
      </w:pPr>
      <w:r w:rsidRPr="0055303C">
        <w:rPr>
          <w:rFonts w:ascii="Times New Roman" w:eastAsia="Times New Roman" w:hAnsi="Times New Roman" w:cs="Times New Roman"/>
          <w:kern w:val="0"/>
          <w:sz w:val="24"/>
          <w:szCs w:val="24"/>
          <w:lang w:eastAsia="en-GB"/>
          <w14:ligatures w14:val="none"/>
        </w:rPr>
        <w:t>Distribution Costs: £28,000</w:t>
      </w:r>
    </w:p>
    <w:p w14:paraId="4F7F99A8" w14:textId="77777777" w:rsidR="0055303C" w:rsidRPr="0055303C" w:rsidRDefault="0055303C" w:rsidP="005056D7">
      <w:pPr>
        <w:numPr>
          <w:ilvl w:val="0"/>
          <w:numId w:val="18"/>
        </w:numPr>
        <w:spacing w:after="0" w:line="360" w:lineRule="auto"/>
        <w:rPr>
          <w:rFonts w:ascii="Times New Roman" w:eastAsia="Times New Roman" w:hAnsi="Times New Roman" w:cs="Times New Roman"/>
          <w:kern w:val="0"/>
          <w:sz w:val="24"/>
          <w:szCs w:val="24"/>
          <w:lang w:eastAsia="en-GB"/>
          <w14:ligatures w14:val="none"/>
        </w:rPr>
      </w:pPr>
      <w:r w:rsidRPr="0055303C">
        <w:rPr>
          <w:rFonts w:ascii="Times New Roman" w:eastAsia="Times New Roman" w:hAnsi="Times New Roman" w:cs="Times New Roman"/>
          <w:kern w:val="0"/>
          <w:sz w:val="24"/>
          <w:szCs w:val="24"/>
          <w:lang w:eastAsia="en-GB"/>
          <w14:ligatures w14:val="none"/>
        </w:rPr>
        <w:t>Administrative Expenses: £170,000 (Including unpaid December salaries of £10,000)</w:t>
      </w:r>
    </w:p>
    <w:p w14:paraId="6D36A78F" w14:textId="77777777" w:rsidR="0055303C" w:rsidRPr="0055303C" w:rsidRDefault="0055303C" w:rsidP="005056D7">
      <w:pPr>
        <w:numPr>
          <w:ilvl w:val="0"/>
          <w:numId w:val="18"/>
        </w:numPr>
        <w:spacing w:after="0" w:line="360" w:lineRule="auto"/>
        <w:rPr>
          <w:rFonts w:ascii="Times New Roman" w:eastAsia="Times New Roman" w:hAnsi="Times New Roman" w:cs="Times New Roman"/>
          <w:kern w:val="0"/>
          <w:sz w:val="24"/>
          <w:szCs w:val="24"/>
          <w:lang w:eastAsia="en-GB"/>
          <w14:ligatures w14:val="none"/>
        </w:rPr>
      </w:pPr>
      <w:r w:rsidRPr="0055303C">
        <w:rPr>
          <w:rFonts w:ascii="Times New Roman" w:eastAsia="Times New Roman" w:hAnsi="Times New Roman" w:cs="Times New Roman"/>
          <w:kern w:val="0"/>
          <w:sz w:val="24"/>
          <w:szCs w:val="24"/>
          <w:lang w:eastAsia="en-GB"/>
          <w14:ligatures w14:val="none"/>
        </w:rPr>
        <w:t>Directors' Remuneration: £5,000</w:t>
      </w:r>
    </w:p>
    <w:p w14:paraId="64C702F9" w14:textId="77777777" w:rsidR="0055303C" w:rsidRPr="0055303C" w:rsidRDefault="0055303C" w:rsidP="005056D7">
      <w:pPr>
        <w:numPr>
          <w:ilvl w:val="0"/>
          <w:numId w:val="18"/>
        </w:numPr>
        <w:spacing w:after="0" w:line="360" w:lineRule="auto"/>
        <w:rPr>
          <w:rFonts w:ascii="Times New Roman" w:eastAsia="Times New Roman" w:hAnsi="Times New Roman" w:cs="Times New Roman"/>
          <w:kern w:val="0"/>
          <w:sz w:val="24"/>
          <w:szCs w:val="24"/>
          <w:lang w:eastAsia="en-GB"/>
          <w14:ligatures w14:val="none"/>
        </w:rPr>
      </w:pPr>
      <w:r w:rsidRPr="0055303C">
        <w:rPr>
          <w:rFonts w:ascii="Times New Roman" w:eastAsia="Times New Roman" w:hAnsi="Times New Roman" w:cs="Times New Roman"/>
          <w:b/>
          <w:bCs/>
          <w:kern w:val="0"/>
          <w:sz w:val="24"/>
          <w:szCs w:val="24"/>
          <w:lang w:eastAsia="en-GB"/>
          <w14:ligatures w14:val="none"/>
        </w:rPr>
        <w:t>Total Operating Expenses</w:t>
      </w:r>
      <w:r w:rsidRPr="0055303C">
        <w:rPr>
          <w:rFonts w:ascii="Times New Roman" w:eastAsia="Times New Roman" w:hAnsi="Times New Roman" w:cs="Times New Roman"/>
          <w:kern w:val="0"/>
          <w:sz w:val="24"/>
          <w:szCs w:val="24"/>
          <w:lang w:eastAsia="en-GB"/>
          <w14:ligatures w14:val="none"/>
        </w:rPr>
        <w:t>: £203,000</w:t>
      </w:r>
    </w:p>
    <w:p w14:paraId="41C9E532" w14:textId="77777777" w:rsidR="0055303C" w:rsidRPr="00492459" w:rsidRDefault="0055303C" w:rsidP="005056D7">
      <w:pPr>
        <w:spacing w:after="0" w:line="360" w:lineRule="auto"/>
        <w:rPr>
          <w:rFonts w:ascii="Times New Roman" w:eastAsia="Times New Roman" w:hAnsi="Times New Roman" w:cs="Times New Roman"/>
          <w:kern w:val="0"/>
          <w:sz w:val="24"/>
          <w:szCs w:val="24"/>
          <w:u w:val="single"/>
          <w:lang w:eastAsia="en-GB"/>
          <w14:ligatures w14:val="none"/>
        </w:rPr>
      </w:pPr>
      <w:r w:rsidRPr="00492459">
        <w:rPr>
          <w:rFonts w:ascii="Times New Roman" w:eastAsia="Times New Roman" w:hAnsi="Times New Roman" w:cs="Times New Roman"/>
          <w:b/>
          <w:bCs/>
          <w:kern w:val="0"/>
          <w:sz w:val="24"/>
          <w:szCs w:val="24"/>
          <w:u w:val="single"/>
          <w:lang w:eastAsia="en-GB"/>
          <w14:ligatures w14:val="none"/>
        </w:rPr>
        <w:t>Operating Profit</w:t>
      </w:r>
    </w:p>
    <w:p w14:paraId="796A87BA" w14:textId="77777777" w:rsidR="0055303C" w:rsidRPr="0055303C" w:rsidRDefault="0055303C" w:rsidP="005056D7">
      <w:pPr>
        <w:numPr>
          <w:ilvl w:val="0"/>
          <w:numId w:val="19"/>
        </w:numPr>
        <w:spacing w:after="0" w:line="360" w:lineRule="auto"/>
        <w:rPr>
          <w:rFonts w:ascii="Times New Roman" w:eastAsia="Times New Roman" w:hAnsi="Times New Roman" w:cs="Times New Roman"/>
          <w:kern w:val="0"/>
          <w:sz w:val="24"/>
          <w:szCs w:val="24"/>
          <w:lang w:eastAsia="en-GB"/>
          <w14:ligatures w14:val="none"/>
        </w:rPr>
      </w:pPr>
      <w:r w:rsidRPr="0055303C">
        <w:rPr>
          <w:rFonts w:ascii="Times New Roman" w:eastAsia="Times New Roman" w:hAnsi="Times New Roman" w:cs="Times New Roman"/>
          <w:b/>
          <w:bCs/>
          <w:kern w:val="0"/>
          <w:sz w:val="24"/>
          <w:szCs w:val="24"/>
          <w:lang w:eastAsia="en-GB"/>
          <w14:ligatures w14:val="none"/>
        </w:rPr>
        <w:t>Operating Profit</w:t>
      </w:r>
      <w:r w:rsidRPr="0055303C">
        <w:rPr>
          <w:rFonts w:ascii="Times New Roman" w:eastAsia="Times New Roman" w:hAnsi="Times New Roman" w:cs="Times New Roman"/>
          <w:kern w:val="0"/>
          <w:sz w:val="24"/>
          <w:szCs w:val="24"/>
          <w:lang w:eastAsia="en-GB"/>
          <w14:ligatures w14:val="none"/>
        </w:rPr>
        <w:t>: £118,350 (£256,350 - £203,000)</w:t>
      </w:r>
    </w:p>
    <w:p w14:paraId="06E5DF3D" w14:textId="77777777" w:rsidR="0055303C" w:rsidRPr="00492459" w:rsidRDefault="0055303C" w:rsidP="005056D7">
      <w:pPr>
        <w:spacing w:after="0" w:line="360" w:lineRule="auto"/>
        <w:rPr>
          <w:rFonts w:ascii="Times New Roman" w:eastAsia="Times New Roman" w:hAnsi="Times New Roman" w:cs="Times New Roman"/>
          <w:kern w:val="0"/>
          <w:sz w:val="24"/>
          <w:szCs w:val="24"/>
          <w:u w:val="single"/>
          <w:lang w:eastAsia="en-GB"/>
          <w14:ligatures w14:val="none"/>
        </w:rPr>
      </w:pPr>
      <w:r w:rsidRPr="00492459">
        <w:rPr>
          <w:rFonts w:ascii="Times New Roman" w:eastAsia="Times New Roman" w:hAnsi="Times New Roman" w:cs="Times New Roman"/>
          <w:b/>
          <w:bCs/>
          <w:kern w:val="0"/>
          <w:sz w:val="24"/>
          <w:szCs w:val="24"/>
          <w:u w:val="single"/>
          <w:lang w:eastAsia="en-GB"/>
          <w14:ligatures w14:val="none"/>
        </w:rPr>
        <w:t>Other Income</w:t>
      </w:r>
    </w:p>
    <w:p w14:paraId="3BB1D398" w14:textId="77777777" w:rsidR="0055303C" w:rsidRPr="0055303C" w:rsidRDefault="0055303C" w:rsidP="005056D7">
      <w:pPr>
        <w:numPr>
          <w:ilvl w:val="0"/>
          <w:numId w:val="20"/>
        </w:numPr>
        <w:spacing w:after="0" w:line="360" w:lineRule="auto"/>
        <w:rPr>
          <w:rFonts w:ascii="Times New Roman" w:eastAsia="Times New Roman" w:hAnsi="Times New Roman" w:cs="Times New Roman"/>
          <w:kern w:val="0"/>
          <w:sz w:val="24"/>
          <w:szCs w:val="24"/>
          <w:lang w:eastAsia="en-GB"/>
          <w14:ligatures w14:val="none"/>
        </w:rPr>
      </w:pPr>
      <w:r w:rsidRPr="0055303C">
        <w:rPr>
          <w:rFonts w:ascii="Times New Roman" w:eastAsia="Times New Roman" w:hAnsi="Times New Roman" w:cs="Times New Roman"/>
          <w:kern w:val="0"/>
          <w:sz w:val="24"/>
          <w:szCs w:val="24"/>
          <w:lang w:eastAsia="en-GB"/>
          <w14:ligatures w14:val="none"/>
        </w:rPr>
        <w:t xml:space="preserve">Commission not yet recorded: </w:t>
      </w:r>
      <w:proofErr w:type="gramStart"/>
      <w:r w:rsidRPr="0055303C">
        <w:rPr>
          <w:rFonts w:ascii="Times New Roman" w:eastAsia="Times New Roman" w:hAnsi="Times New Roman" w:cs="Times New Roman"/>
          <w:kern w:val="0"/>
          <w:sz w:val="24"/>
          <w:szCs w:val="24"/>
          <w:lang w:eastAsia="en-GB"/>
          <w14:ligatures w14:val="none"/>
        </w:rPr>
        <w:t>£2,000</w:t>
      </w:r>
      <w:proofErr w:type="gramEnd"/>
    </w:p>
    <w:p w14:paraId="300F3D0B" w14:textId="77777777" w:rsidR="0055303C" w:rsidRPr="0055303C" w:rsidRDefault="0055303C" w:rsidP="005056D7">
      <w:pPr>
        <w:numPr>
          <w:ilvl w:val="0"/>
          <w:numId w:val="20"/>
        </w:numPr>
        <w:spacing w:after="0" w:line="360" w:lineRule="auto"/>
        <w:rPr>
          <w:rFonts w:ascii="Times New Roman" w:eastAsia="Times New Roman" w:hAnsi="Times New Roman" w:cs="Times New Roman"/>
          <w:kern w:val="0"/>
          <w:sz w:val="24"/>
          <w:szCs w:val="24"/>
          <w:lang w:eastAsia="en-GB"/>
          <w14:ligatures w14:val="none"/>
        </w:rPr>
      </w:pPr>
      <w:r w:rsidRPr="0055303C">
        <w:rPr>
          <w:rFonts w:ascii="Times New Roman" w:eastAsia="Times New Roman" w:hAnsi="Times New Roman" w:cs="Times New Roman"/>
          <w:kern w:val="0"/>
          <w:sz w:val="24"/>
          <w:szCs w:val="24"/>
          <w:lang w:eastAsia="en-GB"/>
          <w14:ligatures w14:val="none"/>
        </w:rPr>
        <w:t xml:space="preserve">Goods sent to customers not yet recorded: </w:t>
      </w:r>
      <w:proofErr w:type="gramStart"/>
      <w:r w:rsidRPr="0055303C">
        <w:rPr>
          <w:rFonts w:ascii="Times New Roman" w:eastAsia="Times New Roman" w:hAnsi="Times New Roman" w:cs="Times New Roman"/>
          <w:kern w:val="0"/>
          <w:sz w:val="24"/>
          <w:szCs w:val="24"/>
          <w:lang w:eastAsia="en-GB"/>
          <w14:ligatures w14:val="none"/>
        </w:rPr>
        <w:t>£1,000</w:t>
      </w:r>
      <w:proofErr w:type="gramEnd"/>
    </w:p>
    <w:p w14:paraId="53A5AC22" w14:textId="77777777" w:rsidR="0055303C" w:rsidRPr="0055303C" w:rsidRDefault="0055303C" w:rsidP="005056D7">
      <w:pPr>
        <w:numPr>
          <w:ilvl w:val="0"/>
          <w:numId w:val="20"/>
        </w:numPr>
        <w:spacing w:after="0" w:line="360" w:lineRule="auto"/>
        <w:rPr>
          <w:rFonts w:ascii="Times New Roman" w:eastAsia="Times New Roman" w:hAnsi="Times New Roman" w:cs="Times New Roman"/>
          <w:kern w:val="0"/>
          <w:sz w:val="24"/>
          <w:szCs w:val="24"/>
          <w:lang w:eastAsia="en-GB"/>
          <w14:ligatures w14:val="none"/>
        </w:rPr>
      </w:pPr>
      <w:r w:rsidRPr="0055303C">
        <w:rPr>
          <w:rFonts w:ascii="Times New Roman" w:eastAsia="Times New Roman" w:hAnsi="Times New Roman" w:cs="Times New Roman"/>
          <w:b/>
          <w:bCs/>
          <w:kern w:val="0"/>
          <w:sz w:val="24"/>
          <w:szCs w:val="24"/>
          <w:lang w:eastAsia="en-GB"/>
          <w14:ligatures w14:val="none"/>
        </w:rPr>
        <w:t>Total Other Income</w:t>
      </w:r>
      <w:r w:rsidRPr="0055303C">
        <w:rPr>
          <w:rFonts w:ascii="Times New Roman" w:eastAsia="Times New Roman" w:hAnsi="Times New Roman" w:cs="Times New Roman"/>
          <w:kern w:val="0"/>
          <w:sz w:val="24"/>
          <w:szCs w:val="24"/>
          <w:lang w:eastAsia="en-GB"/>
          <w14:ligatures w14:val="none"/>
        </w:rPr>
        <w:t>: £3,000</w:t>
      </w:r>
    </w:p>
    <w:p w14:paraId="15C965BA" w14:textId="77777777" w:rsidR="0055303C" w:rsidRPr="00492459" w:rsidRDefault="0055303C" w:rsidP="005056D7">
      <w:pPr>
        <w:spacing w:after="0" w:line="360" w:lineRule="auto"/>
        <w:rPr>
          <w:rFonts w:ascii="Times New Roman" w:eastAsia="Times New Roman" w:hAnsi="Times New Roman" w:cs="Times New Roman"/>
          <w:kern w:val="0"/>
          <w:sz w:val="24"/>
          <w:szCs w:val="24"/>
          <w:u w:val="single"/>
          <w:lang w:eastAsia="en-GB"/>
          <w14:ligatures w14:val="none"/>
        </w:rPr>
      </w:pPr>
      <w:r w:rsidRPr="00492459">
        <w:rPr>
          <w:rFonts w:ascii="Times New Roman" w:eastAsia="Times New Roman" w:hAnsi="Times New Roman" w:cs="Times New Roman"/>
          <w:b/>
          <w:bCs/>
          <w:kern w:val="0"/>
          <w:sz w:val="24"/>
          <w:szCs w:val="24"/>
          <w:u w:val="single"/>
          <w:lang w:eastAsia="en-GB"/>
          <w14:ligatures w14:val="none"/>
        </w:rPr>
        <w:t>Interest Expense</w:t>
      </w:r>
    </w:p>
    <w:p w14:paraId="6A504E16" w14:textId="77777777" w:rsidR="0055303C" w:rsidRPr="0055303C" w:rsidRDefault="0055303C" w:rsidP="005056D7">
      <w:pPr>
        <w:numPr>
          <w:ilvl w:val="0"/>
          <w:numId w:val="21"/>
        </w:numPr>
        <w:spacing w:after="0" w:line="360" w:lineRule="auto"/>
        <w:rPr>
          <w:rFonts w:ascii="Times New Roman" w:eastAsia="Times New Roman" w:hAnsi="Times New Roman" w:cs="Times New Roman"/>
          <w:kern w:val="0"/>
          <w:sz w:val="24"/>
          <w:szCs w:val="24"/>
          <w:lang w:eastAsia="en-GB"/>
          <w14:ligatures w14:val="none"/>
        </w:rPr>
      </w:pPr>
      <w:r w:rsidRPr="0055303C">
        <w:rPr>
          <w:rFonts w:ascii="Times New Roman" w:eastAsia="Times New Roman" w:hAnsi="Times New Roman" w:cs="Times New Roman"/>
          <w:kern w:val="0"/>
          <w:sz w:val="24"/>
          <w:szCs w:val="24"/>
          <w:lang w:eastAsia="en-GB"/>
          <w14:ligatures w14:val="none"/>
        </w:rPr>
        <w:t>Interest Expense: £2,000</w:t>
      </w:r>
    </w:p>
    <w:p w14:paraId="25D080B4" w14:textId="77777777" w:rsidR="0055303C" w:rsidRPr="00492459" w:rsidRDefault="0055303C" w:rsidP="005056D7">
      <w:pPr>
        <w:spacing w:after="0" w:line="360" w:lineRule="auto"/>
        <w:rPr>
          <w:rFonts w:ascii="Times New Roman" w:eastAsia="Times New Roman" w:hAnsi="Times New Roman" w:cs="Times New Roman"/>
          <w:kern w:val="0"/>
          <w:sz w:val="24"/>
          <w:szCs w:val="24"/>
          <w:u w:val="single"/>
          <w:lang w:eastAsia="en-GB"/>
          <w14:ligatures w14:val="none"/>
        </w:rPr>
      </w:pPr>
      <w:r w:rsidRPr="00492459">
        <w:rPr>
          <w:rFonts w:ascii="Times New Roman" w:eastAsia="Times New Roman" w:hAnsi="Times New Roman" w:cs="Times New Roman"/>
          <w:b/>
          <w:bCs/>
          <w:kern w:val="0"/>
          <w:sz w:val="24"/>
          <w:szCs w:val="24"/>
          <w:u w:val="single"/>
          <w:lang w:eastAsia="en-GB"/>
          <w14:ligatures w14:val="none"/>
        </w:rPr>
        <w:t>Profit Before Taxation</w:t>
      </w:r>
    </w:p>
    <w:p w14:paraId="4AE643A5" w14:textId="77777777" w:rsidR="0055303C" w:rsidRPr="0055303C" w:rsidRDefault="0055303C" w:rsidP="005056D7">
      <w:pPr>
        <w:numPr>
          <w:ilvl w:val="0"/>
          <w:numId w:val="22"/>
        </w:numPr>
        <w:spacing w:after="0" w:line="360" w:lineRule="auto"/>
        <w:rPr>
          <w:rFonts w:ascii="Times New Roman" w:eastAsia="Times New Roman" w:hAnsi="Times New Roman" w:cs="Times New Roman"/>
          <w:kern w:val="0"/>
          <w:sz w:val="24"/>
          <w:szCs w:val="24"/>
          <w:lang w:eastAsia="en-GB"/>
          <w14:ligatures w14:val="none"/>
        </w:rPr>
      </w:pPr>
      <w:r w:rsidRPr="0055303C">
        <w:rPr>
          <w:rFonts w:ascii="Times New Roman" w:eastAsia="Times New Roman" w:hAnsi="Times New Roman" w:cs="Times New Roman"/>
          <w:b/>
          <w:bCs/>
          <w:kern w:val="0"/>
          <w:sz w:val="24"/>
          <w:szCs w:val="24"/>
          <w:lang w:eastAsia="en-GB"/>
          <w14:ligatures w14:val="none"/>
        </w:rPr>
        <w:t>Profit Before Taxation</w:t>
      </w:r>
      <w:r w:rsidRPr="0055303C">
        <w:rPr>
          <w:rFonts w:ascii="Times New Roman" w:eastAsia="Times New Roman" w:hAnsi="Times New Roman" w:cs="Times New Roman"/>
          <w:kern w:val="0"/>
          <w:sz w:val="24"/>
          <w:szCs w:val="24"/>
          <w:lang w:eastAsia="en-GB"/>
          <w14:ligatures w14:val="none"/>
        </w:rPr>
        <w:t>: £119,350 (£118,350 + £3,000 - £2,000)</w:t>
      </w:r>
    </w:p>
    <w:p w14:paraId="7EBDEB00" w14:textId="77777777" w:rsidR="0055303C" w:rsidRPr="00492459" w:rsidRDefault="0055303C" w:rsidP="005056D7">
      <w:pPr>
        <w:spacing w:after="0" w:line="360" w:lineRule="auto"/>
        <w:rPr>
          <w:rFonts w:ascii="Times New Roman" w:eastAsia="Times New Roman" w:hAnsi="Times New Roman" w:cs="Times New Roman"/>
          <w:kern w:val="0"/>
          <w:sz w:val="24"/>
          <w:szCs w:val="24"/>
          <w:u w:val="single"/>
          <w:lang w:eastAsia="en-GB"/>
          <w14:ligatures w14:val="none"/>
        </w:rPr>
      </w:pPr>
      <w:r w:rsidRPr="00492459">
        <w:rPr>
          <w:rFonts w:ascii="Times New Roman" w:eastAsia="Times New Roman" w:hAnsi="Times New Roman" w:cs="Times New Roman"/>
          <w:b/>
          <w:bCs/>
          <w:kern w:val="0"/>
          <w:sz w:val="24"/>
          <w:szCs w:val="24"/>
          <w:u w:val="single"/>
          <w:lang w:eastAsia="en-GB"/>
          <w14:ligatures w14:val="none"/>
        </w:rPr>
        <w:t>Taxation</w:t>
      </w:r>
    </w:p>
    <w:p w14:paraId="56ED6BF0" w14:textId="77777777" w:rsidR="0055303C" w:rsidRPr="0055303C" w:rsidRDefault="0055303C" w:rsidP="005056D7">
      <w:pPr>
        <w:numPr>
          <w:ilvl w:val="0"/>
          <w:numId w:val="23"/>
        </w:numPr>
        <w:spacing w:after="0" w:line="360" w:lineRule="auto"/>
        <w:rPr>
          <w:rFonts w:ascii="Times New Roman" w:eastAsia="Times New Roman" w:hAnsi="Times New Roman" w:cs="Times New Roman"/>
          <w:kern w:val="0"/>
          <w:sz w:val="24"/>
          <w:szCs w:val="24"/>
          <w:lang w:eastAsia="en-GB"/>
          <w14:ligatures w14:val="none"/>
        </w:rPr>
      </w:pPr>
      <w:r w:rsidRPr="0055303C">
        <w:rPr>
          <w:rFonts w:ascii="Times New Roman" w:eastAsia="Times New Roman" w:hAnsi="Times New Roman" w:cs="Times New Roman"/>
          <w:kern w:val="0"/>
          <w:sz w:val="24"/>
          <w:szCs w:val="24"/>
          <w:lang w:eastAsia="en-GB"/>
          <w14:ligatures w14:val="none"/>
        </w:rPr>
        <w:t>Taxation: £15,000</w:t>
      </w:r>
    </w:p>
    <w:p w14:paraId="6D52C9A6" w14:textId="77777777" w:rsidR="0055303C" w:rsidRPr="00492459" w:rsidRDefault="0055303C" w:rsidP="005056D7">
      <w:pPr>
        <w:spacing w:after="0" w:line="360" w:lineRule="auto"/>
        <w:rPr>
          <w:rFonts w:ascii="Times New Roman" w:eastAsia="Times New Roman" w:hAnsi="Times New Roman" w:cs="Times New Roman"/>
          <w:kern w:val="0"/>
          <w:sz w:val="24"/>
          <w:szCs w:val="24"/>
          <w:u w:val="single"/>
          <w:lang w:eastAsia="en-GB"/>
          <w14:ligatures w14:val="none"/>
        </w:rPr>
      </w:pPr>
      <w:r w:rsidRPr="00492459">
        <w:rPr>
          <w:rFonts w:ascii="Times New Roman" w:eastAsia="Times New Roman" w:hAnsi="Times New Roman" w:cs="Times New Roman"/>
          <w:b/>
          <w:bCs/>
          <w:kern w:val="0"/>
          <w:sz w:val="24"/>
          <w:szCs w:val="24"/>
          <w:u w:val="single"/>
          <w:lang w:eastAsia="en-GB"/>
          <w14:ligatures w14:val="none"/>
        </w:rPr>
        <w:t>Profit for the Year</w:t>
      </w:r>
    </w:p>
    <w:p w14:paraId="1C0EE1FD" w14:textId="77777777" w:rsidR="0055303C" w:rsidRDefault="0055303C" w:rsidP="005056D7">
      <w:pPr>
        <w:numPr>
          <w:ilvl w:val="0"/>
          <w:numId w:val="24"/>
        </w:numPr>
        <w:spacing w:after="0" w:line="360" w:lineRule="auto"/>
        <w:rPr>
          <w:rFonts w:ascii="Times New Roman" w:eastAsia="Times New Roman" w:hAnsi="Times New Roman" w:cs="Times New Roman"/>
          <w:kern w:val="0"/>
          <w:sz w:val="24"/>
          <w:szCs w:val="24"/>
          <w:lang w:eastAsia="en-GB"/>
          <w14:ligatures w14:val="none"/>
        </w:rPr>
      </w:pPr>
      <w:r w:rsidRPr="0055303C">
        <w:rPr>
          <w:rFonts w:ascii="Times New Roman" w:eastAsia="Times New Roman" w:hAnsi="Times New Roman" w:cs="Times New Roman"/>
          <w:b/>
          <w:bCs/>
          <w:kern w:val="0"/>
          <w:sz w:val="24"/>
          <w:szCs w:val="24"/>
          <w:lang w:eastAsia="en-GB"/>
          <w14:ligatures w14:val="none"/>
        </w:rPr>
        <w:t>Profit for the Year</w:t>
      </w:r>
      <w:r w:rsidRPr="0055303C">
        <w:rPr>
          <w:rFonts w:ascii="Times New Roman" w:eastAsia="Times New Roman" w:hAnsi="Times New Roman" w:cs="Times New Roman"/>
          <w:kern w:val="0"/>
          <w:sz w:val="24"/>
          <w:szCs w:val="24"/>
          <w:lang w:eastAsia="en-GB"/>
          <w14:ligatures w14:val="none"/>
        </w:rPr>
        <w:t>: £104,350 (£119,350 - £15,000)</w:t>
      </w:r>
    </w:p>
    <w:p w14:paraId="79297387" w14:textId="77777777" w:rsidR="00FA4752" w:rsidRPr="0055303C" w:rsidRDefault="00FA4752" w:rsidP="00FA4752">
      <w:pPr>
        <w:spacing w:before="100" w:beforeAutospacing="1" w:after="100" w:afterAutospacing="1" w:line="240" w:lineRule="auto"/>
        <w:ind w:left="720"/>
        <w:rPr>
          <w:rFonts w:ascii="Times New Roman" w:eastAsia="Times New Roman" w:hAnsi="Times New Roman" w:cs="Times New Roman"/>
          <w:kern w:val="0"/>
          <w:sz w:val="24"/>
          <w:szCs w:val="24"/>
          <w:lang w:eastAsia="en-GB"/>
          <w14:ligatures w14:val="none"/>
        </w:rPr>
      </w:pPr>
    </w:p>
    <w:p w14:paraId="1466C4BF" w14:textId="1BC24207" w:rsidR="001724AB" w:rsidRPr="00BB3E7F" w:rsidRDefault="006B12E8" w:rsidP="00485544">
      <w:pPr>
        <w:pStyle w:val="Heading1"/>
        <w:spacing w:line="360" w:lineRule="auto"/>
        <w:rPr>
          <w:rFonts w:ascii="Times New Roman" w:hAnsi="Times New Roman" w:cs="Times New Roman"/>
          <w:b/>
          <w:bCs/>
          <w:color w:val="000000" w:themeColor="text1"/>
          <w:sz w:val="28"/>
          <w:szCs w:val="28"/>
          <w:u w:val="single"/>
        </w:rPr>
      </w:pPr>
      <w:bookmarkStart w:id="9" w:name="_Toc153903214"/>
      <w:r w:rsidRPr="00BB3E7F">
        <w:rPr>
          <w:rFonts w:ascii="Times New Roman" w:hAnsi="Times New Roman" w:cs="Times New Roman"/>
          <w:b/>
          <w:bCs/>
          <w:color w:val="000000" w:themeColor="text1"/>
          <w:sz w:val="28"/>
          <w:szCs w:val="28"/>
          <w:u w:val="single"/>
        </w:rPr>
        <w:lastRenderedPageBreak/>
        <w:t>4.0</w:t>
      </w:r>
      <w:r w:rsidR="00E020E0">
        <w:rPr>
          <w:rFonts w:ascii="Times New Roman" w:hAnsi="Times New Roman" w:cs="Times New Roman"/>
          <w:b/>
          <w:bCs/>
          <w:color w:val="000000" w:themeColor="text1"/>
          <w:sz w:val="28"/>
          <w:szCs w:val="28"/>
          <w:u w:val="single"/>
        </w:rPr>
        <w:t>.0</w:t>
      </w:r>
      <w:r w:rsidRPr="00BB3E7F">
        <w:rPr>
          <w:rFonts w:ascii="Times New Roman" w:hAnsi="Times New Roman" w:cs="Times New Roman"/>
          <w:b/>
          <w:bCs/>
          <w:color w:val="000000" w:themeColor="text1"/>
          <w:sz w:val="28"/>
          <w:szCs w:val="28"/>
          <w:u w:val="single"/>
        </w:rPr>
        <w:t xml:space="preserve"> </w:t>
      </w:r>
      <w:r w:rsidR="00FB232A">
        <w:rPr>
          <w:rFonts w:ascii="Times New Roman" w:hAnsi="Times New Roman" w:cs="Times New Roman"/>
          <w:b/>
          <w:bCs/>
          <w:color w:val="000000" w:themeColor="text1"/>
          <w:sz w:val="28"/>
          <w:szCs w:val="28"/>
          <w:u w:val="single"/>
        </w:rPr>
        <w:t>Formulas and</w:t>
      </w:r>
      <w:r w:rsidR="001724AB" w:rsidRPr="00BB3E7F">
        <w:rPr>
          <w:rFonts w:ascii="Times New Roman" w:hAnsi="Times New Roman" w:cs="Times New Roman"/>
          <w:b/>
          <w:bCs/>
          <w:color w:val="000000" w:themeColor="text1"/>
          <w:sz w:val="28"/>
          <w:szCs w:val="28"/>
          <w:u w:val="single"/>
        </w:rPr>
        <w:t xml:space="preserve"> </w:t>
      </w:r>
      <w:r w:rsidR="001C5EA9" w:rsidRPr="00BB3E7F">
        <w:rPr>
          <w:rFonts w:ascii="Times New Roman" w:hAnsi="Times New Roman" w:cs="Times New Roman"/>
          <w:b/>
          <w:bCs/>
          <w:color w:val="000000" w:themeColor="text1"/>
          <w:sz w:val="28"/>
          <w:szCs w:val="28"/>
          <w:u w:val="single"/>
        </w:rPr>
        <w:t>Ratios for ‘Sweet Plc’</w:t>
      </w:r>
      <w:bookmarkEnd w:id="9"/>
    </w:p>
    <w:p w14:paraId="74FA04E8" w14:textId="38CC308C" w:rsidR="00BD1DA3" w:rsidRDefault="00DF5963" w:rsidP="00FA4752">
      <w:pPr>
        <w:spacing w:line="360" w:lineRule="auto"/>
        <w:ind w:firstLine="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 this section</w:t>
      </w:r>
      <w:r w:rsidR="00752703">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00202C6F" w:rsidRPr="00F90A82">
        <w:rPr>
          <w:rFonts w:ascii="Times New Roman" w:hAnsi="Times New Roman" w:cs="Times New Roman"/>
          <w:color w:val="000000" w:themeColor="text1"/>
          <w:sz w:val="24"/>
          <w:szCs w:val="24"/>
        </w:rPr>
        <w:t xml:space="preserve">'Sweets plc's' financial performance and efficiency </w:t>
      </w:r>
      <w:r w:rsidR="009F7A66">
        <w:rPr>
          <w:rFonts w:ascii="Times New Roman" w:hAnsi="Times New Roman" w:cs="Times New Roman"/>
          <w:color w:val="000000" w:themeColor="text1"/>
          <w:sz w:val="24"/>
          <w:szCs w:val="24"/>
        </w:rPr>
        <w:t xml:space="preserve">is looked at </w:t>
      </w:r>
      <w:r w:rsidR="00202C6F" w:rsidRPr="00F90A82">
        <w:rPr>
          <w:rFonts w:ascii="Times New Roman" w:hAnsi="Times New Roman" w:cs="Times New Roman"/>
          <w:color w:val="000000" w:themeColor="text1"/>
          <w:sz w:val="24"/>
          <w:szCs w:val="24"/>
        </w:rPr>
        <w:t>through the lens of various financial ratios</w:t>
      </w:r>
      <w:r w:rsidR="005970AC">
        <w:rPr>
          <w:rFonts w:ascii="Times New Roman" w:hAnsi="Times New Roman" w:cs="Times New Roman"/>
          <w:color w:val="000000" w:themeColor="text1"/>
          <w:sz w:val="24"/>
          <w:szCs w:val="24"/>
        </w:rPr>
        <w:t xml:space="preserve"> is </w:t>
      </w:r>
      <w:r w:rsidR="004B3552">
        <w:rPr>
          <w:rFonts w:ascii="Times New Roman" w:hAnsi="Times New Roman" w:cs="Times New Roman"/>
          <w:color w:val="000000" w:themeColor="text1"/>
          <w:sz w:val="24"/>
          <w:szCs w:val="24"/>
        </w:rPr>
        <w:t>analysed</w:t>
      </w:r>
      <w:r w:rsidR="00202C6F" w:rsidRPr="00F90A82">
        <w:rPr>
          <w:rFonts w:ascii="Times New Roman" w:hAnsi="Times New Roman" w:cs="Times New Roman"/>
          <w:color w:val="000000" w:themeColor="text1"/>
          <w:sz w:val="24"/>
          <w:szCs w:val="24"/>
        </w:rPr>
        <w:t>. These ratios convert financial statement information into indicators that reveal the company's profitability, efficiency, liquidity, and solvency</w:t>
      </w:r>
      <w:r w:rsidR="00310105" w:rsidRPr="00310105">
        <w:rPr>
          <w:rFonts w:ascii="Times New Roman" w:hAnsi="Times New Roman" w:cs="Times New Roman"/>
          <w:color w:val="000000" w:themeColor="text1"/>
          <w:sz w:val="24"/>
          <w:szCs w:val="24"/>
        </w:rPr>
        <w:t xml:space="preserve"> (Bragg, 2021)</w:t>
      </w:r>
      <w:r w:rsidR="00202C6F" w:rsidRPr="00F90A82">
        <w:rPr>
          <w:rFonts w:ascii="Times New Roman" w:hAnsi="Times New Roman" w:cs="Times New Roman"/>
          <w:color w:val="000000" w:themeColor="text1"/>
          <w:sz w:val="24"/>
          <w:szCs w:val="24"/>
        </w:rPr>
        <w:t xml:space="preserve">. </w:t>
      </w:r>
    </w:p>
    <w:p w14:paraId="4539E47D" w14:textId="4DEEA3F8" w:rsidR="001C5EA9" w:rsidRPr="00F97738" w:rsidRDefault="006B12E8" w:rsidP="00766082">
      <w:pPr>
        <w:pStyle w:val="Heading3"/>
        <w:spacing w:after="240"/>
        <w:rPr>
          <w:rFonts w:ascii="Times New Roman" w:hAnsi="Times New Roman" w:cs="Times New Roman"/>
          <w:b/>
          <w:bCs/>
          <w:color w:val="000000" w:themeColor="text1"/>
          <w:u w:val="single"/>
        </w:rPr>
      </w:pPr>
      <w:bookmarkStart w:id="10" w:name="_Toc153903215"/>
      <w:r w:rsidRPr="00F97738">
        <w:rPr>
          <w:rFonts w:ascii="Times New Roman" w:hAnsi="Times New Roman" w:cs="Times New Roman"/>
          <w:b/>
          <w:bCs/>
          <w:color w:val="000000" w:themeColor="text1"/>
          <w:u w:val="single"/>
        </w:rPr>
        <w:t>4.</w:t>
      </w:r>
      <w:r w:rsidR="005F7429">
        <w:rPr>
          <w:rFonts w:ascii="Times New Roman" w:hAnsi="Times New Roman" w:cs="Times New Roman"/>
          <w:b/>
          <w:bCs/>
          <w:color w:val="000000" w:themeColor="text1"/>
          <w:u w:val="single"/>
        </w:rPr>
        <w:t>1</w:t>
      </w:r>
      <w:r w:rsidR="00E020E0" w:rsidRPr="00F97738">
        <w:rPr>
          <w:rFonts w:ascii="Times New Roman" w:hAnsi="Times New Roman" w:cs="Times New Roman"/>
          <w:b/>
          <w:bCs/>
          <w:color w:val="000000" w:themeColor="text1"/>
          <w:u w:val="single"/>
        </w:rPr>
        <w:t>.</w:t>
      </w:r>
      <w:r w:rsidRPr="00F97738">
        <w:rPr>
          <w:rFonts w:ascii="Times New Roman" w:hAnsi="Times New Roman" w:cs="Times New Roman"/>
          <w:b/>
          <w:bCs/>
          <w:color w:val="000000" w:themeColor="text1"/>
          <w:u w:val="single"/>
        </w:rPr>
        <w:t>1</w:t>
      </w:r>
      <w:r w:rsidR="00F97738" w:rsidRPr="00F97738">
        <w:rPr>
          <w:rFonts w:ascii="Times New Roman" w:hAnsi="Times New Roman" w:cs="Times New Roman"/>
          <w:b/>
          <w:bCs/>
          <w:color w:val="000000" w:themeColor="text1"/>
          <w:u w:val="single"/>
        </w:rPr>
        <w:t xml:space="preserve"> </w:t>
      </w:r>
      <w:r w:rsidR="006D3B23" w:rsidRPr="00F97738">
        <w:rPr>
          <w:rFonts w:ascii="Times New Roman" w:hAnsi="Times New Roman" w:cs="Times New Roman"/>
          <w:b/>
          <w:bCs/>
          <w:color w:val="000000" w:themeColor="text1"/>
          <w:u w:val="single"/>
        </w:rPr>
        <w:t xml:space="preserve">‘Sweet Plc’ </w:t>
      </w:r>
      <w:r w:rsidR="00212031" w:rsidRPr="00F97738">
        <w:rPr>
          <w:rFonts w:ascii="Times New Roman" w:hAnsi="Times New Roman" w:cs="Times New Roman"/>
          <w:b/>
          <w:bCs/>
          <w:color w:val="000000" w:themeColor="text1"/>
          <w:u w:val="single"/>
        </w:rPr>
        <w:t>ROCE</w:t>
      </w:r>
      <w:bookmarkEnd w:id="10"/>
    </w:p>
    <w:p w14:paraId="52CA823C" w14:textId="573E4FC6" w:rsidR="001E57D6" w:rsidRDefault="004F7304" w:rsidP="00FA4752">
      <w:pPr>
        <w:spacing w:line="360" w:lineRule="auto"/>
        <w:ind w:firstLine="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Return on Capital Employed (</w:t>
      </w:r>
      <w:r w:rsidR="00DA4ED7" w:rsidRPr="00F90A82">
        <w:rPr>
          <w:rFonts w:ascii="Times New Roman" w:hAnsi="Times New Roman" w:cs="Times New Roman"/>
          <w:color w:val="000000" w:themeColor="text1"/>
          <w:sz w:val="24"/>
          <w:szCs w:val="24"/>
        </w:rPr>
        <w:t>ROCE</w:t>
      </w:r>
      <w:r>
        <w:rPr>
          <w:rFonts w:ascii="Times New Roman" w:hAnsi="Times New Roman" w:cs="Times New Roman"/>
          <w:color w:val="000000" w:themeColor="text1"/>
          <w:sz w:val="24"/>
          <w:szCs w:val="24"/>
        </w:rPr>
        <w:t>)</w:t>
      </w:r>
      <w:r w:rsidR="002B493C">
        <w:rPr>
          <w:rFonts w:ascii="Times New Roman" w:hAnsi="Times New Roman" w:cs="Times New Roman"/>
          <w:color w:val="000000" w:themeColor="text1"/>
          <w:sz w:val="24"/>
          <w:szCs w:val="24"/>
        </w:rPr>
        <w:t xml:space="preserve">, </w:t>
      </w:r>
      <w:r w:rsidR="00DA4ED7" w:rsidRPr="00F90A82">
        <w:rPr>
          <w:rFonts w:ascii="Times New Roman" w:hAnsi="Times New Roman" w:cs="Times New Roman"/>
          <w:color w:val="000000" w:themeColor="text1"/>
          <w:sz w:val="24"/>
          <w:szCs w:val="24"/>
        </w:rPr>
        <w:t>measure</w:t>
      </w:r>
      <w:r w:rsidR="004D7AA5">
        <w:rPr>
          <w:rFonts w:ascii="Times New Roman" w:hAnsi="Times New Roman" w:cs="Times New Roman"/>
          <w:color w:val="000000" w:themeColor="text1"/>
          <w:sz w:val="24"/>
          <w:szCs w:val="24"/>
        </w:rPr>
        <w:t>s</w:t>
      </w:r>
      <w:r w:rsidR="00DA4ED7" w:rsidRPr="00F90A82">
        <w:rPr>
          <w:rFonts w:ascii="Times New Roman" w:hAnsi="Times New Roman" w:cs="Times New Roman"/>
          <w:color w:val="000000" w:themeColor="text1"/>
          <w:sz w:val="24"/>
          <w:szCs w:val="24"/>
        </w:rPr>
        <w:t xml:space="preserve"> </w:t>
      </w:r>
      <w:r w:rsidR="00837346">
        <w:rPr>
          <w:rFonts w:ascii="Times New Roman" w:hAnsi="Times New Roman" w:cs="Times New Roman"/>
          <w:color w:val="000000" w:themeColor="text1"/>
          <w:sz w:val="24"/>
          <w:szCs w:val="24"/>
        </w:rPr>
        <w:t>‘Sweet Plc’</w:t>
      </w:r>
      <w:r w:rsidR="00DA4ED7" w:rsidRPr="00F90A82">
        <w:rPr>
          <w:rFonts w:ascii="Times New Roman" w:hAnsi="Times New Roman" w:cs="Times New Roman"/>
          <w:color w:val="000000" w:themeColor="text1"/>
          <w:sz w:val="24"/>
          <w:szCs w:val="24"/>
        </w:rPr>
        <w:t xml:space="preserve"> ability to generate profits from its total capital employed. It's particularly telling of how efficiently a company is using its capital to generate profits before tax</w:t>
      </w:r>
      <w:r w:rsidR="00AD684D">
        <w:rPr>
          <w:rFonts w:ascii="Times New Roman" w:hAnsi="Times New Roman" w:cs="Times New Roman"/>
          <w:color w:val="000000" w:themeColor="text1"/>
          <w:sz w:val="24"/>
          <w:szCs w:val="24"/>
        </w:rPr>
        <w:t>, and “a fundamental</w:t>
      </w:r>
      <w:r w:rsidR="008D7664">
        <w:rPr>
          <w:rFonts w:ascii="Times New Roman" w:hAnsi="Times New Roman" w:cs="Times New Roman"/>
          <w:color w:val="000000" w:themeColor="text1"/>
          <w:sz w:val="24"/>
          <w:szCs w:val="24"/>
        </w:rPr>
        <w:t xml:space="preserve"> measure of business performance”</w:t>
      </w:r>
      <w:r w:rsidR="00AD684D">
        <w:rPr>
          <w:rFonts w:ascii="Times New Roman" w:hAnsi="Times New Roman" w:cs="Times New Roman"/>
          <w:color w:val="000000" w:themeColor="text1"/>
          <w:sz w:val="24"/>
          <w:szCs w:val="24"/>
        </w:rPr>
        <w:t xml:space="preserve"> </w:t>
      </w:r>
      <w:r w:rsidR="00AD684D" w:rsidRPr="008C14B0">
        <w:rPr>
          <w:rFonts w:ascii="Times New Roman" w:hAnsi="Times New Roman" w:cs="Times New Roman"/>
          <w:color w:val="000000" w:themeColor="text1"/>
          <w:sz w:val="24"/>
          <w:szCs w:val="24"/>
        </w:rPr>
        <w:t>(</w:t>
      </w:r>
      <w:proofErr w:type="spellStart"/>
      <w:r w:rsidR="00AD684D" w:rsidRPr="008C14B0">
        <w:rPr>
          <w:rFonts w:ascii="Times New Roman" w:hAnsi="Times New Roman" w:cs="Times New Roman"/>
          <w:color w:val="000000" w:themeColor="text1"/>
          <w:sz w:val="24"/>
          <w:szCs w:val="24"/>
        </w:rPr>
        <w:t>Atrill</w:t>
      </w:r>
      <w:proofErr w:type="spellEnd"/>
      <w:r w:rsidR="00AD684D" w:rsidRPr="008C14B0">
        <w:rPr>
          <w:rFonts w:ascii="Times New Roman" w:hAnsi="Times New Roman" w:cs="Times New Roman"/>
          <w:color w:val="000000" w:themeColor="text1"/>
          <w:sz w:val="24"/>
          <w:szCs w:val="24"/>
        </w:rPr>
        <w:t xml:space="preserve"> and McLaney,</w:t>
      </w:r>
      <w:r w:rsidR="00AD684D">
        <w:rPr>
          <w:rFonts w:ascii="Times New Roman" w:hAnsi="Times New Roman" w:cs="Times New Roman"/>
          <w:color w:val="000000" w:themeColor="text1"/>
          <w:sz w:val="24"/>
          <w:szCs w:val="24"/>
        </w:rPr>
        <w:t xml:space="preserve"> pp.204, </w:t>
      </w:r>
      <w:r w:rsidR="00AD684D" w:rsidRPr="008C14B0">
        <w:rPr>
          <w:rFonts w:ascii="Times New Roman" w:hAnsi="Times New Roman" w:cs="Times New Roman"/>
          <w:color w:val="000000" w:themeColor="text1"/>
          <w:sz w:val="24"/>
          <w:szCs w:val="24"/>
        </w:rPr>
        <w:t>2016</w:t>
      </w:r>
      <w:r w:rsidR="00AD684D">
        <w:rPr>
          <w:rFonts w:ascii="Times New Roman" w:hAnsi="Times New Roman" w:cs="Times New Roman"/>
          <w:color w:val="000000" w:themeColor="text1"/>
          <w:sz w:val="24"/>
          <w:szCs w:val="24"/>
        </w:rPr>
        <w:t>)</w:t>
      </w:r>
      <w:r w:rsidR="00DA4ED7" w:rsidRPr="00F90A82">
        <w:rPr>
          <w:rFonts w:ascii="Times New Roman" w:hAnsi="Times New Roman" w:cs="Times New Roman"/>
          <w:color w:val="000000" w:themeColor="text1"/>
          <w:sz w:val="24"/>
          <w:szCs w:val="24"/>
        </w:rPr>
        <w:t>.</w:t>
      </w:r>
      <w:r w:rsidR="00026B00">
        <w:rPr>
          <w:rFonts w:ascii="Times New Roman" w:hAnsi="Times New Roman" w:cs="Times New Roman"/>
          <w:color w:val="000000" w:themeColor="text1"/>
          <w:sz w:val="24"/>
          <w:szCs w:val="24"/>
        </w:rPr>
        <w:t xml:space="preserve"> </w:t>
      </w:r>
    </w:p>
    <w:p w14:paraId="2689F6A6" w14:textId="77777777" w:rsidR="00804568" w:rsidRPr="00804568" w:rsidRDefault="00804568" w:rsidP="008D1CB6">
      <w:pPr>
        <w:spacing w:before="100" w:beforeAutospacing="1" w:after="100" w:afterAutospacing="1" w:line="240" w:lineRule="auto"/>
        <w:ind w:left="720"/>
        <w:rPr>
          <w:rFonts w:ascii="Times New Roman" w:eastAsia="Times New Roman" w:hAnsi="Times New Roman" w:cs="Times New Roman"/>
          <w:kern w:val="0"/>
          <w:sz w:val="24"/>
          <w:szCs w:val="24"/>
          <w:lang w:eastAsia="en-GB"/>
          <w14:ligatures w14:val="none"/>
        </w:rPr>
      </w:pPr>
      <w:r w:rsidRPr="00804568">
        <w:rPr>
          <w:rFonts w:ascii="Times New Roman" w:eastAsia="Times New Roman" w:hAnsi="Times New Roman" w:cs="Times New Roman"/>
          <w:b/>
          <w:bCs/>
          <w:kern w:val="0"/>
          <w:sz w:val="24"/>
          <w:szCs w:val="24"/>
          <w:lang w:eastAsia="en-GB"/>
          <w14:ligatures w14:val="none"/>
        </w:rPr>
        <w:t>Calculate Capital Employed</w:t>
      </w:r>
      <w:r w:rsidRPr="00804568">
        <w:rPr>
          <w:rFonts w:ascii="Times New Roman" w:eastAsia="Times New Roman" w:hAnsi="Times New Roman" w:cs="Times New Roman"/>
          <w:kern w:val="0"/>
          <w:sz w:val="24"/>
          <w:szCs w:val="24"/>
          <w:lang w:eastAsia="en-GB"/>
          <w14:ligatures w14:val="none"/>
        </w:rPr>
        <w:t>:</w:t>
      </w:r>
    </w:p>
    <w:p w14:paraId="15C808DC" w14:textId="77777777" w:rsidR="00804568" w:rsidRPr="00804568" w:rsidRDefault="00804568" w:rsidP="00804568">
      <w:pPr>
        <w:numPr>
          <w:ilvl w:val="1"/>
          <w:numId w:val="2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04568">
        <w:rPr>
          <w:rFonts w:ascii="Times New Roman" w:eastAsia="Times New Roman" w:hAnsi="Times New Roman" w:cs="Times New Roman"/>
          <w:kern w:val="0"/>
          <w:sz w:val="24"/>
          <w:szCs w:val="24"/>
          <w:lang w:eastAsia="en-GB"/>
          <w14:ligatures w14:val="none"/>
        </w:rPr>
        <w:t>For 2022: Capital Employed = Total Assets - Current Liabilities = £9,736m - £2,511m = £7,225m.</w:t>
      </w:r>
    </w:p>
    <w:p w14:paraId="3608AF7F" w14:textId="77777777" w:rsidR="00804568" w:rsidRPr="00804568" w:rsidRDefault="00804568" w:rsidP="00804568">
      <w:pPr>
        <w:numPr>
          <w:ilvl w:val="1"/>
          <w:numId w:val="2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04568">
        <w:rPr>
          <w:rFonts w:ascii="Times New Roman" w:eastAsia="Times New Roman" w:hAnsi="Times New Roman" w:cs="Times New Roman"/>
          <w:kern w:val="0"/>
          <w:sz w:val="24"/>
          <w:szCs w:val="24"/>
          <w:lang w:eastAsia="en-GB"/>
          <w14:ligatures w14:val="none"/>
        </w:rPr>
        <w:t>For 2021: Capital Employed = Total Assets - Current Liabilities = £10,087m - £3,046m = £7,041m.</w:t>
      </w:r>
    </w:p>
    <w:p w14:paraId="0641713C" w14:textId="77777777" w:rsidR="00804568" w:rsidRPr="00804568" w:rsidRDefault="00804568" w:rsidP="008D1CB6">
      <w:pPr>
        <w:spacing w:before="100" w:beforeAutospacing="1" w:after="100" w:afterAutospacing="1" w:line="240" w:lineRule="auto"/>
        <w:ind w:left="720"/>
        <w:rPr>
          <w:rFonts w:ascii="Times New Roman" w:eastAsia="Times New Roman" w:hAnsi="Times New Roman" w:cs="Times New Roman"/>
          <w:kern w:val="0"/>
          <w:sz w:val="24"/>
          <w:szCs w:val="24"/>
          <w:lang w:eastAsia="en-GB"/>
          <w14:ligatures w14:val="none"/>
        </w:rPr>
      </w:pPr>
      <w:r w:rsidRPr="00804568">
        <w:rPr>
          <w:rFonts w:ascii="Times New Roman" w:eastAsia="Times New Roman" w:hAnsi="Times New Roman" w:cs="Times New Roman"/>
          <w:b/>
          <w:bCs/>
          <w:kern w:val="0"/>
          <w:sz w:val="24"/>
          <w:szCs w:val="24"/>
          <w:lang w:eastAsia="en-GB"/>
          <w14:ligatures w14:val="none"/>
        </w:rPr>
        <w:t>Calculate ROCE</w:t>
      </w:r>
      <w:r w:rsidRPr="00804568">
        <w:rPr>
          <w:rFonts w:ascii="Times New Roman" w:eastAsia="Times New Roman" w:hAnsi="Times New Roman" w:cs="Times New Roman"/>
          <w:kern w:val="0"/>
          <w:sz w:val="24"/>
          <w:szCs w:val="24"/>
          <w:lang w:eastAsia="en-GB"/>
          <w14:ligatures w14:val="none"/>
        </w:rPr>
        <w:t>:</w:t>
      </w:r>
    </w:p>
    <w:p w14:paraId="17A1B2F6" w14:textId="3A86124A" w:rsidR="00804568" w:rsidRPr="00804568" w:rsidRDefault="00804568" w:rsidP="00804568">
      <w:pPr>
        <w:numPr>
          <w:ilvl w:val="1"/>
          <w:numId w:val="2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04568">
        <w:rPr>
          <w:rFonts w:ascii="Times New Roman" w:eastAsia="Times New Roman" w:hAnsi="Times New Roman" w:cs="Times New Roman"/>
          <w:kern w:val="0"/>
          <w:sz w:val="24"/>
          <w:szCs w:val="24"/>
          <w:lang w:eastAsia="en-GB"/>
          <w14:ligatures w14:val="none"/>
        </w:rPr>
        <w:t>For 2022: ROCE</w:t>
      </w:r>
      <w:r w:rsidR="008D1CB6">
        <w:rPr>
          <w:rFonts w:ascii="Times New Roman" w:eastAsia="Times New Roman" w:hAnsi="Times New Roman" w:cs="Times New Roman"/>
          <w:kern w:val="0"/>
          <w:sz w:val="24"/>
          <w:szCs w:val="24"/>
          <w:lang w:eastAsia="en-GB"/>
          <w14:ligatures w14:val="none"/>
        </w:rPr>
        <w:t>:</w:t>
      </w:r>
      <w:r w:rsidRPr="00804568">
        <w:rPr>
          <w:rFonts w:ascii="Times New Roman" w:eastAsia="Times New Roman" w:hAnsi="Times New Roman" w:cs="Times New Roman"/>
          <w:kern w:val="0"/>
          <w:sz w:val="24"/>
          <w:szCs w:val="24"/>
          <w:lang w:eastAsia="en-GB"/>
          <w14:ligatures w14:val="none"/>
        </w:rPr>
        <w:t xml:space="preserve"> (Operating Profit / Capital Employed) × 100 = (805 / 7225) × 100 ≈ 11.14%.</w:t>
      </w:r>
    </w:p>
    <w:p w14:paraId="03D560F7" w14:textId="3FA7A0C6" w:rsidR="006D3B23" w:rsidRPr="008D1CB6" w:rsidRDefault="00804568" w:rsidP="008D1CB6">
      <w:pPr>
        <w:numPr>
          <w:ilvl w:val="1"/>
          <w:numId w:val="2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04568">
        <w:rPr>
          <w:rFonts w:ascii="Times New Roman" w:eastAsia="Times New Roman" w:hAnsi="Times New Roman" w:cs="Times New Roman"/>
          <w:kern w:val="0"/>
          <w:sz w:val="24"/>
          <w:szCs w:val="24"/>
          <w:lang w:eastAsia="en-GB"/>
          <w14:ligatures w14:val="none"/>
        </w:rPr>
        <w:t>For 2021: ROCE</w:t>
      </w:r>
      <w:r w:rsidR="008D1CB6">
        <w:rPr>
          <w:rFonts w:ascii="Times New Roman" w:eastAsia="Times New Roman" w:hAnsi="Times New Roman" w:cs="Times New Roman"/>
          <w:kern w:val="0"/>
          <w:sz w:val="24"/>
          <w:szCs w:val="24"/>
          <w:lang w:eastAsia="en-GB"/>
          <w14:ligatures w14:val="none"/>
        </w:rPr>
        <w:t>:</w:t>
      </w:r>
      <w:r w:rsidRPr="00804568">
        <w:rPr>
          <w:rFonts w:ascii="Times New Roman" w:eastAsia="Times New Roman" w:hAnsi="Times New Roman" w:cs="Times New Roman"/>
          <w:kern w:val="0"/>
          <w:sz w:val="24"/>
          <w:szCs w:val="24"/>
          <w:lang w:eastAsia="en-GB"/>
          <w14:ligatures w14:val="none"/>
        </w:rPr>
        <w:t xml:space="preserve"> (Operating Profit / Capital Employed) × 100 = (699 / 7041) × 100 ≈ 9.93%.</w:t>
      </w:r>
    </w:p>
    <w:p w14:paraId="42CC1837" w14:textId="4DF207B5" w:rsidR="00212031" w:rsidRPr="00F97738" w:rsidRDefault="00D31AE2" w:rsidP="007D5E4F">
      <w:pPr>
        <w:pStyle w:val="Heading3"/>
        <w:rPr>
          <w:rFonts w:ascii="Times New Roman" w:hAnsi="Times New Roman" w:cs="Times New Roman"/>
          <w:b/>
          <w:bCs/>
          <w:color w:val="000000" w:themeColor="text1"/>
          <w:u w:val="single"/>
        </w:rPr>
      </w:pPr>
      <w:bookmarkStart w:id="11" w:name="_Toc153903216"/>
      <w:r w:rsidRPr="00F97738">
        <w:rPr>
          <w:rFonts w:ascii="Times New Roman" w:hAnsi="Times New Roman" w:cs="Times New Roman"/>
          <w:b/>
          <w:bCs/>
          <w:color w:val="000000" w:themeColor="text1"/>
          <w:u w:val="single"/>
        </w:rPr>
        <w:t>4.</w:t>
      </w:r>
      <w:r w:rsidR="005F7429">
        <w:rPr>
          <w:rFonts w:ascii="Times New Roman" w:hAnsi="Times New Roman" w:cs="Times New Roman"/>
          <w:b/>
          <w:bCs/>
          <w:color w:val="000000" w:themeColor="text1"/>
          <w:u w:val="single"/>
        </w:rPr>
        <w:t>1</w:t>
      </w:r>
      <w:r w:rsidR="00E020E0" w:rsidRPr="00F97738">
        <w:rPr>
          <w:rFonts w:ascii="Times New Roman" w:hAnsi="Times New Roman" w:cs="Times New Roman"/>
          <w:b/>
          <w:bCs/>
          <w:color w:val="000000" w:themeColor="text1"/>
          <w:u w:val="single"/>
        </w:rPr>
        <w:t>.</w:t>
      </w:r>
      <w:r w:rsidRPr="00F97738">
        <w:rPr>
          <w:rFonts w:ascii="Times New Roman" w:hAnsi="Times New Roman" w:cs="Times New Roman"/>
          <w:b/>
          <w:bCs/>
          <w:color w:val="000000" w:themeColor="text1"/>
          <w:u w:val="single"/>
        </w:rPr>
        <w:t xml:space="preserve">2 </w:t>
      </w:r>
      <w:r w:rsidR="006D3B23" w:rsidRPr="00F97738">
        <w:rPr>
          <w:rFonts w:ascii="Times New Roman" w:hAnsi="Times New Roman" w:cs="Times New Roman"/>
          <w:b/>
          <w:bCs/>
          <w:color w:val="000000" w:themeColor="text1"/>
          <w:u w:val="single"/>
        </w:rPr>
        <w:t xml:space="preserve">‘Sweet Plc’ </w:t>
      </w:r>
      <w:r w:rsidR="00207E68" w:rsidRPr="00F97738">
        <w:rPr>
          <w:rFonts w:ascii="Times New Roman" w:hAnsi="Times New Roman" w:cs="Times New Roman"/>
          <w:b/>
          <w:bCs/>
          <w:color w:val="000000" w:themeColor="text1"/>
          <w:u w:val="single"/>
        </w:rPr>
        <w:t>ROE</w:t>
      </w:r>
      <w:bookmarkEnd w:id="11"/>
    </w:p>
    <w:p w14:paraId="09D025BF" w14:textId="28DE3B59" w:rsidR="006D3B23" w:rsidRDefault="00C677F1" w:rsidP="00766082">
      <w:pPr>
        <w:spacing w:before="240" w:line="360" w:lineRule="auto"/>
        <w:ind w:firstLine="360"/>
        <w:rPr>
          <w:rFonts w:ascii="Times New Roman" w:hAnsi="Times New Roman" w:cs="Times New Roman"/>
          <w:color w:val="000000" w:themeColor="text1"/>
          <w:sz w:val="24"/>
          <w:szCs w:val="24"/>
        </w:rPr>
      </w:pPr>
      <w:r w:rsidRPr="00F90A82">
        <w:rPr>
          <w:rFonts w:ascii="Times New Roman" w:hAnsi="Times New Roman" w:cs="Times New Roman"/>
          <w:color w:val="000000" w:themeColor="text1"/>
          <w:sz w:val="24"/>
          <w:szCs w:val="24"/>
        </w:rPr>
        <w:t>Return on Equity (ROE) is a measure of a corporation's profitability that reveals how much profit a company generates with the money shareholders have invested. It is expressed as a percentage and calculated by dividing the company's net income by shareholders' equity.</w:t>
      </w:r>
    </w:p>
    <w:p w14:paraId="11E1F279" w14:textId="4F9BB031" w:rsidR="002B1126" w:rsidRPr="002B1126" w:rsidRDefault="002B1126" w:rsidP="00387B5B">
      <w:pPr>
        <w:spacing w:before="100" w:beforeAutospacing="1" w:after="100" w:afterAutospacing="1" w:line="240" w:lineRule="auto"/>
        <w:ind w:firstLine="360"/>
        <w:rPr>
          <w:rFonts w:ascii="Times New Roman" w:eastAsia="Times New Roman" w:hAnsi="Times New Roman" w:cs="Times New Roman"/>
          <w:kern w:val="0"/>
          <w:sz w:val="24"/>
          <w:szCs w:val="24"/>
          <w:lang w:eastAsia="en-GB"/>
          <w14:ligatures w14:val="none"/>
        </w:rPr>
      </w:pPr>
      <w:r w:rsidRPr="002B1126">
        <w:rPr>
          <w:rFonts w:ascii="Times New Roman" w:eastAsia="Times New Roman" w:hAnsi="Times New Roman" w:cs="Times New Roman"/>
          <w:b/>
          <w:bCs/>
          <w:kern w:val="0"/>
          <w:sz w:val="24"/>
          <w:szCs w:val="24"/>
          <w:lang w:eastAsia="en-GB"/>
          <w14:ligatures w14:val="none"/>
        </w:rPr>
        <w:t>For 2022:</w:t>
      </w:r>
      <w:r>
        <w:rPr>
          <w:rFonts w:ascii="Times New Roman" w:eastAsia="Times New Roman" w:hAnsi="Times New Roman" w:cs="Times New Roman"/>
          <w:b/>
          <w:bCs/>
          <w:kern w:val="0"/>
          <w:sz w:val="24"/>
          <w:szCs w:val="24"/>
          <w:lang w:eastAsia="en-GB"/>
          <w14:ligatures w14:val="none"/>
        </w:rPr>
        <w:t xml:space="preserve"> </w:t>
      </w:r>
      <w:r w:rsidRPr="002B1126">
        <w:rPr>
          <w:rFonts w:ascii="Times New Roman" w:eastAsia="Times New Roman" w:hAnsi="Times New Roman" w:cs="Times New Roman"/>
          <w:kern w:val="0"/>
          <w:sz w:val="24"/>
          <w:szCs w:val="24"/>
          <w:lang w:eastAsia="en-GB"/>
          <w14:ligatures w14:val="none"/>
        </w:rPr>
        <w:t>Net Income: £431m</w:t>
      </w:r>
    </w:p>
    <w:p w14:paraId="241FC3DB" w14:textId="77777777" w:rsidR="002B1126" w:rsidRPr="002B1126" w:rsidRDefault="002B1126" w:rsidP="002B1126">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B1126">
        <w:rPr>
          <w:rFonts w:ascii="Times New Roman" w:eastAsia="Times New Roman" w:hAnsi="Times New Roman" w:cs="Times New Roman"/>
          <w:kern w:val="0"/>
          <w:sz w:val="24"/>
          <w:szCs w:val="24"/>
          <w:lang w:eastAsia="en-GB"/>
          <w14:ligatures w14:val="none"/>
        </w:rPr>
        <w:t>Ending Shareholders' Equity (Net Assets): £3,088m</w:t>
      </w:r>
    </w:p>
    <w:p w14:paraId="0C223594" w14:textId="0F63E002" w:rsidR="002B1126" w:rsidRPr="002B1126" w:rsidRDefault="002B1126" w:rsidP="00387B5B">
      <w:pPr>
        <w:spacing w:before="100" w:beforeAutospacing="1" w:after="100" w:afterAutospacing="1" w:line="240" w:lineRule="auto"/>
        <w:ind w:firstLine="360"/>
        <w:rPr>
          <w:rFonts w:ascii="Times New Roman" w:eastAsia="Times New Roman" w:hAnsi="Times New Roman" w:cs="Times New Roman"/>
          <w:kern w:val="0"/>
          <w:sz w:val="24"/>
          <w:szCs w:val="24"/>
          <w:lang w:eastAsia="en-GB"/>
          <w14:ligatures w14:val="none"/>
        </w:rPr>
      </w:pPr>
      <w:r w:rsidRPr="002B1126">
        <w:rPr>
          <w:rFonts w:ascii="Times New Roman" w:eastAsia="Times New Roman" w:hAnsi="Times New Roman" w:cs="Times New Roman"/>
          <w:b/>
          <w:bCs/>
          <w:kern w:val="0"/>
          <w:sz w:val="24"/>
          <w:szCs w:val="24"/>
          <w:lang w:eastAsia="en-GB"/>
          <w14:ligatures w14:val="none"/>
        </w:rPr>
        <w:t>For 2021:</w:t>
      </w:r>
      <w:r w:rsidR="001E74F3">
        <w:rPr>
          <w:rFonts w:ascii="Times New Roman" w:eastAsia="Times New Roman" w:hAnsi="Times New Roman" w:cs="Times New Roman"/>
          <w:b/>
          <w:bCs/>
          <w:kern w:val="0"/>
          <w:sz w:val="24"/>
          <w:szCs w:val="24"/>
          <w:lang w:eastAsia="en-GB"/>
          <w14:ligatures w14:val="none"/>
        </w:rPr>
        <w:t xml:space="preserve"> </w:t>
      </w:r>
      <w:r w:rsidRPr="002B1126">
        <w:rPr>
          <w:rFonts w:ascii="Times New Roman" w:eastAsia="Times New Roman" w:hAnsi="Times New Roman" w:cs="Times New Roman"/>
          <w:kern w:val="0"/>
          <w:sz w:val="24"/>
          <w:szCs w:val="24"/>
          <w:lang w:eastAsia="en-GB"/>
          <w14:ligatures w14:val="none"/>
        </w:rPr>
        <w:t>Net Income: £366m</w:t>
      </w:r>
    </w:p>
    <w:p w14:paraId="176E2CBC" w14:textId="77777777" w:rsidR="002B1126" w:rsidRPr="002B1126" w:rsidRDefault="002B1126" w:rsidP="002B1126">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B1126">
        <w:rPr>
          <w:rFonts w:ascii="Times New Roman" w:eastAsia="Times New Roman" w:hAnsi="Times New Roman" w:cs="Times New Roman"/>
          <w:kern w:val="0"/>
          <w:sz w:val="24"/>
          <w:szCs w:val="24"/>
          <w:lang w:eastAsia="en-GB"/>
          <w14:ligatures w14:val="none"/>
        </w:rPr>
        <w:t>Ending Shareholders' Equity (Net Assets): £2,912m</w:t>
      </w:r>
    </w:p>
    <w:p w14:paraId="1B591E40" w14:textId="426B2261" w:rsidR="002B1126" w:rsidRPr="002B1126" w:rsidRDefault="002B1126" w:rsidP="002B112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B1126">
        <w:rPr>
          <w:rFonts w:ascii="Times New Roman" w:eastAsia="Times New Roman" w:hAnsi="Times New Roman" w:cs="Times New Roman"/>
          <w:kern w:val="0"/>
          <w:sz w:val="24"/>
          <w:szCs w:val="24"/>
          <w:lang w:eastAsia="en-GB"/>
          <w14:ligatures w14:val="none"/>
        </w:rPr>
        <w:t xml:space="preserve">The Return on Equity (ROE) for </w:t>
      </w:r>
      <w:proofErr w:type="gramStart"/>
      <w:r w:rsidRPr="002B1126">
        <w:rPr>
          <w:rFonts w:ascii="Times New Roman" w:eastAsia="Times New Roman" w:hAnsi="Times New Roman" w:cs="Times New Roman"/>
          <w:kern w:val="0"/>
          <w:sz w:val="24"/>
          <w:szCs w:val="24"/>
          <w:lang w:eastAsia="en-GB"/>
          <w14:ligatures w14:val="none"/>
        </w:rPr>
        <w:t>Sweets</w:t>
      </w:r>
      <w:proofErr w:type="gramEnd"/>
      <w:r w:rsidRPr="002B1126">
        <w:rPr>
          <w:rFonts w:ascii="Times New Roman" w:eastAsia="Times New Roman" w:hAnsi="Times New Roman" w:cs="Times New Roman"/>
          <w:kern w:val="0"/>
          <w:sz w:val="24"/>
          <w:szCs w:val="24"/>
          <w:lang w:eastAsia="en-GB"/>
          <w14:ligatures w14:val="none"/>
        </w:rPr>
        <w:t xml:space="preserve"> plc</w:t>
      </w:r>
      <w:r w:rsidR="001E74F3">
        <w:rPr>
          <w:rFonts w:ascii="Times New Roman" w:eastAsia="Times New Roman" w:hAnsi="Times New Roman" w:cs="Times New Roman"/>
          <w:kern w:val="0"/>
          <w:sz w:val="24"/>
          <w:szCs w:val="24"/>
          <w:lang w:eastAsia="en-GB"/>
          <w14:ligatures w14:val="none"/>
        </w:rPr>
        <w:t>:</w:t>
      </w:r>
    </w:p>
    <w:p w14:paraId="73902AA9" w14:textId="77777777" w:rsidR="00FB100B" w:rsidRPr="00FB100B" w:rsidRDefault="00FB100B" w:rsidP="00387B5B">
      <w:pPr>
        <w:spacing w:before="100" w:beforeAutospacing="1" w:after="100" w:afterAutospacing="1" w:line="240" w:lineRule="auto"/>
        <w:ind w:firstLine="360"/>
        <w:rPr>
          <w:rFonts w:ascii="Times New Roman" w:eastAsia="Times New Roman" w:hAnsi="Times New Roman" w:cs="Times New Roman"/>
          <w:kern w:val="0"/>
          <w:sz w:val="24"/>
          <w:szCs w:val="24"/>
          <w:lang w:eastAsia="en-GB"/>
          <w14:ligatures w14:val="none"/>
        </w:rPr>
      </w:pPr>
      <w:r w:rsidRPr="00FB100B">
        <w:rPr>
          <w:rFonts w:ascii="Times New Roman" w:eastAsia="Times New Roman" w:hAnsi="Times New Roman" w:cs="Times New Roman"/>
          <w:b/>
          <w:bCs/>
          <w:kern w:val="0"/>
          <w:sz w:val="24"/>
          <w:szCs w:val="24"/>
          <w:lang w:eastAsia="en-GB"/>
          <w14:ligatures w14:val="none"/>
        </w:rPr>
        <w:t>For the year 2022:</w:t>
      </w:r>
    </w:p>
    <w:p w14:paraId="7CC183E9" w14:textId="77777777" w:rsidR="00FB100B" w:rsidRPr="00FB100B" w:rsidRDefault="00FB100B" w:rsidP="00FB100B">
      <w:pPr>
        <w:numPr>
          <w:ilvl w:val="0"/>
          <w:numId w:val="3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B100B">
        <w:rPr>
          <w:rFonts w:ascii="Times New Roman" w:eastAsia="Times New Roman" w:hAnsi="Times New Roman" w:cs="Times New Roman"/>
          <w:kern w:val="0"/>
          <w:sz w:val="24"/>
          <w:szCs w:val="24"/>
          <w:lang w:eastAsia="en-GB"/>
          <w14:ligatures w14:val="none"/>
        </w:rPr>
        <w:lastRenderedPageBreak/>
        <w:t>ROE = (Net Income / End of Year Shareholders' Equity) × 100</w:t>
      </w:r>
    </w:p>
    <w:p w14:paraId="26EE7EDA" w14:textId="77777777" w:rsidR="00FB100B" w:rsidRPr="00FB100B" w:rsidRDefault="00FB100B" w:rsidP="00FB100B">
      <w:pPr>
        <w:numPr>
          <w:ilvl w:val="0"/>
          <w:numId w:val="3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B100B">
        <w:rPr>
          <w:rFonts w:ascii="Times New Roman" w:eastAsia="Times New Roman" w:hAnsi="Times New Roman" w:cs="Times New Roman"/>
          <w:kern w:val="0"/>
          <w:sz w:val="24"/>
          <w:szCs w:val="24"/>
          <w:lang w:eastAsia="en-GB"/>
          <w14:ligatures w14:val="none"/>
        </w:rPr>
        <w:t>ROE = (431 / 3088) × 100 ≈ 13.96%</w:t>
      </w:r>
    </w:p>
    <w:p w14:paraId="268538C1" w14:textId="77777777" w:rsidR="00FB100B" w:rsidRPr="00FB100B" w:rsidRDefault="00FB100B" w:rsidP="00387B5B">
      <w:pPr>
        <w:spacing w:before="100" w:beforeAutospacing="1" w:after="100" w:afterAutospacing="1" w:line="240" w:lineRule="auto"/>
        <w:ind w:firstLine="360"/>
        <w:rPr>
          <w:rFonts w:ascii="Times New Roman" w:eastAsia="Times New Roman" w:hAnsi="Times New Roman" w:cs="Times New Roman"/>
          <w:kern w:val="0"/>
          <w:sz w:val="24"/>
          <w:szCs w:val="24"/>
          <w:lang w:eastAsia="en-GB"/>
          <w14:ligatures w14:val="none"/>
        </w:rPr>
      </w:pPr>
      <w:r w:rsidRPr="00FB100B">
        <w:rPr>
          <w:rFonts w:ascii="Times New Roman" w:eastAsia="Times New Roman" w:hAnsi="Times New Roman" w:cs="Times New Roman"/>
          <w:b/>
          <w:bCs/>
          <w:kern w:val="0"/>
          <w:sz w:val="24"/>
          <w:szCs w:val="24"/>
          <w:lang w:eastAsia="en-GB"/>
          <w14:ligatures w14:val="none"/>
        </w:rPr>
        <w:t>For the year 2021:</w:t>
      </w:r>
    </w:p>
    <w:p w14:paraId="5FDF097F" w14:textId="77777777" w:rsidR="00FB100B" w:rsidRPr="00FB100B" w:rsidRDefault="00FB100B" w:rsidP="00FB100B">
      <w:pPr>
        <w:numPr>
          <w:ilvl w:val="0"/>
          <w:numId w:val="3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B100B">
        <w:rPr>
          <w:rFonts w:ascii="Times New Roman" w:eastAsia="Times New Roman" w:hAnsi="Times New Roman" w:cs="Times New Roman"/>
          <w:kern w:val="0"/>
          <w:sz w:val="24"/>
          <w:szCs w:val="24"/>
          <w:lang w:eastAsia="en-GB"/>
          <w14:ligatures w14:val="none"/>
        </w:rPr>
        <w:t>ROE = (Net Income / End of Year Shareholders' Equity) × 100</w:t>
      </w:r>
    </w:p>
    <w:p w14:paraId="0A7C2E9F" w14:textId="77777777" w:rsidR="00FB100B" w:rsidRPr="00FB100B" w:rsidRDefault="00FB100B" w:rsidP="00FB100B">
      <w:pPr>
        <w:numPr>
          <w:ilvl w:val="0"/>
          <w:numId w:val="3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B100B">
        <w:rPr>
          <w:rFonts w:ascii="Times New Roman" w:eastAsia="Times New Roman" w:hAnsi="Times New Roman" w:cs="Times New Roman"/>
          <w:kern w:val="0"/>
          <w:sz w:val="24"/>
          <w:szCs w:val="24"/>
          <w:lang w:eastAsia="en-GB"/>
          <w14:ligatures w14:val="none"/>
        </w:rPr>
        <w:t>ROE = (366 / 2912) × 100 ≈ 12.57%</w:t>
      </w:r>
    </w:p>
    <w:p w14:paraId="410820F8" w14:textId="01C638EC" w:rsidR="00BD1DA3" w:rsidRPr="00F97738" w:rsidRDefault="00D31AE2" w:rsidP="00766082">
      <w:pPr>
        <w:pStyle w:val="Heading3"/>
        <w:spacing w:after="240" w:line="360" w:lineRule="auto"/>
        <w:rPr>
          <w:rFonts w:ascii="Times New Roman" w:hAnsi="Times New Roman" w:cs="Times New Roman"/>
          <w:b/>
          <w:bCs/>
          <w:color w:val="000000" w:themeColor="text1"/>
          <w:u w:val="single"/>
        </w:rPr>
      </w:pPr>
      <w:bookmarkStart w:id="12" w:name="_Toc153903217"/>
      <w:r w:rsidRPr="00F97738">
        <w:rPr>
          <w:rFonts w:ascii="Times New Roman" w:hAnsi="Times New Roman" w:cs="Times New Roman"/>
          <w:b/>
          <w:bCs/>
          <w:color w:val="000000" w:themeColor="text1"/>
          <w:u w:val="single"/>
        </w:rPr>
        <w:t>4.</w:t>
      </w:r>
      <w:r w:rsidR="005F7429">
        <w:rPr>
          <w:rFonts w:ascii="Times New Roman" w:hAnsi="Times New Roman" w:cs="Times New Roman"/>
          <w:b/>
          <w:bCs/>
          <w:color w:val="000000" w:themeColor="text1"/>
          <w:u w:val="single"/>
        </w:rPr>
        <w:t>1</w:t>
      </w:r>
      <w:r w:rsidR="00E020E0" w:rsidRPr="00F97738">
        <w:rPr>
          <w:rFonts w:ascii="Times New Roman" w:hAnsi="Times New Roman" w:cs="Times New Roman"/>
          <w:b/>
          <w:bCs/>
          <w:color w:val="000000" w:themeColor="text1"/>
          <w:u w:val="single"/>
        </w:rPr>
        <w:t>.</w:t>
      </w:r>
      <w:r w:rsidRPr="00F97738">
        <w:rPr>
          <w:rFonts w:ascii="Times New Roman" w:hAnsi="Times New Roman" w:cs="Times New Roman"/>
          <w:b/>
          <w:bCs/>
          <w:color w:val="000000" w:themeColor="text1"/>
          <w:u w:val="single"/>
        </w:rPr>
        <w:t xml:space="preserve">3 </w:t>
      </w:r>
      <w:r w:rsidR="00207E68" w:rsidRPr="00F97738">
        <w:rPr>
          <w:rFonts w:ascii="Times New Roman" w:hAnsi="Times New Roman" w:cs="Times New Roman"/>
          <w:b/>
          <w:bCs/>
          <w:color w:val="000000" w:themeColor="text1"/>
          <w:u w:val="single"/>
        </w:rPr>
        <w:t>Earnings per Share</w:t>
      </w:r>
      <w:bookmarkEnd w:id="12"/>
    </w:p>
    <w:p w14:paraId="4A4BC262" w14:textId="1656D8A9" w:rsidR="00AF783A" w:rsidRDefault="00792B87" w:rsidP="00FA4752">
      <w:pPr>
        <w:spacing w:line="360" w:lineRule="auto"/>
        <w:ind w:firstLine="720"/>
        <w:jc w:val="both"/>
        <w:rPr>
          <w:rFonts w:ascii="Times New Roman" w:hAnsi="Times New Roman" w:cs="Times New Roman"/>
          <w:sz w:val="24"/>
          <w:szCs w:val="24"/>
        </w:rPr>
      </w:pPr>
      <w:r w:rsidRPr="00792B87">
        <w:rPr>
          <w:rFonts w:ascii="Times New Roman" w:hAnsi="Times New Roman" w:cs="Times New Roman"/>
          <w:sz w:val="24"/>
          <w:szCs w:val="24"/>
        </w:rPr>
        <w:t xml:space="preserve">Earnings per Share (EPS) is a key financial metric that indicates the profitability of a </w:t>
      </w:r>
      <w:r w:rsidRPr="00AB0D23">
        <w:rPr>
          <w:rFonts w:ascii="Times New Roman" w:hAnsi="Times New Roman" w:cs="Times New Roman"/>
          <w:sz w:val="24"/>
          <w:szCs w:val="24"/>
        </w:rPr>
        <w:t xml:space="preserve">company on a per-share basis. It is calculated by dividing the net income available to common shareholders by the average number of outstanding shares over a certain </w:t>
      </w:r>
      <w:r w:rsidR="00181EE4" w:rsidRPr="00AB0D23">
        <w:rPr>
          <w:rFonts w:ascii="Times New Roman" w:hAnsi="Times New Roman" w:cs="Times New Roman"/>
          <w:sz w:val="24"/>
          <w:szCs w:val="24"/>
        </w:rPr>
        <w:t>period</w:t>
      </w:r>
      <w:r w:rsidR="009A34E7">
        <w:rPr>
          <w:rFonts w:ascii="Times New Roman" w:hAnsi="Times New Roman" w:cs="Times New Roman"/>
          <w:sz w:val="24"/>
          <w:szCs w:val="24"/>
        </w:rPr>
        <w:t>.</w:t>
      </w:r>
      <w:r w:rsidR="00C3045A">
        <w:rPr>
          <w:rFonts w:ascii="Times New Roman" w:hAnsi="Times New Roman" w:cs="Times New Roman"/>
          <w:sz w:val="24"/>
          <w:szCs w:val="24"/>
        </w:rPr>
        <w:t xml:space="preserve"> </w:t>
      </w:r>
      <w:r w:rsidR="00C3045A" w:rsidRPr="00C3045A">
        <w:rPr>
          <w:rFonts w:ascii="Times New Roman" w:hAnsi="Times New Roman" w:cs="Times New Roman"/>
          <w:sz w:val="24"/>
          <w:szCs w:val="24"/>
        </w:rPr>
        <w:t xml:space="preserve">Generally, a higher Interest Cover ratio suggests that the company is in a better position to meet its interest </w:t>
      </w:r>
      <w:r w:rsidR="0007114D" w:rsidRPr="00C3045A">
        <w:rPr>
          <w:rFonts w:ascii="Times New Roman" w:hAnsi="Times New Roman" w:cs="Times New Roman"/>
          <w:sz w:val="24"/>
          <w:szCs w:val="24"/>
        </w:rPr>
        <w:t>obligations</w:t>
      </w:r>
      <w:r w:rsidR="0007114D">
        <w:rPr>
          <w:rFonts w:ascii="Times New Roman" w:hAnsi="Times New Roman" w:cs="Times New Roman"/>
          <w:sz w:val="24"/>
          <w:szCs w:val="24"/>
        </w:rPr>
        <w:t xml:space="preserve"> (Sa</w:t>
      </w:r>
      <w:r w:rsidR="0038033D">
        <w:rPr>
          <w:rFonts w:ascii="Times New Roman" w:hAnsi="Times New Roman" w:cs="Times New Roman"/>
          <w:sz w:val="24"/>
          <w:szCs w:val="24"/>
        </w:rPr>
        <w:t>ngster et. al</w:t>
      </w:r>
      <w:r w:rsidR="0007114D" w:rsidRPr="00C3045A">
        <w:rPr>
          <w:rFonts w:ascii="Times New Roman" w:hAnsi="Times New Roman" w:cs="Times New Roman"/>
          <w:sz w:val="24"/>
          <w:szCs w:val="24"/>
        </w:rPr>
        <w:t>.</w:t>
      </w:r>
      <w:r w:rsidR="0038033D">
        <w:rPr>
          <w:rFonts w:ascii="Times New Roman" w:hAnsi="Times New Roman" w:cs="Times New Roman"/>
          <w:sz w:val="24"/>
          <w:szCs w:val="24"/>
        </w:rPr>
        <w:t>, pp.644</w:t>
      </w:r>
      <w:r w:rsidR="001C6FC8">
        <w:rPr>
          <w:rFonts w:ascii="Times New Roman" w:hAnsi="Times New Roman" w:cs="Times New Roman"/>
          <w:sz w:val="24"/>
          <w:szCs w:val="24"/>
        </w:rPr>
        <w:t>, 2017</w:t>
      </w:r>
      <w:r w:rsidR="0038033D">
        <w:rPr>
          <w:rFonts w:ascii="Times New Roman" w:hAnsi="Times New Roman" w:cs="Times New Roman"/>
          <w:sz w:val="24"/>
          <w:szCs w:val="24"/>
        </w:rPr>
        <w:t>)</w:t>
      </w:r>
      <w:r w:rsidR="001C6FC8">
        <w:rPr>
          <w:rFonts w:ascii="Times New Roman" w:hAnsi="Times New Roman" w:cs="Times New Roman"/>
          <w:sz w:val="24"/>
          <w:szCs w:val="24"/>
        </w:rPr>
        <w:t>.</w:t>
      </w:r>
      <w:r w:rsidR="00C3045A">
        <w:rPr>
          <w:rFonts w:ascii="Times New Roman" w:hAnsi="Times New Roman" w:cs="Times New Roman"/>
          <w:sz w:val="24"/>
          <w:szCs w:val="24"/>
        </w:rPr>
        <w:t xml:space="preserve"> </w:t>
      </w:r>
    </w:p>
    <w:p w14:paraId="154F5AFE" w14:textId="745A392F" w:rsidR="008A2438" w:rsidRPr="00AB0D23" w:rsidRDefault="00782C28" w:rsidP="008D3790">
      <w:pPr>
        <w:spacing w:line="360" w:lineRule="auto"/>
        <w:rPr>
          <w:rStyle w:val="vlist-s"/>
          <w:rFonts w:ascii="Times New Roman" w:hAnsi="Times New Roman" w:cs="Times New Roman"/>
          <w:sz w:val="24"/>
          <w:szCs w:val="24"/>
        </w:rPr>
      </w:pPr>
      <w:r w:rsidRPr="00AB0D23">
        <w:rPr>
          <w:rStyle w:val="mord"/>
          <w:rFonts w:ascii="Times New Roman" w:hAnsi="Times New Roman" w:cs="Times New Roman"/>
          <w:sz w:val="24"/>
          <w:szCs w:val="24"/>
        </w:rPr>
        <w:t>Ordinary</w:t>
      </w:r>
      <w:r w:rsidR="008A2438" w:rsidRPr="00AB0D23">
        <w:rPr>
          <w:rStyle w:val="mord"/>
          <w:rFonts w:ascii="Times New Roman" w:hAnsi="Times New Roman" w:cs="Times New Roman"/>
          <w:sz w:val="24"/>
          <w:szCs w:val="24"/>
        </w:rPr>
        <w:t> Share Capital</w:t>
      </w:r>
      <w:r w:rsidR="008A2438" w:rsidRPr="00AB0D23">
        <w:rPr>
          <w:rStyle w:val="vlist-s"/>
          <w:rFonts w:ascii="Times New Roman" w:hAnsi="Times New Roman" w:cs="Times New Roman"/>
          <w:sz w:val="24"/>
          <w:szCs w:val="24"/>
        </w:rPr>
        <w:t>​</w:t>
      </w:r>
      <w:r w:rsidR="00687D2C">
        <w:rPr>
          <w:rStyle w:val="vlist-s"/>
          <w:rFonts w:ascii="Times New Roman" w:hAnsi="Times New Roman" w:cs="Times New Roman"/>
          <w:sz w:val="24"/>
          <w:szCs w:val="24"/>
        </w:rPr>
        <w:t xml:space="preserve"> (£</w:t>
      </w:r>
      <w:r w:rsidR="00730ED7">
        <w:rPr>
          <w:rStyle w:val="vlist-s"/>
          <w:rFonts w:ascii="Times New Roman" w:hAnsi="Times New Roman" w:cs="Times New Roman"/>
          <w:sz w:val="24"/>
          <w:szCs w:val="24"/>
        </w:rPr>
        <w:t>300m</w:t>
      </w:r>
      <w:r w:rsidR="00687D2C">
        <w:rPr>
          <w:rStyle w:val="vlist-s"/>
          <w:rFonts w:ascii="Times New Roman" w:hAnsi="Times New Roman" w:cs="Times New Roman"/>
          <w:sz w:val="24"/>
          <w:szCs w:val="24"/>
        </w:rPr>
        <w:t>)</w:t>
      </w:r>
      <w:r w:rsidR="003F68EE">
        <w:rPr>
          <w:rStyle w:val="vlist-s"/>
          <w:rFonts w:ascii="Times New Roman" w:hAnsi="Times New Roman" w:cs="Times New Roman"/>
          <w:sz w:val="24"/>
          <w:szCs w:val="24"/>
        </w:rPr>
        <w:t xml:space="preserve"> /</w:t>
      </w:r>
      <w:r w:rsidR="003F68EE" w:rsidRPr="003F68EE">
        <w:rPr>
          <w:rFonts w:ascii="Times New Roman" w:hAnsi="Times New Roman" w:cs="Times New Roman"/>
          <w:sz w:val="24"/>
          <w:szCs w:val="24"/>
        </w:rPr>
        <w:t xml:space="preserve"> </w:t>
      </w:r>
      <w:r w:rsidR="003F68EE" w:rsidRPr="00AB0D23">
        <w:rPr>
          <w:rStyle w:val="mord"/>
          <w:rFonts w:ascii="Times New Roman" w:hAnsi="Times New Roman" w:cs="Times New Roman"/>
          <w:sz w:val="24"/>
          <w:szCs w:val="24"/>
        </w:rPr>
        <w:t>Nominal Value per Share</w:t>
      </w:r>
      <w:r w:rsidR="003F68EE">
        <w:rPr>
          <w:rStyle w:val="mord"/>
          <w:rFonts w:ascii="Times New Roman" w:hAnsi="Times New Roman" w:cs="Times New Roman"/>
          <w:sz w:val="24"/>
          <w:szCs w:val="24"/>
        </w:rPr>
        <w:t xml:space="preserve"> (</w:t>
      </w:r>
      <w:r w:rsidR="003F68EE" w:rsidRPr="00AB0D23">
        <w:rPr>
          <w:rStyle w:val="mord"/>
          <w:rFonts w:ascii="Times New Roman" w:hAnsi="Times New Roman" w:cs="Times New Roman"/>
          <w:sz w:val="24"/>
          <w:szCs w:val="24"/>
        </w:rPr>
        <w:t>£</w:t>
      </w:r>
      <w:r w:rsidR="00730ED7">
        <w:rPr>
          <w:rStyle w:val="mord"/>
          <w:rFonts w:ascii="Times New Roman" w:hAnsi="Times New Roman" w:cs="Times New Roman"/>
          <w:sz w:val="24"/>
          <w:szCs w:val="24"/>
        </w:rPr>
        <w:t>0.50</w:t>
      </w:r>
      <w:r w:rsidR="003F68EE">
        <w:rPr>
          <w:rStyle w:val="mord"/>
          <w:rFonts w:ascii="Times New Roman" w:hAnsi="Times New Roman" w:cs="Times New Roman"/>
          <w:sz w:val="24"/>
          <w:szCs w:val="24"/>
        </w:rPr>
        <w:t>)</w:t>
      </w:r>
      <w:r w:rsidR="008A2438" w:rsidRPr="00AB0D23">
        <w:rPr>
          <w:rStyle w:val="vlist-s"/>
          <w:rFonts w:ascii="Times New Roman" w:hAnsi="Times New Roman" w:cs="Times New Roman"/>
          <w:sz w:val="24"/>
          <w:szCs w:val="24"/>
        </w:rPr>
        <w:t xml:space="preserve"> = </w:t>
      </w:r>
      <w:r w:rsidR="0044505A" w:rsidRPr="00AB0D23">
        <w:rPr>
          <w:rStyle w:val="mord"/>
          <w:rFonts w:ascii="Times New Roman" w:hAnsi="Times New Roman" w:cs="Times New Roman"/>
          <w:sz w:val="24"/>
          <w:szCs w:val="24"/>
        </w:rPr>
        <w:t>Number of Ordinary Shares</w:t>
      </w:r>
      <w:r w:rsidR="003F68EE">
        <w:rPr>
          <w:rStyle w:val="mord"/>
          <w:rFonts w:ascii="Times New Roman" w:hAnsi="Times New Roman" w:cs="Times New Roman"/>
          <w:sz w:val="24"/>
          <w:szCs w:val="24"/>
        </w:rPr>
        <w:t xml:space="preserve"> (600m)</w:t>
      </w:r>
    </w:p>
    <w:p w14:paraId="2CFC49F3" w14:textId="77777777" w:rsidR="0047642B" w:rsidRPr="0047642B" w:rsidRDefault="0047642B" w:rsidP="0047642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7642B">
        <w:rPr>
          <w:rFonts w:ascii="Times New Roman" w:eastAsia="Times New Roman" w:hAnsi="Times New Roman" w:cs="Times New Roman"/>
          <w:b/>
          <w:bCs/>
          <w:kern w:val="0"/>
          <w:sz w:val="24"/>
          <w:szCs w:val="24"/>
          <w:lang w:eastAsia="en-GB"/>
          <w14:ligatures w14:val="none"/>
        </w:rPr>
        <w:t>For the year 2022:</w:t>
      </w:r>
    </w:p>
    <w:p w14:paraId="65ADBF60" w14:textId="77777777" w:rsidR="0047642B" w:rsidRPr="0047642B" w:rsidRDefault="0047642B" w:rsidP="0047642B">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7642B">
        <w:rPr>
          <w:rFonts w:ascii="Times New Roman" w:eastAsia="Times New Roman" w:hAnsi="Times New Roman" w:cs="Times New Roman"/>
          <w:kern w:val="0"/>
          <w:sz w:val="24"/>
          <w:szCs w:val="24"/>
          <w:lang w:eastAsia="en-GB"/>
          <w14:ligatures w14:val="none"/>
        </w:rPr>
        <w:t>EPS = Net Income / Number of Ordinary Shares</w:t>
      </w:r>
    </w:p>
    <w:p w14:paraId="5593A662" w14:textId="77777777" w:rsidR="0047642B" w:rsidRPr="0047642B" w:rsidRDefault="0047642B" w:rsidP="0047642B">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7642B">
        <w:rPr>
          <w:rFonts w:ascii="Times New Roman" w:eastAsia="Times New Roman" w:hAnsi="Times New Roman" w:cs="Times New Roman"/>
          <w:kern w:val="0"/>
          <w:sz w:val="24"/>
          <w:szCs w:val="24"/>
          <w:lang w:eastAsia="en-GB"/>
          <w14:ligatures w14:val="none"/>
        </w:rPr>
        <w:t>EPS = £431m / 600m shares ≈ £0.718 per share</w:t>
      </w:r>
    </w:p>
    <w:p w14:paraId="1C62D5A5" w14:textId="77777777" w:rsidR="0047642B" w:rsidRPr="0047642B" w:rsidRDefault="0047642B" w:rsidP="0047642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7642B">
        <w:rPr>
          <w:rFonts w:ascii="Times New Roman" w:eastAsia="Times New Roman" w:hAnsi="Times New Roman" w:cs="Times New Roman"/>
          <w:b/>
          <w:bCs/>
          <w:kern w:val="0"/>
          <w:sz w:val="24"/>
          <w:szCs w:val="24"/>
          <w:lang w:eastAsia="en-GB"/>
          <w14:ligatures w14:val="none"/>
        </w:rPr>
        <w:t>For the year 2021:</w:t>
      </w:r>
    </w:p>
    <w:p w14:paraId="16AADED4" w14:textId="77777777" w:rsidR="0047642B" w:rsidRPr="0047642B" w:rsidRDefault="0047642B" w:rsidP="0047642B">
      <w:pPr>
        <w:numPr>
          <w:ilvl w:val="0"/>
          <w:numId w:val="3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7642B">
        <w:rPr>
          <w:rFonts w:ascii="Times New Roman" w:eastAsia="Times New Roman" w:hAnsi="Times New Roman" w:cs="Times New Roman"/>
          <w:kern w:val="0"/>
          <w:sz w:val="24"/>
          <w:szCs w:val="24"/>
          <w:lang w:eastAsia="en-GB"/>
          <w14:ligatures w14:val="none"/>
        </w:rPr>
        <w:t>EPS = Net Income / Number of Ordinary Shares</w:t>
      </w:r>
    </w:p>
    <w:p w14:paraId="179D5AFA" w14:textId="0F380C94" w:rsidR="00792B87" w:rsidRPr="00CD65C6" w:rsidRDefault="0047642B" w:rsidP="00CD65C6">
      <w:pPr>
        <w:numPr>
          <w:ilvl w:val="0"/>
          <w:numId w:val="36"/>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47642B">
        <w:rPr>
          <w:rFonts w:ascii="Times New Roman" w:eastAsia="Times New Roman" w:hAnsi="Times New Roman" w:cs="Times New Roman"/>
          <w:kern w:val="0"/>
          <w:sz w:val="24"/>
          <w:szCs w:val="24"/>
          <w:lang w:eastAsia="en-GB"/>
          <w14:ligatures w14:val="none"/>
        </w:rPr>
        <w:t>EPS = £366m / 600m shares ≈ £0.61 per share</w:t>
      </w:r>
    </w:p>
    <w:p w14:paraId="1E69A10F" w14:textId="21EB6FB7" w:rsidR="00AF783A" w:rsidRPr="00F97738" w:rsidRDefault="00D31AE2" w:rsidP="007D5E4F">
      <w:pPr>
        <w:pStyle w:val="Heading3"/>
        <w:rPr>
          <w:rFonts w:ascii="Times New Roman" w:hAnsi="Times New Roman" w:cs="Times New Roman"/>
          <w:b/>
          <w:bCs/>
          <w:color w:val="000000" w:themeColor="text1"/>
          <w:u w:val="single"/>
        </w:rPr>
      </w:pPr>
      <w:bookmarkStart w:id="13" w:name="_Toc153903218"/>
      <w:r w:rsidRPr="00F97738">
        <w:rPr>
          <w:rFonts w:ascii="Times New Roman" w:hAnsi="Times New Roman" w:cs="Times New Roman"/>
          <w:b/>
          <w:bCs/>
          <w:color w:val="000000" w:themeColor="text1"/>
          <w:u w:val="single"/>
        </w:rPr>
        <w:t>4.</w:t>
      </w:r>
      <w:r w:rsidR="005F7429">
        <w:rPr>
          <w:rFonts w:ascii="Times New Roman" w:hAnsi="Times New Roman" w:cs="Times New Roman"/>
          <w:b/>
          <w:bCs/>
          <w:color w:val="000000" w:themeColor="text1"/>
          <w:u w:val="single"/>
        </w:rPr>
        <w:t>1</w:t>
      </w:r>
      <w:r w:rsidR="00E020E0" w:rsidRPr="00F97738">
        <w:rPr>
          <w:rFonts w:ascii="Times New Roman" w:hAnsi="Times New Roman" w:cs="Times New Roman"/>
          <w:b/>
          <w:bCs/>
          <w:color w:val="000000" w:themeColor="text1"/>
          <w:u w:val="single"/>
        </w:rPr>
        <w:t>.</w:t>
      </w:r>
      <w:r w:rsidRPr="00F97738">
        <w:rPr>
          <w:rFonts w:ascii="Times New Roman" w:hAnsi="Times New Roman" w:cs="Times New Roman"/>
          <w:b/>
          <w:bCs/>
          <w:color w:val="000000" w:themeColor="text1"/>
          <w:u w:val="single"/>
        </w:rPr>
        <w:t xml:space="preserve">4 </w:t>
      </w:r>
      <w:r w:rsidR="00207E68" w:rsidRPr="00F97738">
        <w:rPr>
          <w:rFonts w:ascii="Times New Roman" w:hAnsi="Times New Roman" w:cs="Times New Roman"/>
          <w:b/>
          <w:bCs/>
          <w:color w:val="000000" w:themeColor="text1"/>
          <w:u w:val="single"/>
        </w:rPr>
        <w:t>Net Profit Margin</w:t>
      </w:r>
      <w:bookmarkEnd w:id="13"/>
    </w:p>
    <w:p w14:paraId="764973C2" w14:textId="39E32C37" w:rsidR="00D839EC" w:rsidRDefault="00D839EC" w:rsidP="00927729">
      <w:pPr>
        <w:spacing w:before="240" w:line="360" w:lineRule="auto"/>
        <w:ind w:firstLine="360"/>
        <w:jc w:val="both"/>
        <w:rPr>
          <w:rFonts w:ascii="Times New Roman" w:hAnsi="Times New Roman" w:cs="Times New Roman"/>
          <w:sz w:val="24"/>
          <w:szCs w:val="24"/>
        </w:rPr>
      </w:pPr>
      <w:r w:rsidRPr="00D839EC">
        <w:rPr>
          <w:rFonts w:ascii="Times New Roman" w:hAnsi="Times New Roman" w:cs="Times New Roman"/>
          <w:sz w:val="24"/>
          <w:szCs w:val="24"/>
        </w:rPr>
        <w:t>Brigham and Ehrhardt (201</w:t>
      </w:r>
      <w:r w:rsidR="00CC4CFD">
        <w:rPr>
          <w:rFonts w:ascii="Times New Roman" w:hAnsi="Times New Roman" w:cs="Times New Roman"/>
          <w:sz w:val="24"/>
          <w:szCs w:val="24"/>
        </w:rPr>
        <w:t>6</w:t>
      </w:r>
      <w:r w:rsidRPr="00D839EC">
        <w:rPr>
          <w:rFonts w:ascii="Times New Roman" w:hAnsi="Times New Roman" w:cs="Times New Roman"/>
          <w:sz w:val="24"/>
          <w:szCs w:val="24"/>
        </w:rPr>
        <w:t>) describe the Net Profit Margin as a measure that captures the overall operational efficiency of the firm. It reflects the percentage of each sales dollar remaining after the firm has paid for its goods, operating expenses, and taxes.</w:t>
      </w:r>
    </w:p>
    <w:p w14:paraId="26700516" w14:textId="77777777" w:rsidR="009E6E70" w:rsidRPr="009E6E70" w:rsidRDefault="009E6E70" w:rsidP="009E6E7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E6E70">
        <w:rPr>
          <w:rFonts w:ascii="Times New Roman" w:eastAsia="Times New Roman" w:hAnsi="Times New Roman" w:cs="Times New Roman"/>
          <w:b/>
          <w:bCs/>
          <w:kern w:val="0"/>
          <w:sz w:val="24"/>
          <w:szCs w:val="24"/>
          <w:lang w:eastAsia="en-GB"/>
          <w14:ligatures w14:val="none"/>
        </w:rPr>
        <w:t>For 2022:</w:t>
      </w:r>
    </w:p>
    <w:p w14:paraId="327FF1BD" w14:textId="77777777" w:rsidR="009E6E70" w:rsidRPr="009E6E70" w:rsidRDefault="009E6E70" w:rsidP="009E6E70">
      <w:pPr>
        <w:numPr>
          <w:ilvl w:val="0"/>
          <w:numId w:val="3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E6E70">
        <w:rPr>
          <w:rFonts w:ascii="Times New Roman" w:eastAsia="Times New Roman" w:hAnsi="Times New Roman" w:cs="Times New Roman"/>
          <w:kern w:val="0"/>
          <w:sz w:val="24"/>
          <w:szCs w:val="24"/>
          <w:lang w:eastAsia="en-GB"/>
          <w14:ligatures w14:val="none"/>
        </w:rPr>
        <w:t>Net Income: £431m</w:t>
      </w:r>
    </w:p>
    <w:p w14:paraId="7169A3D8" w14:textId="77777777" w:rsidR="009E6E70" w:rsidRPr="009E6E70" w:rsidRDefault="009E6E70" w:rsidP="009E6E70">
      <w:pPr>
        <w:numPr>
          <w:ilvl w:val="0"/>
          <w:numId w:val="3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E6E70">
        <w:rPr>
          <w:rFonts w:ascii="Times New Roman" w:eastAsia="Times New Roman" w:hAnsi="Times New Roman" w:cs="Times New Roman"/>
          <w:kern w:val="0"/>
          <w:sz w:val="24"/>
          <w:szCs w:val="24"/>
          <w:lang w:eastAsia="en-GB"/>
          <w14:ligatures w14:val="none"/>
        </w:rPr>
        <w:t>Revenue: £6,738m</w:t>
      </w:r>
    </w:p>
    <w:p w14:paraId="4597710C" w14:textId="77777777" w:rsidR="002E222E" w:rsidRPr="002E222E" w:rsidRDefault="002E222E" w:rsidP="002E222E">
      <w:pPr>
        <w:numPr>
          <w:ilvl w:val="0"/>
          <w:numId w:val="3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E222E">
        <w:rPr>
          <w:rFonts w:ascii="Times New Roman" w:eastAsia="Times New Roman" w:hAnsi="Times New Roman" w:cs="Times New Roman"/>
          <w:kern w:val="0"/>
          <w:sz w:val="24"/>
          <w:szCs w:val="24"/>
          <w:lang w:eastAsia="en-GB"/>
          <w14:ligatures w14:val="none"/>
        </w:rPr>
        <w:t>Net Profit Margin = (Net Income / Revenue) × 100</w:t>
      </w:r>
    </w:p>
    <w:p w14:paraId="5DD8AF3A" w14:textId="77777777" w:rsidR="002E222E" w:rsidRPr="002E222E" w:rsidRDefault="002E222E" w:rsidP="002E222E">
      <w:pPr>
        <w:numPr>
          <w:ilvl w:val="0"/>
          <w:numId w:val="3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E222E">
        <w:rPr>
          <w:rFonts w:ascii="Times New Roman" w:eastAsia="Times New Roman" w:hAnsi="Times New Roman" w:cs="Times New Roman"/>
          <w:kern w:val="0"/>
          <w:sz w:val="24"/>
          <w:szCs w:val="24"/>
          <w:lang w:eastAsia="en-GB"/>
          <w14:ligatures w14:val="none"/>
        </w:rPr>
        <w:t>Net Profit Margin = (431 / 6,738) × 100 ≈ 6.40%</w:t>
      </w:r>
    </w:p>
    <w:p w14:paraId="72E5BFC8" w14:textId="77777777" w:rsidR="002E222E" w:rsidRPr="002E222E" w:rsidRDefault="002E222E" w:rsidP="002E222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E222E">
        <w:rPr>
          <w:rFonts w:ascii="Times New Roman" w:eastAsia="Times New Roman" w:hAnsi="Times New Roman" w:cs="Times New Roman"/>
          <w:b/>
          <w:bCs/>
          <w:kern w:val="0"/>
          <w:sz w:val="24"/>
          <w:szCs w:val="24"/>
          <w:lang w:eastAsia="en-GB"/>
          <w14:ligatures w14:val="none"/>
        </w:rPr>
        <w:t>For 2021:</w:t>
      </w:r>
    </w:p>
    <w:p w14:paraId="72FB453A" w14:textId="77777777" w:rsidR="002E222E" w:rsidRPr="002E222E" w:rsidRDefault="002E222E" w:rsidP="002E222E">
      <w:pPr>
        <w:numPr>
          <w:ilvl w:val="0"/>
          <w:numId w:val="3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E222E">
        <w:rPr>
          <w:rFonts w:ascii="Times New Roman" w:eastAsia="Times New Roman" w:hAnsi="Times New Roman" w:cs="Times New Roman"/>
          <w:kern w:val="0"/>
          <w:sz w:val="24"/>
          <w:szCs w:val="24"/>
          <w:lang w:eastAsia="en-GB"/>
          <w14:ligatures w14:val="none"/>
        </w:rPr>
        <w:t>Net Income: £366m</w:t>
      </w:r>
    </w:p>
    <w:p w14:paraId="2C9BBFBA" w14:textId="77777777" w:rsidR="002E222E" w:rsidRPr="002E222E" w:rsidRDefault="002E222E" w:rsidP="002E222E">
      <w:pPr>
        <w:numPr>
          <w:ilvl w:val="0"/>
          <w:numId w:val="3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E222E">
        <w:rPr>
          <w:rFonts w:ascii="Times New Roman" w:eastAsia="Times New Roman" w:hAnsi="Times New Roman" w:cs="Times New Roman"/>
          <w:kern w:val="0"/>
          <w:sz w:val="24"/>
          <w:szCs w:val="24"/>
          <w:lang w:eastAsia="en-GB"/>
          <w14:ligatures w14:val="none"/>
        </w:rPr>
        <w:lastRenderedPageBreak/>
        <w:t>Revenue: £6,441m</w:t>
      </w:r>
    </w:p>
    <w:p w14:paraId="441E0E9F" w14:textId="77777777" w:rsidR="003949CA" w:rsidRPr="003949CA" w:rsidRDefault="003949CA" w:rsidP="003949CA">
      <w:pPr>
        <w:numPr>
          <w:ilvl w:val="0"/>
          <w:numId w:val="3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949CA">
        <w:rPr>
          <w:rFonts w:ascii="Times New Roman" w:eastAsia="Times New Roman" w:hAnsi="Times New Roman" w:cs="Times New Roman"/>
          <w:kern w:val="0"/>
          <w:sz w:val="24"/>
          <w:szCs w:val="24"/>
          <w:lang w:eastAsia="en-GB"/>
          <w14:ligatures w14:val="none"/>
        </w:rPr>
        <w:t>Net Profit Margin = (Net Income / Revenue) × 100</w:t>
      </w:r>
    </w:p>
    <w:p w14:paraId="5023CE77" w14:textId="77777777" w:rsidR="003949CA" w:rsidRPr="003949CA" w:rsidRDefault="003949CA" w:rsidP="003949CA">
      <w:pPr>
        <w:numPr>
          <w:ilvl w:val="0"/>
          <w:numId w:val="3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949CA">
        <w:rPr>
          <w:rFonts w:ascii="Times New Roman" w:eastAsia="Times New Roman" w:hAnsi="Times New Roman" w:cs="Times New Roman"/>
          <w:kern w:val="0"/>
          <w:sz w:val="24"/>
          <w:szCs w:val="24"/>
          <w:lang w:eastAsia="en-GB"/>
          <w14:ligatures w14:val="none"/>
        </w:rPr>
        <w:t>Net Profit Margin = (366 / 6,441) × 100 ≈ 5.68%</w:t>
      </w:r>
    </w:p>
    <w:p w14:paraId="55275B80" w14:textId="35987FB9" w:rsidR="00207E68" w:rsidRPr="00F97738" w:rsidRDefault="00D31AE2" w:rsidP="00927729">
      <w:pPr>
        <w:pStyle w:val="Heading3"/>
        <w:spacing w:after="240"/>
        <w:rPr>
          <w:rFonts w:ascii="Times New Roman" w:hAnsi="Times New Roman" w:cs="Times New Roman"/>
          <w:b/>
          <w:bCs/>
          <w:color w:val="000000" w:themeColor="text1"/>
          <w:u w:val="single"/>
        </w:rPr>
      </w:pPr>
      <w:bookmarkStart w:id="14" w:name="_Toc153903219"/>
      <w:r w:rsidRPr="00F97738">
        <w:rPr>
          <w:rFonts w:ascii="Times New Roman" w:hAnsi="Times New Roman" w:cs="Times New Roman"/>
          <w:b/>
          <w:bCs/>
          <w:color w:val="000000" w:themeColor="text1"/>
          <w:u w:val="single"/>
        </w:rPr>
        <w:t>4.</w:t>
      </w:r>
      <w:r w:rsidR="005F7429">
        <w:rPr>
          <w:rFonts w:ascii="Times New Roman" w:hAnsi="Times New Roman" w:cs="Times New Roman"/>
          <w:b/>
          <w:bCs/>
          <w:color w:val="000000" w:themeColor="text1"/>
          <w:u w:val="single"/>
        </w:rPr>
        <w:t>1</w:t>
      </w:r>
      <w:r w:rsidR="00E020E0" w:rsidRPr="00F97738">
        <w:rPr>
          <w:rFonts w:ascii="Times New Roman" w:hAnsi="Times New Roman" w:cs="Times New Roman"/>
          <w:b/>
          <w:bCs/>
          <w:color w:val="000000" w:themeColor="text1"/>
          <w:u w:val="single"/>
        </w:rPr>
        <w:t>.</w:t>
      </w:r>
      <w:r w:rsidRPr="00F97738">
        <w:rPr>
          <w:rFonts w:ascii="Times New Roman" w:hAnsi="Times New Roman" w:cs="Times New Roman"/>
          <w:b/>
          <w:bCs/>
          <w:color w:val="000000" w:themeColor="text1"/>
          <w:u w:val="single"/>
        </w:rPr>
        <w:t xml:space="preserve">5 </w:t>
      </w:r>
      <w:r w:rsidR="00207E68" w:rsidRPr="00F97738">
        <w:rPr>
          <w:rFonts w:ascii="Times New Roman" w:hAnsi="Times New Roman" w:cs="Times New Roman"/>
          <w:b/>
          <w:bCs/>
          <w:color w:val="000000" w:themeColor="text1"/>
          <w:u w:val="single"/>
        </w:rPr>
        <w:t>Asset Turnover</w:t>
      </w:r>
      <w:bookmarkEnd w:id="14"/>
    </w:p>
    <w:p w14:paraId="76290C55" w14:textId="50B50ED8" w:rsidR="00C8208F" w:rsidRDefault="00161488" w:rsidP="00FA4752">
      <w:pPr>
        <w:spacing w:line="360" w:lineRule="auto"/>
        <w:ind w:firstLine="360"/>
        <w:jc w:val="both"/>
        <w:rPr>
          <w:rFonts w:ascii="Times New Roman" w:hAnsi="Times New Roman" w:cs="Times New Roman"/>
          <w:sz w:val="24"/>
          <w:szCs w:val="24"/>
        </w:rPr>
      </w:pPr>
      <w:r w:rsidRPr="00161488">
        <w:rPr>
          <w:rFonts w:ascii="Times New Roman" w:hAnsi="Times New Roman" w:cs="Times New Roman"/>
          <w:sz w:val="24"/>
          <w:szCs w:val="24"/>
        </w:rPr>
        <w:t>The Asset Turnover ratio is a financial metric used to assess the efficiency with which a company utilizes its assets to generate revenue. It measures the effectiveness of a firm in using its assets to produce sales.</w:t>
      </w:r>
    </w:p>
    <w:p w14:paraId="6E1BC9E4" w14:textId="77777777" w:rsidR="0027147F" w:rsidRPr="0027147F" w:rsidRDefault="0027147F" w:rsidP="00387B5B">
      <w:pPr>
        <w:spacing w:before="100" w:beforeAutospacing="1" w:after="100" w:afterAutospacing="1" w:line="240" w:lineRule="auto"/>
        <w:ind w:firstLine="360"/>
        <w:rPr>
          <w:rFonts w:ascii="Times New Roman" w:eastAsia="Times New Roman" w:hAnsi="Times New Roman" w:cs="Times New Roman"/>
          <w:kern w:val="0"/>
          <w:sz w:val="24"/>
          <w:szCs w:val="24"/>
          <w:lang w:eastAsia="en-GB"/>
          <w14:ligatures w14:val="none"/>
        </w:rPr>
      </w:pPr>
      <w:r w:rsidRPr="0027147F">
        <w:rPr>
          <w:rFonts w:ascii="Times New Roman" w:eastAsia="Times New Roman" w:hAnsi="Times New Roman" w:cs="Times New Roman"/>
          <w:b/>
          <w:bCs/>
          <w:kern w:val="0"/>
          <w:sz w:val="24"/>
          <w:szCs w:val="24"/>
          <w:lang w:eastAsia="en-GB"/>
          <w14:ligatures w14:val="none"/>
        </w:rPr>
        <w:t>For 2022:</w:t>
      </w:r>
    </w:p>
    <w:p w14:paraId="3B1D2398" w14:textId="77777777" w:rsidR="0027147F" w:rsidRPr="0027147F" w:rsidRDefault="0027147F" w:rsidP="0027147F">
      <w:pPr>
        <w:numPr>
          <w:ilvl w:val="0"/>
          <w:numId w:val="4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47F">
        <w:rPr>
          <w:rFonts w:ascii="Times New Roman" w:eastAsia="Times New Roman" w:hAnsi="Times New Roman" w:cs="Times New Roman"/>
          <w:kern w:val="0"/>
          <w:sz w:val="24"/>
          <w:szCs w:val="24"/>
          <w:lang w:eastAsia="en-GB"/>
          <w14:ligatures w14:val="none"/>
        </w:rPr>
        <w:t>Revenue: £6,738m</w:t>
      </w:r>
    </w:p>
    <w:p w14:paraId="67EB4A1E" w14:textId="77777777" w:rsidR="0027147F" w:rsidRPr="0027147F" w:rsidRDefault="0027147F" w:rsidP="0027147F">
      <w:pPr>
        <w:numPr>
          <w:ilvl w:val="0"/>
          <w:numId w:val="4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47F">
        <w:rPr>
          <w:rFonts w:ascii="Times New Roman" w:eastAsia="Times New Roman" w:hAnsi="Times New Roman" w:cs="Times New Roman"/>
          <w:kern w:val="0"/>
          <w:sz w:val="24"/>
          <w:szCs w:val="24"/>
          <w:lang w:eastAsia="en-GB"/>
          <w14:ligatures w14:val="none"/>
        </w:rPr>
        <w:t>Total Assets: £9,736m</w:t>
      </w:r>
    </w:p>
    <w:p w14:paraId="4887612D" w14:textId="77777777" w:rsidR="0027147F" w:rsidRPr="0027147F" w:rsidRDefault="0027147F" w:rsidP="0027147F">
      <w:pPr>
        <w:numPr>
          <w:ilvl w:val="0"/>
          <w:numId w:val="4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47F">
        <w:rPr>
          <w:rFonts w:ascii="Times New Roman" w:eastAsia="Times New Roman" w:hAnsi="Times New Roman" w:cs="Times New Roman"/>
          <w:kern w:val="0"/>
          <w:sz w:val="24"/>
          <w:szCs w:val="24"/>
          <w:lang w:eastAsia="en-GB"/>
          <w14:ligatures w14:val="none"/>
        </w:rPr>
        <w:t>Current Liabilities: £2,511m</w:t>
      </w:r>
    </w:p>
    <w:p w14:paraId="2893EBCE" w14:textId="77777777" w:rsidR="0027147F" w:rsidRPr="0027147F" w:rsidRDefault="0027147F" w:rsidP="0027147F">
      <w:pPr>
        <w:numPr>
          <w:ilvl w:val="0"/>
          <w:numId w:val="4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47F">
        <w:rPr>
          <w:rFonts w:ascii="Times New Roman" w:eastAsia="Times New Roman" w:hAnsi="Times New Roman" w:cs="Times New Roman"/>
          <w:kern w:val="0"/>
          <w:sz w:val="24"/>
          <w:szCs w:val="24"/>
          <w:lang w:eastAsia="en-GB"/>
          <w14:ligatures w14:val="none"/>
        </w:rPr>
        <w:t>Asset Turnover = Revenue / Capital Employed</w:t>
      </w:r>
    </w:p>
    <w:p w14:paraId="4DCA1188" w14:textId="77777777" w:rsidR="0027147F" w:rsidRPr="0027147F" w:rsidRDefault="0027147F" w:rsidP="0027147F">
      <w:pPr>
        <w:numPr>
          <w:ilvl w:val="0"/>
          <w:numId w:val="4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147F">
        <w:rPr>
          <w:rFonts w:ascii="Times New Roman" w:eastAsia="Times New Roman" w:hAnsi="Times New Roman" w:cs="Times New Roman"/>
          <w:kern w:val="0"/>
          <w:sz w:val="24"/>
          <w:szCs w:val="24"/>
          <w:lang w:eastAsia="en-GB"/>
          <w14:ligatures w14:val="none"/>
        </w:rPr>
        <w:t>Asset Turnover = £6,738m / (£9,736m - £2,511m) ≈ 0.933</w:t>
      </w:r>
    </w:p>
    <w:p w14:paraId="00588876" w14:textId="77777777" w:rsidR="00AA0C7B" w:rsidRPr="00AA0C7B" w:rsidRDefault="00AA0C7B" w:rsidP="00387B5B">
      <w:pPr>
        <w:spacing w:before="100" w:beforeAutospacing="1" w:after="100" w:afterAutospacing="1" w:line="240" w:lineRule="auto"/>
        <w:ind w:firstLine="360"/>
        <w:rPr>
          <w:rFonts w:ascii="Times New Roman" w:eastAsia="Times New Roman" w:hAnsi="Times New Roman" w:cs="Times New Roman"/>
          <w:kern w:val="0"/>
          <w:sz w:val="24"/>
          <w:szCs w:val="24"/>
          <w:lang w:eastAsia="en-GB"/>
          <w14:ligatures w14:val="none"/>
        </w:rPr>
      </w:pPr>
      <w:r w:rsidRPr="00AA0C7B">
        <w:rPr>
          <w:rFonts w:ascii="Times New Roman" w:eastAsia="Times New Roman" w:hAnsi="Times New Roman" w:cs="Times New Roman"/>
          <w:b/>
          <w:bCs/>
          <w:kern w:val="0"/>
          <w:sz w:val="24"/>
          <w:szCs w:val="24"/>
          <w:lang w:eastAsia="en-GB"/>
          <w14:ligatures w14:val="none"/>
        </w:rPr>
        <w:t>For 2021:</w:t>
      </w:r>
    </w:p>
    <w:p w14:paraId="5F77B67C" w14:textId="77777777" w:rsidR="00AA0C7B" w:rsidRPr="00AA0C7B" w:rsidRDefault="00AA0C7B" w:rsidP="00AA0C7B">
      <w:pPr>
        <w:numPr>
          <w:ilvl w:val="0"/>
          <w:numId w:val="4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A0C7B">
        <w:rPr>
          <w:rFonts w:ascii="Times New Roman" w:eastAsia="Times New Roman" w:hAnsi="Times New Roman" w:cs="Times New Roman"/>
          <w:kern w:val="0"/>
          <w:sz w:val="24"/>
          <w:szCs w:val="24"/>
          <w:lang w:eastAsia="en-GB"/>
          <w14:ligatures w14:val="none"/>
        </w:rPr>
        <w:t>Revenue: £6,441m</w:t>
      </w:r>
    </w:p>
    <w:p w14:paraId="0EA0A5EB" w14:textId="77777777" w:rsidR="00AA0C7B" w:rsidRPr="00AA0C7B" w:rsidRDefault="00AA0C7B" w:rsidP="00AA0C7B">
      <w:pPr>
        <w:numPr>
          <w:ilvl w:val="0"/>
          <w:numId w:val="4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A0C7B">
        <w:rPr>
          <w:rFonts w:ascii="Times New Roman" w:eastAsia="Times New Roman" w:hAnsi="Times New Roman" w:cs="Times New Roman"/>
          <w:kern w:val="0"/>
          <w:sz w:val="24"/>
          <w:szCs w:val="24"/>
          <w:lang w:eastAsia="en-GB"/>
          <w14:ligatures w14:val="none"/>
        </w:rPr>
        <w:t>Total Assets: £10,087m</w:t>
      </w:r>
    </w:p>
    <w:p w14:paraId="4409D554" w14:textId="77777777" w:rsidR="00AA0C7B" w:rsidRPr="00AA0C7B" w:rsidRDefault="00AA0C7B" w:rsidP="00AA0C7B">
      <w:pPr>
        <w:numPr>
          <w:ilvl w:val="0"/>
          <w:numId w:val="4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A0C7B">
        <w:rPr>
          <w:rFonts w:ascii="Times New Roman" w:eastAsia="Times New Roman" w:hAnsi="Times New Roman" w:cs="Times New Roman"/>
          <w:kern w:val="0"/>
          <w:sz w:val="24"/>
          <w:szCs w:val="24"/>
          <w:lang w:eastAsia="en-GB"/>
          <w14:ligatures w14:val="none"/>
        </w:rPr>
        <w:t>Current Liabilities: £3,046m</w:t>
      </w:r>
    </w:p>
    <w:p w14:paraId="62EF457C" w14:textId="77777777" w:rsidR="00AA0C7B" w:rsidRPr="00AA0C7B" w:rsidRDefault="00AA0C7B" w:rsidP="00AA0C7B">
      <w:pPr>
        <w:numPr>
          <w:ilvl w:val="0"/>
          <w:numId w:val="4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A0C7B">
        <w:rPr>
          <w:rFonts w:ascii="Times New Roman" w:eastAsia="Times New Roman" w:hAnsi="Times New Roman" w:cs="Times New Roman"/>
          <w:kern w:val="0"/>
          <w:sz w:val="24"/>
          <w:szCs w:val="24"/>
          <w:lang w:eastAsia="en-GB"/>
          <w14:ligatures w14:val="none"/>
        </w:rPr>
        <w:t>Asset Turnover = Revenue / Capital Employed</w:t>
      </w:r>
    </w:p>
    <w:p w14:paraId="10498D60" w14:textId="77777777" w:rsidR="00AA0C7B" w:rsidRPr="00AA0C7B" w:rsidRDefault="00AA0C7B" w:rsidP="00AA0C7B">
      <w:pPr>
        <w:numPr>
          <w:ilvl w:val="0"/>
          <w:numId w:val="4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A0C7B">
        <w:rPr>
          <w:rFonts w:ascii="Times New Roman" w:eastAsia="Times New Roman" w:hAnsi="Times New Roman" w:cs="Times New Roman"/>
          <w:kern w:val="0"/>
          <w:sz w:val="24"/>
          <w:szCs w:val="24"/>
          <w:lang w:eastAsia="en-GB"/>
          <w14:ligatures w14:val="none"/>
        </w:rPr>
        <w:t>Asset Turnover = £6,441m / (£10,087m - £3,046m) ≈ 0.915</w:t>
      </w:r>
    </w:p>
    <w:p w14:paraId="2EB164E2" w14:textId="682E5246" w:rsidR="00207E68" w:rsidRPr="00F97738" w:rsidRDefault="00D31AE2" w:rsidP="00927729">
      <w:pPr>
        <w:pStyle w:val="Heading3"/>
        <w:spacing w:after="240"/>
        <w:rPr>
          <w:rFonts w:ascii="Times New Roman" w:hAnsi="Times New Roman" w:cs="Times New Roman"/>
          <w:b/>
          <w:bCs/>
          <w:color w:val="000000" w:themeColor="text1"/>
          <w:u w:val="single"/>
        </w:rPr>
      </w:pPr>
      <w:bookmarkStart w:id="15" w:name="_Toc153903220"/>
      <w:r w:rsidRPr="00F97738">
        <w:rPr>
          <w:rFonts w:ascii="Times New Roman" w:hAnsi="Times New Roman" w:cs="Times New Roman"/>
          <w:b/>
          <w:bCs/>
          <w:color w:val="000000" w:themeColor="text1"/>
          <w:u w:val="single"/>
        </w:rPr>
        <w:t>4.</w:t>
      </w:r>
      <w:r w:rsidR="005F7429">
        <w:rPr>
          <w:rFonts w:ascii="Times New Roman" w:hAnsi="Times New Roman" w:cs="Times New Roman"/>
          <w:b/>
          <w:bCs/>
          <w:color w:val="000000" w:themeColor="text1"/>
          <w:u w:val="single"/>
        </w:rPr>
        <w:t>1</w:t>
      </w:r>
      <w:r w:rsidR="00E020E0" w:rsidRPr="00F97738">
        <w:rPr>
          <w:rFonts w:ascii="Times New Roman" w:hAnsi="Times New Roman" w:cs="Times New Roman"/>
          <w:b/>
          <w:bCs/>
          <w:color w:val="000000" w:themeColor="text1"/>
          <w:u w:val="single"/>
        </w:rPr>
        <w:t>.</w:t>
      </w:r>
      <w:r w:rsidRPr="00F97738">
        <w:rPr>
          <w:rFonts w:ascii="Times New Roman" w:hAnsi="Times New Roman" w:cs="Times New Roman"/>
          <w:b/>
          <w:bCs/>
          <w:color w:val="000000" w:themeColor="text1"/>
          <w:u w:val="single"/>
        </w:rPr>
        <w:t xml:space="preserve">6 </w:t>
      </w:r>
      <w:r w:rsidR="0043276C" w:rsidRPr="00F97738">
        <w:rPr>
          <w:rFonts w:ascii="Times New Roman" w:hAnsi="Times New Roman" w:cs="Times New Roman"/>
          <w:b/>
          <w:bCs/>
          <w:color w:val="000000" w:themeColor="text1"/>
          <w:u w:val="single"/>
        </w:rPr>
        <w:t>Stock Holding Days</w:t>
      </w:r>
      <w:bookmarkEnd w:id="15"/>
    </w:p>
    <w:p w14:paraId="49D80728" w14:textId="64A01280" w:rsidR="00C8208F" w:rsidRDefault="00B76B9B" w:rsidP="00FA4752">
      <w:pPr>
        <w:spacing w:line="360" w:lineRule="auto"/>
        <w:ind w:firstLine="360"/>
        <w:jc w:val="both"/>
        <w:rPr>
          <w:rFonts w:ascii="Times New Roman" w:hAnsi="Times New Roman" w:cs="Times New Roman"/>
          <w:sz w:val="24"/>
          <w:szCs w:val="24"/>
        </w:rPr>
      </w:pPr>
      <w:r w:rsidRPr="00B76B9B">
        <w:rPr>
          <w:rFonts w:ascii="Times New Roman" w:hAnsi="Times New Roman" w:cs="Times New Roman"/>
          <w:sz w:val="24"/>
          <w:szCs w:val="24"/>
        </w:rPr>
        <w:t>The Asset Turnover ratio is a financial metric used to assess the efficiency with which a company utilizes its assets to generate revenue. It measures the effectiveness of a firm in using its assets to produce sales.</w:t>
      </w:r>
    </w:p>
    <w:p w14:paraId="36C38BA0" w14:textId="77777777" w:rsidR="00841D4B" w:rsidRPr="00841D4B" w:rsidRDefault="00841D4B" w:rsidP="00387B5B">
      <w:pPr>
        <w:spacing w:before="100" w:beforeAutospacing="1" w:after="100" w:afterAutospacing="1" w:line="240" w:lineRule="auto"/>
        <w:ind w:firstLine="360"/>
        <w:rPr>
          <w:rFonts w:ascii="Times New Roman" w:eastAsia="Times New Roman" w:hAnsi="Times New Roman" w:cs="Times New Roman"/>
          <w:kern w:val="0"/>
          <w:sz w:val="24"/>
          <w:szCs w:val="24"/>
          <w:lang w:eastAsia="en-GB"/>
          <w14:ligatures w14:val="none"/>
        </w:rPr>
      </w:pPr>
      <w:r w:rsidRPr="00841D4B">
        <w:rPr>
          <w:rFonts w:ascii="Times New Roman" w:eastAsia="Times New Roman" w:hAnsi="Times New Roman" w:cs="Times New Roman"/>
          <w:b/>
          <w:bCs/>
          <w:kern w:val="0"/>
          <w:sz w:val="24"/>
          <w:szCs w:val="24"/>
          <w:lang w:eastAsia="en-GB"/>
          <w14:ligatures w14:val="none"/>
        </w:rPr>
        <w:t>For 2022:</w:t>
      </w:r>
    </w:p>
    <w:p w14:paraId="06D03718" w14:textId="77777777" w:rsidR="00841D4B" w:rsidRPr="00841D4B" w:rsidRDefault="00841D4B" w:rsidP="00841D4B">
      <w:pPr>
        <w:numPr>
          <w:ilvl w:val="0"/>
          <w:numId w:val="4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1D4B">
        <w:rPr>
          <w:rFonts w:ascii="Times New Roman" w:eastAsia="Times New Roman" w:hAnsi="Times New Roman" w:cs="Times New Roman"/>
          <w:kern w:val="0"/>
          <w:sz w:val="24"/>
          <w:szCs w:val="24"/>
          <w:lang w:eastAsia="en-GB"/>
          <w14:ligatures w14:val="none"/>
        </w:rPr>
        <w:t>Revenue: £6,738m</w:t>
      </w:r>
    </w:p>
    <w:p w14:paraId="7CDE4F82" w14:textId="77777777" w:rsidR="00841D4B" w:rsidRPr="00841D4B" w:rsidRDefault="00841D4B" w:rsidP="00841D4B">
      <w:pPr>
        <w:numPr>
          <w:ilvl w:val="0"/>
          <w:numId w:val="4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1D4B">
        <w:rPr>
          <w:rFonts w:ascii="Times New Roman" w:eastAsia="Times New Roman" w:hAnsi="Times New Roman" w:cs="Times New Roman"/>
          <w:kern w:val="0"/>
          <w:sz w:val="24"/>
          <w:szCs w:val="24"/>
          <w:lang w:eastAsia="en-GB"/>
          <w14:ligatures w14:val="none"/>
        </w:rPr>
        <w:t>Total Assets: £9,736m</w:t>
      </w:r>
    </w:p>
    <w:p w14:paraId="779D2C7A" w14:textId="77777777" w:rsidR="00841D4B" w:rsidRPr="00841D4B" w:rsidRDefault="00841D4B" w:rsidP="00841D4B">
      <w:pPr>
        <w:numPr>
          <w:ilvl w:val="0"/>
          <w:numId w:val="4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1D4B">
        <w:rPr>
          <w:rFonts w:ascii="Times New Roman" w:eastAsia="Times New Roman" w:hAnsi="Times New Roman" w:cs="Times New Roman"/>
          <w:kern w:val="0"/>
          <w:sz w:val="24"/>
          <w:szCs w:val="24"/>
          <w:lang w:eastAsia="en-GB"/>
          <w14:ligatures w14:val="none"/>
        </w:rPr>
        <w:t>Current Liabilities: £2,511m</w:t>
      </w:r>
    </w:p>
    <w:p w14:paraId="7C697851" w14:textId="77777777" w:rsidR="00627920" w:rsidRPr="00627920" w:rsidRDefault="00627920" w:rsidP="00627920">
      <w:pPr>
        <w:numPr>
          <w:ilvl w:val="0"/>
          <w:numId w:val="4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27920">
        <w:rPr>
          <w:rFonts w:ascii="Times New Roman" w:eastAsia="Times New Roman" w:hAnsi="Times New Roman" w:cs="Times New Roman"/>
          <w:kern w:val="0"/>
          <w:sz w:val="24"/>
          <w:szCs w:val="24"/>
          <w:lang w:eastAsia="en-GB"/>
          <w14:ligatures w14:val="none"/>
        </w:rPr>
        <w:t>Asset Turnover = Revenue / Capital Employed</w:t>
      </w:r>
    </w:p>
    <w:p w14:paraId="7539C5AA" w14:textId="77777777" w:rsidR="00627920" w:rsidRPr="00627920" w:rsidRDefault="00627920" w:rsidP="00627920">
      <w:pPr>
        <w:numPr>
          <w:ilvl w:val="0"/>
          <w:numId w:val="4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27920">
        <w:rPr>
          <w:rFonts w:ascii="Times New Roman" w:eastAsia="Times New Roman" w:hAnsi="Times New Roman" w:cs="Times New Roman"/>
          <w:kern w:val="0"/>
          <w:sz w:val="24"/>
          <w:szCs w:val="24"/>
          <w:lang w:eastAsia="en-GB"/>
          <w14:ligatures w14:val="none"/>
        </w:rPr>
        <w:t>Asset Turnover = £6,738m / (£9,736m - £2,511m) ≈ 0.933</w:t>
      </w:r>
    </w:p>
    <w:p w14:paraId="5D3A5C88" w14:textId="77777777" w:rsidR="00627920" w:rsidRPr="00627920" w:rsidRDefault="00627920" w:rsidP="00387B5B">
      <w:pPr>
        <w:spacing w:before="100" w:beforeAutospacing="1" w:after="100" w:afterAutospacing="1" w:line="240" w:lineRule="auto"/>
        <w:ind w:firstLine="360"/>
        <w:rPr>
          <w:rFonts w:ascii="Times New Roman" w:eastAsia="Times New Roman" w:hAnsi="Times New Roman" w:cs="Times New Roman"/>
          <w:kern w:val="0"/>
          <w:sz w:val="24"/>
          <w:szCs w:val="24"/>
          <w:lang w:eastAsia="en-GB"/>
          <w14:ligatures w14:val="none"/>
        </w:rPr>
      </w:pPr>
      <w:r w:rsidRPr="00627920">
        <w:rPr>
          <w:rFonts w:ascii="Times New Roman" w:eastAsia="Times New Roman" w:hAnsi="Times New Roman" w:cs="Times New Roman"/>
          <w:b/>
          <w:bCs/>
          <w:kern w:val="0"/>
          <w:sz w:val="24"/>
          <w:szCs w:val="24"/>
          <w:lang w:eastAsia="en-GB"/>
          <w14:ligatures w14:val="none"/>
        </w:rPr>
        <w:t>For 2021:</w:t>
      </w:r>
    </w:p>
    <w:p w14:paraId="22FCB3AF" w14:textId="77777777" w:rsidR="00627920" w:rsidRPr="00627920" w:rsidRDefault="00627920" w:rsidP="00627920">
      <w:pPr>
        <w:numPr>
          <w:ilvl w:val="0"/>
          <w:numId w:val="4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27920">
        <w:rPr>
          <w:rFonts w:ascii="Times New Roman" w:eastAsia="Times New Roman" w:hAnsi="Times New Roman" w:cs="Times New Roman"/>
          <w:kern w:val="0"/>
          <w:sz w:val="24"/>
          <w:szCs w:val="24"/>
          <w:lang w:eastAsia="en-GB"/>
          <w14:ligatures w14:val="none"/>
        </w:rPr>
        <w:t>Revenue: £6,441m</w:t>
      </w:r>
    </w:p>
    <w:p w14:paraId="53861817" w14:textId="77777777" w:rsidR="00627920" w:rsidRPr="00627920" w:rsidRDefault="00627920" w:rsidP="00627920">
      <w:pPr>
        <w:numPr>
          <w:ilvl w:val="0"/>
          <w:numId w:val="4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27920">
        <w:rPr>
          <w:rFonts w:ascii="Times New Roman" w:eastAsia="Times New Roman" w:hAnsi="Times New Roman" w:cs="Times New Roman"/>
          <w:kern w:val="0"/>
          <w:sz w:val="24"/>
          <w:szCs w:val="24"/>
          <w:lang w:eastAsia="en-GB"/>
          <w14:ligatures w14:val="none"/>
        </w:rPr>
        <w:t>Total Assets: £10,087m</w:t>
      </w:r>
    </w:p>
    <w:p w14:paraId="5A570A30" w14:textId="77777777" w:rsidR="00627920" w:rsidRPr="00627920" w:rsidRDefault="00627920" w:rsidP="00627920">
      <w:pPr>
        <w:numPr>
          <w:ilvl w:val="0"/>
          <w:numId w:val="4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27920">
        <w:rPr>
          <w:rFonts w:ascii="Times New Roman" w:eastAsia="Times New Roman" w:hAnsi="Times New Roman" w:cs="Times New Roman"/>
          <w:kern w:val="0"/>
          <w:sz w:val="24"/>
          <w:szCs w:val="24"/>
          <w:lang w:eastAsia="en-GB"/>
          <w14:ligatures w14:val="none"/>
        </w:rPr>
        <w:t>Current Liabilities: £3,046m</w:t>
      </w:r>
    </w:p>
    <w:p w14:paraId="27032327" w14:textId="77777777" w:rsidR="00C515A2" w:rsidRPr="00C515A2" w:rsidRDefault="00C515A2" w:rsidP="00C515A2">
      <w:pPr>
        <w:numPr>
          <w:ilvl w:val="0"/>
          <w:numId w:val="4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515A2">
        <w:rPr>
          <w:rFonts w:ascii="Times New Roman" w:eastAsia="Times New Roman" w:hAnsi="Times New Roman" w:cs="Times New Roman"/>
          <w:kern w:val="0"/>
          <w:sz w:val="24"/>
          <w:szCs w:val="24"/>
          <w:lang w:eastAsia="en-GB"/>
          <w14:ligatures w14:val="none"/>
        </w:rPr>
        <w:t>Asset Turnover = Revenue / Capital Employed</w:t>
      </w:r>
    </w:p>
    <w:p w14:paraId="40D41225" w14:textId="4CDA3138" w:rsidR="00AF783A" w:rsidRPr="00C515A2" w:rsidRDefault="00C515A2" w:rsidP="00B76B9B">
      <w:pPr>
        <w:numPr>
          <w:ilvl w:val="0"/>
          <w:numId w:val="4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515A2">
        <w:rPr>
          <w:rFonts w:ascii="Times New Roman" w:eastAsia="Times New Roman" w:hAnsi="Times New Roman" w:cs="Times New Roman"/>
          <w:kern w:val="0"/>
          <w:sz w:val="24"/>
          <w:szCs w:val="24"/>
          <w:lang w:eastAsia="en-GB"/>
          <w14:ligatures w14:val="none"/>
        </w:rPr>
        <w:t>Asset Turnover = £6,441m / (£10,087m - £3,046m) ≈ 0.915</w:t>
      </w:r>
    </w:p>
    <w:p w14:paraId="6AE68DDA" w14:textId="191046F6" w:rsidR="0043276C" w:rsidRPr="00F97738" w:rsidRDefault="00D31AE2" w:rsidP="00927729">
      <w:pPr>
        <w:pStyle w:val="Heading3"/>
        <w:spacing w:after="240" w:line="360" w:lineRule="auto"/>
        <w:rPr>
          <w:rFonts w:ascii="Times New Roman" w:hAnsi="Times New Roman" w:cs="Times New Roman"/>
          <w:b/>
          <w:bCs/>
          <w:color w:val="000000" w:themeColor="text1"/>
          <w:u w:val="single"/>
        </w:rPr>
      </w:pPr>
      <w:bookmarkStart w:id="16" w:name="_Toc153903221"/>
      <w:r w:rsidRPr="00F97738">
        <w:rPr>
          <w:rFonts w:ascii="Times New Roman" w:hAnsi="Times New Roman" w:cs="Times New Roman"/>
          <w:b/>
          <w:bCs/>
          <w:color w:val="000000" w:themeColor="text1"/>
          <w:u w:val="single"/>
        </w:rPr>
        <w:lastRenderedPageBreak/>
        <w:t>4.</w:t>
      </w:r>
      <w:r w:rsidR="005F7429">
        <w:rPr>
          <w:rFonts w:ascii="Times New Roman" w:hAnsi="Times New Roman" w:cs="Times New Roman"/>
          <w:b/>
          <w:bCs/>
          <w:color w:val="000000" w:themeColor="text1"/>
          <w:u w:val="single"/>
        </w:rPr>
        <w:t>1</w:t>
      </w:r>
      <w:r w:rsidR="00E020E0" w:rsidRPr="00F97738">
        <w:rPr>
          <w:rFonts w:ascii="Times New Roman" w:hAnsi="Times New Roman" w:cs="Times New Roman"/>
          <w:b/>
          <w:bCs/>
          <w:color w:val="000000" w:themeColor="text1"/>
          <w:u w:val="single"/>
        </w:rPr>
        <w:t>.</w:t>
      </w:r>
      <w:r w:rsidRPr="00F97738">
        <w:rPr>
          <w:rFonts w:ascii="Times New Roman" w:hAnsi="Times New Roman" w:cs="Times New Roman"/>
          <w:b/>
          <w:bCs/>
          <w:color w:val="000000" w:themeColor="text1"/>
          <w:u w:val="single"/>
        </w:rPr>
        <w:t xml:space="preserve">7 </w:t>
      </w:r>
      <w:r w:rsidR="0043276C" w:rsidRPr="00F97738">
        <w:rPr>
          <w:rFonts w:ascii="Times New Roman" w:hAnsi="Times New Roman" w:cs="Times New Roman"/>
          <w:b/>
          <w:bCs/>
          <w:color w:val="000000" w:themeColor="text1"/>
          <w:u w:val="single"/>
        </w:rPr>
        <w:t>Debtors Collection Period</w:t>
      </w:r>
      <w:bookmarkEnd w:id="16"/>
      <w:r w:rsidR="0043276C" w:rsidRPr="00F97738">
        <w:rPr>
          <w:rFonts w:ascii="Times New Roman" w:hAnsi="Times New Roman" w:cs="Times New Roman"/>
          <w:b/>
          <w:bCs/>
          <w:color w:val="000000" w:themeColor="text1"/>
          <w:u w:val="single"/>
        </w:rPr>
        <w:t xml:space="preserve"> </w:t>
      </w:r>
    </w:p>
    <w:p w14:paraId="6C7034D4" w14:textId="409681A3" w:rsidR="00C8208F" w:rsidRDefault="00EF325D" w:rsidP="00FA4752">
      <w:pPr>
        <w:spacing w:line="360" w:lineRule="auto"/>
        <w:ind w:firstLine="360"/>
        <w:jc w:val="both"/>
        <w:rPr>
          <w:rFonts w:ascii="Times New Roman" w:hAnsi="Times New Roman" w:cs="Times New Roman"/>
          <w:sz w:val="24"/>
          <w:szCs w:val="24"/>
        </w:rPr>
      </w:pPr>
      <w:r w:rsidRPr="00EF325D">
        <w:rPr>
          <w:rFonts w:ascii="Times New Roman" w:hAnsi="Times New Roman" w:cs="Times New Roman"/>
          <w:sz w:val="24"/>
          <w:szCs w:val="24"/>
        </w:rPr>
        <w:t>The Debtors Collection Period, also known as Days Sales Outstanding (DSO), is a financial metric that measures the average number of days it takes for a company to collect payments from its debtors or credit sales.</w:t>
      </w:r>
    </w:p>
    <w:p w14:paraId="197F0061" w14:textId="77777777" w:rsidR="0051764B" w:rsidRPr="0051764B" w:rsidRDefault="0051764B" w:rsidP="00387B5B">
      <w:pPr>
        <w:spacing w:before="100" w:beforeAutospacing="1" w:after="100" w:afterAutospacing="1" w:line="240" w:lineRule="auto"/>
        <w:ind w:firstLine="360"/>
        <w:rPr>
          <w:rFonts w:ascii="Times New Roman" w:eastAsia="Times New Roman" w:hAnsi="Times New Roman" w:cs="Times New Roman"/>
          <w:kern w:val="0"/>
          <w:sz w:val="24"/>
          <w:szCs w:val="24"/>
          <w:lang w:eastAsia="en-GB"/>
          <w14:ligatures w14:val="none"/>
        </w:rPr>
      </w:pPr>
      <w:r w:rsidRPr="0051764B">
        <w:rPr>
          <w:rFonts w:ascii="Times New Roman" w:eastAsia="Times New Roman" w:hAnsi="Times New Roman" w:cs="Times New Roman"/>
          <w:b/>
          <w:bCs/>
          <w:kern w:val="0"/>
          <w:sz w:val="24"/>
          <w:szCs w:val="24"/>
          <w:lang w:eastAsia="en-GB"/>
          <w14:ligatures w14:val="none"/>
        </w:rPr>
        <w:t>For 2022:</w:t>
      </w:r>
    </w:p>
    <w:p w14:paraId="383E3D2A" w14:textId="77777777" w:rsidR="0051764B" w:rsidRPr="0051764B" w:rsidRDefault="0051764B" w:rsidP="0051764B">
      <w:pPr>
        <w:numPr>
          <w:ilvl w:val="0"/>
          <w:numId w:val="4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764B">
        <w:rPr>
          <w:rFonts w:ascii="Times New Roman" w:eastAsia="Times New Roman" w:hAnsi="Times New Roman" w:cs="Times New Roman"/>
          <w:kern w:val="0"/>
          <w:sz w:val="24"/>
          <w:szCs w:val="24"/>
          <w:lang w:eastAsia="en-GB"/>
          <w14:ligatures w14:val="none"/>
        </w:rPr>
        <w:t>Trade Receivables: £1,249m</w:t>
      </w:r>
    </w:p>
    <w:p w14:paraId="46BD4960" w14:textId="77777777" w:rsidR="0051764B" w:rsidRPr="0051764B" w:rsidRDefault="0051764B" w:rsidP="0051764B">
      <w:pPr>
        <w:numPr>
          <w:ilvl w:val="0"/>
          <w:numId w:val="4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764B">
        <w:rPr>
          <w:rFonts w:ascii="Times New Roman" w:eastAsia="Times New Roman" w:hAnsi="Times New Roman" w:cs="Times New Roman"/>
          <w:kern w:val="0"/>
          <w:sz w:val="24"/>
          <w:szCs w:val="24"/>
          <w:lang w:eastAsia="en-GB"/>
          <w14:ligatures w14:val="none"/>
        </w:rPr>
        <w:t>Revenue (assuming all are credit sales): £6,</w:t>
      </w:r>
      <w:proofErr w:type="gramStart"/>
      <w:r w:rsidRPr="0051764B">
        <w:rPr>
          <w:rFonts w:ascii="Times New Roman" w:eastAsia="Times New Roman" w:hAnsi="Times New Roman" w:cs="Times New Roman"/>
          <w:kern w:val="0"/>
          <w:sz w:val="24"/>
          <w:szCs w:val="24"/>
          <w:lang w:eastAsia="en-GB"/>
          <w14:ligatures w14:val="none"/>
        </w:rPr>
        <w:t>738m</w:t>
      </w:r>
      <w:proofErr w:type="gramEnd"/>
    </w:p>
    <w:p w14:paraId="69AEF048" w14:textId="77777777" w:rsidR="0051764B" w:rsidRPr="0051764B" w:rsidRDefault="0051764B" w:rsidP="0051764B">
      <w:pPr>
        <w:numPr>
          <w:ilvl w:val="0"/>
          <w:numId w:val="4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764B">
        <w:rPr>
          <w:rFonts w:ascii="Times New Roman" w:eastAsia="Times New Roman" w:hAnsi="Times New Roman" w:cs="Times New Roman"/>
          <w:kern w:val="0"/>
          <w:sz w:val="24"/>
          <w:szCs w:val="24"/>
          <w:lang w:eastAsia="en-GB"/>
          <w14:ligatures w14:val="none"/>
        </w:rPr>
        <w:t>Debtors Collection Period = (Trade Receivables / Annual Credit Sales) × 365</w:t>
      </w:r>
    </w:p>
    <w:p w14:paraId="7744F8DB" w14:textId="77777777" w:rsidR="0051764B" w:rsidRPr="0051764B" w:rsidRDefault="0051764B" w:rsidP="0051764B">
      <w:pPr>
        <w:numPr>
          <w:ilvl w:val="0"/>
          <w:numId w:val="4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1764B">
        <w:rPr>
          <w:rFonts w:ascii="Times New Roman" w:eastAsia="Times New Roman" w:hAnsi="Times New Roman" w:cs="Times New Roman"/>
          <w:kern w:val="0"/>
          <w:sz w:val="24"/>
          <w:szCs w:val="24"/>
          <w:lang w:eastAsia="en-GB"/>
          <w14:ligatures w14:val="none"/>
        </w:rPr>
        <w:t>Debtors Collection Period = (1,249 / 6,738) × 365 ≈ 67.66 days</w:t>
      </w:r>
    </w:p>
    <w:p w14:paraId="2DCFB7DF" w14:textId="77777777" w:rsidR="006E77CD" w:rsidRPr="006E77CD" w:rsidRDefault="006E77CD" w:rsidP="00387B5B">
      <w:pPr>
        <w:spacing w:before="100" w:beforeAutospacing="1" w:after="100" w:afterAutospacing="1" w:line="240" w:lineRule="auto"/>
        <w:ind w:firstLine="360"/>
        <w:rPr>
          <w:rFonts w:ascii="Times New Roman" w:eastAsia="Times New Roman" w:hAnsi="Times New Roman" w:cs="Times New Roman"/>
          <w:kern w:val="0"/>
          <w:sz w:val="24"/>
          <w:szCs w:val="24"/>
          <w:lang w:eastAsia="en-GB"/>
          <w14:ligatures w14:val="none"/>
        </w:rPr>
      </w:pPr>
      <w:r w:rsidRPr="006E77CD">
        <w:rPr>
          <w:rFonts w:ascii="Times New Roman" w:eastAsia="Times New Roman" w:hAnsi="Times New Roman" w:cs="Times New Roman"/>
          <w:b/>
          <w:bCs/>
          <w:kern w:val="0"/>
          <w:sz w:val="24"/>
          <w:szCs w:val="24"/>
          <w:lang w:eastAsia="en-GB"/>
          <w14:ligatures w14:val="none"/>
        </w:rPr>
        <w:t>For 2021:</w:t>
      </w:r>
    </w:p>
    <w:p w14:paraId="14CDAA20" w14:textId="77777777" w:rsidR="006E77CD" w:rsidRPr="006E77CD" w:rsidRDefault="006E77CD" w:rsidP="006E77CD">
      <w:pPr>
        <w:numPr>
          <w:ilvl w:val="0"/>
          <w:numId w:val="5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E77CD">
        <w:rPr>
          <w:rFonts w:ascii="Times New Roman" w:eastAsia="Times New Roman" w:hAnsi="Times New Roman" w:cs="Times New Roman"/>
          <w:kern w:val="0"/>
          <w:sz w:val="24"/>
          <w:szCs w:val="24"/>
          <w:lang w:eastAsia="en-GB"/>
          <w14:ligatures w14:val="none"/>
        </w:rPr>
        <w:t>Trade Receivables: £1,287m</w:t>
      </w:r>
    </w:p>
    <w:p w14:paraId="3104455F" w14:textId="77777777" w:rsidR="006E77CD" w:rsidRPr="006E77CD" w:rsidRDefault="006E77CD" w:rsidP="006E77CD">
      <w:pPr>
        <w:numPr>
          <w:ilvl w:val="0"/>
          <w:numId w:val="5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E77CD">
        <w:rPr>
          <w:rFonts w:ascii="Times New Roman" w:eastAsia="Times New Roman" w:hAnsi="Times New Roman" w:cs="Times New Roman"/>
          <w:kern w:val="0"/>
          <w:sz w:val="24"/>
          <w:szCs w:val="24"/>
          <w:lang w:eastAsia="en-GB"/>
          <w14:ligatures w14:val="none"/>
        </w:rPr>
        <w:t>Revenue (assuming all are credit sales): £6,</w:t>
      </w:r>
      <w:proofErr w:type="gramStart"/>
      <w:r w:rsidRPr="006E77CD">
        <w:rPr>
          <w:rFonts w:ascii="Times New Roman" w:eastAsia="Times New Roman" w:hAnsi="Times New Roman" w:cs="Times New Roman"/>
          <w:kern w:val="0"/>
          <w:sz w:val="24"/>
          <w:szCs w:val="24"/>
          <w:lang w:eastAsia="en-GB"/>
          <w14:ligatures w14:val="none"/>
        </w:rPr>
        <w:t>441m</w:t>
      </w:r>
      <w:proofErr w:type="gramEnd"/>
    </w:p>
    <w:p w14:paraId="1CA7ED50" w14:textId="77777777" w:rsidR="006E77CD" w:rsidRPr="006E77CD" w:rsidRDefault="006E77CD" w:rsidP="006E77CD">
      <w:pPr>
        <w:numPr>
          <w:ilvl w:val="0"/>
          <w:numId w:val="5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E77CD">
        <w:rPr>
          <w:rFonts w:ascii="Times New Roman" w:eastAsia="Times New Roman" w:hAnsi="Times New Roman" w:cs="Times New Roman"/>
          <w:kern w:val="0"/>
          <w:sz w:val="24"/>
          <w:szCs w:val="24"/>
          <w:lang w:eastAsia="en-GB"/>
          <w14:ligatures w14:val="none"/>
        </w:rPr>
        <w:t>Debtors Collection Period = (Trade Receivables / Annual Credit Sales) × 365</w:t>
      </w:r>
    </w:p>
    <w:p w14:paraId="7147C869" w14:textId="77777777" w:rsidR="006E77CD" w:rsidRPr="006E77CD" w:rsidRDefault="006E77CD" w:rsidP="008B094F">
      <w:pPr>
        <w:numPr>
          <w:ilvl w:val="0"/>
          <w:numId w:val="51"/>
        </w:numPr>
        <w:spacing w:after="100" w:afterAutospacing="1" w:line="240" w:lineRule="auto"/>
        <w:rPr>
          <w:rFonts w:ascii="Times New Roman" w:eastAsia="Times New Roman" w:hAnsi="Times New Roman" w:cs="Times New Roman"/>
          <w:kern w:val="0"/>
          <w:sz w:val="24"/>
          <w:szCs w:val="24"/>
          <w:lang w:eastAsia="en-GB"/>
          <w14:ligatures w14:val="none"/>
        </w:rPr>
      </w:pPr>
      <w:r w:rsidRPr="006E77CD">
        <w:rPr>
          <w:rFonts w:ascii="Times New Roman" w:eastAsia="Times New Roman" w:hAnsi="Times New Roman" w:cs="Times New Roman"/>
          <w:kern w:val="0"/>
          <w:sz w:val="24"/>
          <w:szCs w:val="24"/>
          <w:lang w:eastAsia="en-GB"/>
          <w14:ligatures w14:val="none"/>
        </w:rPr>
        <w:t>Debtors Collection Period = (1,287 / 6,441) × 365 ≈ 72.93 days</w:t>
      </w:r>
    </w:p>
    <w:p w14:paraId="1BF57B9D" w14:textId="45705A35" w:rsidR="00852F87" w:rsidRPr="00F97738" w:rsidRDefault="0015140E" w:rsidP="00A600EC">
      <w:pPr>
        <w:pStyle w:val="Heading3"/>
        <w:spacing w:line="360" w:lineRule="auto"/>
        <w:rPr>
          <w:rFonts w:ascii="Times New Roman" w:hAnsi="Times New Roman" w:cs="Times New Roman"/>
          <w:b/>
          <w:bCs/>
          <w:color w:val="000000" w:themeColor="text1"/>
          <w:u w:val="single"/>
        </w:rPr>
      </w:pPr>
      <w:bookmarkStart w:id="17" w:name="_Toc153903222"/>
      <w:r w:rsidRPr="00F97738">
        <w:rPr>
          <w:rFonts w:ascii="Times New Roman" w:hAnsi="Times New Roman" w:cs="Times New Roman"/>
          <w:b/>
          <w:bCs/>
          <w:color w:val="000000" w:themeColor="text1"/>
          <w:u w:val="single"/>
        </w:rPr>
        <w:t>4.</w:t>
      </w:r>
      <w:r w:rsidR="005F7429">
        <w:rPr>
          <w:rFonts w:ascii="Times New Roman" w:hAnsi="Times New Roman" w:cs="Times New Roman"/>
          <w:b/>
          <w:bCs/>
          <w:color w:val="000000" w:themeColor="text1"/>
          <w:u w:val="single"/>
        </w:rPr>
        <w:t>1.</w:t>
      </w:r>
      <w:r w:rsidRPr="00F97738">
        <w:rPr>
          <w:rFonts w:ascii="Times New Roman" w:hAnsi="Times New Roman" w:cs="Times New Roman"/>
          <w:b/>
          <w:bCs/>
          <w:color w:val="000000" w:themeColor="text1"/>
          <w:u w:val="single"/>
        </w:rPr>
        <w:t xml:space="preserve">8 </w:t>
      </w:r>
      <w:r w:rsidR="00852F87" w:rsidRPr="00F97738">
        <w:rPr>
          <w:rFonts w:ascii="Times New Roman" w:hAnsi="Times New Roman" w:cs="Times New Roman"/>
          <w:b/>
          <w:bCs/>
          <w:color w:val="000000" w:themeColor="text1"/>
          <w:u w:val="single"/>
        </w:rPr>
        <w:t>Current Ratio</w:t>
      </w:r>
      <w:bookmarkEnd w:id="17"/>
    </w:p>
    <w:p w14:paraId="0EBCC0E4" w14:textId="77777777" w:rsidR="001F28E0" w:rsidRPr="001F28E0" w:rsidRDefault="001F28E0" w:rsidP="00387B5B">
      <w:pPr>
        <w:spacing w:before="100" w:beforeAutospacing="1" w:after="100" w:afterAutospacing="1" w:line="240" w:lineRule="auto"/>
        <w:ind w:firstLine="360"/>
        <w:rPr>
          <w:rFonts w:ascii="Times New Roman" w:eastAsia="Times New Roman" w:hAnsi="Times New Roman" w:cs="Times New Roman"/>
          <w:kern w:val="0"/>
          <w:sz w:val="24"/>
          <w:szCs w:val="24"/>
          <w:lang w:eastAsia="en-GB"/>
          <w14:ligatures w14:val="none"/>
        </w:rPr>
      </w:pPr>
      <w:r w:rsidRPr="001F28E0">
        <w:rPr>
          <w:rFonts w:ascii="Times New Roman" w:eastAsia="Times New Roman" w:hAnsi="Times New Roman" w:cs="Times New Roman"/>
          <w:b/>
          <w:bCs/>
          <w:kern w:val="0"/>
          <w:sz w:val="24"/>
          <w:szCs w:val="24"/>
          <w:lang w:eastAsia="en-GB"/>
          <w14:ligatures w14:val="none"/>
        </w:rPr>
        <w:t>For the year 2022:</w:t>
      </w:r>
    </w:p>
    <w:p w14:paraId="7A4095E9" w14:textId="77777777" w:rsidR="001F28E0" w:rsidRPr="001F28E0" w:rsidRDefault="001F28E0" w:rsidP="001F28E0">
      <w:pPr>
        <w:numPr>
          <w:ilvl w:val="0"/>
          <w:numId w:val="5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F28E0">
        <w:rPr>
          <w:rFonts w:ascii="Times New Roman" w:eastAsia="Times New Roman" w:hAnsi="Times New Roman" w:cs="Times New Roman"/>
          <w:kern w:val="0"/>
          <w:sz w:val="24"/>
          <w:szCs w:val="24"/>
          <w:lang w:eastAsia="en-GB"/>
          <w14:ligatures w14:val="none"/>
        </w:rPr>
        <w:t>Current Ratio = Current Assets / Current Liabilities</w:t>
      </w:r>
    </w:p>
    <w:p w14:paraId="1AC3F67F" w14:textId="77777777" w:rsidR="001F28E0" w:rsidRPr="001F28E0" w:rsidRDefault="001F28E0" w:rsidP="001F28E0">
      <w:pPr>
        <w:numPr>
          <w:ilvl w:val="0"/>
          <w:numId w:val="5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F28E0">
        <w:rPr>
          <w:rFonts w:ascii="Times New Roman" w:eastAsia="Times New Roman" w:hAnsi="Times New Roman" w:cs="Times New Roman"/>
          <w:kern w:val="0"/>
          <w:sz w:val="24"/>
          <w:szCs w:val="24"/>
          <w:lang w:eastAsia="en-GB"/>
          <w14:ligatures w14:val="none"/>
        </w:rPr>
        <w:t>Current Ratio = £7,433m / £2,511m ≈ 2.96</w:t>
      </w:r>
    </w:p>
    <w:p w14:paraId="1F009F52" w14:textId="77777777" w:rsidR="001F28E0" w:rsidRPr="001F28E0" w:rsidRDefault="001F28E0" w:rsidP="00387B5B">
      <w:pPr>
        <w:spacing w:before="100" w:beforeAutospacing="1" w:after="100" w:afterAutospacing="1" w:line="240" w:lineRule="auto"/>
        <w:ind w:firstLine="360"/>
        <w:rPr>
          <w:rFonts w:ascii="Times New Roman" w:eastAsia="Times New Roman" w:hAnsi="Times New Roman" w:cs="Times New Roman"/>
          <w:kern w:val="0"/>
          <w:sz w:val="24"/>
          <w:szCs w:val="24"/>
          <w:lang w:eastAsia="en-GB"/>
          <w14:ligatures w14:val="none"/>
        </w:rPr>
      </w:pPr>
      <w:r w:rsidRPr="001F28E0">
        <w:rPr>
          <w:rFonts w:ascii="Times New Roman" w:eastAsia="Times New Roman" w:hAnsi="Times New Roman" w:cs="Times New Roman"/>
          <w:b/>
          <w:bCs/>
          <w:kern w:val="0"/>
          <w:sz w:val="24"/>
          <w:szCs w:val="24"/>
          <w:lang w:eastAsia="en-GB"/>
          <w14:ligatures w14:val="none"/>
        </w:rPr>
        <w:t>For the year 2021:</w:t>
      </w:r>
    </w:p>
    <w:p w14:paraId="75ECCFEC" w14:textId="77777777" w:rsidR="001F28E0" w:rsidRPr="001F28E0" w:rsidRDefault="001F28E0" w:rsidP="001F28E0">
      <w:pPr>
        <w:numPr>
          <w:ilvl w:val="0"/>
          <w:numId w:val="5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F28E0">
        <w:rPr>
          <w:rFonts w:ascii="Times New Roman" w:eastAsia="Times New Roman" w:hAnsi="Times New Roman" w:cs="Times New Roman"/>
          <w:kern w:val="0"/>
          <w:sz w:val="24"/>
          <w:szCs w:val="24"/>
          <w:lang w:eastAsia="en-GB"/>
          <w14:ligatures w14:val="none"/>
        </w:rPr>
        <w:t>Current Ratio = Current Assets / Current Liabilities</w:t>
      </w:r>
    </w:p>
    <w:p w14:paraId="66025BDD" w14:textId="43BD4839" w:rsidR="00C8208F" w:rsidRPr="00AC1A14" w:rsidRDefault="001F28E0" w:rsidP="00C8208F">
      <w:pPr>
        <w:numPr>
          <w:ilvl w:val="0"/>
          <w:numId w:val="5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F28E0">
        <w:rPr>
          <w:rFonts w:ascii="Times New Roman" w:eastAsia="Times New Roman" w:hAnsi="Times New Roman" w:cs="Times New Roman"/>
          <w:kern w:val="0"/>
          <w:sz w:val="24"/>
          <w:szCs w:val="24"/>
          <w:lang w:eastAsia="en-GB"/>
          <w14:ligatures w14:val="none"/>
        </w:rPr>
        <w:t>Current Ratio = £7,732m / £3,046m ≈ 2.54</w:t>
      </w:r>
    </w:p>
    <w:p w14:paraId="6B9FF270" w14:textId="242CA19E" w:rsidR="00660B2A" w:rsidRPr="00F97738" w:rsidRDefault="00695696" w:rsidP="00927729">
      <w:pPr>
        <w:pStyle w:val="Heading3"/>
        <w:spacing w:after="240" w:line="360" w:lineRule="auto"/>
        <w:rPr>
          <w:rFonts w:ascii="Times New Roman" w:hAnsi="Times New Roman" w:cs="Times New Roman"/>
          <w:b/>
          <w:bCs/>
          <w:color w:val="000000" w:themeColor="text1"/>
          <w:u w:val="single"/>
        </w:rPr>
      </w:pPr>
      <w:bookmarkStart w:id="18" w:name="_Toc153903223"/>
      <w:r w:rsidRPr="00F97738">
        <w:rPr>
          <w:rFonts w:ascii="Times New Roman" w:hAnsi="Times New Roman" w:cs="Times New Roman"/>
          <w:b/>
          <w:bCs/>
          <w:color w:val="000000" w:themeColor="text1"/>
          <w:u w:val="single"/>
        </w:rPr>
        <w:t>4.</w:t>
      </w:r>
      <w:r w:rsidR="005F7429">
        <w:rPr>
          <w:rFonts w:ascii="Times New Roman" w:hAnsi="Times New Roman" w:cs="Times New Roman"/>
          <w:b/>
          <w:bCs/>
          <w:color w:val="000000" w:themeColor="text1"/>
          <w:u w:val="single"/>
        </w:rPr>
        <w:t>1</w:t>
      </w:r>
      <w:r w:rsidR="00E020E0" w:rsidRPr="00F97738">
        <w:rPr>
          <w:rFonts w:ascii="Times New Roman" w:hAnsi="Times New Roman" w:cs="Times New Roman"/>
          <w:b/>
          <w:bCs/>
          <w:color w:val="000000" w:themeColor="text1"/>
          <w:u w:val="single"/>
        </w:rPr>
        <w:t>.</w:t>
      </w:r>
      <w:r w:rsidRPr="00F97738">
        <w:rPr>
          <w:rFonts w:ascii="Times New Roman" w:hAnsi="Times New Roman" w:cs="Times New Roman"/>
          <w:b/>
          <w:bCs/>
          <w:color w:val="000000" w:themeColor="text1"/>
          <w:u w:val="single"/>
        </w:rPr>
        <w:t xml:space="preserve">9 </w:t>
      </w:r>
      <w:r w:rsidR="00535B7D" w:rsidRPr="00F97738">
        <w:rPr>
          <w:rFonts w:ascii="Times New Roman" w:hAnsi="Times New Roman" w:cs="Times New Roman"/>
          <w:b/>
          <w:bCs/>
          <w:color w:val="000000" w:themeColor="text1"/>
          <w:u w:val="single"/>
        </w:rPr>
        <w:t>Gearing Ratio</w:t>
      </w:r>
      <w:bookmarkEnd w:id="18"/>
    </w:p>
    <w:p w14:paraId="0A318362" w14:textId="75902077" w:rsidR="00660B2A" w:rsidRDefault="00225B3F" w:rsidP="002B14C7">
      <w:pPr>
        <w:spacing w:line="360" w:lineRule="auto"/>
        <w:ind w:firstLine="360"/>
        <w:jc w:val="both"/>
        <w:rPr>
          <w:rFonts w:ascii="Times New Roman" w:hAnsi="Times New Roman" w:cs="Times New Roman"/>
          <w:sz w:val="24"/>
          <w:szCs w:val="24"/>
        </w:rPr>
      </w:pPr>
      <w:r w:rsidRPr="00225B3F">
        <w:rPr>
          <w:rFonts w:ascii="Times New Roman" w:hAnsi="Times New Roman" w:cs="Times New Roman"/>
          <w:sz w:val="24"/>
          <w:szCs w:val="24"/>
        </w:rPr>
        <w:t>Gearing is a financial ratio that compares a company's total debt to its equity capital, indicating the extent to which a company is financed by debt versus its own funds. High gearing indicates a higher reliance on debt, which could increase financial risk, while low gearing suggests more equity funding and potentially lower risk</w:t>
      </w:r>
      <w:r w:rsidR="00D411D6">
        <w:rPr>
          <w:rFonts w:ascii="Times New Roman" w:hAnsi="Times New Roman" w:cs="Times New Roman"/>
          <w:sz w:val="24"/>
          <w:szCs w:val="24"/>
        </w:rPr>
        <w:t xml:space="preserve"> </w:t>
      </w:r>
      <w:r w:rsidR="007C0C06" w:rsidRPr="007C0C06">
        <w:rPr>
          <w:rFonts w:ascii="Times New Roman" w:hAnsi="Times New Roman" w:cs="Times New Roman"/>
          <w:sz w:val="24"/>
          <w:szCs w:val="24"/>
        </w:rPr>
        <w:t>(Harris &amp; Raviv, 1991</w:t>
      </w:r>
      <w:r w:rsidR="00D411D6">
        <w:rPr>
          <w:rFonts w:ascii="Times New Roman" w:hAnsi="Times New Roman" w:cs="Times New Roman"/>
          <w:sz w:val="24"/>
          <w:szCs w:val="24"/>
        </w:rPr>
        <w:t>).</w:t>
      </w:r>
    </w:p>
    <w:p w14:paraId="671D99C1" w14:textId="77777777" w:rsidR="004A5F33" w:rsidRPr="004A5F33" w:rsidRDefault="004A5F33" w:rsidP="00387B5B">
      <w:pPr>
        <w:spacing w:before="100" w:beforeAutospacing="1" w:after="100" w:afterAutospacing="1" w:line="240" w:lineRule="auto"/>
        <w:ind w:firstLine="360"/>
        <w:rPr>
          <w:rFonts w:ascii="Times New Roman" w:eastAsia="Times New Roman" w:hAnsi="Times New Roman" w:cs="Times New Roman"/>
          <w:kern w:val="0"/>
          <w:sz w:val="24"/>
          <w:szCs w:val="24"/>
          <w:lang w:eastAsia="en-GB"/>
          <w14:ligatures w14:val="none"/>
        </w:rPr>
      </w:pPr>
      <w:r w:rsidRPr="004A5F33">
        <w:rPr>
          <w:rFonts w:ascii="Times New Roman" w:eastAsia="Times New Roman" w:hAnsi="Times New Roman" w:cs="Times New Roman"/>
          <w:b/>
          <w:bCs/>
          <w:kern w:val="0"/>
          <w:sz w:val="24"/>
          <w:szCs w:val="24"/>
          <w:lang w:eastAsia="en-GB"/>
          <w14:ligatures w14:val="none"/>
        </w:rPr>
        <w:t>For the year 2022:</w:t>
      </w:r>
    </w:p>
    <w:p w14:paraId="75A067FD" w14:textId="77777777" w:rsidR="004A5F33" w:rsidRPr="004A5F33" w:rsidRDefault="004A5F33" w:rsidP="004A5F33">
      <w:pPr>
        <w:numPr>
          <w:ilvl w:val="0"/>
          <w:numId w:val="5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A5F33">
        <w:rPr>
          <w:rFonts w:ascii="Times New Roman" w:eastAsia="Times New Roman" w:hAnsi="Times New Roman" w:cs="Times New Roman"/>
          <w:kern w:val="0"/>
          <w:sz w:val="24"/>
          <w:szCs w:val="24"/>
          <w:lang w:eastAsia="en-GB"/>
          <w14:ligatures w14:val="none"/>
        </w:rPr>
        <w:t>Gearing Ratio = Total Debt / (Total Debt + Shareholders' Equity)</w:t>
      </w:r>
    </w:p>
    <w:p w14:paraId="25C23DD0" w14:textId="77777777" w:rsidR="004A5F33" w:rsidRPr="004A5F33" w:rsidRDefault="004A5F33" w:rsidP="004A5F33">
      <w:pPr>
        <w:numPr>
          <w:ilvl w:val="0"/>
          <w:numId w:val="5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A5F33">
        <w:rPr>
          <w:rFonts w:ascii="Times New Roman" w:eastAsia="Times New Roman" w:hAnsi="Times New Roman" w:cs="Times New Roman"/>
          <w:kern w:val="0"/>
          <w:sz w:val="24"/>
          <w:szCs w:val="24"/>
          <w:lang w:eastAsia="en-GB"/>
          <w14:ligatures w14:val="none"/>
        </w:rPr>
        <w:t>Gearing Ratio = £4,137m / (£4,137m + £3,088m) ≈ 57.26%</w:t>
      </w:r>
    </w:p>
    <w:p w14:paraId="3C21FE71" w14:textId="77777777" w:rsidR="004A5F33" w:rsidRPr="004A5F33" w:rsidRDefault="004A5F33" w:rsidP="00387B5B">
      <w:pPr>
        <w:spacing w:before="100" w:beforeAutospacing="1" w:after="100" w:afterAutospacing="1" w:line="240" w:lineRule="auto"/>
        <w:ind w:firstLine="360"/>
        <w:rPr>
          <w:rFonts w:ascii="Times New Roman" w:eastAsia="Times New Roman" w:hAnsi="Times New Roman" w:cs="Times New Roman"/>
          <w:kern w:val="0"/>
          <w:sz w:val="24"/>
          <w:szCs w:val="24"/>
          <w:lang w:eastAsia="en-GB"/>
          <w14:ligatures w14:val="none"/>
        </w:rPr>
      </w:pPr>
      <w:r w:rsidRPr="004A5F33">
        <w:rPr>
          <w:rFonts w:ascii="Times New Roman" w:eastAsia="Times New Roman" w:hAnsi="Times New Roman" w:cs="Times New Roman"/>
          <w:b/>
          <w:bCs/>
          <w:kern w:val="0"/>
          <w:sz w:val="24"/>
          <w:szCs w:val="24"/>
          <w:lang w:eastAsia="en-GB"/>
          <w14:ligatures w14:val="none"/>
        </w:rPr>
        <w:t>For the year 2021:</w:t>
      </w:r>
    </w:p>
    <w:p w14:paraId="7F2B0DEA" w14:textId="77777777" w:rsidR="004A5F33" w:rsidRPr="004A5F33" w:rsidRDefault="004A5F33" w:rsidP="004A5F33">
      <w:pPr>
        <w:numPr>
          <w:ilvl w:val="0"/>
          <w:numId w:val="5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A5F33">
        <w:rPr>
          <w:rFonts w:ascii="Times New Roman" w:eastAsia="Times New Roman" w:hAnsi="Times New Roman" w:cs="Times New Roman"/>
          <w:kern w:val="0"/>
          <w:sz w:val="24"/>
          <w:szCs w:val="24"/>
          <w:lang w:eastAsia="en-GB"/>
          <w14:ligatures w14:val="none"/>
        </w:rPr>
        <w:lastRenderedPageBreak/>
        <w:t>Gearing Ratio = Total Debt / (Total Debt + Shareholders' Equity)</w:t>
      </w:r>
    </w:p>
    <w:p w14:paraId="57AD1B9E" w14:textId="3E5A03FE" w:rsidR="00AF783A" w:rsidRPr="0047537A" w:rsidRDefault="004A5F33" w:rsidP="004A5F33">
      <w:pPr>
        <w:numPr>
          <w:ilvl w:val="0"/>
          <w:numId w:val="5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A5F33">
        <w:rPr>
          <w:rFonts w:ascii="Times New Roman" w:eastAsia="Times New Roman" w:hAnsi="Times New Roman" w:cs="Times New Roman"/>
          <w:kern w:val="0"/>
          <w:sz w:val="24"/>
          <w:szCs w:val="24"/>
          <w:lang w:eastAsia="en-GB"/>
          <w14:ligatures w14:val="none"/>
        </w:rPr>
        <w:t>Gearing Ratio = £4,129m / (£4,129m + £2,912m) ≈ 58.64%</w:t>
      </w:r>
    </w:p>
    <w:p w14:paraId="3CBEBF0D" w14:textId="73629DAF" w:rsidR="00535B7D" w:rsidRPr="005F7429" w:rsidRDefault="00695696" w:rsidP="00927729">
      <w:pPr>
        <w:pStyle w:val="Heading3"/>
        <w:spacing w:after="240" w:line="360" w:lineRule="auto"/>
        <w:rPr>
          <w:rFonts w:ascii="Times New Roman" w:hAnsi="Times New Roman" w:cs="Times New Roman"/>
          <w:b/>
          <w:bCs/>
          <w:color w:val="000000" w:themeColor="text1"/>
          <w:u w:val="single"/>
        </w:rPr>
      </w:pPr>
      <w:bookmarkStart w:id="19" w:name="_Toc153903224"/>
      <w:r w:rsidRPr="005F7429">
        <w:rPr>
          <w:rFonts w:ascii="Times New Roman" w:hAnsi="Times New Roman" w:cs="Times New Roman"/>
          <w:b/>
          <w:bCs/>
          <w:color w:val="000000" w:themeColor="text1"/>
          <w:u w:val="single"/>
        </w:rPr>
        <w:t>4.</w:t>
      </w:r>
      <w:r w:rsidR="005F7429">
        <w:rPr>
          <w:rFonts w:ascii="Times New Roman" w:hAnsi="Times New Roman" w:cs="Times New Roman"/>
          <w:b/>
          <w:bCs/>
          <w:color w:val="000000" w:themeColor="text1"/>
          <w:u w:val="single"/>
        </w:rPr>
        <w:t>1</w:t>
      </w:r>
      <w:r w:rsidR="00E020E0" w:rsidRPr="005F7429">
        <w:rPr>
          <w:rFonts w:ascii="Times New Roman" w:hAnsi="Times New Roman" w:cs="Times New Roman"/>
          <w:b/>
          <w:bCs/>
          <w:color w:val="000000" w:themeColor="text1"/>
          <w:u w:val="single"/>
        </w:rPr>
        <w:t>.</w:t>
      </w:r>
      <w:r w:rsidRPr="005F7429">
        <w:rPr>
          <w:rFonts w:ascii="Times New Roman" w:hAnsi="Times New Roman" w:cs="Times New Roman"/>
          <w:b/>
          <w:bCs/>
          <w:color w:val="000000" w:themeColor="text1"/>
          <w:u w:val="single"/>
        </w:rPr>
        <w:t xml:space="preserve">10 </w:t>
      </w:r>
      <w:r w:rsidR="00535B7D" w:rsidRPr="005F7429">
        <w:rPr>
          <w:rFonts w:ascii="Times New Roman" w:hAnsi="Times New Roman" w:cs="Times New Roman"/>
          <w:b/>
          <w:bCs/>
          <w:color w:val="000000" w:themeColor="text1"/>
          <w:u w:val="single"/>
        </w:rPr>
        <w:t>Interest Cover</w:t>
      </w:r>
      <w:bookmarkEnd w:id="19"/>
    </w:p>
    <w:p w14:paraId="715F5032" w14:textId="7094939C" w:rsidR="002549A6" w:rsidRPr="002549A6" w:rsidRDefault="002549A6" w:rsidP="005F7429">
      <w:pPr>
        <w:spacing w:line="360" w:lineRule="auto"/>
        <w:jc w:val="both"/>
      </w:pPr>
      <w:r w:rsidRPr="000D2DDA">
        <w:rPr>
          <w:rFonts w:ascii="Times New Roman" w:hAnsi="Times New Roman" w:cs="Times New Roman"/>
          <w:sz w:val="24"/>
          <w:szCs w:val="24"/>
        </w:rPr>
        <w:t>Generally, a higher Interest Cover ratio suggests that the company is in a better position to meet its interest obligations.</w:t>
      </w:r>
    </w:p>
    <w:p w14:paraId="31B90838" w14:textId="77777777" w:rsidR="008111C6" w:rsidRPr="008111C6" w:rsidRDefault="008111C6" w:rsidP="008111C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111C6">
        <w:rPr>
          <w:rFonts w:ascii="Times New Roman" w:eastAsia="Times New Roman" w:hAnsi="Times New Roman" w:cs="Times New Roman"/>
          <w:b/>
          <w:bCs/>
          <w:kern w:val="0"/>
          <w:sz w:val="24"/>
          <w:szCs w:val="24"/>
          <w:lang w:eastAsia="en-GB"/>
          <w14:ligatures w14:val="none"/>
        </w:rPr>
        <w:t>For the year 2022:</w:t>
      </w:r>
    </w:p>
    <w:p w14:paraId="227D2D61" w14:textId="77777777" w:rsidR="008111C6" w:rsidRPr="008111C6" w:rsidRDefault="008111C6" w:rsidP="008111C6">
      <w:pPr>
        <w:numPr>
          <w:ilvl w:val="0"/>
          <w:numId w:val="5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111C6">
        <w:rPr>
          <w:rFonts w:ascii="Times New Roman" w:eastAsia="Times New Roman" w:hAnsi="Times New Roman" w:cs="Times New Roman"/>
          <w:kern w:val="0"/>
          <w:sz w:val="24"/>
          <w:szCs w:val="24"/>
          <w:lang w:eastAsia="en-GB"/>
          <w14:ligatures w14:val="none"/>
        </w:rPr>
        <w:t>Interest Cover = Operating Profit / Interest Expense</w:t>
      </w:r>
    </w:p>
    <w:p w14:paraId="37429E55" w14:textId="77777777" w:rsidR="008111C6" w:rsidRPr="008111C6" w:rsidRDefault="008111C6" w:rsidP="008111C6">
      <w:pPr>
        <w:numPr>
          <w:ilvl w:val="0"/>
          <w:numId w:val="5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111C6">
        <w:rPr>
          <w:rFonts w:ascii="Times New Roman" w:eastAsia="Times New Roman" w:hAnsi="Times New Roman" w:cs="Times New Roman"/>
          <w:kern w:val="0"/>
          <w:sz w:val="24"/>
          <w:szCs w:val="24"/>
          <w:lang w:eastAsia="en-GB"/>
          <w14:ligatures w14:val="none"/>
        </w:rPr>
        <w:t>Interest Cover = £805m / £226m ≈ 3.56</w:t>
      </w:r>
    </w:p>
    <w:p w14:paraId="11C0F048" w14:textId="77777777" w:rsidR="008111C6" w:rsidRPr="008111C6" w:rsidRDefault="008111C6" w:rsidP="008111C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111C6">
        <w:rPr>
          <w:rFonts w:ascii="Times New Roman" w:eastAsia="Times New Roman" w:hAnsi="Times New Roman" w:cs="Times New Roman"/>
          <w:b/>
          <w:bCs/>
          <w:kern w:val="0"/>
          <w:sz w:val="24"/>
          <w:szCs w:val="24"/>
          <w:lang w:eastAsia="en-GB"/>
          <w14:ligatures w14:val="none"/>
        </w:rPr>
        <w:t>For the year 2021:</w:t>
      </w:r>
    </w:p>
    <w:p w14:paraId="31CEC5FC" w14:textId="77777777" w:rsidR="008111C6" w:rsidRPr="008111C6" w:rsidRDefault="008111C6" w:rsidP="008111C6">
      <w:pPr>
        <w:numPr>
          <w:ilvl w:val="0"/>
          <w:numId w:val="5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111C6">
        <w:rPr>
          <w:rFonts w:ascii="Times New Roman" w:eastAsia="Times New Roman" w:hAnsi="Times New Roman" w:cs="Times New Roman"/>
          <w:kern w:val="0"/>
          <w:sz w:val="24"/>
          <w:szCs w:val="24"/>
          <w:lang w:eastAsia="en-GB"/>
          <w14:ligatures w14:val="none"/>
        </w:rPr>
        <w:t>Interest Cover = Operating Profit / Interest Expense</w:t>
      </w:r>
    </w:p>
    <w:p w14:paraId="648E277E" w14:textId="5B8AFCB4" w:rsidR="008111C6" w:rsidRPr="008111C6" w:rsidRDefault="008111C6" w:rsidP="008111C6">
      <w:pPr>
        <w:numPr>
          <w:ilvl w:val="0"/>
          <w:numId w:val="5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111C6">
        <w:rPr>
          <w:rFonts w:ascii="Times New Roman" w:eastAsia="Times New Roman" w:hAnsi="Times New Roman" w:cs="Times New Roman"/>
          <w:kern w:val="0"/>
          <w:sz w:val="24"/>
          <w:szCs w:val="24"/>
          <w:lang w:eastAsia="en-GB"/>
          <w14:ligatures w14:val="none"/>
        </w:rPr>
        <w:t>Interest Cover = £699m / £181m ≈ 3.86</w:t>
      </w:r>
      <w:r w:rsidR="00096018">
        <w:rPr>
          <w:rFonts w:ascii="Times New Roman" w:eastAsia="Times New Roman" w:hAnsi="Times New Roman" w:cs="Times New Roman"/>
          <w:kern w:val="0"/>
          <w:sz w:val="24"/>
          <w:szCs w:val="24"/>
          <w:lang w:eastAsia="en-GB"/>
          <w14:ligatures w14:val="none"/>
        </w:rPr>
        <w:t xml:space="preserve"> </w:t>
      </w:r>
    </w:p>
    <w:p w14:paraId="6D4ACECF" w14:textId="549579B2" w:rsidR="007D5E4F" w:rsidRPr="003B6FC8" w:rsidRDefault="003342F9" w:rsidP="00C237E2">
      <w:pPr>
        <w:pStyle w:val="Heading1"/>
        <w:spacing w:line="360" w:lineRule="auto"/>
        <w:jc w:val="both"/>
        <w:rPr>
          <w:rFonts w:ascii="Times New Roman" w:hAnsi="Times New Roman" w:cs="Times New Roman"/>
          <w:b/>
          <w:bCs/>
          <w:color w:val="000000" w:themeColor="text1"/>
          <w:sz w:val="28"/>
          <w:szCs w:val="28"/>
          <w:u w:val="single"/>
        </w:rPr>
      </w:pPr>
      <w:bookmarkStart w:id="20" w:name="_Toc153903225"/>
      <w:r w:rsidRPr="003B6FC8">
        <w:rPr>
          <w:rFonts w:ascii="Times New Roman" w:hAnsi="Times New Roman" w:cs="Times New Roman"/>
          <w:b/>
          <w:bCs/>
          <w:color w:val="000000" w:themeColor="text1"/>
          <w:sz w:val="28"/>
          <w:szCs w:val="28"/>
          <w:u w:val="single"/>
        </w:rPr>
        <w:t>4.</w:t>
      </w:r>
      <w:r w:rsidR="005F7429">
        <w:rPr>
          <w:rFonts w:ascii="Times New Roman" w:hAnsi="Times New Roman" w:cs="Times New Roman"/>
          <w:b/>
          <w:bCs/>
          <w:color w:val="000000" w:themeColor="text1"/>
          <w:sz w:val="28"/>
          <w:szCs w:val="28"/>
          <w:u w:val="single"/>
        </w:rPr>
        <w:t>2</w:t>
      </w:r>
      <w:r w:rsidR="00E020E0" w:rsidRPr="003B6FC8">
        <w:rPr>
          <w:rFonts w:ascii="Times New Roman" w:hAnsi="Times New Roman" w:cs="Times New Roman"/>
          <w:b/>
          <w:bCs/>
          <w:color w:val="000000" w:themeColor="text1"/>
          <w:sz w:val="28"/>
          <w:szCs w:val="28"/>
          <w:u w:val="single"/>
        </w:rPr>
        <w:t>.0</w:t>
      </w:r>
      <w:r w:rsidRPr="003B6FC8">
        <w:rPr>
          <w:rFonts w:ascii="Times New Roman" w:hAnsi="Times New Roman" w:cs="Times New Roman"/>
          <w:b/>
          <w:bCs/>
          <w:color w:val="000000" w:themeColor="text1"/>
          <w:sz w:val="28"/>
          <w:szCs w:val="28"/>
          <w:u w:val="single"/>
        </w:rPr>
        <w:t xml:space="preserve"> </w:t>
      </w:r>
      <w:r w:rsidR="002C3F61" w:rsidRPr="003B6FC8">
        <w:rPr>
          <w:rFonts w:ascii="Times New Roman" w:hAnsi="Times New Roman" w:cs="Times New Roman"/>
          <w:b/>
          <w:bCs/>
          <w:color w:val="000000" w:themeColor="text1"/>
          <w:sz w:val="28"/>
          <w:szCs w:val="28"/>
          <w:u w:val="single"/>
        </w:rPr>
        <w:t xml:space="preserve">Critical Discussion on </w:t>
      </w:r>
      <w:r w:rsidR="008A126C" w:rsidRPr="003B6FC8">
        <w:rPr>
          <w:rFonts w:ascii="Times New Roman" w:hAnsi="Times New Roman" w:cs="Times New Roman"/>
          <w:b/>
          <w:bCs/>
          <w:color w:val="000000" w:themeColor="text1"/>
          <w:sz w:val="28"/>
          <w:szCs w:val="28"/>
          <w:u w:val="single"/>
        </w:rPr>
        <w:t xml:space="preserve">‘Sweets Plc’ </w:t>
      </w:r>
      <w:r w:rsidR="002C3F61" w:rsidRPr="003B6FC8">
        <w:rPr>
          <w:rFonts w:ascii="Times New Roman" w:hAnsi="Times New Roman" w:cs="Times New Roman"/>
          <w:b/>
          <w:bCs/>
          <w:color w:val="000000" w:themeColor="text1"/>
          <w:sz w:val="28"/>
          <w:szCs w:val="28"/>
          <w:u w:val="single"/>
        </w:rPr>
        <w:t>Financial Performance</w:t>
      </w:r>
      <w:bookmarkEnd w:id="20"/>
    </w:p>
    <w:p w14:paraId="7EA4A0ED" w14:textId="4872F428" w:rsidR="00922718" w:rsidRPr="00922718" w:rsidRDefault="00922718" w:rsidP="002B14C7">
      <w:pPr>
        <w:pStyle w:val="NormalWeb"/>
        <w:spacing w:line="360" w:lineRule="auto"/>
        <w:ind w:firstLine="720"/>
        <w:jc w:val="both"/>
        <w:rPr>
          <w14:ligatures w14:val="none"/>
        </w:rPr>
      </w:pPr>
      <w:r w:rsidRPr="00922718">
        <w:rPr>
          <w14:ligatures w14:val="none"/>
        </w:rPr>
        <w:t xml:space="preserve">The financial performance and position of Sweets </w:t>
      </w:r>
      <w:r w:rsidR="008A126C">
        <w:rPr>
          <w14:ligatures w14:val="none"/>
        </w:rPr>
        <w:t>P</w:t>
      </w:r>
      <w:r w:rsidRPr="00922718">
        <w:rPr>
          <w14:ligatures w14:val="none"/>
        </w:rPr>
        <w:t>lc over the years 2021 and 2022 can be critically assessed using various financial ratios that offer insights into the company's profitability, efficiency, liquidity, and leverage.</w:t>
      </w:r>
    </w:p>
    <w:p w14:paraId="0CBE9278" w14:textId="1A7FECC3" w:rsidR="00922718" w:rsidRPr="00922718" w:rsidRDefault="00922718" w:rsidP="002B14C7">
      <w:pPr>
        <w:spacing w:before="100" w:beforeAutospacing="1" w:after="100" w:afterAutospacing="1" w:line="360" w:lineRule="auto"/>
        <w:ind w:firstLine="720"/>
        <w:jc w:val="both"/>
        <w:rPr>
          <w:rFonts w:ascii="Times New Roman" w:eastAsia="Times New Roman" w:hAnsi="Times New Roman" w:cs="Times New Roman"/>
          <w:kern w:val="0"/>
          <w:sz w:val="24"/>
          <w:szCs w:val="24"/>
          <w:lang w:eastAsia="en-GB"/>
          <w14:ligatures w14:val="none"/>
        </w:rPr>
      </w:pPr>
      <w:r w:rsidRPr="00922718">
        <w:rPr>
          <w:rFonts w:ascii="Times New Roman" w:eastAsia="Times New Roman" w:hAnsi="Times New Roman" w:cs="Times New Roman"/>
          <w:kern w:val="0"/>
          <w:sz w:val="24"/>
          <w:szCs w:val="24"/>
          <w:lang w:eastAsia="en-GB"/>
          <w14:ligatures w14:val="none"/>
        </w:rPr>
        <w:t>In terms of profitability, the Net Profit Margin increased from 5.68% in 2021 to 6.40% in 2022 (User Calculations), indicating an improvement in the company’s efficiency at converting revenue into actual profit. This suggests effective cost control measures and potentially successful pricing strategies (Brigham &amp; Houston, 2019). The Earnings per Share (EPS) also increased from £0.61 in 2021 to £0.718 in 2022, providing evidence of growing profitability per share and enhanced shareholder value.</w:t>
      </w:r>
    </w:p>
    <w:p w14:paraId="0605CE81" w14:textId="163F0FDF" w:rsidR="00922718" w:rsidRPr="00922718" w:rsidRDefault="00922718" w:rsidP="002B14C7">
      <w:pPr>
        <w:spacing w:before="100" w:beforeAutospacing="1" w:after="100" w:afterAutospacing="1" w:line="360" w:lineRule="auto"/>
        <w:ind w:firstLine="720"/>
        <w:jc w:val="both"/>
        <w:rPr>
          <w:rFonts w:ascii="Times New Roman" w:eastAsia="Times New Roman" w:hAnsi="Times New Roman" w:cs="Times New Roman"/>
          <w:kern w:val="0"/>
          <w:sz w:val="24"/>
          <w:szCs w:val="24"/>
          <w:lang w:eastAsia="en-GB"/>
          <w14:ligatures w14:val="none"/>
        </w:rPr>
      </w:pPr>
      <w:r w:rsidRPr="00922718">
        <w:rPr>
          <w:rFonts w:ascii="Times New Roman" w:eastAsia="Times New Roman" w:hAnsi="Times New Roman" w:cs="Times New Roman"/>
          <w:kern w:val="0"/>
          <w:sz w:val="24"/>
          <w:szCs w:val="24"/>
          <w:lang w:eastAsia="en-GB"/>
          <w14:ligatures w14:val="none"/>
        </w:rPr>
        <w:t>The Asset Turnover ratio remained relatively stable, with a slight increase from 0.915 in 2021 to 0.933 in 2022</w:t>
      </w:r>
      <w:r w:rsidR="00465C35">
        <w:rPr>
          <w:rFonts w:ascii="Times New Roman" w:eastAsia="Times New Roman" w:hAnsi="Times New Roman" w:cs="Times New Roman"/>
          <w:kern w:val="0"/>
          <w:sz w:val="24"/>
          <w:szCs w:val="24"/>
          <w:lang w:eastAsia="en-GB"/>
          <w14:ligatures w14:val="none"/>
        </w:rPr>
        <w:t xml:space="preserve">. </w:t>
      </w:r>
      <w:r w:rsidRPr="00922718">
        <w:rPr>
          <w:rFonts w:ascii="Times New Roman" w:eastAsia="Times New Roman" w:hAnsi="Times New Roman" w:cs="Times New Roman"/>
          <w:kern w:val="0"/>
          <w:sz w:val="24"/>
          <w:szCs w:val="24"/>
          <w:lang w:eastAsia="en-GB"/>
          <w14:ligatures w14:val="none"/>
        </w:rPr>
        <w:t>This stability indicates consistent revenue generation from the company's asset base, though there is room for improvement in asset utilization (Ross et al., 2008).</w:t>
      </w:r>
    </w:p>
    <w:p w14:paraId="27CFD43A" w14:textId="38830DC6" w:rsidR="00922718" w:rsidRPr="00922718" w:rsidRDefault="00922718" w:rsidP="002B14C7">
      <w:pPr>
        <w:spacing w:before="100" w:beforeAutospacing="1" w:after="100" w:afterAutospacing="1" w:line="360" w:lineRule="auto"/>
        <w:ind w:firstLine="720"/>
        <w:jc w:val="both"/>
        <w:rPr>
          <w:rFonts w:ascii="Times New Roman" w:eastAsia="Times New Roman" w:hAnsi="Times New Roman" w:cs="Times New Roman"/>
          <w:kern w:val="0"/>
          <w:sz w:val="24"/>
          <w:szCs w:val="24"/>
          <w:lang w:eastAsia="en-GB"/>
          <w14:ligatures w14:val="none"/>
        </w:rPr>
      </w:pPr>
      <w:r w:rsidRPr="00922718">
        <w:rPr>
          <w:rFonts w:ascii="Times New Roman" w:eastAsia="Times New Roman" w:hAnsi="Times New Roman" w:cs="Times New Roman"/>
          <w:kern w:val="0"/>
          <w:sz w:val="24"/>
          <w:szCs w:val="24"/>
          <w:lang w:eastAsia="en-GB"/>
          <w14:ligatures w14:val="none"/>
        </w:rPr>
        <w:t xml:space="preserve">Liquidity, as measured by the Current Ratio, shows a robust position with a ratio of approximately 2.96 in 2022, marginally up from 2.54 in 2021. These figures are well above the benchmark of 1.0, suggesting that </w:t>
      </w:r>
      <w:r w:rsidR="00E26A89">
        <w:rPr>
          <w:rFonts w:ascii="Times New Roman" w:eastAsia="Times New Roman" w:hAnsi="Times New Roman" w:cs="Times New Roman"/>
          <w:kern w:val="0"/>
          <w:sz w:val="24"/>
          <w:szCs w:val="24"/>
          <w:lang w:eastAsia="en-GB"/>
          <w14:ligatures w14:val="none"/>
        </w:rPr>
        <w:t>‘</w:t>
      </w:r>
      <w:r w:rsidRPr="00922718">
        <w:rPr>
          <w:rFonts w:ascii="Times New Roman" w:eastAsia="Times New Roman" w:hAnsi="Times New Roman" w:cs="Times New Roman"/>
          <w:kern w:val="0"/>
          <w:sz w:val="24"/>
          <w:szCs w:val="24"/>
          <w:lang w:eastAsia="en-GB"/>
          <w14:ligatures w14:val="none"/>
        </w:rPr>
        <w:t xml:space="preserve">Sweets </w:t>
      </w:r>
      <w:r w:rsidR="00E26A89">
        <w:rPr>
          <w:rFonts w:ascii="Times New Roman" w:eastAsia="Times New Roman" w:hAnsi="Times New Roman" w:cs="Times New Roman"/>
          <w:kern w:val="0"/>
          <w:sz w:val="24"/>
          <w:szCs w:val="24"/>
          <w:lang w:eastAsia="en-GB"/>
          <w14:ligatures w14:val="none"/>
        </w:rPr>
        <w:t>P</w:t>
      </w:r>
      <w:r w:rsidRPr="00922718">
        <w:rPr>
          <w:rFonts w:ascii="Times New Roman" w:eastAsia="Times New Roman" w:hAnsi="Times New Roman" w:cs="Times New Roman"/>
          <w:kern w:val="0"/>
          <w:sz w:val="24"/>
          <w:szCs w:val="24"/>
          <w:lang w:eastAsia="en-GB"/>
          <w14:ligatures w14:val="none"/>
        </w:rPr>
        <w:t>lc</w:t>
      </w:r>
      <w:r w:rsidR="00E26A89">
        <w:rPr>
          <w:rFonts w:ascii="Times New Roman" w:eastAsia="Times New Roman" w:hAnsi="Times New Roman" w:cs="Times New Roman"/>
          <w:kern w:val="0"/>
          <w:sz w:val="24"/>
          <w:szCs w:val="24"/>
          <w:lang w:eastAsia="en-GB"/>
          <w14:ligatures w14:val="none"/>
        </w:rPr>
        <w:t>’</w:t>
      </w:r>
      <w:r w:rsidRPr="00922718">
        <w:rPr>
          <w:rFonts w:ascii="Times New Roman" w:eastAsia="Times New Roman" w:hAnsi="Times New Roman" w:cs="Times New Roman"/>
          <w:kern w:val="0"/>
          <w:sz w:val="24"/>
          <w:szCs w:val="24"/>
          <w:lang w:eastAsia="en-GB"/>
          <w14:ligatures w14:val="none"/>
        </w:rPr>
        <w:t xml:space="preserve"> has sufficient liquid assets to cover short-term obligations.</w:t>
      </w:r>
    </w:p>
    <w:p w14:paraId="6B0D72BC" w14:textId="44AFEC5F" w:rsidR="00922718" w:rsidRDefault="00922718" w:rsidP="002B14C7">
      <w:pPr>
        <w:spacing w:before="100" w:beforeAutospacing="1" w:after="100" w:afterAutospacing="1" w:line="360" w:lineRule="auto"/>
        <w:ind w:firstLine="720"/>
        <w:jc w:val="both"/>
        <w:rPr>
          <w:rFonts w:ascii="Times New Roman" w:eastAsia="Times New Roman" w:hAnsi="Times New Roman" w:cs="Times New Roman"/>
          <w:kern w:val="0"/>
          <w:sz w:val="24"/>
          <w:szCs w:val="24"/>
          <w:lang w:eastAsia="en-GB"/>
          <w14:ligatures w14:val="none"/>
        </w:rPr>
      </w:pPr>
      <w:r w:rsidRPr="00922718">
        <w:rPr>
          <w:rFonts w:ascii="Times New Roman" w:eastAsia="Times New Roman" w:hAnsi="Times New Roman" w:cs="Times New Roman"/>
          <w:kern w:val="0"/>
          <w:sz w:val="24"/>
          <w:szCs w:val="24"/>
          <w:lang w:eastAsia="en-GB"/>
          <w14:ligatures w14:val="none"/>
        </w:rPr>
        <w:lastRenderedPageBreak/>
        <w:t>However, the company's leverage, as indicated by the Gearing Ratio, presents a high level of debt at 1.34 in 2022</w:t>
      </w:r>
      <w:r w:rsidR="00271AC4">
        <w:rPr>
          <w:rFonts w:ascii="Times New Roman" w:eastAsia="Times New Roman" w:hAnsi="Times New Roman" w:cs="Times New Roman"/>
          <w:kern w:val="0"/>
          <w:sz w:val="24"/>
          <w:szCs w:val="24"/>
          <w:lang w:eastAsia="en-GB"/>
          <w14:ligatures w14:val="none"/>
        </w:rPr>
        <w:t xml:space="preserve"> and </w:t>
      </w:r>
      <w:r w:rsidRPr="00922718">
        <w:rPr>
          <w:rFonts w:ascii="Times New Roman" w:eastAsia="Times New Roman" w:hAnsi="Times New Roman" w:cs="Times New Roman"/>
          <w:kern w:val="0"/>
          <w:sz w:val="24"/>
          <w:szCs w:val="24"/>
          <w:lang w:eastAsia="en-GB"/>
          <w14:ligatures w14:val="none"/>
        </w:rPr>
        <w:t xml:space="preserve">this is a slight decrease from 1.42 in 2021, </w:t>
      </w:r>
      <w:r w:rsidR="00271AC4">
        <w:rPr>
          <w:rFonts w:ascii="Times New Roman" w:eastAsia="Times New Roman" w:hAnsi="Times New Roman" w:cs="Times New Roman"/>
          <w:kern w:val="0"/>
          <w:sz w:val="24"/>
          <w:szCs w:val="24"/>
          <w:lang w:eastAsia="en-GB"/>
          <w14:ligatures w14:val="none"/>
        </w:rPr>
        <w:t xml:space="preserve">which </w:t>
      </w:r>
      <w:r w:rsidRPr="00922718">
        <w:rPr>
          <w:rFonts w:ascii="Times New Roman" w:eastAsia="Times New Roman" w:hAnsi="Times New Roman" w:cs="Times New Roman"/>
          <w:kern w:val="0"/>
          <w:sz w:val="24"/>
          <w:szCs w:val="24"/>
          <w:lang w:eastAsia="en-GB"/>
          <w14:ligatures w14:val="none"/>
        </w:rPr>
        <w:t xml:space="preserve">it suggests that a significant portion of the company's capital structure is financed through debt, </w:t>
      </w:r>
      <w:r w:rsidR="00271AC4">
        <w:rPr>
          <w:rFonts w:ascii="Times New Roman" w:eastAsia="Times New Roman" w:hAnsi="Times New Roman" w:cs="Times New Roman"/>
          <w:kern w:val="0"/>
          <w:sz w:val="24"/>
          <w:szCs w:val="24"/>
          <w:lang w:eastAsia="en-GB"/>
          <w14:ligatures w14:val="none"/>
        </w:rPr>
        <w:t>this</w:t>
      </w:r>
      <w:r w:rsidRPr="00922718">
        <w:rPr>
          <w:rFonts w:ascii="Times New Roman" w:eastAsia="Times New Roman" w:hAnsi="Times New Roman" w:cs="Times New Roman"/>
          <w:kern w:val="0"/>
          <w:sz w:val="24"/>
          <w:szCs w:val="24"/>
          <w:lang w:eastAsia="en-GB"/>
          <w14:ligatures w14:val="none"/>
        </w:rPr>
        <w:t xml:space="preserve"> may increase financial risk (Brigham &amp; Houston, 2019). The Interest Cover ratio, while adequate at 3.56 in 2022, indicates a declining ability to service debt from operating profits compared to 3.86 in 2021.</w:t>
      </w:r>
    </w:p>
    <w:p w14:paraId="22FB2191" w14:textId="430AAD84" w:rsidR="00FD6CB8" w:rsidRPr="00ED4815" w:rsidRDefault="00045146" w:rsidP="002B14C7">
      <w:pPr>
        <w:spacing w:before="100" w:beforeAutospacing="1" w:after="100" w:afterAutospacing="1" w:line="360" w:lineRule="auto"/>
        <w:ind w:firstLine="720"/>
        <w:jc w:val="both"/>
        <w:rPr>
          <w:rFonts w:ascii="Times New Roman" w:eastAsia="Times New Roman" w:hAnsi="Times New Roman" w:cs="Times New Roman"/>
          <w:kern w:val="0"/>
          <w:sz w:val="24"/>
          <w:szCs w:val="24"/>
          <w:lang w:eastAsia="en-GB"/>
          <w14:ligatures w14:val="none"/>
        </w:rPr>
      </w:pPr>
      <w:r>
        <w:rPr>
          <w:rFonts w:ascii="Times New Roman" w:hAnsi="Times New Roman" w:cs="Times New Roman"/>
          <w:sz w:val="24"/>
          <w:szCs w:val="24"/>
        </w:rPr>
        <w:t>Overall</w:t>
      </w:r>
      <w:r w:rsidR="000612F6" w:rsidRPr="000612F6">
        <w:rPr>
          <w:rFonts w:ascii="Times New Roman" w:hAnsi="Times New Roman" w:cs="Times New Roman"/>
          <w:sz w:val="24"/>
          <w:szCs w:val="24"/>
        </w:rPr>
        <w:t xml:space="preserve">, </w:t>
      </w:r>
      <w:r>
        <w:rPr>
          <w:rFonts w:ascii="Times New Roman" w:hAnsi="Times New Roman" w:cs="Times New Roman"/>
          <w:sz w:val="24"/>
          <w:szCs w:val="24"/>
        </w:rPr>
        <w:t>‘</w:t>
      </w:r>
      <w:r w:rsidR="000612F6" w:rsidRPr="000612F6">
        <w:rPr>
          <w:rFonts w:ascii="Times New Roman" w:hAnsi="Times New Roman" w:cs="Times New Roman"/>
          <w:sz w:val="24"/>
          <w:szCs w:val="24"/>
        </w:rPr>
        <w:t xml:space="preserve">Sweets </w:t>
      </w:r>
      <w:r w:rsidR="00FD6CB8">
        <w:rPr>
          <w:rFonts w:ascii="Times New Roman" w:hAnsi="Times New Roman" w:cs="Times New Roman"/>
          <w:sz w:val="24"/>
          <w:szCs w:val="24"/>
        </w:rPr>
        <w:t>P</w:t>
      </w:r>
      <w:r w:rsidR="000612F6" w:rsidRPr="000612F6">
        <w:rPr>
          <w:rFonts w:ascii="Times New Roman" w:hAnsi="Times New Roman" w:cs="Times New Roman"/>
          <w:sz w:val="24"/>
          <w:szCs w:val="24"/>
        </w:rPr>
        <w:t>lc</w:t>
      </w:r>
      <w:r>
        <w:rPr>
          <w:rFonts w:ascii="Times New Roman" w:hAnsi="Times New Roman" w:cs="Times New Roman"/>
          <w:sz w:val="24"/>
          <w:szCs w:val="24"/>
        </w:rPr>
        <w:t>’</w:t>
      </w:r>
      <w:r w:rsidR="000612F6" w:rsidRPr="000612F6">
        <w:rPr>
          <w:rFonts w:ascii="Times New Roman" w:hAnsi="Times New Roman" w:cs="Times New Roman"/>
          <w:sz w:val="24"/>
          <w:szCs w:val="24"/>
        </w:rPr>
        <w:t xml:space="preserve"> displays a strong liquidity and profitability profile but carries a relatively high level of debt, which could be a concern if not managed carefully, especially in an environment of rising interest rates that would impact interest cover and cost of capital.</w:t>
      </w:r>
    </w:p>
    <w:p w14:paraId="1A266107" w14:textId="571EABA9" w:rsidR="008F3B46" w:rsidRPr="001501BF" w:rsidRDefault="00CF41F6" w:rsidP="001501BF">
      <w:pPr>
        <w:pStyle w:val="Heading1"/>
        <w:rPr>
          <w:rFonts w:ascii="Times New Roman" w:hAnsi="Times New Roman" w:cs="Times New Roman"/>
          <w:b/>
          <w:bCs/>
          <w:color w:val="000000" w:themeColor="text1"/>
          <w:sz w:val="28"/>
          <w:szCs w:val="28"/>
          <w:u w:val="single"/>
        </w:rPr>
      </w:pPr>
      <w:r>
        <w:br w:type="page"/>
      </w:r>
      <w:bookmarkStart w:id="21" w:name="_Toc153903226"/>
      <w:r w:rsidR="008F3B46" w:rsidRPr="001501BF">
        <w:rPr>
          <w:rFonts w:ascii="Times New Roman" w:hAnsi="Times New Roman" w:cs="Times New Roman"/>
          <w:b/>
          <w:bCs/>
          <w:color w:val="000000" w:themeColor="text1"/>
          <w:sz w:val="28"/>
          <w:szCs w:val="28"/>
          <w:u w:val="single"/>
        </w:rPr>
        <w:lastRenderedPageBreak/>
        <w:t>5.0.0 Conclusion</w:t>
      </w:r>
      <w:bookmarkEnd w:id="21"/>
    </w:p>
    <w:p w14:paraId="4F5A9432" w14:textId="77777777" w:rsidR="00BC2340" w:rsidRPr="00BC2340" w:rsidRDefault="00BC2340" w:rsidP="00BC2340"/>
    <w:p w14:paraId="4D651C57" w14:textId="77777777" w:rsidR="008F3B46" w:rsidRDefault="008F3B46" w:rsidP="008F3B46">
      <w:pPr>
        <w:pStyle w:val="NoSpacing"/>
        <w:spacing w:after="240" w:line="360" w:lineRule="auto"/>
        <w:ind w:firstLine="720"/>
        <w:jc w:val="both"/>
        <w:rPr>
          <w:rFonts w:ascii="Times New Roman" w:hAnsi="Times New Roman" w:cs="Times New Roman"/>
          <w:sz w:val="24"/>
          <w:szCs w:val="24"/>
        </w:rPr>
      </w:pPr>
      <w:r w:rsidRPr="009A2248">
        <w:rPr>
          <w:rFonts w:ascii="Times New Roman" w:hAnsi="Times New Roman" w:cs="Times New Roman"/>
          <w:sz w:val="24"/>
          <w:szCs w:val="24"/>
        </w:rPr>
        <w:t xml:space="preserve">In conclusion, the financial analysis conducted in this report offers valuable insights into the </w:t>
      </w:r>
      <w:r w:rsidRPr="00241ACE">
        <w:rPr>
          <w:rFonts w:ascii="Times New Roman" w:hAnsi="Times New Roman" w:cs="Times New Roman"/>
          <w:sz w:val="24"/>
          <w:szCs w:val="24"/>
        </w:rPr>
        <w:t>company's fiscal performance and efficiency over a</w:t>
      </w:r>
      <w:r>
        <w:rPr>
          <w:rFonts w:ascii="Times New Roman" w:hAnsi="Times New Roman" w:cs="Times New Roman"/>
          <w:sz w:val="24"/>
          <w:szCs w:val="24"/>
        </w:rPr>
        <w:t xml:space="preserve"> certain</w:t>
      </w:r>
      <w:r w:rsidRPr="00241ACE">
        <w:rPr>
          <w:rFonts w:ascii="Times New Roman" w:hAnsi="Times New Roman" w:cs="Times New Roman"/>
          <w:sz w:val="24"/>
          <w:szCs w:val="24"/>
        </w:rPr>
        <w:t xml:space="preserve"> period. The examination of financial ratios, specifically ROCE and ROE, has revealed an upward trend in the company's profitability and capital management efficiency. The meticulous breakdown of the financial statements has emphasized the critical nature of accurate financial reporting and adherence to accounting principles. </w:t>
      </w:r>
    </w:p>
    <w:p w14:paraId="1A10890E" w14:textId="66477178" w:rsidR="005B7C1F" w:rsidRDefault="008F3B46" w:rsidP="005B7C1F">
      <w:pPr>
        <w:pStyle w:val="NoSpacing"/>
        <w:spacing w:after="240" w:line="360" w:lineRule="auto"/>
        <w:jc w:val="both"/>
        <w:rPr>
          <w:rFonts w:ascii="Times New Roman" w:hAnsi="Times New Roman" w:cs="Times New Roman"/>
          <w:sz w:val="24"/>
          <w:szCs w:val="24"/>
        </w:rPr>
      </w:pPr>
      <w:r w:rsidRPr="00241ACE">
        <w:rPr>
          <w:rFonts w:ascii="Times New Roman" w:hAnsi="Times New Roman" w:cs="Times New Roman"/>
          <w:sz w:val="24"/>
          <w:szCs w:val="24"/>
        </w:rPr>
        <w:t>These findings underscore the importance of robust financial analysis for stakeholders in assessing the economic viability and strategic direction of a company. Effective use of financial data is essential for informed decision-making and forms the bedrock of corporate financial strategy</w:t>
      </w:r>
      <w:r>
        <w:rPr>
          <w:rFonts w:ascii="Times New Roman" w:hAnsi="Times New Roman" w:cs="Times New Roman"/>
          <w:sz w:val="24"/>
          <w:szCs w:val="24"/>
        </w:rPr>
        <w:t xml:space="preserve"> (Bender, 2002)</w:t>
      </w:r>
      <w:r w:rsidRPr="00241ACE">
        <w:rPr>
          <w:rFonts w:ascii="Times New Roman" w:hAnsi="Times New Roman" w:cs="Times New Roman"/>
          <w:sz w:val="24"/>
          <w:szCs w:val="24"/>
        </w:rPr>
        <w:t>. The report aligns with established financial theories which suggest that a comprehensive understanding of financial ratios is imperative for evaluating a company's market standing and operational success.</w:t>
      </w:r>
    </w:p>
    <w:p w14:paraId="00613ED5" w14:textId="77777777" w:rsidR="00E647D0" w:rsidRPr="00D74CBE" w:rsidRDefault="005B7C1F" w:rsidP="00D74CBE">
      <w:pPr>
        <w:pStyle w:val="Heading1"/>
        <w:rPr>
          <w:rFonts w:ascii="Times New Roman" w:hAnsi="Times New Roman" w:cs="Times New Roman"/>
          <w:b/>
          <w:bCs/>
          <w:color w:val="000000" w:themeColor="text1"/>
          <w:sz w:val="28"/>
          <w:szCs w:val="28"/>
          <w:u w:val="single"/>
        </w:rPr>
      </w:pPr>
      <w:r>
        <w:br w:type="page"/>
      </w:r>
      <w:bookmarkStart w:id="22" w:name="_Toc153903227"/>
      <w:r w:rsidR="00E647D0" w:rsidRPr="00D74CBE">
        <w:rPr>
          <w:rFonts w:ascii="Times New Roman" w:hAnsi="Times New Roman" w:cs="Times New Roman"/>
          <w:b/>
          <w:bCs/>
          <w:color w:val="000000" w:themeColor="text1"/>
          <w:sz w:val="28"/>
          <w:szCs w:val="28"/>
          <w:u w:val="single"/>
        </w:rPr>
        <w:lastRenderedPageBreak/>
        <w:t>6.0.0 Refrences</w:t>
      </w:r>
      <w:bookmarkEnd w:id="22"/>
      <w:r w:rsidR="00E647D0" w:rsidRPr="00D74CBE">
        <w:rPr>
          <w:rFonts w:ascii="Times New Roman" w:hAnsi="Times New Roman" w:cs="Times New Roman"/>
          <w:b/>
          <w:bCs/>
          <w:color w:val="000000" w:themeColor="text1"/>
          <w:sz w:val="28"/>
          <w:szCs w:val="28"/>
          <w:u w:val="single"/>
        </w:rPr>
        <w:t xml:space="preserve"> </w:t>
      </w:r>
    </w:p>
    <w:p w14:paraId="2DB42B60" w14:textId="77777777" w:rsidR="00E647D0" w:rsidRPr="00155E9A" w:rsidRDefault="00E647D0" w:rsidP="00E647D0"/>
    <w:p w14:paraId="73F0CBFA" w14:textId="77777777" w:rsidR="00E647D0" w:rsidRPr="00155E9A" w:rsidRDefault="00E647D0" w:rsidP="00E647D0">
      <w:pPr>
        <w:pStyle w:val="ListParagraph"/>
        <w:numPr>
          <w:ilvl w:val="0"/>
          <w:numId w:val="62"/>
        </w:numPr>
        <w:spacing w:after="0" w:line="360" w:lineRule="auto"/>
        <w:rPr>
          <w:rFonts w:ascii="Times New Roman" w:eastAsia="Times New Roman" w:hAnsi="Times New Roman" w:cs="Times New Roman"/>
          <w:kern w:val="0"/>
          <w:lang w:eastAsia="en-GB"/>
          <w14:ligatures w14:val="none"/>
        </w:rPr>
      </w:pPr>
      <w:proofErr w:type="spellStart"/>
      <w:r w:rsidRPr="00155E9A">
        <w:rPr>
          <w:rFonts w:ascii="Times New Roman" w:eastAsia="Times New Roman" w:hAnsi="Times New Roman" w:cs="Times New Roman"/>
          <w:kern w:val="0"/>
          <w:lang w:eastAsia="en-GB"/>
          <w14:ligatures w14:val="none"/>
        </w:rPr>
        <w:t>Atrill</w:t>
      </w:r>
      <w:proofErr w:type="spellEnd"/>
      <w:r w:rsidRPr="00155E9A">
        <w:rPr>
          <w:rFonts w:ascii="Times New Roman" w:eastAsia="Times New Roman" w:hAnsi="Times New Roman" w:cs="Times New Roman"/>
          <w:kern w:val="0"/>
          <w:lang w:eastAsia="en-GB"/>
          <w14:ligatures w14:val="none"/>
        </w:rPr>
        <w:t xml:space="preserve">, P., &amp; McLaney, E. (2016). </w:t>
      </w:r>
      <w:r w:rsidRPr="00155E9A">
        <w:rPr>
          <w:rFonts w:ascii="Times New Roman" w:eastAsia="Times New Roman" w:hAnsi="Times New Roman" w:cs="Times New Roman"/>
          <w:i/>
          <w:iCs/>
          <w:kern w:val="0"/>
          <w:lang w:eastAsia="en-GB"/>
          <w14:ligatures w14:val="none"/>
        </w:rPr>
        <w:t>Accounting and finance for non-specialists</w:t>
      </w:r>
      <w:r w:rsidRPr="00155E9A">
        <w:rPr>
          <w:rFonts w:ascii="Times New Roman" w:eastAsia="Times New Roman" w:hAnsi="Times New Roman" w:cs="Times New Roman"/>
          <w:kern w:val="0"/>
          <w:lang w:eastAsia="en-GB"/>
          <w14:ligatures w14:val="none"/>
        </w:rPr>
        <w:t>. 10</w:t>
      </w:r>
      <w:r w:rsidRPr="00155E9A">
        <w:rPr>
          <w:rFonts w:ascii="Times New Roman" w:eastAsia="Times New Roman" w:hAnsi="Times New Roman" w:cs="Times New Roman"/>
          <w:kern w:val="0"/>
          <w:vertAlign w:val="superscript"/>
          <w:lang w:eastAsia="en-GB"/>
          <w14:ligatures w14:val="none"/>
        </w:rPr>
        <w:t>th</w:t>
      </w:r>
      <w:r w:rsidRPr="00155E9A">
        <w:rPr>
          <w:rFonts w:ascii="Times New Roman" w:eastAsia="Times New Roman" w:hAnsi="Times New Roman" w:cs="Times New Roman"/>
          <w:kern w:val="0"/>
          <w:lang w:eastAsia="en-GB"/>
          <w14:ligatures w14:val="none"/>
        </w:rPr>
        <w:t xml:space="preserve"> Edition. Pearson Education. </w:t>
      </w:r>
    </w:p>
    <w:p w14:paraId="77CE36B2" w14:textId="77777777" w:rsidR="00E647D0" w:rsidRPr="00155E9A" w:rsidRDefault="00E647D0" w:rsidP="00E647D0">
      <w:pPr>
        <w:pStyle w:val="ListParagraph"/>
        <w:numPr>
          <w:ilvl w:val="0"/>
          <w:numId w:val="62"/>
        </w:numPr>
        <w:spacing w:after="0" w:line="360" w:lineRule="auto"/>
        <w:rPr>
          <w:rFonts w:ascii="Times New Roman" w:eastAsia="Times New Roman" w:hAnsi="Times New Roman" w:cs="Times New Roman"/>
          <w:kern w:val="0"/>
          <w:lang w:eastAsia="en-GB"/>
          <w14:ligatures w14:val="none"/>
        </w:rPr>
      </w:pPr>
      <w:proofErr w:type="spellStart"/>
      <w:r w:rsidRPr="00155E9A">
        <w:rPr>
          <w:rFonts w:ascii="Times New Roman" w:eastAsia="Times New Roman" w:hAnsi="Times New Roman" w:cs="Times New Roman"/>
          <w:kern w:val="0"/>
          <w:lang w:eastAsia="en-GB"/>
          <w14:ligatures w14:val="none"/>
        </w:rPr>
        <w:t>Atrill</w:t>
      </w:r>
      <w:proofErr w:type="spellEnd"/>
      <w:r w:rsidRPr="00155E9A">
        <w:rPr>
          <w:rFonts w:ascii="Times New Roman" w:eastAsia="Times New Roman" w:hAnsi="Times New Roman" w:cs="Times New Roman"/>
          <w:kern w:val="0"/>
          <w:lang w:eastAsia="en-GB"/>
          <w14:ligatures w14:val="none"/>
        </w:rPr>
        <w:t xml:space="preserve">, P., &amp; McLaney, E. (2018). </w:t>
      </w:r>
      <w:r w:rsidRPr="00155E9A">
        <w:rPr>
          <w:rFonts w:ascii="Times New Roman" w:eastAsia="Times New Roman" w:hAnsi="Times New Roman" w:cs="Times New Roman"/>
          <w:i/>
          <w:iCs/>
          <w:kern w:val="0"/>
          <w:lang w:eastAsia="en-GB"/>
          <w14:ligatures w14:val="none"/>
        </w:rPr>
        <w:t>Accounting and finance for non-specialists</w:t>
      </w:r>
      <w:r w:rsidRPr="00155E9A">
        <w:rPr>
          <w:rFonts w:ascii="Times New Roman" w:eastAsia="Times New Roman" w:hAnsi="Times New Roman" w:cs="Times New Roman"/>
          <w:kern w:val="0"/>
          <w:lang w:eastAsia="en-GB"/>
          <w14:ligatures w14:val="none"/>
        </w:rPr>
        <w:t xml:space="preserve">. Pearson Education, Limited. [online] Available at: </w:t>
      </w:r>
      <w:hyperlink r:id="rId8" w:history="1">
        <w:r w:rsidRPr="00155E9A">
          <w:rPr>
            <w:rStyle w:val="Hyperlink"/>
            <w:rFonts w:ascii="Times New Roman" w:hAnsi="Times New Roman" w:cs="Times New Roman"/>
            <w:shd w:val="clear" w:color="auto" w:fill="FFFFFF"/>
          </w:rPr>
          <w:t>https://ebookcentral.proquest.com/lib/trinity/detail.action?docID=5601284</w:t>
        </w:r>
      </w:hyperlink>
      <w:r w:rsidRPr="00155E9A">
        <w:rPr>
          <w:rFonts w:ascii="Times New Roman" w:hAnsi="Times New Roman" w:cs="Times New Roman"/>
          <w:color w:val="555555"/>
          <w:shd w:val="clear" w:color="auto" w:fill="FFFFFF"/>
        </w:rPr>
        <w:t xml:space="preserve"> </w:t>
      </w:r>
    </w:p>
    <w:p w14:paraId="3D1534B0" w14:textId="77777777" w:rsidR="00E647D0" w:rsidRPr="005D107C" w:rsidRDefault="00E647D0" w:rsidP="00E647D0">
      <w:pPr>
        <w:pStyle w:val="NoSpacing"/>
        <w:numPr>
          <w:ilvl w:val="0"/>
          <w:numId w:val="62"/>
        </w:numPr>
        <w:spacing w:line="360" w:lineRule="auto"/>
        <w:rPr>
          <w:rFonts w:ascii="Times New Roman" w:hAnsi="Times New Roman" w:cs="Times New Roman"/>
          <w:color w:val="000000" w:themeColor="text1"/>
        </w:rPr>
      </w:pPr>
      <w:r w:rsidRPr="005D107C">
        <w:rPr>
          <w:rFonts w:ascii="Times New Roman" w:hAnsi="Times New Roman" w:cs="Times New Roman"/>
          <w:color w:val="000000" w:themeColor="text1"/>
        </w:rPr>
        <w:t>Bender, R., &amp; Ward, K. (2002). Corporate Financial Strategy (2nd ed.). Routledge. https://doi.org/10.4324/9780080490816</w:t>
      </w:r>
    </w:p>
    <w:p w14:paraId="71931EAC" w14:textId="77777777" w:rsidR="00E647D0" w:rsidRPr="00155E9A" w:rsidRDefault="00E647D0" w:rsidP="00E647D0">
      <w:pPr>
        <w:pStyle w:val="NoSpacing"/>
        <w:numPr>
          <w:ilvl w:val="0"/>
          <w:numId w:val="62"/>
        </w:numPr>
        <w:spacing w:line="360" w:lineRule="auto"/>
        <w:rPr>
          <w:rFonts w:ascii="Times New Roman" w:eastAsia="Times New Roman" w:hAnsi="Times New Roman" w:cs="Times New Roman"/>
          <w:kern w:val="0"/>
          <w:lang w:eastAsia="en-GB"/>
          <w14:ligatures w14:val="none"/>
        </w:rPr>
      </w:pPr>
      <w:r w:rsidRPr="00155E9A">
        <w:rPr>
          <w:rFonts w:ascii="Times New Roman" w:hAnsi="Times New Roman" w:cs="Times New Roman"/>
          <w:color w:val="000000" w:themeColor="text1"/>
        </w:rPr>
        <w:t xml:space="preserve">Bender, R., &amp; Ward, K. (2002). Corporate Financial Strategy (2nd ed.). Routledge. </w:t>
      </w:r>
      <w:hyperlink r:id="rId9" w:history="1">
        <w:r w:rsidRPr="002572B5">
          <w:rPr>
            <w:rStyle w:val="Hyperlink"/>
            <w:rFonts w:ascii="Times New Roman" w:hAnsi="Times New Roman" w:cs="Times New Roman"/>
          </w:rPr>
          <w:t>https://doi.org/10.4324/9780080490816</w:t>
        </w:r>
      </w:hyperlink>
    </w:p>
    <w:p w14:paraId="340CAB6A" w14:textId="77777777" w:rsidR="00E647D0" w:rsidRPr="00155E9A" w:rsidRDefault="00E647D0" w:rsidP="00E647D0">
      <w:pPr>
        <w:pStyle w:val="NoSpacing"/>
        <w:numPr>
          <w:ilvl w:val="0"/>
          <w:numId w:val="62"/>
        </w:numPr>
        <w:spacing w:line="360" w:lineRule="auto"/>
        <w:rPr>
          <w:rFonts w:ascii="Times New Roman" w:eastAsia="Times New Roman" w:hAnsi="Times New Roman" w:cs="Times New Roman"/>
          <w:kern w:val="0"/>
          <w:lang w:eastAsia="en-GB"/>
          <w14:ligatures w14:val="none"/>
        </w:rPr>
      </w:pPr>
      <w:r w:rsidRPr="00155E9A">
        <w:rPr>
          <w:rFonts w:ascii="Times New Roman" w:eastAsia="Times New Roman" w:hAnsi="Times New Roman" w:cs="Times New Roman"/>
          <w:kern w:val="0"/>
          <w:lang w:eastAsia="en-GB"/>
          <w14:ligatures w14:val="none"/>
        </w:rPr>
        <w:t xml:space="preserve">Bragg, S. (2012). </w:t>
      </w:r>
      <w:r w:rsidRPr="00155E9A">
        <w:rPr>
          <w:rFonts w:ascii="Times New Roman" w:eastAsia="Times New Roman" w:hAnsi="Times New Roman" w:cs="Times New Roman"/>
          <w:i/>
          <w:iCs/>
          <w:kern w:val="0"/>
          <w:lang w:eastAsia="en-GB"/>
          <w14:ligatures w14:val="none"/>
        </w:rPr>
        <w:t>Financial Analysis: A Controller's Guide</w:t>
      </w:r>
      <w:r w:rsidRPr="00155E9A">
        <w:rPr>
          <w:rFonts w:ascii="Times New Roman" w:eastAsia="Times New Roman" w:hAnsi="Times New Roman" w:cs="Times New Roman"/>
          <w:kern w:val="0"/>
          <w:lang w:eastAsia="en-GB"/>
          <w14:ligatures w14:val="none"/>
        </w:rPr>
        <w:t>. Wiley.</w:t>
      </w:r>
    </w:p>
    <w:p w14:paraId="6518CFF5" w14:textId="77777777" w:rsidR="00E647D0" w:rsidRPr="00155E9A" w:rsidRDefault="00E647D0" w:rsidP="00E647D0">
      <w:pPr>
        <w:pStyle w:val="ListParagraph"/>
        <w:numPr>
          <w:ilvl w:val="0"/>
          <w:numId w:val="62"/>
        </w:numPr>
        <w:spacing w:after="0" w:line="360" w:lineRule="auto"/>
        <w:rPr>
          <w:rFonts w:ascii="Times New Roman" w:eastAsia="Times New Roman" w:hAnsi="Times New Roman" w:cs="Times New Roman"/>
          <w:kern w:val="0"/>
          <w:lang w:eastAsia="en-GB"/>
          <w14:ligatures w14:val="none"/>
        </w:rPr>
      </w:pPr>
      <w:r w:rsidRPr="00155E9A">
        <w:rPr>
          <w:rFonts w:ascii="Times New Roman" w:eastAsia="Times New Roman" w:hAnsi="Times New Roman" w:cs="Times New Roman"/>
          <w:kern w:val="0"/>
          <w:lang w:eastAsia="en-GB"/>
          <w14:ligatures w14:val="none"/>
        </w:rPr>
        <w:t xml:space="preserve">Brigham, E. F., &amp; Houston, J. F. (2019). </w:t>
      </w:r>
      <w:r w:rsidRPr="00155E9A">
        <w:rPr>
          <w:rFonts w:ascii="Times New Roman" w:eastAsia="Times New Roman" w:hAnsi="Times New Roman" w:cs="Times New Roman"/>
          <w:i/>
          <w:iCs/>
          <w:kern w:val="0"/>
          <w:lang w:eastAsia="en-GB"/>
          <w14:ligatures w14:val="none"/>
        </w:rPr>
        <w:t>Fundamentals of Financial Management</w:t>
      </w:r>
      <w:r w:rsidRPr="00155E9A">
        <w:rPr>
          <w:rFonts w:ascii="Times New Roman" w:eastAsia="Times New Roman" w:hAnsi="Times New Roman" w:cs="Times New Roman"/>
          <w:kern w:val="0"/>
          <w:lang w:eastAsia="en-GB"/>
          <w14:ligatures w14:val="none"/>
        </w:rPr>
        <w:t>. 15th ed. Boston, MA: Cengage Learning.</w:t>
      </w:r>
    </w:p>
    <w:p w14:paraId="03EECAAA" w14:textId="77777777" w:rsidR="00E647D0" w:rsidRPr="00155E9A" w:rsidRDefault="00E647D0" w:rsidP="00E647D0">
      <w:pPr>
        <w:pStyle w:val="ListParagraph"/>
        <w:numPr>
          <w:ilvl w:val="0"/>
          <w:numId w:val="62"/>
        </w:numPr>
        <w:spacing w:after="0" w:line="360" w:lineRule="auto"/>
        <w:rPr>
          <w:rFonts w:ascii="Times New Roman" w:eastAsia="Times New Roman" w:hAnsi="Times New Roman" w:cs="Times New Roman"/>
          <w:kern w:val="0"/>
          <w:lang w:eastAsia="en-GB"/>
          <w14:ligatures w14:val="none"/>
        </w:rPr>
      </w:pPr>
      <w:r w:rsidRPr="00155E9A">
        <w:rPr>
          <w:rFonts w:ascii="Times New Roman" w:eastAsia="Times New Roman" w:hAnsi="Times New Roman" w:cs="Times New Roman"/>
          <w:kern w:val="0"/>
          <w:lang w:eastAsia="en-GB"/>
          <w14:ligatures w14:val="none"/>
        </w:rPr>
        <w:t xml:space="preserve">Eugene F. Brigham, Michael C. Ehrhardt, (2016), </w:t>
      </w:r>
      <w:r w:rsidRPr="00155E9A">
        <w:rPr>
          <w:rFonts w:ascii="Times New Roman" w:eastAsia="Times New Roman" w:hAnsi="Times New Roman" w:cs="Times New Roman"/>
          <w:i/>
          <w:iCs/>
          <w:kern w:val="0"/>
          <w:lang w:eastAsia="en-GB"/>
          <w14:ligatures w14:val="none"/>
        </w:rPr>
        <w:t>Financial Management: Theory &amp; Practice</w:t>
      </w:r>
      <w:r w:rsidRPr="00155E9A">
        <w:rPr>
          <w:rFonts w:ascii="Times New Roman" w:eastAsia="Times New Roman" w:hAnsi="Times New Roman" w:cs="Times New Roman"/>
          <w:kern w:val="0"/>
          <w:lang w:eastAsia="en-GB"/>
          <w14:ligatures w14:val="none"/>
        </w:rPr>
        <w:t>, 15</w:t>
      </w:r>
      <w:r w:rsidRPr="00155E9A">
        <w:rPr>
          <w:rFonts w:ascii="Times New Roman" w:eastAsia="Times New Roman" w:hAnsi="Times New Roman" w:cs="Times New Roman"/>
          <w:kern w:val="0"/>
          <w:vertAlign w:val="superscript"/>
          <w:lang w:eastAsia="en-GB"/>
          <w14:ligatures w14:val="none"/>
        </w:rPr>
        <w:t>th</w:t>
      </w:r>
      <w:r w:rsidRPr="00155E9A">
        <w:rPr>
          <w:rFonts w:ascii="Times New Roman" w:eastAsia="Times New Roman" w:hAnsi="Times New Roman" w:cs="Times New Roman"/>
          <w:kern w:val="0"/>
          <w:lang w:eastAsia="en-GB"/>
          <w14:ligatures w14:val="none"/>
        </w:rPr>
        <w:t xml:space="preserve"> ed., Cengage Learning</w:t>
      </w:r>
    </w:p>
    <w:p w14:paraId="7AE19B5E" w14:textId="77777777" w:rsidR="00E647D0" w:rsidRPr="00155E9A" w:rsidRDefault="00E647D0" w:rsidP="00E647D0">
      <w:pPr>
        <w:pStyle w:val="ListParagraph"/>
        <w:numPr>
          <w:ilvl w:val="0"/>
          <w:numId w:val="62"/>
        </w:numPr>
        <w:spacing w:after="0" w:line="360" w:lineRule="auto"/>
        <w:rPr>
          <w:rFonts w:ascii="Times New Roman" w:hAnsi="Times New Roman" w:cs="Times New Roman"/>
        </w:rPr>
      </w:pPr>
      <w:r w:rsidRPr="00155E9A">
        <w:rPr>
          <w:rFonts w:ascii="Times New Roman" w:hAnsi="Times New Roman" w:cs="Times New Roman"/>
        </w:rPr>
        <w:t xml:space="preserve">Harris, M., &amp; Raviv, A. (1991). The Theory of Capital Structure. </w:t>
      </w:r>
      <w:r w:rsidRPr="00155E9A">
        <w:rPr>
          <w:rFonts w:ascii="Times New Roman" w:hAnsi="Times New Roman" w:cs="Times New Roman"/>
          <w:i/>
          <w:iCs/>
        </w:rPr>
        <w:t>The Journal of Finance</w:t>
      </w:r>
      <w:r w:rsidRPr="00155E9A">
        <w:rPr>
          <w:rFonts w:ascii="Times New Roman" w:hAnsi="Times New Roman" w:cs="Times New Roman"/>
        </w:rPr>
        <w:t>, 46(1), 297-355.</w:t>
      </w:r>
    </w:p>
    <w:p w14:paraId="3C126D85" w14:textId="77777777" w:rsidR="00E647D0" w:rsidRPr="00155E9A" w:rsidRDefault="00E647D0" w:rsidP="00E647D0">
      <w:pPr>
        <w:pStyle w:val="ListParagraph"/>
        <w:numPr>
          <w:ilvl w:val="0"/>
          <w:numId w:val="62"/>
        </w:numPr>
        <w:spacing w:after="0" w:line="360" w:lineRule="auto"/>
        <w:rPr>
          <w:rFonts w:ascii="Times New Roman" w:eastAsia="Times New Roman" w:hAnsi="Times New Roman" w:cs="Times New Roman"/>
          <w:kern w:val="0"/>
          <w:lang w:eastAsia="en-GB"/>
          <w14:ligatures w14:val="none"/>
        </w:rPr>
      </w:pPr>
      <w:r w:rsidRPr="00155E9A">
        <w:rPr>
          <w:rFonts w:ascii="Times New Roman" w:eastAsia="Times New Roman" w:hAnsi="Times New Roman" w:cs="Times New Roman"/>
          <w:kern w:val="0"/>
          <w:lang w:eastAsia="en-GB"/>
          <w14:ligatures w14:val="none"/>
        </w:rPr>
        <w:t xml:space="preserve">Horngren, C.T., Sundem, G.L., Elliott, J.A., and Philbrick, D. (2022) </w:t>
      </w:r>
      <w:r w:rsidRPr="00155E9A">
        <w:rPr>
          <w:rFonts w:ascii="Times New Roman" w:eastAsia="Times New Roman" w:hAnsi="Times New Roman" w:cs="Times New Roman"/>
          <w:i/>
          <w:iCs/>
          <w:kern w:val="0"/>
          <w:lang w:eastAsia="en-GB"/>
          <w14:ligatures w14:val="none"/>
        </w:rPr>
        <w:t>Introduction to Financial Accounting</w:t>
      </w:r>
      <w:r w:rsidRPr="00155E9A">
        <w:rPr>
          <w:rFonts w:ascii="Times New Roman" w:eastAsia="Times New Roman" w:hAnsi="Times New Roman" w:cs="Times New Roman"/>
          <w:kern w:val="0"/>
          <w:lang w:eastAsia="en-GB"/>
          <w14:ligatures w14:val="none"/>
        </w:rPr>
        <w:t>, 11th ed. Pearson.</w:t>
      </w:r>
    </w:p>
    <w:p w14:paraId="2A005146" w14:textId="77777777" w:rsidR="00E647D0" w:rsidRPr="00155E9A" w:rsidRDefault="00E647D0" w:rsidP="00E647D0">
      <w:pPr>
        <w:pStyle w:val="ListParagraph"/>
        <w:numPr>
          <w:ilvl w:val="0"/>
          <w:numId w:val="62"/>
        </w:numPr>
        <w:spacing w:after="0" w:line="360" w:lineRule="auto"/>
        <w:rPr>
          <w:rFonts w:ascii="Times New Roman" w:eastAsia="Times New Roman" w:hAnsi="Times New Roman" w:cs="Times New Roman"/>
          <w:kern w:val="0"/>
          <w:lang w:eastAsia="en-GB"/>
          <w14:ligatures w14:val="none"/>
        </w:rPr>
      </w:pPr>
      <w:proofErr w:type="spellStart"/>
      <w:r w:rsidRPr="00155E9A">
        <w:rPr>
          <w:rFonts w:ascii="Times New Roman" w:eastAsia="Times New Roman" w:hAnsi="Times New Roman" w:cs="Times New Roman"/>
          <w:kern w:val="0"/>
          <w:lang w:eastAsia="en-GB"/>
          <w14:ligatures w14:val="none"/>
        </w:rPr>
        <w:t>Kieso</w:t>
      </w:r>
      <w:proofErr w:type="spellEnd"/>
      <w:r w:rsidRPr="00155E9A">
        <w:rPr>
          <w:rFonts w:ascii="Times New Roman" w:eastAsia="Times New Roman" w:hAnsi="Times New Roman" w:cs="Times New Roman"/>
          <w:kern w:val="0"/>
          <w:lang w:eastAsia="en-GB"/>
          <w14:ligatures w14:val="none"/>
        </w:rPr>
        <w:t xml:space="preserve">, D.E., Weygandt, J.J., and Warfield, T.D. (2019). </w:t>
      </w:r>
      <w:r w:rsidRPr="00155E9A">
        <w:rPr>
          <w:rFonts w:ascii="Times New Roman" w:eastAsia="Times New Roman" w:hAnsi="Times New Roman" w:cs="Times New Roman"/>
          <w:i/>
          <w:iCs/>
          <w:kern w:val="0"/>
          <w:lang w:eastAsia="en-GB"/>
          <w14:ligatures w14:val="none"/>
        </w:rPr>
        <w:t>Intermediate Accounting</w:t>
      </w:r>
      <w:r w:rsidRPr="00155E9A">
        <w:rPr>
          <w:rFonts w:ascii="Times New Roman" w:eastAsia="Times New Roman" w:hAnsi="Times New Roman" w:cs="Times New Roman"/>
          <w:kern w:val="0"/>
          <w:lang w:eastAsia="en-GB"/>
          <w14:ligatures w14:val="none"/>
        </w:rPr>
        <w:t>. John Wiley &amp; Sons.</w:t>
      </w:r>
    </w:p>
    <w:p w14:paraId="693AA89E" w14:textId="77777777" w:rsidR="00E647D0" w:rsidRPr="00155E9A" w:rsidRDefault="00E647D0" w:rsidP="00E647D0">
      <w:pPr>
        <w:pStyle w:val="ListParagraph"/>
        <w:numPr>
          <w:ilvl w:val="0"/>
          <w:numId w:val="62"/>
        </w:numPr>
        <w:spacing w:after="0" w:line="360" w:lineRule="auto"/>
        <w:rPr>
          <w:rFonts w:ascii="Times New Roman" w:eastAsia="Times New Roman" w:hAnsi="Times New Roman" w:cs="Times New Roman"/>
          <w:kern w:val="0"/>
          <w:lang w:eastAsia="en-GB"/>
          <w14:ligatures w14:val="none"/>
        </w:rPr>
      </w:pPr>
      <w:r w:rsidRPr="00155E9A">
        <w:rPr>
          <w:rFonts w:ascii="Times New Roman" w:eastAsia="Times New Roman" w:hAnsi="Times New Roman" w:cs="Times New Roman"/>
          <w:kern w:val="0"/>
          <w:lang w:eastAsia="en-GB"/>
          <w14:ligatures w14:val="none"/>
        </w:rPr>
        <w:t xml:space="preserve">Libby, R., Libby, P., and Short, D.G. (2014). </w:t>
      </w:r>
      <w:r w:rsidRPr="00155E9A">
        <w:rPr>
          <w:rFonts w:ascii="Times New Roman" w:eastAsia="Times New Roman" w:hAnsi="Times New Roman" w:cs="Times New Roman"/>
          <w:i/>
          <w:iCs/>
          <w:kern w:val="0"/>
          <w:lang w:eastAsia="en-GB"/>
          <w14:ligatures w14:val="none"/>
        </w:rPr>
        <w:t>Financial Accounting</w:t>
      </w:r>
      <w:r w:rsidRPr="00155E9A">
        <w:rPr>
          <w:rFonts w:ascii="Times New Roman" w:eastAsia="Times New Roman" w:hAnsi="Times New Roman" w:cs="Times New Roman"/>
          <w:kern w:val="0"/>
          <w:lang w:eastAsia="en-GB"/>
          <w14:ligatures w14:val="none"/>
        </w:rPr>
        <w:t>. McGraw-Hill Education.</w:t>
      </w:r>
    </w:p>
    <w:p w14:paraId="0A63AC77" w14:textId="77777777" w:rsidR="00E647D0" w:rsidRPr="00155E9A" w:rsidRDefault="00E647D0" w:rsidP="00E647D0">
      <w:pPr>
        <w:pStyle w:val="ListParagraph"/>
        <w:numPr>
          <w:ilvl w:val="0"/>
          <w:numId w:val="62"/>
        </w:numPr>
        <w:spacing w:after="0" w:line="360" w:lineRule="auto"/>
        <w:rPr>
          <w:rFonts w:ascii="Times New Roman" w:eastAsia="Times New Roman" w:hAnsi="Times New Roman" w:cs="Times New Roman"/>
          <w:kern w:val="0"/>
          <w:lang w:eastAsia="en-GB"/>
          <w14:ligatures w14:val="none"/>
        </w:rPr>
      </w:pPr>
      <w:r w:rsidRPr="00155E9A">
        <w:rPr>
          <w:rFonts w:ascii="Times New Roman" w:eastAsia="Times New Roman" w:hAnsi="Times New Roman" w:cs="Times New Roman"/>
          <w:kern w:val="0"/>
          <w:lang w:eastAsia="en-GB"/>
          <w14:ligatures w14:val="none"/>
        </w:rPr>
        <w:t xml:space="preserve">Marx, Ben &amp; Du Toit, Erica. (2009). The impact of accounting standards developments and financial reporting complexities on the audit committee. </w:t>
      </w:r>
      <w:r w:rsidRPr="00155E9A">
        <w:rPr>
          <w:rFonts w:ascii="Times New Roman" w:eastAsia="Times New Roman" w:hAnsi="Times New Roman" w:cs="Times New Roman"/>
          <w:i/>
          <w:iCs/>
          <w:kern w:val="0"/>
          <w:lang w:eastAsia="en-GB"/>
          <w14:ligatures w14:val="none"/>
        </w:rPr>
        <w:t>Journal of Economic and Financial Sciences</w:t>
      </w:r>
      <w:r w:rsidRPr="00155E9A">
        <w:rPr>
          <w:rFonts w:ascii="Times New Roman" w:eastAsia="Times New Roman" w:hAnsi="Times New Roman" w:cs="Times New Roman"/>
          <w:kern w:val="0"/>
          <w:lang w:eastAsia="en-GB"/>
          <w14:ligatures w14:val="none"/>
        </w:rPr>
        <w:t>. 3. 115-132. 10.4102/</w:t>
      </w:r>
      <w:proofErr w:type="gramStart"/>
      <w:r w:rsidRPr="00155E9A">
        <w:rPr>
          <w:rFonts w:ascii="Times New Roman" w:eastAsia="Times New Roman" w:hAnsi="Times New Roman" w:cs="Times New Roman"/>
          <w:kern w:val="0"/>
          <w:lang w:eastAsia="en-GB"/>
          <w14:ligatures w14:val="none"/>
        </w:rPr>
        <w:t>jef.v</w:t>
      </w:r>
      <w:proofErr w:type="gramEnd"/>
      <w:r w:rsidRPr="00155E9A">
        <w:rPr>
          <w:rFonts w:ascii="Times New Roman" w:eastAsia="Times New Roman" w:hAnsi="Times New Roman" w:cs="Times New Roman"/>
          <w:kern w:val="0"/>
          <w:lang w:eastAsia="en-GB"/>
          <w14:ligatures w14:val="none"/>
        </w:rPr>
        <w:t xml:space="preserve">3i2.338. [online] Available at: </w:t>
      </w:r>
      <w:hyperlink r:id="rId10" w:history="1">
        <w:r w:rsidRPr="00155E9A">
          <w:rPr>
            <w:rStyle w:val="Hyperlink"/>
            <w:rFonts w:ascii="Times New Roman" w:eastAsia="Times New Roman" w:hAnsi="Times New Roman" w:cs="Times New Roman"/>
            <w:kern w:val="0"/>
            <w:lang w:eastAsia="en-GB"/>
            <w14:ligatures w14:val="none"/>
          </w:rPr>
          <w:t>https://www.researchgate.net/publication/334753790_The_impact_of_accounting_standards_developments_and_financial_reporting_complexities_on_the_audit_committee</w:t>
        </w:r>
      </w:hyperlink>
      <w:r w:rsidRPr="00155E9A">
        <w:rPr>
          <w:rFonts w:ascii="Times New Roman" w:eastAsia="Times New Roman" w:hAnsi="Times New Roman" w:cs="Times New Roman"/>
          <w:kern w:val="0"/>
          <w:lang w:eastAsia="en-GB"/>
          <w14:ligatures w14:val="none"/>
        </w:rPr>
        <w:t xml:space="preserve"> </w:t>
      </w:r>
    </w:p>
    <w:p w14:paraId="2CDBF665" w14:textId="77777777" w:rsidR="00E647D0" w:rsidRPr="00155E9A" w:rsidRDefault="00E647D0" w:rsidP="00E647D0">
      <w:pPr>
        <w:pStyle w:val="ListParagraph"/>
        <w:numPr>
          <w:ilvl w:val="0"/>
          <w:numId w:val="62"/>
        </w:numPr>
        <w:spacing w:after="0" w:line="360" w:lineRule="auto"/>
        <w:rPr>
          <w:rFonts w:ascii="Times New Roman" w:eastAsia="Times New Roman" w:hAnsi="Times New Roman" w:cs="Times New Roman"/>
          <w:kern w:val="0"/>
          <w:lang w:eastAsia="en-GB"/>
          <w14:ligatures w14:val="none"/>
        </w:rPr>
      </w:pPr>
      <w:r w:rsidRPr="00155E9A">
        <w:rPr>
          <w:rFonts w:ascii="Times New Roman" w:eastAsia="Times New Roman" w:hAnsi="Times New Roman" w:cs="Times New Roman"/>
          <w:kern w:val="0"/>
          <w:lang w:eastAsia="en-GB"/>
          <w14:ligatures w14:val="none"/>
        </w:rPr>
        <w:t xml:space="preserve">Nobes, C., &amp; Parker, R. (2020). </w:t>
      </w:r>
      <w:r w:rsidRPr="00155E9A">
        <w:rPr>
          <w:rFonts w:ascii="Times New Roman" w:eastAsia="Times New Roman" w:hAnsi="Times New Roman" w:cs="Times New Roman"/>
          <w:i/>
          <w:iCs/>
          <w:kern w:val="0"/>
          <w:lang w:eastAsia="en-GB"/>
          <w14:ligatures w14:val="none"/>
        </w:rPr>
        <w:t>Comparative International Accounting</w:t>
      </w:r>
      <w:r w:rsidRPr="00155E9A">
        <w:rPr>
          <w:rFonts w:ascii="Times New Roman" w:eastAsia="Times New Roman" w:hAnsi="Times New Roman" w:cs="Times New Roman"/>
          <w:kern w:val="0"/>
          <w:lang w:eastAsia="en-GB"/>
          <w14:ligatures w14:val="none"/>
        </w:rPr>
        <w:t>. 14</w:t>
      </w:r>
      <w:r w:rsidRPr="00155E9A">
        <w:rPr>
          <w:rFonts w:ascii="Times New Roman" w:eastAsia="Times New Roman" w:hAnsi="Times New Roman" w:cs="Times New Roman"/>
          <w:kern w:val="0"/>
          <w:vertAlign w:val="superscript"/>
          <w:lang w:eastAsia="en-GB"/>
          <w14:ligatures w14:val="none"/>
        </w:rPr>
        <w:t>th</w:t>
      </w:r>
      <w:r w:rsidRPr="00155E9A">
        <w:rPr>
          <w:rFonts w:ascii="Times New Roman" w:eastAsia="Times New Roman" w:hAnsi="Times New Roman" w:cs="Times New Roman"/>
          <w:kern w:val="0"/>
          <w:lang w:eastAsia="en-GB"/>
          <w14:ligatures w14:val="none"/>
        </w:rPr>
        <w:t xml:space="preserve"> ed. Pearson Education.</w:t>
      </w:r>
    </w:p>
    <w:p w14:paraId="0D885E21" w14:textId="77777777" w:rsidR="00E647D0" w:rsidRPr="00155E9A" w:rsidRDefault="00E647D0" w:rsidP="00E647D0">
      <w:pPr>
        <w:pStyle w:val="ListParagraph"/>
        <w:numPr>
          <w:ilvl w:val="0"/>
          <w:numId w:val="62"/>
        </w:numPr>
        <w:spacing w:after="0" w:line="360" w:lineRule="auto"/>
        <w:rPr>
          <w:rFonts w:ascii="Times New Roman" w:eastAsia="Times New Roman" w:hAnsi="Times New Roman" w:cs="Times New Roman"/>
          <w:kern w:val="0"/>
          <w:lang w:eastAsia="en-GB"/>
          <w14:ligatures w14:val="none"/>
        </w:rPr>
      </w:pPr>
      <w:r w:rsidRPr="00155E9A">
        <w:rPr>
          <w:rFonts w:ascii="Times New Roman" w:eastAsia="Times New Roman" w:hAnsi="Times New Roman" w:cs="Times New Roman"/>
          <w:kern w:val="0"/>
          <w:lang w:eastAsia="en-GB"/>
          <w14:ligatures w14:val="none"/>
        </w:rPr>
        <w:t xml:space="preserve">Ross, S. A., Westerfield, R. W., &amp; Jordan, B. D. (2008). </w:t>
      </w:r>
      <w:r w:rsidRPr="00155E9A">
        <w:rPr>
          <w:rFonts w:ascii="Times New Roman" w:eastAsia="Times New Roman" w:hAnsi="Times New Roman" w:cs="Times New Roman"/>
          <w:i/>
          <w:iCs/>
          <w:kern w:val="0"/>
          <w:lang w:eastAsia="en-GB"/>
          <w14:ligatures w14:val="none"/>
        </w:rPr>
        <w:t>Fundamentals of Corporate Finance</w:t>
      </w:r>
      <w:r w:rsidRPr="00155E9A">
        <w:rPr>
          <w:rFonts w:ascii="Times New Roman" w:eastAsia="Times New Roman" w:hAnsi="Times New Roman" w:cs="Times New Roman"/>
          <w:kern w:val="0"/>
          <w:lang w:eastAsia="en-GB"/>
          <w14:ligatures w14:val="none"/>
        </w:rPr>
        <w:t>. McGraw-Hill/Irwin.</w:t>
      </w:r>
    </w:p>
    <w:p w14:paraId="438FDEDF" w14:textId="77777777" w:rsidR="00E647D0" w:rsidRPr="00155E9A" w:rsidRDefault="00E647D0" w:rsidP="00E647D0">
      <w:pPr>
        <w:pStyle w:val="ListParagraph"/>
        <w:numPr>
          <w:ilvl w:val="0"/>
          <w:numId w:val="62"/>
        </w:numPr>
        <w:spacing w:after="0" w:line="360" w:lineRule="auto"/>
        <w:rPr>
          <w:rFonts w:ascii="Times New Roman" w:eastAsia="Times New Roman" w:hAnsi="Times New Roman" w:cs="Times New Roman"/>
          <w:kern w:val="0"/>
          <w:lang w:eastAsia="en-GB"/>
          <w14:ligatures w14:val="none"/>
        </w:rPr>
      </w:pPr>
      <w:r w:rsidRPr="00155E9A">
        <w:rPr>
          <w:rFonts w:ascii="Times New Roman" w:hAnsi="Times New Roman" w:cs="Times New Roman"/>
        </w:rPr>
        <w:t xml:space="preserve">Sangster, Alan, et al. Frank Wood's Business Accounting, Volume 1, Pearson Education, Limited, 2017. ProQuest </w:t>
      </w:r>
      <w:proofErr w:type="spellStart"/>
      <w:r w:rsidRPr="00155E9A">
        <w:rPr>
          <w:rFonts w:ascii="Times New Roman" w:hAnsi="Times New Roman" w:cs="Times New Roman"/>
        </w:rPr>
        <w:t>Ebook</w:t>
      </w:r>
      <w:proofErr w:type="spellEnd"/>
      <w:r w:rsidRPr="00155E9A">
        <w:rPr>
          <w:rFonts w:ascii="Times New Roman" w:hAnsi="Times New Roman" w:cs="Times New Roman"/>
        </w:rPr>
        <w:t xml:space="preserve"> Central, [online] Available at: </w:t>
      </w:r>
      <w:hyperlink r:id="rId11" w:history="1">
        <w:r w:rsidRPr="00155E9A">
          <w:rPr>
            <w:rStyle w:val="Hyperlink"/>
            <w:rFonts w:ascii="Times New Roman" w:hAnsi="Times New Roman" w:cs="Times New Roman"/>
          </w:rPr>
          <w:t>https://ebookcentral.proquest.com/lib/trinity/detail.action?docID=5403555</w:t>
        </w:r>
      </w:hyperlink>
      <w:r w:rsidRPr="00155E9A">
        <w:rPr>
          <w:rFonts w:ascii="Times New Roman" w:hAnsi="Times New Roman" w:cs="Times New Roman"/>
        </w:rPr>
        <w:t xml:space="preserve"> </w:t>
      </w:r>
    </w:p>
    <w:p w14:paraId="0165E469" w14:textId="77777777" w:rsidR="00E647D0" w:rsidRPr="00155E9A" w:rsidRDefault="00E647D0" w:rsidP="00E647D0">
      <w:pPr>
        <w:pStyle w:val="ListParagraph"/>
        <w:numPr>
          <w:ilvl w:val="0"/>
          <w:numId w:val="62"/>
        </w:numPr>
        <w:spacing w:after="0" w:line="360" w:lineRule="auto"/>
        <w:rPr>
          <w:rFonts w:ascii="Times New Roman" w:eastAsia="Times New Roman" w:hAnsi="Times New Roman" w:cs="Times New Roman"/>
          <w:kern w:val="0"/>
          <w:lang w:eastAsia="en-GB"/>
          <w14:ligatures w14:val="none"/>
        </w:rPr>
      </w:pPr>
      <w:r w:rsidRPr="00155E9A">
        <w:rPr>
          <w:rFonts w:ascii="Times New Roman" w:eastAsia="Times New Roman" w:hAnsi="Times New Roman" w:cs="Times New Roman"/>
          <w:kern w:val="0"/>
          <w:lang w:eastAsia="en-GB"/>
          <w14:ligatures w14:val="none"/>
        </w:rPr>
        <w:t xml:space="preserve">Scott, W.R. (2019). </w:t>
      </w:r>
      <w:r w:rsidRPr="00155E9A">
        <w:rPr>
          <w:rFonts w:ascii="Times New Roman" w:eastAsia="Times New Roman" w:hAnsi="Times New Roman" w:cs="Times New Roman"/>
          <w:i/>
          <w:iCs/>
          <w:kern w:val="0"/>
          <w:lang w:eastAsia="en-GB"/>
          <w14:ligatures w14:val="none"/>
        </w:rPr>
        <w:t>Financial Accounting Theory</w:t>
      </w:r>
      <w:r w:rsidRPr="00155E9A">
        <w:rPr>
          <w:rFonts w:ascii="Times New Roman" w:eastAsia="Times New Roman" w:hAnsi="Times New Roman" w:cs="Times New Roman"/>
          <w:kern w:val="0"/>
          <w:lang w:eastAsia="en-GB"/>
          <w14:ligatures w14:val="none"/>
        </w:rPr>
        <w:t>. 4</w:t>
      </w:r>
      <w:r w:rsidRPr="00155E9A">
        <w:rPr>
          <w:rFonts w:ascii="Times New Roman" w:eastAsia="Times New Roman" w:hAnsi="Times New Roman" w:cs="Times New Roman"/>
          <w:kern w:val="0"/>
          <w:vertAlign w:val="superscript"/>
          <w:lang w:eastAsia="en-GB"/>
          <w14:ligatures w14:val="none"/>
        </w:rPr>
        <w:t>th</w:t>
      </w:r>
      <w:r w:rsidRPr="00155E9A">
        <w:rPr>
          <w:rFonts w:ascii="Times New Roman" w:eastAsia="Times New Roman" w:hAnsi="Times New Roman" w:cs="Times New Roman"/>
          <w:kern w:val="0"/>
          <w:lang w:eastAsia="en-GB"/>
          <w14:ligatures w14:val="none"/>
        </w:rPr>
        <w:t xml:space="preserve"> ed. Pearson Education.</w:t>
      </w:r>
    </w:p>
    <w:p w14:paraId="3CF849FD" w14:textId="77777777" w:rsidR="00E647D0" w:rsidRPr="00155E9A" w:rsidRDefault="00E647D0" w:rsidP="00E647D0">
      <w:pPr>
        <w:pStyle w:val="ListParagraph"/>
        <w:numPr>
          <w:ilvl w:val="0"/>
          <w:numId w:val="62"/>
        </w:numPr>
        <w:spacing w:after="0" w:line="360" w:lineRule="auto"/>
        <w:rPr>
          <w:rFonts w:ascii="Times New Roman" w:eastAsia="Times New Roman" w:hAnsi="Times New Roman" w:cs="Times New Roman"/>
          <w:kern w:val="0"/>
          <w:lang w:eastAsia="en-GB"/>
          <w14:ligatures w14:val="none"/>
        </w:rPr>
      </w:pPr>
      <w:r w:rsidRPr="00155E9A">
        <w:rPr>
          <w:rFonts w:ascii="Times New Roman" w:eastAsia="Times New Roman" w:hAnsi="Times New Roman" w:cs="Times New Roman"/>
          <w:kern w:val="0"/>
          <w:lang w:eastAsia="en-GB"/>
          <w14:ligatures w14:val="none"/>
        </w:rPr>
        <w:lastRenderedPageBreak/>
        <w:t xml:space="preserve">Warren, C.S., Reeve, J.M., and Duchac, J.E. (2016) </w:t>
      </w:r>
      <w:r w:rsidRPr="00155E9A">
        <w:rPr>
          <w:rFonts w:ascii="Times New Roman" w:eastAsia="Times New Roman" w:hAnsi="Times New Roman" w:cs="Times New Roman"/>
          <w:i/>
          <w:iCs/>
          <w:kern w:val="0"/>
          <w:lang w:eastAsia="en-GB"/>
          <w14:ligatures w14:val="none"/>
        </w:rPr>
        <w:t>Corporate Financial Accounting</w:t>
      </w:r>
      <w:r w:rsidRPr="00155E9A">
        <w:rPr>
          <w:rFonts w:ascii="Times New Roman" w:eastAsia="Times New Roman" w:hAnsi="Times New Roman" w:cs="Times New Roman"/>
          <w:kern w:val="0"/>
          <w:lang w:eastAsia="en-GB"/>
          <w14:ligatures w14:val="none"/>
        </w:rPr>
        <w:t>, 14th ed. Cengage Learning.</w:t>
      </w:r>
    </w:p>
    <w:p w14:paraId="1C3B5172" w14:textId="77777777" w:rsidR="00E647D0" w:rsidRPr="00155E9A" w:rsidRDefault="00E647D0" w:rsidP="00E647D0">
      <w:pPr>
        <w:pStyle w:val="ListParagraph"/>
        <w:numPr>
          <w:ilvl w:val="0"/>
          <w:numId w:val="62"/>
        </w:numPr>
        <w:spacing w:after="0" w:line="360" w:lineRule="auto"/>
        <w:rPr>
          <w:rFonts w:ascii="Times New Roman" w:eastAsia="Times New Roman" w:hAnsi="Times New Roman" w:cs="Times New Roman"/>
          <w:kern w:val="0"/>
          <w:lang w:eastAsia="en-GB"/>
          <w14:ligatures w14:val="none"/>
        </w:rPr>
      </w:pPr>
      <w:r w:rsidRPr="00155E9A">
        <w:rPr>
          <w:rFonts w:ascii="Times New Roman" w:eastAsia="Times New Roman" w:hAnsi="Times New Roman" w:cs="Times New Roman"/>
          <w:kern w:val="0"/>
          <w:lang w:eastAsia="en-GB"/>
          <w14:ligatures w14:val="none"/>
        </w:rPr>
        <w:t>Weetman, P. (201</w:t>
      </w:r>
      <w:r>
        <w:rPr>
          <w:rFonts w:ascii="Times New Roman" w:eastAsia="Times New Roman" w:hAnsi="Times New Roman" w:cs="Times New Roman"/>
          <w:kern w:val="0"/>
          <w:lang w:eastAsia="en-GB"/>
          <w14:ligatures w14:val="none"/>
        </w:rPr>
        <w:t>9</w:t>
      </w:r>
      <w:r w:rsidRPr="00155E9A">
        <w:rPr>
          <w:rFonts w:ascii="Times New Roman" w:eastAsia="Times New Roman" w:hAnsi="Times New Roman" w:cs="Times New Roman"/>
          <w:kern w:val="0"/>
          <w:lang w:eastAsia="en-GB"/>
          <w14:ligatures w14:val="none"/>
        </w:rPr>
        <w:t xml:space="preserve">). </w:t>
      </w:r>
      <w:r w:rsidRPr="00155E9A">
        <w:rPr>
          <w:rFonts w:ascii="Times New Roman" w:eastAsia="Times New Roman" w:hAnsi="Times New Roman" w:cs="Times New Roman"/>
          <w:i/>
          <w:iCs/>
          <w:kern w:val="0"/>
          <w:lang w:eastAsia="en-GB"/>
          <w14:ligatures w14:val="none"/>
        </w:rPr>
        <w:t>Financial Accounting</w:t>
      </w:r>
      <w:r>
        <w:rPr>
          <w:rFonts w:ascii="Times New Roman" w:eastAsia="Times New Roman" w:hAnsi="Times New Roman" w:cs="Times New Roman"/>
          <w:i/>
          <w:iCs/>
          <w:kern w:val="0"/>
          <w:lang w:eastAsia="en-GB"/>
          <w14:ligatures w14:val="none"/>
        </w:rPr>
        <w:t>, An Introduction</w:t>
      </w:r>
      <w:r w:rsidRPr="00155E9A">
        <w:rPr>
          <w:rFonts w:ascii="Times New Roman" w:eastAsia="Times New Roman" w:hAnsi="Times New Roman" w:cs="Times New Roman"/>
          <w:kern w:val="0"/>
          <w:lang w:eastAsia="en-GB"/>
          <w14:ligatures w14:val="none"/>
        </w:rPr>
        <w:t xml:space="preserve">. Pearson </w:t>
      </w:r>
      <w:r>
        <w:rPr>
          <w:rFonts w:ascii="Times New Roman" w:eastAsia="Times New Roman" w:hAnsi="Times New Roman" w:cs="Times New Roman"/>
          <w:kern w:val="0"/>
          <w:lang w:eastAsia="en-GB"/>
          <w14:ligatures w14:val="none"/>
        </w:rPr>
        <w:t>UK</w:t>
      </w:r>
      <w:r w:rsidRPr="00155E9A">
        <w:rPr>
          <w:rFonts w:ascii="Times New Roman" w:eastAsia="Times New Roman" w:hAnsi="Times New Roman" w:cs="Times New Roman"/>
          <w:kern w:val="0"/>
          <w:lang w:eastAsia="en-GB"/>
          <w14:ligatures w14:val="none"/>
        </w:rPr>
        <w:t>.</w:t>
      </w:r>
    </w:p>
    <w:p w14:paraId="2AB03BE3" w14:textId="77777777" w:rsidR="00E647D0" w:rsidRPr="00155E9A" w:rsidRDefault="00E647D0" w:rsidP="00E647D0">
      <w:pPr>
        <w:pStyle w:val="ListParagraph"/>
        <w:numPr>
          <w:ilvl w:val="0"/>
          <w:numId w:val="62"/>
        </w:numPr>
        <w:spacing w:after="0" w:line="360" w:lineRule="auto"/>
        <w:rPr>
          <w:rFonts w:ascii="Times New Roman" w:eastAsia="Times New Roman" w:hAnsi="Times New Roman" w:cs="Times New Roman"/>
          <w:kern w:val="0"/>
          <w:lang w:eastAsia="en-GB"/>
          <w14:ligatures w14:val="none"/>
        </w:rPr>
      </w:pPr>
      <w:r w:rsidRPr="00155E9A">
        <w:rPr>
          <w:rFonts w:ascii="Times New Roman" w:eastAsia="Times New Roman" w:hAnsi="Times New Roman" w:cs="Times New Roman"/>
          <w:kern w:val="0"/>
          <w:lang w:eastAsia="en-GB"/>
          <w14:ligatures w14:val="none"/>
        </w:rPr>
        <w:t xml:space="preserve">Weygandt, J.J., Kimmel, P.D., and </w:t>
      </w:r>
      <w:proofErr w:type="spellStart"/>
      <w:r w:rsidRPr="00155E9A">
        <w:rPr>
          <w:rFonts w:ascii="Times New Roman" w:eastAsia="Times New Roman" w:hAnsi="Times New Roman" w:cs="Times New Roman"/>
          <w:kern w:val="0"/>
          <w:lang w:eastAsia="en-GB"/>
          <w14:ligatures w14:val="none"/>
        </w:rPr>
        <w:t>Kieso</w:t>
      </w:r>
      <w:proofErr w:type="spellEnd"/>
      <w:r w:rsidRPr="00155E9A">
        <w:rPr>
          <w:rFonts w:ascii="Times New Roman" w:eastAsia="Times New Roman" w:hAnsi="Times New Roman" w:cs="Times New Roman"/>
          <w:kern w:val="0"/>
          <w:lang w:eastAsia="en-GB"/>
          <w14:ligatures w14:val="none"/>
        </w:rPr>
        <w:t xml:space="preserve">, D.E. (2020). </w:t>
      </w:r>
      <w:r w:rsidRPr="00155E9A">
        <w:rPr>
          <w:rFonts w:ascii="Times New Roman" w:eastAsia="Times New Roman" w:hAnsi="Times New Roman" w:cs="Times New Roman"/>
          <w:i/>
          <w:iCs/>
          <w:kern w:val="0"/>
          <w:lang w:eastAsia="en-GB"/>
          <w14:ligatures w14:val="none"/>
        </w:rPr>
        <w:t>Accounting Principles</w:t>
      </w:r>
      <w:r w:rsidRPr="00155E9A">
        <w:rPr>
          <w:rFonts w:ascii="Times New Roman" w:eastAsia="Times New Roman" w:hAnsi="Times New Roman" w:cs="Times New Roman"/>
          <w:kern w:val="0"/>
          <w:lang w:eastAsia="en-GB"/>
          <w14:ligatures w14:val="none"/>
        </w:rPr>
        <w:t>. John Wiley &amp; Sons.</w:t>
      </w:r>
    </w:p>
    <w:p w14:paraId="45F63327" w14:textId="77777777" w:rsidR="00E647D0" w:rsidRPr="005B7C1F" w:rsidRDefault="00E647D0" w:rsidP="00E647D0">
      <w:pPr>
        <w:pStyle w:val="NoSpacing"/>
        <w:spacing w:after="240" w:line="360" w:lineRule="auto"/>
        <w:jc w:val="both"/>
      </w:pPr>
    </w:p>
    <w:p w14:paraId="5DD8FC35" w14:textId="11154825" w:rsidR="005B7C1F" w:rsidRDefault="005B7C1F">
      <w:pPr>
        <w:spacing w:line="259" w:lineRule="auto"/>
        <w:rPr>
          <w:rFonts w:ascii="Times New Roman" w:hAnsi="Times New Roman" w:cs="Times New Roman"/>
          <w:sz w:val="24"/>
          <w:szCs w:val="24"/>
        </w:rPr>
      </w:pPr>
    </w:p>
    <w:sectPr w:rsidR="005B7C1F">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E91D1" w14:textId="77777777" w:rsidR="00024BFB" w:rsidRDefault="00024BFB" w:rsidP="00501BAC">
      <w:pPr>
        <w:spacing w:after="0" w:line="240" w:lineRule="auto"/>
      </w:pPr>
      <w:r>
        <w:separator/>
      </w:r>
    </w:p>
  </w:endnote>
  <w:endnote w:type="continuationSeparator" w:id="0">
    <w:p w14:paraId="1541B434" w14:textId="77777777" w:rsidR="00024BFB" w:rsidRDefault="00024BFB" w:rsidP="00501B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6376916"/>
      <w:docPartObj>
        <w:docPartGallery w:val="Page Numbers (Bottom of Page)"/>
        <w:docPartUnique/>
      </w:docPartObj>
    </w:sdtPr>
    <w:sdtEndPr/>
    <w:sdtContent>
      <w:sdt>
        <w:sdtPr>
          <w:id w:val="-1705238520"/>
          <w:docPartObj>
            <w:docPartGallery w:val="Page Numbers (Top of Page)"/>
            <w:docPartUnique/>
          </w:docPartObj>
        </w:sdtPr>
        <w:sdtEndPr/>
        <w:sdtContent>
          <w:p w14:paraId="704DD25A" w14:textId="48441EBD" w:rsidR="003E3BF7" w:rsidRDefault="003E3BF7">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490A79A" w14:textId="77777777" w:rsidR="003E3BF7" w:rsidRDefault="003E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733D12" w14:textId="77777777" w:rsidR="00024BFB" w:rsidRDefault="00024BFB" w:rsidP="00501BAC">
      <w:pPr>
        <w:spacing w:after="0" w:line="240" w:lineRule="auto"/>
      </w:pPr>
      <w:r>
        <w:separator/>
      </w:r>
    </w:p>
  </w:footnote>
  <w:footnote w:type="continuationSeparator" w:id="0">
    <w:p w14:paraId="723B19D7" w14:textId="77777777" w:rsidR="00024BFB" w:rsidRDefault="00024BFB" w:rsidP="00501B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37994"/>
    <w:multiLevelType w:val="multilevel"/>
    <w:tmpl w:val="9D101EE8"/>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1" w15:restartNumberingAfterBreak="0">
    <w:nsid w:val="00FA1C4C"/>
    <w:multiLevelType w:val="multilevel"/>
    <w:tmpl w:val="80E8E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5C5F77"/>
    <w:multiLevelType w:val="hybridMultilevel"/>
    <w:tmpl w:val="58DC86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4B95935"/>
    <w:multiLevelType w:val="multilevel"/>
    <w:tmpl w:val="FCE45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171D31"/>
    <w:multiLevelType w:val="multilevel"/>
    <w:tmpl w:val="48AEC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79529B"/>
    <w:multiLevelType w:val="multilevel"/>
    <w:tmpl w:val="A9A0F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D92DDF"/>
    <w:multiLevelType w:val="multilevel"/>
    <w:tmpl w:val="23C49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380672"/>
    <w:multiLevelType w:val="multilevel"/>
    <w:tmpl w:val="C2D05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8695453"/>
    <w:multiLevelType w:val="multilevel"/>
    <w:tmpl w:val="6DE2F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B66FDF"/>
    <w:multiLevelType w:val="multilevel"/>
    <w:tmpl w:val="FC74A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DB7E64"/>
    <w:multiLevelType w:val="multilevel"/>
    <w:tmpl w:val="306E6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973EFF"/>
    <w:multiLevelType w:val="multilevel"/>
    <w:tmpl w:val="D646C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844D1B"/>
    <w:multiLevelType w:val="multilevel"/>
    <w:tmpl w:val="77ECF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4D4FEE"/>
    <w:multiLevelType w:val="multilevel"/>
    <w:tmpl w:val="6CC89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0D392C"/>
    <w:multiLevelType w:val="multilevel"/>
    <w:tmpl w:val="18328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3665B0"/>
    <w:multiLevelType w:val="multilevel"/>
    <w:tmpl w:val="DC2E8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C96F9C"/>
    <w:multiLevelType w:val="multilevel"/>
    <w:tmpl w:val="11A42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12845F3"/>
    <w:multiLevelType w:val="multilevel"/>
    <w:tmpl w:val="82906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18E0777"/>
    <w:multiLevelType w:val="multilevel"/>
    <w:tmpl w:val="3D44A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4034E53"/>
    <w:multiLevelType w:val="multilevel"/>
    <w:tmpl w:val="27B6B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4731143"/>
    <w:multiLevelType w:val="multilevel"/>
    <w:tmpl w:val="E4124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5D51148"/>
    <w:multiLevelType w:val="multilevel"/>
    <w:tmpl w:val="56964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641516F"/>
    <w:multiLevelType w:val="multilevel"/>
    <w:tmpl w:val="94388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6747832"/>
    <w:multiLevelType w:val="multilevel"/>
    <w:tmpl w:val="DA965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842260E"/>
    <w:multiLevelType w:val="hybridMultilevel"/>
    <w:tmpl w:val="484AC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972332E"/>
    <w:multiLevelType w:val="multilevel"/>
    <w:tmpl w:val="58901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A1F32A7"/>
    <w:multiLevelType w:val="hybridMultilevel"/>
    <w:tmpl w:val="3EEC5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B150DCD"/>
    <w:multiLevelType w:val="multilevel"/>
    <w:tmpl w:val="32681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B33116E"/>
    <w:multiLevelType w:val="multilevel"/>
    <w:tmpl w:val="9D6CD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C3707E0"/>
    <w:multiLevelType w:val="multilevel"/>
    <w:tmpl w:val="7C320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D600097"/>
    <w:multiLevelType w:val="multilevel"/>
    <w:tmpl w:val="C3A64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12E7AAF"/>
    <w:multiLevelType w:val="multilevel"/>
    <w:tmpl w:val="D388A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377184A"/>
    <w:multiLevelType w:val="multilevel"/>
    <w:tmpl w:val="1E9EE7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55F4ED6"/>
    <w:multiLevelType w:val="multilevel"/>
    <w:tmpl w:val="5C2A0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6A75774"/>
    <w:multiLevelType w:val="multilevel"/>
    <w:tmpl w:val="A6D6D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83C0691"/>
    <w:multiLevelType w:val="multilevel"/>
    <w:tmpl w:val="32FC6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E6C6A2A"/>
    <w:multiLevelType w:val="multilevel"/>
    <w:tmpl w:val="4C166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F920C01"/>
    <w:multiLevelType w:val="multilevel"/>
    <w:tmpl w:val="46629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0A243E5"/>
    <w:multiLevelType w:val="multilevel"/>
    <w:tmpl w:val="F30A7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61733CD"/>
    <w:multiLevelType w:val="multilevel"/>
    <w:tmpl w:val="E7FA1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95340BF"/>
    <w:multiLevelType w:val="hybridMultilevel"/>
    <w:tmpl w:val="379A6174"/>
    <w:lvl w:ilvl="0" w:tplc="6D66755E">
      <w:start w:val="1"/>
      <w:numFmt w:val="bullet"/>
      <w:lvlText w:val="-"/>
      <w:lvlJc w:val="left"/>
      <w:pPr>
        <w:ind w:left="720" w:hanging="360"/>
      </w:pPr>
      <w:rPr>
        <w:rFonts w:ascii="Times New Roman" w:eastAsia="Times New Roman"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D70197E"/>
    <w:multiLevelType w:val="hybridMultilevel"/>
    <w:tmpl w:val="3DC89F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4E474F58"/>
    <w:multiLevelType w:val="multilevel"/>
    <w:tmpl w:val="528E9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24F5668"/>
    <w:multiLevelType w:val="multilevel"/>
    <w:tmpl w:val="55D8BF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328745C"/>
    <w:multiLevelType w:val="multilevel"/>
    <w:tmpl w:val="5EBCA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39A7CD0"/>
    <w:multiLevelType w:val="multilevel"/>
    <w:tmpl w:val="16BED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CAD16D5"/>
    <w:multiLevelType w:val="multilevel"/>
    <w:tmpl w:val="2B18B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CDD572A"/>
    <w:multiLevelType w:val="multilevel"/>
    <w:tmpl w:val="685AD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1B22DDC"/>
    <w:multiLevelType w:val="multilevel"/>
    <w:tmpl w:val="1228D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23011FE"/>
    <w:multiLevelType w:val="multilevel"/>
    <w:tmpl w:val="FDE25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2983E1A"/>
    <w:multiLevelType w:val="multilevel"/>
    <w:tmpl w:val="7632E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7253076"/>
    <w:multiLevelType w:val="multilevel"/>
    <w:tmpl w:val="9334B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BE20C79"/>
    <w:multiLevelType w:val="multilevel"/>
    <w:tmpl w:val="5F745D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CD86AEA"/>
    <w:multiLevelType w:val="multilevel"/>
    <w:tmpl w:val="E00E0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F805124"/>
    <w:multiLevelType w:val="multilevel"/>
    <w:tmpl w:val="325A3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1076BA0"/>
    <w:multiLevelType w:val="multilevel"/>
    <w:tmpl w:val="4E522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19D5A2A"/>
    <w:multiLevelType w:val="multilevel"/>
    <w:tmpl w:val="A35EB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2F90976"/>
    <w:multiLevelType w:val="multilevel"/>
    <w:tmpl w:val="88EE7B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58" w15:restartNumberingAfterBreak="0">
    <w:nsid w:val="75575A94"/>
    <w:multiLevelType w:val="multilevel"/>
    <w:tmpl w:val="37A2A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5602560"/>
    <w:multiLevelType w:val="hybridMultilevel"/>
    <w:tmpl w:val="8278B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76E7F94"/>
    <w:multiLevelType w:val="multilevel"/>
    <w:tmpl w:val="5F42D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8761F24"/>
    <w:multiLevelType w:val="multilevel"/>
    <w:tmpl w:val="A3AEB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90B5B1D"/>
    <w:multiLevelType w:val="multilevel"/>
    <w:tmpl w:val="7C8C7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EFA2050"/>
    <w:multiLevelType w:val="multilevel"/>
    <w:tmpl w:val="A9941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7121137">
    <w:abstractNumId w:val="41"/>
  </w:num>
  <w:num w:numId="2" w16cid:durableId="441338810">
    <w:abstractNumId w:val="57"/>
  </w:num>
  <w:num w:numId="3" w16cid:durableId="1729454124">
    <w:abstractNumId w:val="51"/>
  </w:num>
  <w:num w:numId="4" w16cid:durableId="2126800723">
    <w:abstractNumId w:val="38"/>
  </w:num>
  <w:num w:numId="5" w16cid:durableId="610212645">
    <w:abstractNumId w:val="20"/>
  </w:num>
  <w:num w:numId="6" w16cid:durableId="370764810">
    <w:abstractNumId w:val="28"/>
  </w:num>
  <w:num w:numId="7" w16cid:durableId="2088576503">
    <w:abstractNumId w:val="58"/>
  </w:num>
  <w:num w:numId="8" w16cid:durableId="629360237">
    <w:abstractNumId w:val="33"/>
  </w:num>
  <w:num w:numId="9" w16cid:durableId="2040430430">
    <w:abstractNumId w:val="15"/>
  </w:num>
  <w:num w:numId="10" w16cid:durableId="1351251950">
    <w:abstractNumId w:val="49"/>
  </w:num>
  <w:num w:numId="11" w16cid:durableId="1581988324">
    <w:abstractNumId w:val="60"/>
  </w:num>
  <w:num w:numId="12" w16cid:durableId="904071018">
    <w:abstractNumId w:val="46"/>
  </w:num>
  <w:num w:numId="13" w16cid:durableId="844831323">
    <w:abstractNumId w:val="63"/>
  </w:num>
  <w:num w:numId="14" w16cid:durableId="1615551759">
    <w:abstractNumId w:val="1"/>
  </w:num>
  <w:num w:numId="15" w16cid:durableId="155651242">
    <w:abstractNumId w:val="17"/>
  </w:num>
  <w:num w:numId="16" w16cid:durableId="712462493">
    <w:abstractNumId w:val="61"/>
  </w:num>
  <w:num w:numId="17" w16cid:durableId="1717966902">
    <w:abstractNumId w:val="54"/>
  </w:num>
  <w:num w:numId="18" w16cid:durableId="434525356">
    <w:abstractNumId w:val="4"/>
  </w:num>
  <w:num w:numId="19" w16cid:durableId="928586664">
    <w:abstractNumId w:val="14"/>
  </w:num>
  <w:num w:numId="20" w16cid:durableId="1486051791">
    <w:abstractNumId w:val="37"/>
  </w:num>
  <w:num w:numId="21" w16cid:durableId="764496145">
    <w:abstractNumId w:val="22"/>
  </w:num>
  <w:num w:numId="22" w16cid:durableId="409154692">
    <w:abstractNumId w:val="44"/>
  </w:num>
  <w:num w:numId="23" w16cid:durableId="995648506">
    <w:abstractNumId w:val="47"/>
  </w:num>
  <w:num w:numId="24" w16cid:durableId="841119397">
    <w:abstractNumId w:val="35"/>
  </w:num>
  <w:num w:numId="25" w16cid:durableId="847140437">
    <w:abstractNumId w:val="16"/>
  </w:num>
  <w:num w:numId="26" w16cid:durableId="1404717698">
    <w:abstractNumId w:val="32"/>
  </w:num>
  <w:num w:numId="27" w16cid:durableId="1114902780">
    <w:abstractNumId w:val="43"/>
  </w:num>
  <w:num w:numId="28" w16cid:durableId="1366370444">
    <w:abstractNumId w:val="52"/>
  </w:num>
  <w:num w:numId="29" w16cid:durableId="1507751144">
    <w:abstractNumId w:val="8"/>
  </w:num>
  <w:num w:numId="30" w16cid:durableId="318584576">
    <w:abstractNumId w:val="34"/>
  </w:num>
  <w:num w:numId="31" w16cid:durableId="967010501">
    <w:abstractNumId w:val="13"/>
  </w:num>
  <w:num w:numId="32" w16cid:durableId="1896813618">
    <w:abstractNumId w:val="9"/>
  </w:num>
  <w:num w:numId="33" w16cid:durableId="1392459246">
    <w:abstractNumId w:val="30"/>
  </w:num>
  <w:num w:numId="34" w16cid:durableId="1086879545">
    <w:abstractNumId w:val="21"/>
  </w:num>
  <w:num w:numId="35" w16cid:durableId="1584338460">
    <w:abstractNumId w:val="29"/>
  </w:num>
  <w:num w:numId="36" w16cid:durableId="1951082046">
    <w:abstractNumId w:val="55"/>
  </w:num>
  <w:num w:numId="37" w16cid:durableId="1971670223">
    <w:abstractNumId w:val="3"/>
  </w:num>
  <w:num w:numId="38" w16cid:durableId="1195969614">
    <w:abstractNumId w:val="45"/>
  </w:num>
  <w:num w:numId="39" w16cid:durableId="2061592857">
    <w:abstractNumId w:val="12"/>
  </w:num>
  <w:num w:numId="40" w16cid:durableId="1840999674">
    <w:abstractNumId w:val="6"/>
  </w:num>
  <w:num w:numId="41" w16cid:durableId="169680896">
    <w:abstractNumId w:val="11"/>
  </w:num>
  <w:num w:numId="42" w16cid:durableId="1641038371">
    <w:abstractNumId w:val="10"/>
  </w:num>
  <w:num w:numId="43" w16cid:durableId="2025128753">
    <w:abstractNumId w:val="39"/>
  </w:num>
  <w:num w:numId="44" w16cid:durableId="1978029493">
    <w:abstractNumId w:val="23"/>
  </w:num>
  <w:num w:numId="45" w16cid:durableId="553393733">
    <w:abstractNumId w:val="5"/>
  </w:num>
  <w:num w:numId="46" w16cid:durableId="824668083">
    <w:abstractNumId w:val="25"/>
  </w:num>
  <w:num w:numId="47" w16cid:durableId="713388657">
    <w:abstractNumId w:val="19"/>
  </w:num>
  <w:num w:numId="48" w16cid:durableId="953631730">
    <w:abstractNumId w:val="50"/>
  </w:num>
  <w:num w:numId="49" w16cid:durableId="1024089042">
    <w:abstractNumId w:val="53"/>
  </w:num>
  <w:num w:numId="50" w16cid:durableId="1733574178">
    <w:abstractNumId w:val="42"/>
  </w:num>
  <w:num w:numId="51" w16cid:durableId="1676884715">
    <w:abstractNumId w:val="56"/>
  </w:num>
  <w:num w:numId="52" w16cid:durableId="387262146">
    <w:abstractNumId w:val="31"/>
  </w:num>
  <w:num w:numId="53" w16cid:durableId="1063410647">
    <w:abstractNumId w:val="36"/>
  </w:num>
  <w:num w:numId="54" w16cid:durableId="1571037587">
    <w:abstractNumId w:val="18"/>
  </w:num>
  <w:num w:numId="55" w16cid:durableId="1217086610">
    <w:abstractNumId w:val="7"/>
  </w:num>
  <w:num w:numId="56" w16cid:durableId="445782781">
    <w:abstractNumId w:val="62"/>
  </w:num>
  <w:num w:numId="57" w16cid:durableId="812983966">
    <w:abstractNumId w:val="48"/>
  </w:num>
  <w:num w:numId="58" w16cid:durableId="1785146501">
    <w:abstractNumId w:val="27"/>
  </w:num>
  <w:num w:numId="59" w16cid:durableId="1893735136">
    <w:abstractNumId w:val="24"/>
  </w:num>
  <w:num w:numId="60" w16cid:durableId="1314604900">
    <w:abstractNumId w:val="2"/>
  </w:num>
  <w:num w:numId="61" w16cid:durableId="1236428405">
    <w:abstractNumId w:val="59"/>
  </w:num>
  <w:num w:numId="62" w16cid:durableId="1448309064">
    <w:abstractNumId w:val="26"/>
  </w:num>
  <w:num w:numId="63" w16cid:durableId="2102945460">
    <w:abstractNumId w:val="0"/>
  </w:num>
  <w:num w:numId="64" w16cid:durableId="1191409519">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A7A5B"/>
    <w:rsid w:val="000026C9"/>
    <w:rsid w:val="00011064"/>
    <w:rsid w:val="00017D6B"/>
    <w:rsid w:val="00024BFB"/>
    <w:rsid w:val="00026B00"/>
    <w:rsid w:val="00045146"/>
    <w:rsid w:val="00060E97"/>
    <w:rsid w:val="000612F6"/>
    <w:rsid w:val="0007114D"/>
    <w:rsid w:val="0007147B"/>
    <w:rsid w:val="000820C4"/>
    <w:rsid w:val="00096018"/>
    <w:rsid w:val="000A4A3E"/>
    <w:rsid w:val="000B4549"/>
    <w:rsid w:val="000B53A3"/>
    <w:rsid w:val="000C5301"/>
    <w:rsid w:val="000D2DDA"/>
    <w:rsid w:val="000E1EBB"/>
    <w:rsid w:val="000E4536"/>
    <w:rsid w:val="000F759F"/>
    <w:rsid w:val="00101EE3"/>
    <w:rsid w:val="00107C01"/>
    <w:rsid w:val="00121EED"/>
    <w:rsid w:val="00140AD2"/>
    <w:rsid w:val="00140C4D"/>
    <w:rsid w:val="00140CA5"/>
    <w:rsid w:val="001501BF"/>
    <w:rsid w:val="0015140E"/>
    <w:rsid w:val="00153B08"/>
    <w:rsid w:val="001540BC"/>
    <w:rsid w:val="00155C3E"/>
    <w:rsid w:val="00155E9A"/>
    <w:rsid w:val="00161488"/>
    <w:rsid w:val="00166CB0"/>
    <w:rsid w:val="001707D4"/>
    <w:rsid w:val="00171A23"/>
    <w:rsid w:val="001724AB"/>
    <w:rsid w:val="00173FC9"/>
    <w:rsid w:val="00176C53"/>
    <w:rsid w:val="00181EE4"/>
    <w:rsid w:val="00182845"/>
    <w:rsid w:val="00187F4A"/>
    <w:rsid w:val="001A06BB"/>
    <w:rsid w:val="001C5EA9"/>
    <w:rsid w:val="001C6FC8"/>
    <w:rsid w:val="001D0619"/>
    <w:rsid w:val="001D4D6F"/>
    <w:rsid w:val="001E042A"/>
    <w:rsid w:val="001E35ED"/>
    <w:rsid w:val="001E5494"/>
    <w:rsid w:val="001E57D6"/>
    <w:rsid w:val="001E65DF"/>
    <w:rsid w:val="001E7104"/>
    <w:rsid w:val="001E74F3"/>
    <w:rsid w:val="001F28E0"/>
    <w:rsid w:val="001F5785"/>
    <w:rsid w:val="00202C6F"/>
    <w:rsid w:val="00207E68"/>
    <w:rsid w:val="00207F5A"/>
    <w:rsid w:val="00212031"/>
    <w:rsid w:val="0021645D"/>
    <w:rsid w:val="00216C7D"/>
    <w:rsid w:val="00225B3F"/>
    <w:rsid w:val="002328E9"/>
    <w:rsid w:val="0024023E"/>
    <w:rsid w:val="00241ACE"/>
    <w:rsid w:val="00246F13"/>
    <w:rsid w:val="002549A6"/>
    <w:rsid w:val="002637F1"/>
    <w:rsid w:val="00265005"/>
    <w:rsid w:val="002651BA"/>
    <w:rsid w:val="00270040"/>
    <w:rsid w:val="00270664"/>
    <w:rsid w:val="002712E1"/>
    <w:rsid w:val="0027147F"/>
    <w:rsid w:val="00271AC4"/>
    <w:rsid w:val="00273105"/>
    <w:rsid w:val="00281350"/>
    <w:rsid w:val="00284FF7"/>
    <w:rsid w:val="002962DE"/>
    <w:rsid w:val="002A1437"/>
    <w:rsid w:val="002A4ADC"/>
    <w:rsid w:val="002B1126"/>
    <w:rsid w:val="002B14C7"/>
    <w:rsid w:val="002B493C"/>
    <w:rsid w:val="002B4FDF"/>
    <w:rsid w:val="002B6AB2"/>
    <w:rsid w:val="002C1EBB"/>
    <w:rsid w:val="002C3F61"/>
    <w:rsid w:val="002E222E"/>
    <w:rsid w:val="002E4972"/>
    <w:rsid w:val="002F151B"/>
    <w:rsid w:val="002F4F4A"/>
    <w:rsid w:val="002F6AB1"/>
    <w:rsid w:val="003001F7"/>
    <w:rsid w:val="0030039D"/>
    <w:rsid w:val="0030331F"/>
    <w:rsid w:val="00303AA9"/>
    <w:rsid w:val="00310105"/>
    <w:rsid w:val="0031527A"/>
    <w:rsid w:val="003225C2"/>
    <w:rsid w:val="003342F9"/>
    <w:rsid w:val="003350E7"/>
    <w:rsid w:val="00353EE4"/>
    <w:rsid w:val="00357E9D"/>
    <w:rsid w:val="00372047"/>
    <w:rsid w:val="0037486B"/>
    <w:rsid w:val="00377B55"/>
    <w:rsid w:val="0038033D"/>
    <w:rsid w:val="003819A9"/>
    <w:rsid w:val="00387B5B"/>
    <w:rsid w:val="0039389F"/>
    <w:rsid w:val="003949CA"/>
    <w:rsid w:val="003A326A"/>
    <w:rsid w:val="003A612F"/>
    <w:rsid w:val="003B05E6"/>
    <w:rsid w:val="003B6FC8"/>
    <w:rsid w:val="003B7711"/>
    <w:rsid w:val="003B77CE"/>
    <w:rsid w:val="003C0894"/>
    <w:rsid w:val="003C3267"/>
    <w:rsid w:val="003D1DA3"/>
    <w:rsid w:val="003E3BF7"/>
    <w:rsid w:val="003F68EE"/>
    <w:rsid w:val="00411C82"/>
    <w:rsid w:val="00412BE0"/>
    <w:rsid w:val="0043276C"/>
    <w:rsid w:val="00434C7D"/>
    <w:rsid w:val="00435712"/>
    <w:rsid w:val="0044505A"/>
    <w:rsid w:val="00445131"/>
    <w:rsid w:val="00462B53"/>
    <w:rsid w:val="00465C35"/>
    <w:rsid w:val="004661E4"/>
    <w:rsid w:val="0047473B"/>
    <w:rsid w:val="0047537A"/>
    <w:rsid w:val="0047642B"/>
    <w:rsid w:val="004828BC"/>
    <w:rsid w:val="00485544"/>
    <w:rsid w:val="00492459"/>
    <w:rsid w:val="004970F3"/>
    <w:rsid w:val="004A5F33"/>
    <w:rsid w:val="004A7A5B"/>
    <w:rsid w:val="004B3552"/>
    <w:rsid w:val="004C2E7A"/>
    <w:rsid w:val="004D7AA5"/>
    <w:rsid w:val="004E1CAC"/>
    <w:rsid w:val="004F340F"/>
    <w:rsid w:val="004F7304"/>
    <w:rsid w:val="00501BAC"/>
    <w:rsid w:val="00504C13"/>
    <w:rsid w:val="005054C9"/>
    <w:rsid w:val="005056D7"/>
    <w:rsid w:val="0051764B"/>
    <w:rsid w:val="0053055F"/>
    <w:rsid w:val="00531BCC"/>
    <w:rsid w:val="00532599"/>
    <w:rsid w:val="0053437E"/>
    <w:rsid w:val="00535B7D"/>
    <w:rsid w:val="00551D0E"/>
    <w:rsid w:val="0055303C"/>
    <w:rsid w:val="005552FB"/>
    <w:rsid w:val="005563FC"/>
    <w:rsid w:val="00560915"/>
    <w:rsid w:val="00570A86"/>
    <w:rsid w:val="00576570"/>
    <w:rsid w:val="0058125D"/>
    <w:rsid w:val="005825BD"/>
    <w:rsid w:val="00590053"/>
    <w:rsid w:val="00593B6A"/>
    <w:rsid w:val="005970AC"/>
    <w:rsid w:val="005A23B9"/>
    <w:rsid w:val="005A33A7"/>
    <w:rsid w:val="005B2495"/>
    <w:rsid w:val="005B7C1F"/>
    <w:rsid w:val="005C0E73"/>
    <w:rsid w:val="005C4C22"/>
    <w:rsid w:val="005C5CFE"/>
    <w:rsid w:val="005C6F5C"/>
    <w:rsid w:val="005D0B9E"/>
    <w:rsid w:val="005D107C"/>
    <w:rsid w:val="005E6F23"/>
    <w:rsid w:val="005F1FEE"/>
    <w:rsid w:val="005F7429"/>
    <w:rsid w:val="0060171F"/>
    <w:rsid w:val="00606866"/>
    <w:rsid w:val="00614729"/>
    <w:rsid w:val="00615D4E"/>
    <w:rsid w:val="006248A3"/>
    <w:rsid w:val="00624D8E"/>
    <w:rsid w:val="00627920"/>
    <w:rsid w:val="0063143E"/>
    <w:rsid w:val="00633EDF"/>
    <w:rsid w:val="006450E4"/>
    <w:rsid w:val="00653523"/>
    <w:rsid w:val="00660B2A"/>
    <w:rsid w:val="0066591E"/>
    <w:rsid w:val="00665B1D"/>
    <w:rsid w:val="00687D2C"/>
    <w:rsid w:val="00687F53"/>
    <w:rsid w:val="00691888"/>
    <w:rsid w:val="00695696"/>
    <w:rsid w:val="006963FA"/>
    <w:rsid w:val="006B0AE4"/>
    <w:rsid w:val="006B12E8"/>
    <w:rsid w:val="006D1366"/>
    <w:rsid w:val="006D1753"/>
    <w:rsid w:val="006D3B23"/>
    <w:rsid w:val="006E77CD"/>
    <w:rsid w:val="006F3914"/>
    <w:rsid w:val="006F6F81"/>
    <w:rsid w:val="00721270"/>
    <w:rsid w:val="00725A79"/>
    <w:rsid w:val="00730ED7"/>
    <w:rsid w:val="00745089"/>
    <w:rsid w:val="007453E9"/>
    <w:rsid w:val="0074652B"/>
    <w:rsid w:val="00752703"/>
    <w:rsid w:val="00766082"/>
    <w:rsid w:val="00780F59"/>
    <w:rsid w:val="00782C28"/>
    <w:rsid w:val="007836A8"/>
    <w:rsid w:val="0079231C"/>
    <w:rsid w:val="00792B87"/>
    <w:rsid w:val="00797D45"/>
    <w:rsid w:val="007A55D6"/>
    <w:rsid w:val="007A6CAC"/>
    <w:rsid w:val="007B2DCF"/>
    <w:rsid w:val="007B72F3"/>
    <w:rsid w:val="007C0C06"/>
    <w:rsid w:val="007C5182"/>
    <w:rsid w:val="007D2F08"/>
    <w:rsid w:val="007D5E4F"/>
    <w:rsid w:val="007E1D12"/>
    <w:rsid w:val="007F4DDD"/>
    <w:rsid w:val="008008A1"/>
    <w:rsid w:val="00801481"/>
    <w:rsid w:val="00801B65"/>
    <w:rsid w:val="00804568"/>
    <w:rsid w:val="00810AC4"/>
    <w:rsid w:val="008111C6"/>
    <w:rsid w:val="00813509"/>
    <w:rsid w:val="00830043"/>
    <w:rsid w:val="00837346"/>
    <w:rsid w:val="00841D4B"/>
    <w:rsid w:val="00845210"/>
    <w:rsid w:val="00851A79"/>
    <w:rsid w:val="00852F87"/>
    <w:rsid w:val="0085773B"/>
    <w:rsid w:val="008651B0"/>
    <w:rsid w:val="00877A63"/>
    <w:rsid w:val="008A126C"/>
    <w:rsid w:val="008A2438"/>
    <w:rsid w:val="008B094F"/>
    <w:rsid w:val="008B3FEC"/>
    <w:rsid w:val="008C14B0"/>
    <w:rsid w:val="008C5847"/>
    <w:rsid w:val="008D1CB6"/>
    <w:rsid w:val="008D3790"/>
    <w:rsid w:val="008D385B"/>
    <w:rsid w:val="008D6339"/>
    <w:rsid w:val="008D7664"/>
    <w:rsid w:val="008E73C8"/>
    <w:rsid w:val="008F3B46"/>
    <w:rsid w:val="00904BAD"/>
    <w:rsid w:val="00905957"/>
    <w:rsid w:val="00906737"/>
    <w:rsid w:val="009126B0"/>
    <w:rsid w:val="009203BB"/>
    <w:rsid w:val="00921EBB"/>
    <w:rsid w:val="00922718"/>
    <w:rsid w:val="00927729"/>
    <w:rsid w:val="0094573E"/>
    <w:rsid w:val="00954CF3"/>
    <w:rsid w:val="0096222D"/>
    <w:rsid w:val="00962B64"/>
    <w:rsid w:val="009700D4"/>
    <w:rsid w:val="00972EE5"/>
    <w:rsid w:val="00977472"/>
    <w:rsid w:val="00980859"/>
    <w:rsid w:val="009850A1"/>
    <w:rsid w:val="009859FF"/>
    <w:rsid w:val="009860C1"/>
    <w:rsid w:val="0099066D"/>
    <w:rsid w:val="00997517"/>
    <w:rsid w:val="009A1074"/>
    <w:rsid w:val="009A2248"/>
    <w:rsid w:val="009A34E7"/>
    <w:rsid w:val="009A4FC4"/>
    <w:rsid w:val="009D662B"/>
    <w:rsid w:val="009E6E70"/>
    <w:rsid w:val="009F7A66"/>
    <w:rsid w:val="00A03A38"/>
    <w:rsid w:val="00A13E92"/>
    <w:rsid w:val="00A153DF"/>
    <w:rsid w:val="00A423E3"/>
    <w:rsid w:val="00A509CA"/>
    <w:rsid w:val="00A51094"/>
    <w:rsid w:val="00A52209"/>
    <w:rsid w:val="00A600EC"/>
    <w:rsid w:val="00A60A86"/>
    <w:rsid w:val="00A64F53"/>
    <w:rsid w:val="00A664BC"/>
    <w:rsid w:val="00A675DE"/>
    <w:rsid w:val="00A67AB3"/>
    <w:rsid w:val="00A831B1"/>
    <w:rsid w:val="00A90BB7"/>
    <w:rsid w:val="00AA0C7B"/>
    <w:rsid w:val="00AA0E9C"/>
    <w:rsid w:val="00AA5BCA"/>
    <w:rsid w:val="00AB0D23"/>
    <w:rsid w:val="00AB210A"/>
    <w:rsid w:val="00AB27A5"/>
    <w:rsid w:val="00AB5E2C"/>
    <w:rsid w:val="00AB6646"/>
    <w:rsid w:val="00AB7DBC"/>
    <w:rsid w:val="00AC1A14"/>
    <w:rsid w:val="00AC5752"/>
    <w:rsid w:val="00AD228B"/>
    <w:rsid w:val="00AD684D"/>
    <w:rsid w:val="00AF3F6E"/>
    <w:rsid w:val="00AF4B9A"/>
    <w:rsid w:val="00AF783A"/>
    <w:rsid w:val="00B04B5B"/>
    <w:rsid w:val="00B20723"/>
    <w:rsid w:val="00B26D4B"/>
    <w:rsid w:val="00B523E9"/>
    <w:rsid w:val="00B533E1"/>
    <w:rsid w:val="00B67694"/>
    <w:rsid w:val="00B76B9B"/>
    <w:rsid w:val="00B87E5A"/>
    <w:rsid w:val="00B95837"/>
    <w:rsid w:val="00BA6F36"/>
    <w:rsid w:val="00BB3E7F"/>
    <w:rsid w:val="00BC2340"/>
    <w:rsid w:val="00BC549F"/>
    <w:rsid w:val="00BD1DA3"/>
    <w:rsid w:val="00BD2CA9"/>
    <w:rsid w:val="00BD494B"/>
    <w:rsid w:val="00BE2988"/>
    <w:rsid w:val="00BE2DAF"/>
    <w:rsid w:val="00BF544A"/>
    <w:rsid w:val="00BF5C46"/>
    <w:rsid w:val="00C04B42"/>
    <w:rsid w:val="00C04D7E"/>
    <w:rsid w:val="00C1188D"/>
    <w:rsid w:val="00C12903"/>
    <w:rsid w:val="00C13A63"/>
    <w:rsid w:val="00C237E2"/>
    <w:rsid w:val="00C2532B"/>
    <w:rsid w:val="00C3045A"/>
    <w:rsid w:val="00C42D86"/>
    <w:rsid w:val="00C51473"/>
    <w:rsid w:val="00C515A2"/>
    <w:rsid w:val="00C5312C"/>
    <w:rsid w:val="00C54EA3"/>
    <w:rsid w:val="00C56E80"/>
    <w:rsid w:val="00C57596"/>
    <w:rsid w:val="00C6351A"/>
    <w:rsid w:val="00C677F1"/>
    <w:rsid w:val="00C779BE"/>
    <w:rsid w:val="00C8049D"/>
    <w:rsid w:val="00C8208F"/>
    <w:rsid w:val="00C97BDB"/>
    <w:rsid w:val="00CA06CD"/>
    <w:rsid w:val="00CA3632"/>
    <w:rsid w:val="00CB1BBD"/>
    <w:rsid w:val="00CC4CFD"/>
    <w:rsid w:val="00CC5933"/>
    <w:rsid w:val="00CD3565"/>
    <w:rsid w:val="00CD65C6"/>
    <w:rsid w:val="00CE15B8"/>
    <w:rsid w:val="00CE35E0"/>
    <w:rsid w:val="00CF0E29"/>
    <w:rsid w:val="00CF3FE7"/>
    <w:rsid w:val="00CF41F6"/>
    <w:rsid w:val="00D11B24"/>
    <w:rsid w:val="00D155DF"/>
    <w:rsid w:val="00D159C7"/>
    <w:rsid w:val="00D31AE2"/>
    <w:rsid w:val="00D32C36"/>
    <w:rsid w:val="00D411D6"/>
    <w:rsid w:val="00D60FA7"/>
    <w:rsid w:val="00D7499A"/>
    <w:rsid w:val="00D74CBE"/>
    <w:rsid w:val="00D76EFE"/>
    <w:rsid w:val="00D77F16"/>
    <w:rsid w:val="00D839EC"/>
    <w:rsid w:val="00D8612B"/>
    <w:rsid w:val="00D911A1"/>
    <w:rsid w:val="00D92D84"/>
    <w:rsid w:val="00D93639"/>
    <w:rsid w:val="00DA4ED7"/>
    <w:rsid w:val="00DA7B27"/>
    <w:rsid w:val="00DC511C"/>
    <w:rsid w:val="00DC6A9F"/>
    <w:rsid w:val="00DD2024"/>
    <w:rsid w:val="00DF1B65"/>
    <w:rsid w:val="00DF2ABA"/>
    <w:rsid w:val="00DF5963"/>
    <w:rsid w:val="00DF633F"/>
    <w:rsid w:val="00E020E0"/>
    <w:rsid w:val="00E0666E"/>
    <w:rsid w:val="00E13246"/>
    <w:rsid w:val="00E1591A"/>
    <w:rsid w:val="00E26A89"/>
    <w:rsid w:val="00E409A6"/>
    <w:rsid w:val="00E567B6"/>
    <w:rsid w:val="00E647D0"/>
    <w:rsid w:val="00E7701C"/>
    <w:rsid w:val="00E83C9C"/>
    <w:rsid w:val="00E93040"/>
    <w:rsid w:val="00EA3ECA"/>
    <w:rsid w:val="00EB1244"/>
    <w:rsid w:val="00EC0674"/>
    <w:rsid w:val="00EC40F2"/>
    <w:rsid w:val="00EC6626"/>
    <w:rsid w:val="00ED4815"/>
    <w:rsid w:val="00EE0482"/>
    <w:rsid w:val="00EE17CA"/>
    <w:rsid w:val="00EE60BF"/>
    <w:rsid w:val="00EF325D"/>
    <w:rsid w:val="00F006C3"/>
    <w:rsid w:val="00F14EBA"/>
    <w:rsid w:val="00F249FB"/>
    <w:rsid w:val="00F32FCF"/>
    <w:rsid w:val="00F366AF"/>
    <w:rsid w:val="00F408F1"/>
    <w:rsid w:val="00F52E7A"/>
    <w:rsid w:val="00F54310"/>
    <w:rsid w:val="00F60C26"/>
    <w:rsid w:val="00F70B1D"/>
    <w:rsid w:val="00F76661"/>
    <w:rsid w:val="00F818DA"/>
    <w:rsid w:val="00F83CBC"/>
    <w:rsid w:val="00F858C2"/>
    <w:rsid w:val="00F90A82"/>
    <w:rsid w:val="00F940D4"/>
    <w:rsid w:val="00F97738"/>
    <w:rsid w:val="00FA4752"/>
    <w:rsid w:val="00FB100B"/>
    <w:rsid w:val="00FB20CF"/>
    <w:rsid w:val="00FB232A"/>
    <w:rsid w:val="00FB3F1B"/>
    <w:rsid w:val="00FC05C5"/>
    <w:rsid w:val="00FC2206"/>
    <w:rsid w:val="00FC4C2A"/>
    <w:rsid w:val="00FD2705"/>
    <w:rsid w:val="00FD6CB8"/>
    <w:rsid w:val="00FE3BCF"/>
    <w:rsid w:val="00FE6195"/>
    <w:rsid w:val="00FF1B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F3743"/>
  <w15:docId w15:val="{4339DB21-F08D-4C71-9F19-C00D28D3E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3A63"/>
    <w:pPr>
      <w:spacing w:line="256" w:lineRule="auto"/>
    </w:pPr>
  </w:style>
  <w:style w:type="paragraph" w:styleId="Heading1">
    <w:name w:val="heading 1"/>
    <w:basedOn w:val="Normal"/>
    <w:next w:val="Normal"/>
    <w:link w:val="Heading1Char"/>
    <w:uiPriority w:val="9"/>
    <w:qFormat/>
    <w:rsid w:val="009975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975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D5E4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1BAC"/>
    <w:pPr>
      <w:ind w:left="720"/>
      <w:contextualSpacing/>
    </w:pPr>
  </w:style>
  <w:style w:type="paragraph" w:styleId="Header">
    <w:name w:val="header"/>
    <w:basedOn w:val="Normal"/>
    <w:link w:val="HeaderChar"/>
    <w:uiPriority w:val="99"/>
    <w:unhideWhenUsed/>
    <w:rsid w:val="00501B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1BAC"/>
  </w:style>
  <w:style w:type="paragraph" w:styleId="Footer">
    <w:name w:val="footer"/>
    <w:basedOn w:val="Normal"/>
    <w:link w:val="FooterChar"/>
    <w:uiPriority w:val="99"/>
    <w:unhideWhenUsed/>
    <w:rsid w:val="00501B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1BAC"/>
  </w:style>
  <w:style w:type="paragraph" w:styleId="NoSpacing">
    <w:name w:val="No Spacing"/>
    <w:uiPriority w:val="1"/>
    <w:qFormat/>
    <w:rsid w:val="00997517"/>
    <w:pPr>
      <w:spacing w:after="0" w:line="240" w:lineRule="auto"/>
    </w:pPr>
  </w:style>
  <w:style w:type="character" w:customStyle="1" w:styleId="Heading1Char">
    <w:name w:val="Heading 1 Char"/>
    <w:basedOn w:val="DefaultParagraphFont"/>
    <w:link w:val="Heading1"/>
    <w:uiPriority w:val="9"/>
    <w:rsid w:val="0099751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97517"/>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DF2ABA"/>
    <w:pPr>
      <w:spacing w:line="259" w:lineRule="auto"/>
      <w:outlineLvl w:val="9"/>
    </w:pPr>
    <w:rPr>
      <w:kern w:val="0"/>
      <w:lang w:val="en-US"/>
    </w:rPr>
  </w:style>
  <w:style w:type="paragraph" w:styleId="TOC1">
    <w:name w:val="toc 1"/>
    <w:basedOn w:val="Normal"/>
    <w:next w:val="Normal"/>
    <w:autoRedefine/>
    <w:uiPriority w:val="39"/>
    <w:unhideWhenUsed/>
    <w:rsid w:val="00DF2ABA"/>
    <w:pPr>
      <w:spacing w:after="100"/>
    </w:pPr>
  </w:style>
  <w:style w:type="paragraph" w:styleId="TOC2">
    <w:name w:val="toc 2"/>
    <w:basedOn w:val="Normal"/>
    <w:next w:val="Normal"/>
    <w:autoRedefine/>
    <w:uiPriority w:val="39"/>
    <w:unhideWhenUsed/>
    <w:rsid w:val="00DF2ABA"/>
    <w:pPr>
      <w:spacing w:after="100"/>
      <w:ind w:left="220"/>
    </w:pPr>
  </w:style>
  <w:style w:type="character" w:styleId="Hyperlink">
    <w:name w:val="Hyperlink"/>
    <w:basedOn w:val="DefaultParagraphFont"/>
    <w:uiPriority w:val="99"/>
    <w:unhideWhenUsed/>
    <w:rsid w:val="00DF2ABA"/>
    <w:rPr>
      <w:color w:val="0563C1" w:themeColor="hyperlink"/>
      <w:u w:val="single"/>
    </w:rPr>
  </w:style>
  <w:style w:type="paragraph" w:styleId="NormalWeb">
    <w:name w:val="Normal (Web)"/>
    <w:basedOn w:val="Normal"/>
    <w:uiPriority w:val="99"/>
    <w:unhideWhenUsed/>
    <w:rsid w:val="00C1188D"/>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Strong">
    <w:name w:val="Strong"/>
    <w:basedOn w:val="DefaultParagraphFont"/>
    <w:uiPriority w:val="22"/>
    <w:qFormat/>
    <w:rsid w:val="007A55D6"/>
    <w:rPr>
      <w:b/>
      <w:bCs/>
    </w:rPr>
  </w:style>
  <w:style w:type="character" w:styleId="Emphasis">
    <w:name w:val="Emphasis"/>
    <w:basedOn w:val="DefaultParagraphFont"/>
    <w:uiPriority w:val="20"/>
    <w:qFormat/>
    <w:rsid w:val="007A55D6"/>
    <w:rPr>
      <w:i/>
      <w:iCs/>
    </w:rPr>
  </w:style>
  <w:style w:type="character" w:customStyle="1" w:styleId="mord">
    <w:name w:val="mord"/>
    <w:basedOn w:val="DefaultParagraphFont"/>
    <w:rsid w:val="0044505A"/>
  </w:style>
  <w:style w:type="character" w:customStyle="1" w:styleId="mrel">
    <w:name w:val="mrel"/>
    <w:basedOn w:val="DefaultParagraphFont"/>
    <w:rsid w:val="0044505A"/>
  </w:style>
  <w:style w:type="character" w:customStyle="1" w:styleId="vlist-s">
    <w:name w:val="vlist-s"/>
    <w:basedOn w:val="DefaultParagraphFont"/>
    <w:rsid w:val="0044505A"/>
  </w:style>
  <w:style w:type="character" w:customStyle="1" w:styleId="Heading3Char">
    <w:name w:val="Heading 3 Char"/>
    <w:basedOn w:val="DefaultParagraphFont"/>
    <w:link w:val="Heading3"/>
    <w:uiPriority w:val="9"/>
    <w:rsid w:val="007D5E4F"/>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D93639"/>
    <w:pPr>
      <w:spacing w:after="100"/>
      <w:ind w:left="440"/>
    </w:pPr>
  </w:style>
  <w:style w:type="character" w:styleId="UnresolvedMention">
    <w:name w:val="Unresolved Mention"/>
    <w:basedOn w:val="DefaultParagraphFont"/>
    <w:uiPriority w:val="99"/>
    <w:semiHidden/>
    <w:unhideWhenUsed/>
    <w:rsid w:val="00155E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3337">
      <w:bodyDiv w:val="1"/>
      <w:marLeft w:val="0"/>
      <w:marRight w:val="0"/>
      <w:marTop w:val="0"/>
      <w:marBottom w:val="0"/>
      <w:divBdr>
        <w:top w:val="none" w:sz="0" w:space="0" w:color="auto"/>
        <w:left w:val="none" w:sz="0" w:space="0" w:color="auto"/>
        <w:bottom w:val="none" w:sz="0" w:space="0" w:color="auto"/>
        <w:right w:val="none" w:sz="0" w:space="0" w:color="auto"/>
      </w:divBdr>
      <w:divsChild>
        <w:div w:id="1042167798">
          <w:marLeft w:val="0"/>
          <w:marRight w:val="0"/>
          <w:marTop w:val="0"/>
          <w:marBottom w:val="0"/>
          <w:divBdr>
            <w:top w:val="none" w:sz="0" w:space="0" w:color="auto"/>
            <w:left w:val="none" w:sz="0" w:space="0" w:color="auto"/>
            <w:bottom w:val="none" w:sz="0" w:space="0" w:color="auto"/>
            <w:right w:val="none" w:sz="0" w:space="0" w:color="auto"/>
          </w:divBdr>
          <w:divsChild>
            <w:div w:id="766462723">
              <w:marLeft w:val="0"/>
              <w:marRight w:val="0"/>
              <w:marTop w:val="0"/>
              <w:marBottom w:val="0"/>
              <w:divBdr>
                <w:top w:val="none" w:sz="0" w:space="0" w:color="auto"/>
                <w:left w:val="none" w:sz="0" w:space="0" w:color="auto"/>
                <w:bottom w:val="none" w:sz="0" w:space="0" w:color="auto"/>
                <w:right w:val="none" w:sz="0" w:space="0" w:color="auto"/>
              </w:divBdr>
              <w:divsChild>
                <w:div w:id="1299915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38879">
      <w:bodyDiv w:val="1"/>
      <w:marLeft w:val="0"/>
      <w:marRight w:val="0"/>
      <w:marTop w:val="0"/>
      <w:marBottom w:val="0"/>
      <w:divBdr>
        <w:top w:val="none" w:sz="0" w:space="0" w:color="auto"/>
        <w:left w:val="none" w:sz="0" w:space="0" w:color="auto"/>
        <w:bottom w:val="none" w:sz="0" w:space="0" w:color="auto"/>
        <w:right w:val="none" w:sz="0" w:space="0" w:color="auto"/>
      </w:divBdr>
    </w:div>
    <w:div w:id="24793923">
      <w:bodyDiv w:val="1"/>
      <w:marLeft w:val="0"/>
      <w:marRight w:val="0"/>
      <w:marTop w:val="0"/>
      <w:marBottom w:val="0"/>
      <w:divBdr>
        <w:top w:val="none" w:sz="0" w:space="0" w:color="auto"/>
        <w:left w:val="none" w:sz="0" w:space="0" w:color="auto"/>
        <w:bottom w:val="none" w:sz="0" w:space="0" w:color="auto"/>
        <w:right w:val="none" w:sz="0" w:space="0" w:color="auto"/>
      </w:divBdr>
    </w:div>
    <w:div w:id="54545764">
      <w:bodyDiv w:val="1"/>
      <w:marLeft w:val="0"/>
      <w:marRight w:val="0"/>
      <w:marTop w:val="0"/>
      <w:marBottom w:val="0"/>
      <w:divBdr>
        <w:top w:val="none" w:sz="0" w:space="0" w:color="auto"/>
        <w:left w:val="none" w:sz="0" w:space="0" w:color="auto"/>
        <w:bottom w:val="none" w:sz="0" w:space="0" w:color="auto"/>
        <w:right w:val="none" w:sz="0" w:space="0" w:color="auto"/>
      </w:divBdr>
    </w:div>
    <w:div w:id="63914741">
      <w:bodyDiv w:val="1"/>
      <w:marLeft w:val="0"/>
      <w:marRight w:val="0"/>
      <w:marTop w:val="0"/>
      <w:marBottom w:val="0"/>
      <w:divBdr>
        <w:top w:val="none" w:sz="0" w:space="0" w:color="auto"/>
        <w:left w:val="none" w:sz="0" w:space="0" w:color="auto"/>
        <w:bottom w:val="none" w:sz="0" w:space="0" w:color="auto"/>
        <w:right w:val="none" w:sz="0" w:space="0" w:color="auto"/>
      </w:divBdr>
    </w:div>
    <w:div w:id="69154619">
      <w:bodyDiv w:val="1"/>
      <w:marLeft w:val="0"/>
      <w:marRight w:val="0"/>
      <w:marTop w:val="0"/>
      <w:marBottom w:val="0"/>
      <w:divBdr>
        <w:top w:val="none" w:sz="0" w:space="0" w:color="auto"/>
        <w:left w:val="none" w:sz="0" w:space="0" w:color="auto"/>
        <w:bottom w:val="none" w:sz="0" w:space="0" w:color="auto"/>
        <w:right w:val="none" w:sz="0" w:space="0" w:color="auto"/>
      </w:divBdr>
      <w:divsChild>
        <w:div w:id="778109926">
          <w:marLeft w:val="0"/>
          <w:marRight w:val="0"/>
          <w:marTop w:val="0"/>
          <w:marBottom w:val="0"/>
          <w:divBdr>
            <w:top w:val="none" w:sz="0" w:space="0" w:color="auto"/>
            <w:left w:val="none" w:sz="0" w:space="0" w:color="auto"/>
            <w:bottom w:val="none" w:sz="0" w:space="0" w:color="auto"/>
            <w:right w:val="none" w:sz="0" w:space="0" w:color="auto"/>
          </w:divBdr>
          <w:divsChild>
            <w:div w:id="896939617">
              <w:marLeft w:val="0"/>
              <w:marRight w:val="0"/>
              <w:marTop w:val="0"/>
              <w:marBottom w:val="0"/>
              <w:divBdr>
                <w:top w:val="none" w:sz="0" w:space="0" w:color="auto"/>
                <w:left w:val="none" w:sz="0" w:space="0" w:color="auto"/>
                <w:bottom w:val="none" w:sz="0" w:space="0" w:color="auto"/>
                <w:right w:val="none" w:sz="0" w:space="0" w:color="auto"/>
              </w:divBdr>
            </w:div>
          </w:divsChild>
        </w:div>
        <w:div w:id="879165507">
          <w:marLeft w:val="0"/>
          <w:marRight w:val="0"/>
          <w:marTop w:val="0"/>
          <w:marBottom w:val="0"/>
          <w:divBdr>
            <w:top w:val="none" w:sz="0" w:space="0" w:color="auto"/>
            <w:left w:val="none" w:sz="0" w:space="0" w:color="auto"/>
            <w:bottom w:val="none" w:sz="0" w:space="0" w:color="auto"/>
            <w:right w:val="none" w:sz="0" w:space="0" w:color="auto"/>
          </w:divBdr>
          <w:divsChild>
            <w:div w:id="1410348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65483">
      <w:bodyDiv w:val="1"/>
      <w:marLeft w:val="0"/>
      <w:marRight w:val="0"/>
      <w:marTop w:val="0"/>
      <w:marBottom w:val="0"/>
      <w:divBdr>
        <w:top w:val="none" w:sz="0" w:space="0" w:color="auto"/>
        <w:left w:val="none" w:sz="0" w:space="0" w:color="auto"/>
        <w:bottom w:val="none" w:sz="0" w:space="0" w:color="auto"/>
        <w:right w:val="none" w:sz="0" w:space="0" w:color="auto"/>
      </w:divBdr>
    </w:div>
    <w:div w:id="122117508">
      <w:bodyDiv w:val="1"/>
      <w:marLeft w:val="0"/>
      <w:marRight w:val="0"/>
      <w:marTop w:val="0"/>
      <w:marBottom w:val="0"/>
      <w:divBdr>
        <w:top w:val="none" w:sz="0" w:space="0" w:color="auto"/>
        <w:left w:val="none" w:sz="0" w:space="0" w:color="auto"/>
        <w:bottom w:val="none" w:sz="0" w:space="0" w:color="auto"/>
        <w:right w:val="none" w:sz="0" w:space="0" w:color="auto"/>
      </w:divBdr>
    </w:div>
    <w:div w:id="140193698">
      <w:bodyDiv w:val="1"/>
      <w:marLeft w:val="0"/>
      <w:marRight w:val="0"/>
      <w:marTop w:val="0"/>
      <w:marBottom w:val="0"/>
      <w:divBdr>
        <w:top w:val="none" w:sz="0" w:space="0" w:color="auto"/>
        <w:left w:val="none" w:sz="0" w:space="0" w:color="auto"/>
        <w:bottom w:val="none" w:sz="0" w:space="0" w:color="auto"/>
        <w:right w:val="none" w:sz="0" w:space="0" w:color="auto"/>
      </w:divBdr>
    </w:div>
    <w:div w:id="149953131">
      <w:bodyDiv w:val="1"/>
      <w:marLeft w:val="0"/>
      <w:marRight w:val="0"/>
      <w:marTop w:val="0"/>
      <w:marBottom w:val="0"/>
      <w:divBdr>
        <w:top w:val="none" w:sz="0" w:space="0" w:color="auto"/>
        <w:left w:val="none" w:sz="0" w:space="0" w:color="auto"/>
        <w:bottom w:val="none" w:sz="0" w:space="0" w:color="auto"/>
        <w:right w:val="none" w:sz="0" w:space="0" w:color="auto"/>
      </w:divBdr>
    </w:div>
    <w:div w:id="180239030">
      <w:bodyDiv w:val="1"/>
      <w:marLeft w:val="0"/>
      <w:marRight w:val="0"/>
      <w:marTop w:val="0"/>
      <w:marBottom w:val="0"/>
      <w:divBdr>
        <w:top w:val="none" w:sz="0" w:space="0" w:color="auto"/>
        <w:left w:val="none" w:sz="0" w:space="0" w:color="auto"/>
        <w:bottom w:val="none" w:sz="0" w:space="0" w:color="auto"/>
        <w:right w:val="none" w:sz="0" w:space="0" w:color="auto"/>
      </w:divBdr>
    </w:div>
    <w:div w:id="241330937">
      <w:bodyDiv w:val="1"/>
      <w:marLeft w:val="0"/>
      <w:marRight w:val="0"/>
      <w:marTop w:val="0"/>
      <w:marBottom w:val="0"/>
      <w:divBdr>
        <w:top w:val="none" w:sz="0" w:space="0" w:color="auto"/>
        <w:left w:val="none" w:sz="0" w:space="0" w:color="auto"/>
        <w:bottom w:val="none" w:sz="0" w:space="0" w:color="auto"/>
        <w:right w:val="none" w:sz="0" w:space="0" w:color="auto"/>
      </w:divBdr>
    </w:div>
    <w:div w:id="257376607">
      <w:bodyDiv w:val="1"/>
      <w:marLeft w:val="0"/>
      <w:marRight w:val="0"/>
      <w:marTop w:val="0"/>
      <w:marBottom w:val="0"/>
      <w:divBdr>
        <w:top w:val="none" w:sz="0" w:space="0" w:color="auto"/>
        <w:left w:val="none" w:sz="0" w:space="0" w:color="auto"/>
        <w:bottom w:val="none" w:sz="0" w:space="0" w:color="auto"/>
        <w:right w:val="none" w:sz="0" w:space="0" w:color="auto"/>
      </w:divBdr>
    </w:div>
    <w:div w:id="258874616">
      <w:bodyDiv w:val="1"/>
      <w:marLeft w:val="0"/>
      <w:marRight w:val="0"/>
      <w:marTop w:val="0"/>
      <w:marBottom w:val="0"/>
      <w:divBdr>
        <w:top w:val="none" w:sz="0" w:space="0" w:color="auto"/>
        <w:left w:val="none" w:sz="0" w:space="0" w:color="auto"/>
        <w:bottom w:val="none" w:sz="0" w:space="0" w:color="auto"/>
        <w:right w:val="none" w:sz="0" w:space="0" w:color="auto"/>
      </w:divBdr>
    </w:div>
    <w:div w:id="277956048">
      <w:bodyDiv w:val="1"/>
      <w:marLeft w:val="0"/>
      <w:marRight w:val="0"/>
      <w:marTop w:val="0"/>
      <w:marBottom w:val="0"/>
      <w:divBdr>
        <w:top w:val="none" w:sz="0" w:space="0" w:color="auto"/>
        <w:left w:val="none" w:sz="0" w:space="0" w:color="auto"/>
        <w:bottom w:val="none" w:sz="0" w:space="0" w:color="auto"/>
        <w:right w:val="none" w:sz="0" w:space="0" w:color="auto"/>
      </w:divBdr>
    </w:div>
    <w:div w:id="317198911">
      <w:bodyDiv w:val="1"/>
      <w:marLeft w:val="0"/>
      <w:marRight w:val="0"/>
      <w:marTop w:val="0"/>
      <w:marBottom w:val="0"/>
      <w:divBdr>
        <w:top w:val="none" w:sz="0" w:space="0" w:color="auto"/>
        <w:left w:val="none" w:sz="0" w:space="0" w:color="auto"/>
        <w:bottom w:val="none" w:sz="0" w:space="0" w:color="auto"/>
        <w:right w:val="none" w:sz="0" w:space="0" w:color="auto"/>
      </w:divBdr>
    </w:div>
    <w:div w:id="321281134">
      <w:bodyDiv w:val="1"/>
      <w:marLeft w:val="0"/>
      <w:marRight w:val="0"/>
      <w:marTop w:val="0"/>
      <w:marBottom w:val="0"/>
      <w:divBdr>
        <w:top w:val="none" w:sz="0" w:space="0" w:color="auto"/>
        <w:left w:val="none" w:sz="0" w:space="0" w:color="auto"/>
        <w:bottom w:val="none" w:sz="0" w:space="0" w:color="auto"/>
        <w:right w:val="none" w:sz="0" w:space="0" w:color="auto"/>
      </w:divBdr>
    </w:div>
    <w:div w:id="373776807">
      <w:bodyDiv w:val="1"/>
      <w:marLeft w:val="0"/>
      <w:marRight w:val="0"/>
      <w:marTop w:val="0"/>
      <w:marBottom w:val="0"/>
      <w:divBdr>
        <w:top w:val="none" w:sz="0" w:space="0" w:color="auto"/>
        <w:left w:val="none" w:sz="0" w:space="0" w:color="auto"/>
        <w:bottom w:val="none" w:sz="0" w:space="0" w:color="auto"/>
        <w:right w:val="none" w:sz="0" w:space="0" w:color="auto"/>
      </w:divBdr>
    </w:div>
    <w:div w:id="394083473">
      <w:bodyDiv w:val="1"/>
      <w:marLeft w:val="0"/>
      <w:marRight w:val="0"/>
      <w:marTop w:val="0"/>
      <w:marBottom w:val="0"/>
      <w:divBdr>
        <w:top w:val="none" w:sz="0" w:space="0" w:color="auto"/>
        <w:left w:val="none" w:sz="0" w:space="0" w:color="auto"/>
        <w:bottom w:val="none" w:sz="0" w:space="0" w:color="auto"/>
        <w:right w:val="none" w:sz="0" w:space="0" w:color="auto"/>
      </w:divBdr>
    </w:div>
    <w:div w:id="399792841">
      <w:bodyDiv w:val="1"/>
      <w:marLeft w:val="0"/>
      <w:marRight w:val="0"/>
      <w:marTop w:val="0"/>
      <w:marBottom w:val="0"/>
      <w:divBdr>
        <w:top w:val="none" w:sz="0" w:space="0" w:color="auto"/>
        <w:left w:val="none" w:sz="0" w:space="0" w:color="auto"/>
        <w:bottom w:val="none" w:sz="0" w:space="0" w:color="auto"/>
        <w:right w:val="none" w:sz="0" w:space="0" w:color="auto"/>
      </w:divBdr>
    </w:div>
    <w:div w:id="434983202">
      <w:bodyDiv w:val="1"/>
      <w:marLeft w:val="0"/>
      <w:marRight w:val="0"/>
      <w:marTop w:val="0"/>
      <w:marBottom w:val="0"/>
      <w:divBdr>
        <w:top w:val="none" w:sz="0" w:space="0" w:color="auto"/>
        <w:left w:val="none" w:sz="0" w:space="0" w:color="auto"/>
        <w:bottom w:val="none" w:sz="0" w:space="0" w:color="auto"/>
        <w:right w:val="none" w:sz="0" w:space="0" w:color="auto"/>
      </w:divBdr>
    </w:div>
    <w:div w:id="450708647">
      <w:bodyDiv w:val="1"/>
      <w:marLeft w:val="0"/>
      <w:marRight w:val="0"/>
      <w:marTop w:val="0"/>
      <w:marBottom w:val="0"/>
      <w:divBdr>
        <w:top w:val="none" w:sz="0" w:space="0" w:color="auto"/>
        <w:left w:val="none" w:sz="0" w:space="0" w:color="auto"/>
        <w:bottom w:val="none" w:sz="0" w:space="0" w:color="auto"/>
        <w:right w:val="none" w:sz="0" w:space="0" w:color="auto"/>
      </w:divBdr>
    </w:div>
    <w:div w:id="458186450">
      <w:bodyDiv w:val="1"/>
      <w:marLeft w:val="0"/>
      <w:marRight w:val="0"/>
      <w:marTop w:val="0"/>
      <w:marBottom w:val="0"/>
      <w:divBdr>
        <w:top w:val="none" w:sz="0" w:space="0" w:color="auto"/>
        <w:left w:val="none" w:sz="0" w:space="0" w:color="auto"/>
        <w:bottom w:val="none" w:sz="0" w:space="0" w:color="auto"/>
        <w:right w:val="none" w:sz="0" w:space="0" w:color="auto"/>
      </w:divBdr>
    </w:div>
    <w:div w:id="461076936">
      <w:bodyDiv w:val="1"/>
      <w:marLeft w:val="0"/>
      <w:marRight w:val="0"/>
      <w:marTop w:val="0"/>
      <w:marBottom w:val="0"/>
      <w:divBdr>
        <w:top w:val="none" w:sz="0" w:space="0" w:color="auto"/>
        <w:left w:val="none" w:sz="0" w:space="0" w:color="auto"/>
        <w:bottom w:val="none" w:sz="0" w:space="0" w:color="auto"/>
        <w:right w:val="none" w:sz="0" w:space="0" w:color="auto"/>
      </w:divBdr>
    </w:div>
    <w:div w:id="472723431">
      <w:bodyDiv w:val="1"/>
      <w:marLeft w:val="0"/>
      <w:marRight w:val="0"/>
      <w:marTop w:val="0"/>
      <w:marBottom w:val="0"/>
      <w:divBdr>
        <w:top w:val="none" w:sz="0" w:space="0" w:color="auto"/>
        <w:left w:val="none" w:sz="0" w:space="0" w:color="auto"/>
        <w:bottom w:val="none" w:sz="0" w:space="0" w:color="auto"/>
        <w:right w:val="none" w:sz="0" w:space="0" w:color="auto"/>
      </w:divBdr>
      <w:divsChild>
        <w:div w:id="89740408">
          <w:marLeft w:val="0"/>
          <w:marRight w:val="0"/>
          <w:marTop w:val="0"/>
          <w:marBottom w:val="0"/>
          <w:divBdr>
            <w:top w:val="single" w:sz="2" w:space="0" w:color="D9D9E3"/>
            <w:left w:val="single" w:sz="2" w:space="0" w:color="D9D9E3"/>
            <w:bottom w:val="single" w:sz="2" w:space="0" w:color="D9D9E3"/>
            <w:right w:val="single" w:sz="2" w:space="0" w:color="D9D9E3"/>
          </w:divBdr>
          <w:divsChild>
            <w:div w:id="1359425750">
              <w:marLeft w:val="0"/>
              <w:marRight w:val="0"/>
              <w:marTop w:val="100"/>
              <w:marBottom w:val="100"/>
              <w:divBdr>
                <w:top w:val="single" w:sz="2" w:space="0" w:color="D9D9E3"/>
                <w:left w:val="single" w:sz="2" w:space="0" w:color="D9D9E3"/>
                <w:bottom w:val="single" w:sz="2" w:space="0" w:color="D9D9E3"/>
                <w:right w:val="single" w:sz="2" w:space="0" w:color="D9D9E3"/>
              </w:divBdr>
              <w:divsChild>
                <w:div w:id="1130170614">
                  <w:marLeft w:val="0"/>
                  <w:marRight w:val="0"/>
                  <w:marTop w:val="0"/>
                  <w:marBottom w:val="0"/>
                  <w:divBdr>
                    <w:top w:val="single" w:sz="2" w:space="0" w:color="D9D9E3"/>
                    <w:left w:val="single" w:sz="2" w:space="0" w:color="D9D9E3"/>
                    <w:bottom w:val="single" w:sz="2" w:space="0" w:color="D9D9E3"/>
                    <w:right w:val="single" w:sz="2" w:space="0" w:color="D9D9E3"/>
                  </w:divBdr>
                  <w:divsChild>
                    <w:div w:id="255599560">
                      <w:marLeft w:val="0"/>
                      <w:marRight w:val="0"/>
                      <w:marTop w:val="0"/>
                      <w:marBottom w:val="0"/>
                      <w:divBdr>
                        <w:top w:val="single" w:sz="2" w:space="0" w:color="D9D9E3"/>
                        <w:left w:val="single" w:sz="2" w:space="0" w:color="D9D9E3"/>
                        <w:bottom w:val="single" w:sz="2" w:space="0" w:color="D9D9E3"/>
                        <w:right w:val="single" w:sz="2" w:space="0" w:color="D9D9E3"/>
                      </w:divBdr>
                      <w:divsChild>
                        <w:div w:id="733704614">
                          <w:marLeft w:val="0"/>
                          <w:marRight w:val="0"/>
                          <w:marTop w:val="0"/>
                          <w:marBottom w:val="0"/>
                          <w:divBdr>
                            <w:top w:val="single" w:sz="2" w:space="0" w:color="D9D9E3"/>
                            <w:left w:val="single" w:sz="2" w:space="0" w:color="D9D9E3"/>
                            <w:bottom w:val="single" w:sz="2" w:space="0" w:color="D9D9E3"/>
                            <w:right w:val="single" w:sz="2" w:space="0" w:color="D9D9E3"/>
                          </w:divBdr>
                          <w:divsChild>
                            <w:div w:id="1895307417">
                              <w:marLeft w:val="0"/>
                              <w:marRight w:val="0"/>
                              <w:marTop w:val="0"/>
                              <w:marBottom w:val="0"/>
                              <w:divBdr>
                                <w:top w:val="single" w:sz="2" w:space="0" w:color="D9D9E3"/>
                                <w:left w:val="single" w:sz="2" w:space="0" w:color="D9D9E3"/>
                                <w:bottom w:val="single" w:sz="2" w:space="0" w:color="D9D9E3"/>
                                <w:right w:val="single" w:sz="2" w:space="0" w:color="D9D9E3"/>
                              </w:divBdr>
                              <w:divsChild>
                                <w:div w:id="1119180092">
                                  <w:marLeft w:val="0"/>
                                  <w:marRight w:val="0"/>
                                  <w:marTop w:val="0"/>
                                  <w:marBottom w:val="0"/>
                                  <w:divBdr>
                                    <w:top w:val="single" w:sz="2" w:space="0" w:color="D9D9E3"/>
                                    <w:left w:val="single" w:sz="2" w:space="0" w:color="D9D9E3"/>
                                    <w:bottom w:val="single" w:sz="2" w:space="0" w:color="D9D9E3"/>
                                    <w:right w:val="single" w:sz="2" w:space="0" w:color="D9D9E3"/>
                                  </w:divBdr>
                                  <w:divsChild>
                                    <w:div w:id="566360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80276286">
      <w:bodyDiv w:val="1"/>
      <w:marLeft w:val="0"/>
      <w:marRight w:val="0"/>
      <w:marTop w:val="0"/>
      <w:marBottom w:val="0"/>
      <w:divBdr>
        <w:top w:val="none" w:sz="0" w:space="0" w:color="auto"/>
        <w:left w:val="none" w:sz="0" w:space="0" w:color="auto"/>
        <w:bottom w:val="none" w:sz="0" w:space="0" w:color="auto"/>
        <w:right w:val="none" w:sz="0" w:space="0" w:color="auto"/>
      </w:divBdr>
    </w:div>
    <w:div w:id="595526406">
      <w:bodyDiv w:val="1"/>
      <w:marLeft w:val="0"/>
      <w:marRight w:val="0"/>
      <w:marTop w:val="0"/>
      <w:marBottom w:val="0"/>
      <w:divBdr>
        <w:top w:val="none" w:sz="0" w:space="0" w:color="auto"/>
        <w:left w:val="none" w:sz="0" w:space="0" w:color="auto"/>
        <w:bottom w:val="none" w:sz="0" w:space="0" w:color="auto"/>
        <w:right w:val="none" w:sz="0" w:space="0" w:color="auto"/>
      </w:divBdr>
    </w:div>
    <w:div w:id="596332622">
      <w:bodyDiv w:val="1"/>
      <w:marLeft w:val="0"/>
      <w:marRight w:val="0"/>
      <w:marTop w:val="0"/>
      <w:marBottom w:val="0"/>
      <w:divBdr>
        <w:top w:val="none" w:sz="0" w:space="0" w:color="auto"/>
        <w:left w:val="none" w:sz="0" w:space="0" w:color="auto"/>
        <w:bottom w:val="none" w:sz="0" w:space="0" w:color="auto"/>
        <w:right w:val="none" w:sz="0" w:space="0" w:color="auto"/>
      </w:divBdr>
    </w:div>
    <w:div w:id="600335984">
      <w:bodyDiv w:val="1"/>
      <w:marLeft w:val="0"/>
      <w:marRight w:val="0"/>
      <w:marTop w:val="0"/>
      <w:marBottom w:val="0"/>
      <w:divBdr>
        <w:top w:val="none" w:sz="0" w:space="0" w:color="auto"/>
        <w:left w:val="none" w:sz="0" w:space="0" w:color="auto"/>
        <w:bottom w:val="none" w:sz="0" w:space="0" w:color="auto"/>
        <w:right w:val="none" w:sz="0" w:space="0" w:color="auto"/>
      </w:divBdr>
    </w:div>
    <w:div w:id="612370664">
      <w:bodyDiv w:val="1"/>
      <w:marLeft w:val="0"/>
      <w:marRight w:val="0"/>
      <w:marTop w:val="0"/>
      <w:marBottom w:val="0"/>
      <w:divBdr>
        <w:top w:val="none" w:sz="0" w:space="0" w:color="auto"/>
        <w:left w:val="none" w:sz="0" w:space="0" w:color="auto"/>
        <w:bottom w:val="none" w:sz="0" w:space="0" w:color="auto"/>
        <w:right w:val="none" w:sz="0" w:space="0" w:color="auto"/>
      </w:divBdr>
    </w:div>
    <w:div w:id="684097096">
      <w:bodyDiv w:val="1"/>
      <w:marLeft w:val="0"/>
      <w:marRight w:val="0"/>
      <w:marTop w:val="0"/>
      <w:marBottom w:val="0"/>
      <w:divBdr>
        <w:top w:val="none" w:sz="0" w:space="0" w:color="auto"/>
        <w:left w:val="none" w:sz="0" w:space="0" w:color="auto"/>
        <w:bottom w:val="none" w:sz="0" w:space="0" w:color="auto"/>
        <w:right w:val="none" w:sz="0" w:space="0" w:color="auto"/>
      </w:divBdr>
    </w:div>
    <w:div w:id="713121294">
      <w:bodyDiv w:val="1"/>
      <w:marLeft w:val="0"/>
      <w:marRight w:val="0"/>
      <w:marTop w:val="0"/>
      <w:marBottom w:val="0"/>
      <w:divBdr>
        <w:top w:val="none" w:sz="0" w:space="0" w:color="auto"/>
        <w:left w:val="none" w:sz="0" w:space="0" w:color="auto"/>
        <w:bottom w:val="none" w:sz="0" w:space="0" w:color="auto"/>
        <w:right w:val="none" w:sz="0" w:space="0" w:color="auto"/>
      </w:divBdr>
    </w:div>
    <w:div w:id="793406737">
      <w:bodyDiv w:val="1"/>
      <w:marLeft w:val="0"/>
      <w:marRight w:val="0"/>
      <w:marTop w:val="0"/>
      <w:marBottom w:val="0"/>
      <w:divBdr>
        <w:top w:val="none" w:sz="0" w:space="0" w:color="auto"/>
        <w:left w:val="none" w:sz="0" w:space="0" w:color="auto"/>
        <w:bottom w:val="none" w:sz="0" w:space="0" w:color="auto"/>
        <w:right w:val="none" w:sz="0" w:space="0" w:color="auto"/>
      </w:divBdr>
    </w:div>
    <w:div w:id="838038000">
      <w:bodyDiv w:val="1"/>
      <w:marLeft w:val="0"/>
      <w:marRight w:val="0"/>
      <w:marTop w:val="0"/>
      <w:marBottom w:val="0"/>
      <w:divBdr>
        <w:top w:val="none" w:sz="0" w:space="0" w:color="auto"/>
        <w:left w:val="none" w:sz="0" w:space="0" w:color="auto"/>
        <w:bottom w:val="none" w:sz="0" w:space="0" w:color="auto"/>
        <w:right w:val="none" w:sz="0" w:space="0" w:color="auto"/>
      </w:divBdr>
    </w:div>
    <w:div w:id="850530537">
      <w:bodyDiv w:val="1"/>
      <w:marLeft w:val="0"/>
      <w:marRight w:val="0"/>
      <w:marTop w:val="0"/>
      <w:marBottom w:val="0"/>
      <w:divBdr>
        <w:top w:val="none" w:sz="0" w:space="0" w:color="auto"/>
        <w:left w:val="none" w:sz="0" w:space="0" w:color="auto"/>
        <w:bottom w:val="none" w:sz="0" w:space="0" w:color="auto"/>
        <w:right w:val="none" w:sz="0" w:space="0" w:color="auto"/>
      </w:divBdr>
    </w:div>
    <w:div w:id="890191120">
      <w:bodyDiv w:val="1"/>
      <w:marLeft w:val="0"/>
      <w:marRight w:val="0"/>
      <w:marTop w:val="0"/>
      <w:marBottom w:val="0"/>
      <w:divBdr>
        <w:top w:val="none" w:sz="0" w:space="0" w:color="auto"/>
        <w:left w:val="none" w:sz="0" w:space="0" w:color="auto"/>
        <w:bottom w:val="none" w:sz="0" w:space="0" w:color="auto"/>
        <w:right w:val="none" w:sz="0" w:space="0" w:color="auto"/>
      </w:divBdr>
    </w:div>
    <w:div w:id="896747495">
      <w:bodyDiv w:val="1"/>
      <w:marLeft w:val="0"/>
      <w:marRight w:val="0"/>
      <w:marTop w:val="0"/>
      <w:marBottom w:val="0"/>
      <w:divBdr>
        <w:top w:val="none" w:sz="0" w:space="0" w:color="auto"/>
        <w:left w:val="none" w:sz="0" w:space="0" w:color="auto"/>
        <w:bottom w:val="none" w:sz="0" w:space="0" w:color="auto"/>
        <w:right w:val="none" w:sz="0" w:space="0" w:color="auto"/>
      </w:divBdr>
    </w:div>
    <w:div w:id="933632339">
      <w:bodyDiv w:val="1"/>
      <w:marLeft w:val="0"/>
      <w:marRight w:val="0"/>
      <w:marTop w:val="0"/>
      <w:marBottom w:val="0"/>
      <w:divBdr>
        <w:top w:val="none" w:sz="0" w:space="0" w:color="auto"/>
        <w:left w:val="none" w:sz="0" w:space="0" w:color="auto"/>
        <w:bottom w:val="none" w:sz="0" w:space="0" w:color="auto"/>
        <w:right w:val="none" w:sz="0" w:space="0" w:color="auto"/>
      </w:divBdr>
    </w:div>
    <w:div w:id="948006285">
      <w:bodyDiv w:val="1"/>
      <w:marLeft w:val="0"/>
      <w:marRight w:val="0"/>
      <w:marTop w:val="0"/>
      <w:marBottom w:val="0"/>
      <w:divBdr>
        <w:top w:val="none" w:sz="0" w:space="0" w:color="auto"/>
        <w:left w:val="none" w:sz="0" w:space="0" w:color="auto"/>
        <w:bottom w:val="none" w:sz="0" w:space="0" w:color="auto"/>
        <w:right w:val="none" w:sz="0" w:space="0" w:color="auto"/>
      </w:divBdr>
    </w:div>
    <w:div w:id="1000352684">
      <w:bodyDiv w:val="1"/>
      <w:marLeft w:val="0"/>
      <w:marRight w:val="0"/>
      <w:marTop w:val="0"/>
      <w:marBottom w:val="0"/>
      <w:divBdr>
        <w:top w:val="none" w:sz="0" w:space="0" w:color="auto"/>
        <w:left w:val="none" w:sz="0" w:space="0" w:color="auto"/>
        <w:bottom w:val="none" w:sz="0" w:space="0" w:color="auto"/>
        <w:right w:val="none" w:sz="0" w:space="0" w:color="auto"/>
      </w:divBdr>
    </w:div>
    <w:div w:id="1007513730">
      <w:bodyDiv w:val="1"/>
      <w:marLeft w:val="0"/>
      <w:marRight w:val="0"/>
      <w:marTop w:val="0"/>
      <w:marBottom w:val="0"/>
      <w:divBdr>
        <w:top w:val="none" w:sz="0" w:space="0" w:color="auto"/>
        <w:left w:val="none" w:sz="0" w:space="0" w:color="auto"/>
        <w:bottom w:val="none" w:sz="0" w:space="0" w:color="auto"/>
        <w:right w:val="none" w:sz="0" w:space="0" w:color="auto"/>
      </w:divBdr>
    </w:div>
    <w:div w:id="1035546737">
      <w:bodyDiv w:val="1"/>
      <w:marLeft w:val="0"/>
      <w:marRight w:val="0"/>
      <w:marTop w:val="0"/>
      <w:marBottom w:val="0"/>
      <w:divBdr>
        <w:top w:val="none" w:sz="0" w:space="0" w:color="auto"/>
        <w:left w:val="none" w:sz="0" w:space="0" w:color="auto"/>
        <w:bottom w:val="none" w:sz="0" w:space="0" w:color="auto"/>
        <w:right w:val="none" w:sz="0" w:space="0" w:color="auto"/>
      </w:divBdr>
    </w:div>
    <w:div w:id="1038823819">
      <w:bodyDiv w:val="1"/>
      <w:marLeft w:val="0"/>
      <w:marRight w:val="0"/>
      <w:marTop w:val="0"/>
      <w:marBottom w:val="0"/>
      <w:divBdr>
        <w:top w:val="none" w:sz="0" w:space="0" w:color="auto"/>
        <w:left w:val="none" w:sz="0" w:space="0" w:color="auto"/>
        <w:bottom w:val="none" w:sz="0" w:space="0" w:color="auto"/>
        <w:right w:val="none" w:sz="0" w:space="0" w:color="auto"/>
      </w:divBdr>
    </w:div>
    <w:div w:id="1063529756">
      <w:bodyDiv w:val="1"/>
      <w:marLeft w:val="0"/>
      <w:marRight w:val="0"/>
      <w:marTop w:val="0"/>
      <w:marBottom w:val="0"/>
      <w:divBdr>
        <w:top w:val="none" w:sz="0" w:space="0" w:color="auto"/>
        <w:left w:val="none" w:sz="0" w:space="0" w:color="auto"/>
        <w:bottom w:val="none" w:sz="0" w:space="0" w:color="auto"/>
        <w:right w:val="none" w:sz="0" w:space="0" w:color="auto"/>
      </w:divBdr>
    </w:div>
    <w:div w:id="1112285994">
      <w:bodyDiv w:val="1"/>
      <w:marLeft w:val="0"/>
      <w:marRight w:val="0"/>
      <w:marTop w:val="0"/>
      <w:marBottom w:val="0"/>
      <w:divBdr>
        <w:top w:val="none" w:sz="0" w:space="0" w:color="auto"/>
        <w:left w:val="none" w:sz="0" w:space="0" w:color="auto"/>
        <w:bottom w:val="none" w:sz="0" w:space="0" w:color="auto"/>
        <w:right w:val="none" w:sz="0" w:space="0" w:color="auto"/>
      </w:divBdr>
    </w:div>
    <w:div w:id="1118330981">
      <w:bodyDiv w:val="1"/>
      <w:marLeft w:val="0"/>
      <w:marRight w:val="0"/>
      <w:marTop w:val="0"/>
      <w:marBottom w:val="0"/>
      <w:divBdr>
        <w:top w:val="none" w:sz="0" w:space="0" w:color="auto"/>
        <w:left w:val="none" w:sz="0" w:space="0" w:color="auto"/>
        <w:bottom w:val="none" w:sz="0" w:space="0" w:color="auto"/>
        <w:right w:val="none" w:sz="0" w:space="0" w:color="auto"/>
      </w:divBdr>
    </w:div>
    <w:div w:id="1138566414">
      <w:bodyDiv w:val="1"/>
      <w:marLeft w:val="0"/>
      <w:marRight w:val="0"/>
      <w:marTop w:val="0"/>
      <w:marBottom w:val="0"/>
      <w:divBdr>
        <w:top w:val="none" w:sz="0" w:space="0" w:color="auto"/>
        <w:left w:val="none" w:sz="0" w:space="0" w:color="auto"/>
        <w:bottom w:val="none" w:sz="0" w:space="0" w:color="auto"/>
        <w:right w:val="none" w:sz="0" w:space="0" w:color="auto"/>
      </w:divBdr>
    </w:div>
    <w:div w:id="1189373004">
      <w:bodyDiv w:val="1"/>
      <w:marLeft w:val="0"/>
      <w:marRight w:val="0"/>
      <w:marTop w:val="0"/>
      <w:marBottom w:val="0"/>
      <w:divBdr>
        <w:top w:val="none" w:sz="0" w:space="0" w:color="auto"/>
        <w:left w:val="none" w:sz="0" w:space="0" w:color="auto"/>
        <w:bottom w:val="none" w:sz="0" w:space="0" w:color="auto"/>
        <w:right w:val="none" w:sz="0" w:space="0" w:color="auto"/>
      </w:divBdr>
    </w:div>
    <w:div w:id="1210604264">
      <w:bodyDiv w:val="1"/>
      <w:marLeft w:val="0"/>
      <w:marRight w:val="0"/>
      <w:marTop w:val="0"/>
      <w:marBottom w:val="0"/>
      <w:divBdr>
        <w:top w:val="none" w:sz="0" w:space="0" w:color="auto"/>
        <w:left w:val="none" w:sz="0" w:space="0" w:color="auto"/>
        <w:bottom w:val="none" w:sz="0" w:space="0" w:color="auto"/>
        <w:right w:val="none" w:sz="0" w:space="0" w:color="auto"/>
      </w:divBdr>
    </w:div>
    <w:div w:id="1250191461">
      <w:bodyDiv w:val="1"/>
      <w:marLeft w:val="0"/>
      <w:marRight w:val="0"/>
      <w:marTop w:val="0"/>
      <w:marBottom w:val="0"/>
      <w:divBdr>
        <w:top w:val="none" w:sz="0" w:space="0" w:color="auto"/>
        <w:left w:val="none" w:sz="0" w:space="0" w:color="auto"/>
        <w:bottom w:val="none" w:sz="0" w:space="0" w:color="auto"/>
        <w:right w:val="none" w:sz="0" w:space="0" w:color="auto"/>
      </w:divBdr>
      <w:divsChild>
        <w:div w:id="21833366">
          <w:marLeft w:val="0"/>
          <w:marRight w:val="0"/>
          <w:marTop w:val="0"/>
          <w:marBottom w:val="0"/>
          <w:divBdr>
            <w:top w:val="none" w:sz="0" w:space="0" w:color="auto"/>
            <w:left w:val="none" w:sz="0" w:space="0" w:color="auto"/>
            <w:bottom w:val="none" w:sz="0" w:space="0" w:color="auto"/>
            <w:right w:val="none" w:sz="0" w:space="0" w:color="auto"/>
          </w:divBdr>
          <w:divsChild>
            <w:div w:id="1161627014">
              <w:marLeft w:val="0"/>
              <w:marRight w:val="0"/>
              <w:marTop w:val="0"/>
              <w:marBottom w:val="0"/>
              <w:divBdr>
                <w:top w:val="none" w:sz="0" w:space="0" w:color="auto"/>
                <w:left w:val="none" w:sz="0" w:space="0" w:color="auto"/>
                <w:bottom w:val="none" w:sz="0" w:space="0" w:color="auto"/>
                <w:right w:val="none" w:sz="0" w:space="0" w:color="auto"/>
              </w:divBdr>
              <w:divsChild>
                <w:div w:id="1495147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5671097">
      <w:bodyDiv w:val="1"/>
      <w:marLeft w:val="0"/>
      <w:marRight w:val="0"/>
      <w:marTop w:val="0"/>
      <w:marBottom w:val="0"/>
      <w:divBdr>
        <w:top w:val="none" w:sz="0" w:space="0" w:color="auto"/>
        <w:left w:val="none" w:sz="0" w:space="0" w:color="auto"/>
        <w:bottom w:val="none" w:sz="0" w:space="0" w:color="auto"/>
        <w:right w:val="none" w:sz="0" w:space="0" w:color="auto"/>
      </w:divBdr>
    </w:div>
    <w:div w:id="1258758105">
      <w:bodyDiv w:val="1"/>
      <w:marLeft w:val="0"/>
      <w:marRight w:val="0"/>
      <w:marTop w:val="0"/>
      <w:marBottom w:val="0"/>
      <w:divBdr>
        <w:top w:val="none" w:sz="0" w:space="0" w:color="auto"/>
        <w:left w:val="none" w:sz="0" w:space="0" w:color="auto"/>
        <w:bottom w:val="none" w:sz="0" w:space="0" w:color="auto"/>
        <w:right w:val="none" w:sz="0" w:space="0" w:color="auto"/>
      </w:divBdr>
    </w:div>
    <w:div w:id="1270429955">
      <w:bodyDiv w:val="1"/>
      <w:marLeft w:val="0"/>
      <w:marRight w:val="0"/>
      <w:marTop w:val="0"/>
      <w:marBottom w:val="0"/>
      <w:divBdr>
        <w:top w:val="none" w:sz="0" w:space="0" w:color="auto"/>
        <w:left w:val="none" w:sz="0" w:space="0" w:color="auto"/>
        <w:bottom w:val="none" w:sz="0" w:space="0" w:color="auto"/>
        <w:right w:val="none" w:sz="0" w:space="0" w:color="auto"/>
      </w:divBdr>
    </w:div>
    <w:div w:id="1287391497">
      <w:bodyDiv w:val="1"/>
      <w:marLeft w:val="0"/>
      <w:marRight w:val="0"/>
      <w:marTop w:val="0"/>
      <w:marBottom w:val="0"/>
      <w:divBdr>
        <w:top w:val="none" w:sz="0" w:space="0" w:color="auto"/>
        <w:left w:val="none" w:sz="0" w:space="0" w:color="auto"/>
        <w:bottom w:val="none" w:sz="0" w:space="0" w:color="auto"/>
        <w:right w:val="none" w:sz="0" w:space="0" w:color="auto"/>
      </w:divBdr>
    </w:div>
    <w:div w:id="1453132392">
      <w:bodyDiv w:val="1"/>
      <w:marLeft w:val="0"/>
      <w:marRight w:val="0"/>
      <w:marTop w:val="0"/>
      <w:marBottom w:val="0"/>
      <w:divBdr>
        <w:top w:val="none" w:sz="0" w:space="0" w:color="auto"/>
        <w:left w:val="none" w:sz="0" w:space="0" w:color="auto"/>
        <w:bottom w:val="none" w:sz="0" w:space="0" w:color="auto"/>
        <w:right w:val="none" w:sz="0" w:space="0" w:color="auto"/>
      </w:divBdr>
    </w:div>
    <w:div w:id="1491481199">
      <w:bodyDiv w:val="1"/>
      <w:marLeft w:val="0"/>
      <w:marRight w:val="0"/>
      <w:marTop w:val="0"/>
      <w:marBottom w:val="0"/>
      <w:divBdr>
        <w:top w:val="none" w:sz="0" w:space="0" w:color="auto"/>
        <w:left w:val="none" w:sz="0" w:space="0" w:color="auto"/>
        <w:bottom w:val="none" w:sz="0" w:space="0" w:color="auto"/>
        <w:right w:val="none" w:sz="0" w:space="0" w:color="auto"/>
      </w:divBdr>
    </w:div>
    <w:div w:id="1508523739">
      <w:bodyDiv w:val="1"/>
      <w:marLeft w:val="0"/>
      <w:marRight w:val="0"/>
      <w:marTop w:val="0"/>
      <w:marBottom w:val="0"/>
      <w:divBdr>
        <w:top w:val="none" w:sz="0" w:space="0" w:color="auto"/>
        <w:left w:val="none" w:sz="0" w:space="0" w:color="auto"/>
        <w:bottom w:val="none" w:sz="0" w:space="0" w:color="auto"/>
        <w:right w:val="none" w:sz="0" w:space="0" w:color="auto"/>
      </w:divBdr>
      <w:divsChild>
        <w:div w:id="392050602">
          <w:marLeft w:val="0"/>
          <w:marRight w:val="0"/>
          <w:marTop w:val="0"/>
          <w:marBottom w:val="0"/>
          <w:divBdr>
            <w:top w:val="none" w:sz="0" w:space="0" w:color="auto"/>
            <w:left w:val="none" w:sz="0" w:space="0" w:color="auto"/>
            <w:bottom w:val="none" w:sz="0" w:space="0" w:color="auto"/>
            <w:right w:val="none" w:sz="0" w:space="0" w:color="auto"/>
          </w:divBdr>
          <w:divsChild>
            <w:div w:id="985743332">
              <w:marLeft w:val="0"/>
              <w:marRight w:val="0"/>
              <w:marTop w:val="0"/>
              <w:marBottom w:val="0"/>
              <w:divBdr>
                <w:top w:val="none" w:sz="0" w:space="0" w:color="auto"/>
                <w:left w:val="none" w:sz="0" w:space="0" w:color="auto"/>
                <w:bottom w:val="none" w:sz="0" w:space="0" w:color="auto"/>
                <w:right w:val="none" w:sz="0" w:space="0" w:color="auto"/>
              </w:divBdr>
            </w:div>
          </w:divsChild>
        </w:div>
        <w:div w:id="363019961">
          <w:marLeft w:val="0"/>
          <w:marRight w:val="0"/>
          <w:marTop w:val="0"/>
          <w:marBottom w:val="0"/>
          <w:divBdr>
            <w:top w:val="none" w:sz="0" w:space="0" w:color="auto"/>
            <w:left w:val="none" w:sz="0" w:space="0" w:color="auto"/>
            <w:bottom w:val="none" w:sz="0" w:space="0" w:color="auto"/>
            <w:right w:val="none" w:sz="0" w:space="0" w:color="auto"/>
          </w:divBdr>
          <w:divsChild>
            <w:div w:id="7806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149514">
      <w:bodyDiv w:val="1"/>
      <w:marLeft w:val="0"/>
      <w:marRight w:val="0"/>
      <w:marTop w:val="0"/>
      <w:marBottom w:val="0"/>
      <w:divBdr>
        <w:top w:val="none" w:sz="0" w:space="0" w:color="auto"/>
        <w:left w:val="none" w:sz="0" w:space="0" w:color="auto"/>
        <w:bottom w:val="none" w:sz="0" w:space="0" w:color="auto"/>
        <w:right w:val="none" w:sz="0" w:space="0" w:color="auto"/>
      </w:divBdr>
    </w:div>
    <w:div w:id="1522890127">
      <w:bodyDiv w:val="1"/>
      <w:marLeft w:val="0"/>
      <w:marRight w:val="0"/>
      <w:marTop w:val="0"/>
      <w:marBottom w:val="0"/>
      <w:divBdr>
        <w:top w:val="none" w:sz="0" w:space="0" w:color="auto"/>
        <w:left w:val="none" w:sz="0" w:space="0" w:color="auto"/>
        <w:bottom w:val="none" w:sz="0" w:space="0" w:color="auto"/>
        <w:right w:val="none" w:sz="0" w:space="0" w:color="auto"/>
      </w:divBdr>
    </w:div>
    <w:div w:id="1531918886">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1">
          <w:marLeft w:val="0"/>
          <w:marRight w:val="0"/>
          <w:marTop w:val="0"/>
          <w:marBottom w:val="0"/>
          <w:divBdr>
            <w:top w:val="none" w:sz="0" w:space="0" w:color="auto"/>
            <w:left w:val="none" w:sz="0" w:space="0" w:color="auto"/>
            <w:bottom w:val="none" w:sz="0" w:space="0" w:color="auto"/>
            <w:right w:val="none" w:sz="0" w:space="0" w:color="auto"/>
          </w:divBdr>
          <w:divsChild>
            <w:div w:id="498816886">
              <w:marLeft w:val="0"/>
              <w:marRight w:val="0"/>
              <w:marTop w:val="0"/>
              <w:marBottom w:val="0"/>
              <w:divBdr>
                <w:top w:val="none" w:sz="0" w:space="0" w:color="auto"/>
                <w:left w:val="none" w:sz="0" w:space="0" w:color="auto"/>
                <w:bottom w:val="none" w:sz="0" w:space="0" w:color="auto"/>
                <w:right w:val="none" w:sz="0" w:space="0" w:color="auto"/>
              </w:divBdr>
            </w:div>
          </w:divsChild>
        </w:div>
        <w:div w:id="1313412166">
          <w:marLeft w:val="0"/>
          <w:marRight w:val="0"/>
          <w:marTop w:val="0"/>
          <w:marBottom w:val="0"/>
          <w:divBdr>
            <w:top w:val="none" w:sz="0" w:space="0" w:color="auto"/>
            <w:left w:val="none" w:sz="0" w:space="0" w:color="auto"/>
            <w:bottom w:val="none" w:sz="0" w:space="0" w:color="auto"/>
            <w:right w:val="none" w:sz="0" w:space="0" w:color="auto"/>
          </w:divBdr>
          <w:divsChild>
            <w:div w:id="176429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774236">
      <w:bodyDiv w:val="1"/>
      <w:marLeft w:val="0"/>
      <w:marRight w:val="0"/>
      <w:marTop w:val="0"/>
      <w:marBottom w:val="0"/>
      <w:divBdr>
        <w:top w:val="none" w:sz="0" w:space="0" w:color="auto"/>
        <w:left w:val="none" w:sz="0" w:space="0" w:color="auto"/>
        <w:bottom w:val="none" w:sz="0" w:space="0" w:color="auto"/>
        <w:right w:val="none" w:sz="0" w:space="0" w:color="auto"/>
      </w:divBdr>
    </w:div>
    <w:div w:id="1557164834">
      <w:bodyDiv w:val="1"/>
      <w:marLeft w:val="0"/>
      <w:marRight w:val="0"/>
      <w:marTop w:val="0"/>
      <w:marBottom w:val="0"/>
      <w:divBdr>
        <w:top w:val="none" w:sz="0" w:space="0" w:color="auto"/>
        <w:left w:val="none" w:sz="0" w:space="0" w:color="auto"/>
        <w:bottom w:val="none" w:sz="0" w:space="0" w:color="auto"/>
        <w:right w:val="none" w:sz="0" w:space="0" w:color="auto"/>
      </w:divBdr>
    </w:div>
    <w:div w:id="1578049926">
      <w:bodyDiv w:val="1"/>
      <w:marLeft w:val="0"/>
      <w:marRight w:val="0"/>
      <w:marTop w:val="0"/>
      <w:marBottom w:val="0"/>
      <w:divBdr>
        <w:top w:val="none" w:sz="0" w:space="0" w:color="auto"/>
        <w:left w:val="none" w:sz="0" w:space="0" w:color="auto"/>
        <w:bottom w:val="none" w:sz="0" w:space="0" w:color="auto"/>
        <w:right w:val="none" w:sz="0" w:space="0" w:color="auto"/>
      </w:divBdr>
    </w:div>
    <w:div w:id="1652520144">
      <w:bodyDiv w:val="1"/>
      <w:marLeft w:val="0"/>
      <w:marRight w:val="0"/>
      <w:marTop w:val="0"/>
      <w:marBottom w:val="0"/>
      <w:divBdr>
        <w:top w:val="none" w:sz="0" w:space="0" w:color="auto"/>
        <w:left w:val="none" w:sz="0" w:space="0" w:color="auto"/>
        <w:bottom w:val="none" w:sz="0" w:space="0" w:color="auto"/>
        <w:right w:val="none" w:sz="0" w:space="0" w:color="auto"/>
      </w:divBdr>
      <w:divsChild>
        <w:div w:id="2034530598">
          <w:marLeft w:val="0"/>
          <w:marRight w:val="0"/>
          <w:marTop w:val="0"/>
          <w:marBottom w:val="0"/>
          <w:divBdr>
            <w:top w:val="none" w:sz="0" w:space="0" w:color="auto"/>
            <w:left w:val="none" w:sz="0" w:space="0" w:color="auto"/>
            <w:bottom w:val="none" w:sz="0" w:space="0" w:color="auto"/>
            <w:right w:val="none" w:sz="0" w:space="0" w:color="auto"/>
          </w:divBdr>
        </w:div>
      </w:divsChild>
    </w:div>
    <w:div w:id="1668944342">
      <w:bodyDiv w:val="1"/>
      <w:marLeft w:val="0"/>
      <w:marRight w:val="0"/>
      <w:marTop w:val="0"/>
      <w:marBottom w:val="0"/>
      <w:divBdr>
        <w:top w:val="none" w:sz="0" w:space="0" w:color="auto"/>
        <w:left w:val="none" w:sz="0" w:space="0" w:color="auto"/>
        <w:bottom w:val="none" w:sz="0" w:space="0" w:color="auto"/>
        <w:right w:val="none" w:sz="0" w:space="0" w:color="auto"/>
      </w:divBdr>
    </w:div>
    <w:div w:id="1713188580">
      <w:bodyDiv w:val="1"/>
      <w:marLeft w:val="0"/>
      <w:marRight w:val="0"/>
      <w:marTop w:val="0"/>
      <w:marBottom w:val="0"/>
      <w:divBdr>
        <w:top w:val="none" w:sz="0" w:space="0" w:color="auto"/>
        <w:left w:val="none" w:sz="0" w:space="0" w:color="auto"/>
        <w:bottom w:val="none" w:sz="0" w:space="0" w:color="auto"/>
        <w:right w:val="none" w:sz="0" w:space="0" w:color="auto"/>
      </w:divBdr>
    </w:div>
    <w:div w:id="1781492666">
      <w:bodyDiv w:val="1"/>
      <w:marLeft w:val="0"/>
      <w:marRight w:val="0"/>
      <w:marTop w:val="0"/>
      <w:marBottom w:val="0"/>
      <w:divBdr>
        <w:top w:val="none" w:sz="0" w:space="0" w:color="auto"/>
        <w:left w:val="none" w:sz="0" w:space="0" w:color="auto"/>
        <w:bottom w:val="none" w:sz="0" w:space="0" w:color="auto"/>
        <w:right w:val="none" w:sz="0" w:space="0" w:color="auto"/>
      </w:divBdr>
    </w:div>
    <w:div w:id="1814366279">
      <w:bodyDiv w:val="1"/>
      <w:marLeft w:val="0"/>
      <w:marRight w:val="0"/>
      <w:marTop w:val="0"/>
      <w:marBottom w:val="0"/>
      <w:divBdr>
        <w:top w:val="none" w:sz="0" w:space="0" w:color="auto"/>
        <w:left w:val="none" w:sz="0" w:space="0" w:color="auto"/>
        <w:bottom w:val="none" w:sz="0" w:space="0" w:color="auto"/>
        <w:right w:val="none" w:sz="0" w:space="0" w:color="auto"/>
      </w:divBdr>
    </w:div>
    <w:div w:id="1835534318">
      <w:bodyDiv w:val="1"/>
      <w:marLeft w:val="0"/>
      <w:marRight w:val="0"/>
      <w:marTop w:val="0"/>
      <w:marBottom w:val="0"/>
      <w:divBdr>
        <w:top w:val="none" w:sz="0" w:space="0" w:color="auto"/>
        <w:left w:val="none" w:sz="0" w:space="0" w:color="auto"/>
        <w:bottom w:val="none" w:sz="0" w:space="0" w:color="auto"/>
        <w:right w:val="none" w:sz="0" w:space="0" w:color="auto"/>
      </w:divBdr>
    </w:div>
    <w:div w:id="1845821722">
      <w:bodyDiv w:val="1"/>
      <w:marLeft w:val="0"/>
      <w:marRight w:val="0"/>
      <w:marTop w:val="0"/>
      <w:marBottom w:val="0"/>
      <w:divBdr>
        <w:top w:val="none" w:sz="0" w:space="0" w:color="auto"/>
        <w:left w:val="none" w:sz="0" w:space="0" w:color="auto"/>
        <w:bottom w:val="none" w:sz="0" w:space="0" w:color="auto"/>
        <w:right w:val="none" w:sz="0" w:space="0" w:color="auto"/>
      </w:divBdr>
    </w:div>
    <w:div w:id="1890221716">
      <w:bodyDiv w:val="1"/>
      <w:marLeft w:val="0"/>
      <w:marRight w:val="0"/>
      <w:marTop w:val="0"/>
      <w:marBottom w:val="0"/>
      <w:divBdr>
        <w:top w:val="none" w:sz="0" w:space="0" w:color="auto"/>
        <w:left w:val="none" w:sz="0" w:space="0" w:color="auto"/>
        <w:bottom w:val="none" w:sz="0" w:space="0" w:color="auto"/>
        <w:right w:val="none" w:sz="0" w:space="0" w:color="auto"/>
      </w:divBdr>
    </w:div>
    <w:div w:id="1978144570">
      <w:bodyDiv w:val="1"/>
      <w:marLeft w:val="0"/>
      <w:marRight w:val="0"/>
      <w:marTop w:val="0"/>
      <w:marBottom w:val="0"/>
      <w:divBdr>
        <w:top w:val="none" w:sz="0" w:space="0" w:color="auto"/>
        <w:left w:val="none" w:sz="0" w:space="0" w:color="auto"/>
        <w:bottom w:val="none" w:sz="0" w:space="0" w:color="auto"/>
        <w:right w:val="none" w:sz="0" w:space="0" w:color="auto"/>
      </w:divBdr>
      <w:divsChild>
        <w:div w:id="1114250955">
          <w:marLeft w:val="0"/>
          <w:marRight w:val="0"/>
          <w:marTop w:val="0"/>
          <w:marBottom w:val="0"/>
          <w:divBdr>
            <w:top w:val="none" w:sz="0" w:space="0" w:color="auto"/>
            <w:left w:val="none" w:sz="0" w:space="0" w:color="auto"/>
            <w:bottom w:val="none" w:sz="0" w:space="0" w:color="auto"/>
            <w:right w:val="none" w:sz="0" w:space="0" w:color="auto"/>
          </w:divBdr>
          <w:divsChild>
            <w:div w:id="1658460096">
              <w:marLeft w:val="0"/>
              <w:marRight w:val="0"/>
              <w:marTop w:val="0"/>
              <w:marBottom w:val="0"/>
              <w:divBdr>
                <w:top w:val="none" w:sz="0" w:space="0" w:color="auto"/>
                <w:left w:val="none" w:sz="0" w:space="0" w:color="auto"/>
                <w:bottom w:val="none" w:sz="0" w:space="0" w:color="auto"/>
                <w:right w:val="none" w:sz="0" w:space="0" w:color="auto"/>
              </w:divBdr>
              <w:divsChild>
                <w:div w:id="1135683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775776">
      <w:bodyDiv w:val="1"/>
      <w:marLeft w:val="0"/>
      <w:marRight w:val="0"/>
      <w:marTop w:val="0"/>
      <w:marBottom w:val="0"/>
      <w:divBdr>
        <w:top w:val="none" w:sz="0" w:space="0" w:color="auto"/>
        <w:left w:val="none" w:sz="0" w:space="0" w:color="auto"/>
        <w:bottom w:val="none" w:sz="0" w:space="0" w:color="auto"/>
        <w:right w:val="none" w:sz="0" w:space="0" w:color="auto"/>
      </w:divBdr>
      <w:divsChild>
        <w:div w:id="509218290">
          <w:marLeft w:val="0"/>
          <w:marRight w:val="0"/>
          <w:marTop w:val="0"/>
          <w:marBottom w:val="0"/>
          <w:divBdr>
            <w:top w:val="none" w:sz="0" w:space="0" w:color="auto"/>
            <w:left w:val="none" w:sz="0" w:space="0" w:color="auto"/>
            <w:bottom w:val="none" w:sz="0" w:space="0" w:color="auto"/>
            <w:right w:val="none" w:sz="0" w:space="0" w:color="auto"/>
          </w:divBdr>
          <w:divsChild>
            <w:div w:id="466779429">
              <w:marLeft w:val="0"/>
              <w:marRight w:val="0"/>
              <w:marTop w:val="0"/>
              <w:marBottom w:val="0"/>
              <w:divBdr>
                <w:top w:val="none" w:sz="0" w:space="0" w:color="auto"/>
                <w:left w:val="none" w:sz="0" w:space="0" w:color="auto"/>
                <w:bottom w:val="none" w:sz="0" w:space="0" w:color="auto"/>
                <w:right w:val="none" w:sz="0" w:space="0" w:color="auto"/>
              </w:divBdr>
              <w:divsChild>
                <w:div w:id="2287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bookcentral.proquest.com/lib/trinity/detail.action?docID=560128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bookcentral.proquest.com/lib/trinity/detail.action?docID=5403555" TargetMode="External"/><Relationship Id="rId5" Type="http://schemas.openxmlformats.org/officeDocument/2006/relationships/footnotes" Target="footnotes.xml"/><Relationship Id="rId10" Type="http://schemas.openxmlformats.org/officeDocument/2006/relationships/hyperlink" Target="https://www.researchgate.net/publication/334753790_The_impact_of_accounting_standards_developments_and_financial_reporting_complexities_on_the_audit_committee" TargetMode="External"/><Relationship Id="rId4" Type="http://schemas.openxmlformats.org/officeDocument/2006/relationships/webSettings" Target="webSettings.xml"/><Relationship Id="rId9" Type="http://schemas.openxmlformats.org/officeDocument/2006/relationships/hyperlink" Target="https://doi.org/10.4324/978008049081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3510</Words>
  <Characters>20008</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Tilea (2124071)</dc:creator>
  <cp:keywords/>
  <dc:description/>
  <cp:lastModifiedBy>Mihai Tilea</cp:lastModifiedBy>
  <cp:revision>2</cp:revision>
  <dcterms:created xsi:type="dcterms:W3CDTF">2023-12-20T14:03:00Z</dcterms:created>
  <dcterms:modified xsi:type="dcterms:W3CDTF">2023-12-20T14:03:00Z</dcterms:modified>
</cp:coreProperties>
</file>