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6528E" w14:textId="77777777" w:rsidR="003660E3" w:rsidRPr="009375DD" w:rsidRDefault="003660E3">
      <w:pPr>
        <w:spacing w:before="120" w:after="120"/>
        <w:jc w:val="left"/>
        <w:rPr>
          <w:rFonts w:ascii="Times New Roman" w:hAnsi="Times New Roman" w:cs="Times New Roman"/>
        </w:rPr>
      </w:pPr>
    </w:p>
    <w:p w14:paraId="1DA9E954" w14:textId="77777777" w:rsidR="003660E3" w:rsidRPr="009375DD" w:rsidRDefault="003660E3">
      <w:pPr>
        <w:spacing w:before="120" w:after="120"/>
        <w:jc w:val="left"/>
        <w:rPr>
          <w:rFonts w:ascii="Times New Roman" w:hAnsi="Times New Roman" w:cs="Times New Roman"/>
        </w:rPr>
      </w:pPr>
    </w:p>
    <w:p w14:paraId="1A6909E5" w14:textId="77777777" w:rsidR="003660E3" w:rsidRPr="009375DD" w:rsidRDefault="003660E3">
      <w:pPr>
        <w:spacing w:before="120" w:after="120" w:line="240" w:lineRule="auto"/>
        <w:jc w:val="left"/>
        <w:rPr>
          <w:rFonts w:ascii="Times New Roman" w:hAnsi="Times New Roman" w:cs="Times New Roman"/>
          <w:b/>
          <w:bCs/>
          <w:sz w:val="36"/>
          <w:szCs w:val="36"/>
        </w:rPr>
      </w:pPr>
    </w:p>
    <w:p w14:paraId="4AAD4984" w14:textId="166D86AD" w:rsidR="003660E3" w:rsidRPr="009375DD" w:rsidRDefault="00921129">
      <w:pPr>
        <w:spacing w:before="120" w:after="120" w:line="276" w:lineRule="auto"/>
        <w:rPr>
          <w:rFonts w:ascii="Times New Roman" w:hAnsi="Times New Roman" w:cs="Times New Roman"/>
          <w:b/>
          <w:bCs/>
          <w:sz w:val="36"/>
          <w:szCs w:val="36"/>
        </w:rPr>
      </w:pPr>
      <w:r w:rsidRPr="009375DD">
        <w:rPr>
          <w:rFonts w:ascii="Times New Roman" w:hAnsi="Times New Roman" w:cs="Times New Roman"/>
          <w:b/>
          <w:bCs/>
          <w:sz w:val="36"/>
          <w:szCs w:val="36"/>
        </w:rPr>
        <w:t>Student name: Solanki Yashkumar Mahendrabhai</w:t>
      </w:r>
    </w:p>
    <w:p w14:paraId="74EA370C" w14:textId="77777777" w:rsidR="003660E3" w:rsidRPr="009375DD" w:rsidRDefault="00921129">
      <w:pPr>
        <w:spacing w:before="120" w:after="120" w:line="276" w:lineRule="auto"/>
        <w:rPr>
          <w:rFonts w:ascii="Times New Roman" w:hAnsi="Times New Roman" w:cs="Times New Roman"/>
          <w:b/>
          <w:bCs/>
          <w:sz w:val="36"/>
          <w:szCs w:val="36"/>
        </w:rPr>
      </w:pPr>
      <w:r w:rsidRPr="009375DD">
        <w:rPr>
          <w:rFonts w:ascii="Times New Roman" w:hAnsi="Times New Roman" w:cs="Times New Roman"/>
          <w:b/>
          <w:bCs/>
          <w:sz w:val="36"/>
          <w:szCs w:val="36"/>
        </w:rPr>
        <w:t>Student ID: 2525952</w:t>
      </w:r>
    </w:p>
    <w:p w14:paraId="584ECF5A" w14:textId="77777777" w:rsidR="003660E3" w:rsidRPr="009375DD" w:rsidRDefault="00921129">
      <w:pPr>
        <w:spacing w:before="120" w:after="120" w:line="276" w:lineRule="auto"/>
        <w:rPr>
          <w:rFonts w:ascii="Times New Roman" w:hAnsi="Times New Roman" w:cs="Times New Roman"/>
          <w:b/>
          <w:bCs/>
          <w:sz w:val="36"/>
          <w:szCs w:val="36"/>
        </w:rPr>
      </w:pPr>
      <w:r w:rsidRPr="009375DD">
        <w:rPr>
          <w:rFonts w:ascii="Times New Roman" w:hAnsi="Times New Roman" w:cs="Times New Roman"/>
          <w:b/>
          <w:bCs/>
          <w:sz w:val="36"/>
          <w:szCs w:val="36"/>
        </w:rPr>
        <w:t>Module Code: LCHS7000</w:t>
      </w:r>
    </w:p>
    <w:p w14:paraId="6275A39C" w14:textId="77777777" w:rsidR="003660E3" w:rsidRPr="009375DD" w:rsidRDefault="00921129">
      <w:pPr>
        <w:spacing w:before="120" w:after="120" w:line="276" w:lineRule="auto"/>
        <w:rPr>
          <w:rFonts w:ascii="Times New Roman" w:hAnsi="Times New Roman" w:cs="Times New Roman"/>
          <w:b/>
          <w:bCs/>
          <w:sz w:val="36"/>
          <w:szCs w:val="36"/>
        </w:rPr>
      </w:pPr>
      <w:r w:rsidRPr="009375DD">
        <w:rPr>
          <w:rFonts w:ascii="Times New Roman" w:hAnsi="Times New Roman" w:cs="Times New Roman"/>
          <w:b/>
          <w:bCs/>
          <w:sz w:val="36"/>
          <w:szCs w:val="36"/>
        </w:rPr>
        <w:t>Module Title: Social Epidemiology and Public Health Development</w:t>
      </w:r>
    </w:p>
    <w:p w14:paraId="5612716F" w14:textId="77777777" w:rsidR="003660E3" w:rsidRPr="009375DD" w:rsidRDefault="00921129">
      <w:pPr>
        <w:spacing w:before="120" w:after="120" w:line="276" w:lineRule="auto"/>
        <w:rPr>
          <w:rFonts w:ascii="Times New Roman" w:hAnsi="Times New Roman" w:cs="Times New Roman"/>
          <w:b/>
          <w:bCs/>
          <w:sz w:val="36"/>
          <w:szCs w:val="36"/>
        </w:rPr>
      </w:pPr>
      <w:r w:rsidRPr="009375DD">
        <w:rPr>
          <w:rFonts w:ascii="Times New Roman" w:hAnsi="Times New Roman" w:cs="Times New Roman"/>
          <w:b/>
          <w:bCs/>
          <w:sz w:val="36"/>
          <w:szCs w:val="36"/>
        </w:rPr>
        <w:t>Assignment Title: “Health Inequalities in Aging Populations and an Epidemiological Analysis of Type 2 Diabetes in the UK”</w:t>
      </w:r>
    </w:p>
    <w:p w14:paraId="1C96A065" w14:textId="5D3B91FD" w:rsidR="003660E3" w:rsidRPr="009375DD" w:rsidRDefault="00921129">
      <w:pPr>
        <w:spacing w:before="120" w:after="120" w:line="276" w:lineRule="auto"/>
        <w:rPr>
          <w:rFonts w:ascii="Times New Roman" w:hAnsi="Times New Roman" w:cs="Times New Roman"/>
          <w:b/>
          <w:bCs/>
          <w:sz w:val="36"/>
          <w:szCs w:val="36"/>
        </w:rPr>
      </w:pPr>
      <w:r w:rsidRPr="009375DD">
        <w:rPr>
          <w:rFonts w:ascii="Times New Roman" w:hAnsi="Times New Roman" w:cs="Times New Roman"/>
          <w:b/>
          <w:bCs/>
          <w:sz w:val="36"/>
          <w:szCs w:val="36"/>
        </w:rPr>
        <w:t xml:space="preserve">Lecturer’s Name: </w:t>
      </w:r>
      <w:r w:rsidR="009375DD" w:rsidRPr="009375DD">
        <w:rPr>
          <w:rFonts w:ascii="Times New Roman" w:hAnsi="Times New Roman" w:cs="Times New Roman"/>
          <w:b/>
          <w:bCs/>
          <w:sz w:val="36"/>
          <w:szCs w:val="36"/>
        </w:rPr>
        <w:t>Mr. Mohammad Aliyu</w:t>
      </w:r>
    </w:p>
    <w:p w14:paraId="5993F9D6" w14:textId="77777777" w:rsidR="003660E3" w:rsidRPr="009375DD" w:rsidRDefault="003660E3">
      <w:pPr>
        <w:spacing w:before="120" w:after="120" w:line="240" w:lineRule="auto"/>
        <w:jc w:val="left"/>
        <w:rPr>
          <w:rFonts w:ascii="Times New Roman" w:hAnsi="Times New Roman" w:cs="Times New Roman"/>
          <w:b/>
          <w:bCs/>
          <w:sz w:val="36"/>
          <w:szCs w:val="36"/>
        </w:rPr>
      </w:pPr>
    </w:p>
    <w:p w14:paraId="1CE47AF5" w14:textId="77777777" w:rsidR="003660E3" w:rsidRPr="009375DD" w:rsidRDefault="00921129">
      <w:pPr>
        <w:spacing w:before="120" w:after="120"/>
        <w:jc w:val="left"/>
        <w:rPr>
          <w:rFonts w:ascii="Times New Roman" w:hAnsi="Times New Roman" w:cs="Times New Roman"/>
        </w:rPr>
      </w:pPr>
      <w:r w:rsidRPr="009375DD">
        <w:rPr>
          <w:rFonts w:ascii="Times New Roman" w:hAnsi="Times New Roman" w:cs="Times New Roman"/>
        </w:rPr>
        <w:br w:type="page"/>
      </w:r>
    </w:p>
    <w:p w14:paraId="044DD848" w14:textId="77777777" w:rsidR="003660E3" w:rsidRPr="009375DD" w:rsidRDefault="00921129">
      <w:pPr>
        <w:keepNext/>
        <w:keepLines/>
        <w:pBdr>
          <w:top w:val="nil"/>
          <w:left w:val="nil"/>
          <w:bottom w:val="nil"/>
          <w:right w:val="nil"/>
          <w:between w:val="nil"/>
        </w:pBdr>
        <w:spacing w:before="120" w:after="120"/>
        <w:jc w:val="left"/>
        <w:rPr>
          <w:rFonts w:ascii="Times New Roman" w:hAnsi="Times New Roman" w:cs="Times New Roman"/>
          <w:b/>
          <w:bCs/>
          <w:color w:val="000000"/>
          <w:sz w:val="24"/>
          <w:szCs w:val="24"/>
        </w:rPr>
      </w:pPr>
      <w:r w:rsidRPr="009375DD">
        <w:rPr>
          <w:rFonts w:ascii="Times New Roman" w:hAnsi="Times New Roman" w:cs="Times New Roman"/>
          <w:b/>
          <w:bCs/>
          <w:color w:val="000000"/>
          <w:sz w:val="24"/>
          <w:szCs w:val="24"/>
        </w:rPr>
        <w:t>Table of Contents</w:t>
      </w:r>
    </w:p>
    <w:sdt>
      <w:sdtPr>
        <w:rPr>
          <w:rFonts w:ascii="Times New Roman" w:hAnsi="Times New Roman" w:cs="Times New Roman"/>
        </w:rPr>
        <w:id w:val="370472125"/>
        <w:docPartObj>
          <w:docPartGallery w:val="Table of Contents"/>
          <w:docPartUnique/>
        </w:docPartObj>
      </w:sdtPr>
      <w:sdtEndPr/>
      <w:sdtContent>
        <w:p w14:paraId="396EFC60"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r w:rsidRPr="009375DD">
            <w:rPr>
              <w:rFonts w:ascii="Times New Roman" w:hAnsi="Times New Roman" w:cs="Times New Roman"/>
            </w:rPr>
            <w:fldChar w:fldCharType="begin"/>
          </w:r>
          <w:r w:rsidRPr="009375DD">
            <w:rPr>
              <w:rFonts w:ascii="Times New Roman" w:hAnsi="Times New Roman" w:cs="Times New Roman"/>
            </w:rPr>
            <w:instrText xml:space="preserve"> TOC \h \u \z \t "Heading 1,1,Heading 2,2,Heading 3,3,"</w:instrText>
          </w:r>
          <w:r w:rsidRPr="009375DD">
            <w:rPr>
              <w:rFonts w:ascii="Times New Roman" w:hAnsi="Times New Roman" w:cs="Times New Roman"/>
            </w:rPr>
            <w:fldChar w:fldCharType="separate"/>
          </w:r>
          <w:hyperlink w:anchor="_heading=h.xpf2sm45msy8">
            <w:r w:rsidRPr="009375DD">
              <w:rPr>
                <w:rFonts w:ascii="Times New Roman" w:hAnsi="Times New Roman" w:cs="Times New Roman"/>
                <w:color w:val="000000"/>
              </w:rPr>
              <w:t>Task 1- Social Epidemiological Analysis</w:t>
            </w:r>
            <w:r w:rsidRPr="009375DD">
              <w:rPr>
                <w:rFonts w:ascii="Times New Roman" w:hAnsi="Times New Roman" w:cs="Times New Roman"/>
                <w:color w:val="000000"/>
              </w:rPr>
              <w:tab/>
              <w:t>3</w:t>
            </w:r>
          </w:hyperlink>
        </w:p>
        <w:p w14:paraId="71D4CDE2"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o4cam9n5wap4">
            <w:r w:rsidRPr="009375DD">
              <w:rPr>
                <w:rFonts w:ascii="Times New Roman" w:hAnsi="Times New Roman" w:cs="Times New Roman"/>
                <w:color w:val="000000"/>
              </w:rPr>
              <w:t>Introduction</w:t>
            </w:r>
            <w:r w:rsidRPr="009375DD">
              <w:rPr>
                <w:rFonts w:ascii="Times New Roman" w:hAnsi="Times New Roman" w:cs="Times New Roman"/>
                <w:color w:val="000000"/>
              </w:rPr>
              <w:tab/>
              <w:t>3</w:t>
            </w:r>
          </w:hyperlink>
        </w:p>
        <w:p w14:paraId="0BEB3D3B"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i3lk2wxyk9rm">
            <w:r w:rsidRPr="009375DD">
              <w:rPr>
                <w:rFonts w:ascii="Times New Roman" w:hAnsi="Times New Roman" w:cs="Times New Roman"/>
                <w:color w:val="000000"/>
              </w:rPr>
              <w:t>Contextual Background and Underlying Factors</w:t>
            </w:r>
            <w:r w:rsidRPr="009375DD">
              <w:rPr>
                <w:rFonts w:ascii="Times New Roman" w:hAnsi="Times New Roman" w:cs="Times New Roman"/>
                <w:color w:val="000000"/>
              </w:rPr>
              <w:tab/>
              <w:t>3</w:t>
            </w:r>
          </w:hyperlink>
        </w:p>
        <w:p w14:paraId="5A98CA16" w14:textId="77777777" w:rsidR="003660E3" w:rsidRPr="009375DD" w:rsidRDefault="00921129">
          <w:pPr>
            <w:pBdr>
              <w:top w:val="nil"/>
              <w:left w:val="nil"/>
              <w:bottom w:val="nil"/>
              <w:right w:val="nil"/>
              <w:between w:val="nil"/>
            </w:pBdr>
            <w:tabs>
              <w:tab w:val="right" w:leader="dot" w:pos="9016"/>
            </w:tabs>
            <w:spacing w:before="120" w:after="120"/>
            <w:ind w:left="220"/>
            <w:rPr>
              <w:rFonts w:ascii="Times New Roman" w:eastAsia="Calibri" w:hAnsi="Times New Roman" w:cs="Times New Roman"/>
              <w:color w:val="000000"/>
            </w:rPr>
          </w:pPr>
          <w:hyperlink w:anchor="_heading=h.xe6u0aw53eck">
            <w:r w:rsidRPr="009375DD">
              <w:rPr>
                <w:rFonts w:ascii="Times New Roman" w:hAnsi="Times New Roman" w:cs="Times New Roman"/>
                <w:color w:val="000000"/>
              </w:rPr>
              <w:t>Higher Rates of Cardiovascular Disease</w:t>
            </w:r>
            <w:r w:rsidRPr="009375DD">
              <w:rPr>
                <w:rFonts w:ascii="Times New Roman" w:hAnsi="Times New Roman" w:cs="Times New Roman"/>
                <w:color w:val="000000"/>
              </w:rPr>
              <w:tab/>
              <w:t>3</w:t>
            </w:r>
          </w:hyperlink>
        </w:p>
        <w:p w14:paraId="328D9D09" w14:textId="77777777" w:rsidR="003660E3" w:rsidRPr="009375DD" w:rsidRDefault="00921129">
          <w:pPr>
            <w:pBdr>
              <w:top w:val="nil"/>
              <w:left w:val="nil"/>
              <w:bottom w:val="nil"/>
              <w:right w:val="nil"/>
              <w:between w:val="nil"/>
            </w:pBdr>
            <w:tabs>
              <w:tab w:val="right" w:leader="dot" w:pos="9016"/>
            </w:tabs>
            <w:spacing w:before="120" w:after="120"/>
            <w:ind w:left="220"/>
            <w:rPr>
              <w:rFonts w:ascii="Times New Roman" w:eastAsia="Calibri" w:hAnsi="Times New Roman" w:cs="Times New Roman"/>
              <w:color w:val="000000"/>
            </w:rPr>
          </w:pPr>
          <w:hyperlink w:anchor="_heading=h.t4qlacfx38wb">
            <w:r w:rsidRPr="009375DD">
              <w:rPr>
                <w:rFonts w:ascii="Times New Roman" w:hAnsi="Times New Roman" w:cs="Times New Roman"/>
                <w:color w:val="000000"/>
              </w:rPr>
              <w:t>Increased Prevalence of Dementia</w:t>
            </w:r>
            <w:r w:rsidRPr="009375DD">
              <w:rPr>
                <w:rFonts w:ascii="Times New Roman" w:hAnsi="Times New Roman" w:cs="Times New Roman"/>
                <w:color w:val="000000"/>
              </w:rPr>
              <w:tab/>
              <w:t>3</w:t>
            </w:r>
          </w:hyperlink>
        </w:p>
        <w:p w14:paraId="7DCE4373" w14:textId="77777777" w:rsidR="003660E3" w:rsidRPr="009375DD" w:rsidRDefault="00921129">
          <w:pPr>
            <w:pBdr>
              <w:top w:val="nil"/>
              <w:left w:val="nil"/>
              <w:bottom w:val="nil"/>
              <w:right w:val="nil"/>
              <w:between w:val="nil"/>
            </w:pBdr>
            <w:tabs>
              <w:tab w:val="right" w:leader="dot" w:pos="9016"/>
            </w:tabs>
            <w:spacing w:before="120" w:after="120"/>
            <w:ind w:left="220"/>
            <w:rPr>
              <w:rFonts w:ascii="Times New Roman" w:eastAsia="Calibri" w:hAnsi="Times New Roman" w:cs="Times New Roman"/>
              <w:color w:val="000000"/>
            </w:rPr>
          </w:pPr>
          <w:hyperlink w:anchor="_heading=h.98ivs1sttq3n">
            <w:r w:rsidRPr="009375DD">
              <w:rPr>
                <w:rFonts w:ascii="Times New Roman" w:hAnsi="Times New Roman" w:cs="Times New Roman"/>
                <w:color w:val="000000"/>
              </w:rPr>
              <w:t>Higher Mortality and Multimorbidity Rate</w:t>
            </w:r>
            <w:r w:rsidRPr="009375DD">
              <w:rPr>
                <w:rFonts w:ascii="Times New Roman" w:hAnsi="Times New Roman" w:cs="Times New Roman"/>
                <w:color w:val="000000"/>
              </w:rPr>
              <w:tab/>
              <w:t>3</w:t>
            </w:r>
          </w:hyperlink>
        </w:p>
        <w:p w14:paraId="6CFE832B" w14:textId="77777777" w:rsidR="003660E3" w:rsidRPr="009375DD" w:rsidRDefault="00921129">
          <w:pPr>
            <w:pBdr>
              <w:top w:val="nil"/>
              <w:left w:val="nil"/>
              <w:bottom w:val="nil"/>
              <w:right w:val="nil"/>
              <w:between w:val="nil"/>
            </w:pBdr>
            <w:tabs>
              <w:tab w:val="right" w:leader="dot" w:pos="9016"/>
            </w:tabs>
            <w:spacing w:before="120" w:after="120"/>
            <w:ind w:left="220"/>
            <w:rPr>
              <w:rFonts w:ascii="Times New Roman" w:eastAsia="Calibri" w:hAnsi="Times New Roman" w:cs="Times New Roman"/>
              <w:color w:val="000000"/>
            </w:rPr>
          </w:pPr>
          <w:hyperlink w:anchor="_heading=h.a69ei8xrdpv7">
            <w:r w:rsidRPr="009375DD">
              <w:rPr>
                <w:rFonts w:ascii="Times New Roman" w:hAnsi="Times New Roman" w:cs="Times New Roman"/>
                <w:color w:val="000000"/>
              </w:rPr>
              <w:t>Social Isolation and Loneliness</w:t>
            </w:r>
            <w:r w:rsidRPr="009375DD">
              <w:rPr>
                <w:rFonts w:ascii="Times New Roman" w:hAnsi="Times New Roman" w:cs="Times New Roman"/>
                <w:color w:val="000000"/>
              </w:rPr>
              <w:tab/>
              <w:t>3</w:t>
            </w:r>
          </w:hyperlink>
        </w:p>
        <w:p w14:paraId="7AFAF424" w14:textId="77777777" w:rsidR="003660E3" w:rsidRPr="009375DD" w:rsidRDefault="00921129">
          <w:pPr>
            <w:pBdr>
              <w:top w:val="nil"/>
              <w:left w:val="nil"/>
              <w:bottom w:val="nil"/>
              <w:right w:val="nil"/>
              <w:between w:val="nil"/>
            </w:pBdr>
            <w:tabs>
              <w:tab w:val="right" w:leader="dot" w:pos="9016"/>
            </w:tabs>
            <w:spacing w:before="120" w:after="120"/>
            <w:ind w:left="220"/>
            <w:rPr>
              <w:rFonts w:ascii="Times New Roman" w:eastAsia="Calibri" w:hAnsi="Times New Roman" w:cs="Times New Roman"/>
              <w:color w:val="000000"/>
            </w:rPr>
          </w:pPr>
          <w:hyperlink w:anchor="_heading=h.mbahyjvwps87">
            <w:r w:rsidRPr="009375DD">
              <w:rPr>
                <w:rFonts w:ascii="Times New Roman" w:hAnsi="Times New Roman" w:cs="Times New Roman"/>
                <w:color w:val="000000"/>
              </w:rPr>
              <w:t>Poverty and Financial Insecurity</w:t>
            </w:r>
            <w:r w:rsidRPr="009375DD">
              <w:rPr>
                <w:rFonts w:ascii="Times New Roman" w:hAnsi="Times New Roman" w:cs="Times New Roman"/>
                <w:color w:val="000000"/>
              </w:rPr>
              <w:tab/>
              <w:t>4</w:t>
            </w:r>
          </w:hyperlink>
        </w:p>
        <w:p w14:paraId="0874FC19" w14:textId="77777777" w:rsidR="003660E3" w:rsidRPr="009375DD" w:rsidRDefault="00921129">
          <w:pPr>
            <w:pBdr>
              <w:top w:val="nil"/>
              <w:left w:val="nil"/>
              <w:bottom w:val="nil"/>
              <w:right w:val="nil"/>
              <w:between w:val="nil"/>
            </w:pBdr>
            <w:tabs>
              <w:tab w:val="right" w:leader="dot" w:pos="9016"/>
            </w:tabs>
            <w:spacing w:before="120" w:after="120"/>
            <w:ind w:left="220"/>
            <w:rPr>
              <w:rFonts w:ascii="Times New Roman" w:eastAsia="Calibri" w:hAnsi="Times New Roman" w:cs="Times New Roman"/>
              <w:color w:val="000000"/>
            </w:rPr>
          </w:pPr>
          <w:hyperlink w:anchor="_heading=h.n59peacr7g17">
            <w:r w:rsidRPr="009375DD">
              <w:rPr>
                <w:rFonts w:ascii="Times New Roman" w:hAnsi="Times New Roman" w:cs="Times New Roman"/>
                <w:color w:val="000000"/>
              </w:rPr>
              <w:t>Housing and Access to Healthcare</w:t>
            </w:r>
            <w:r w:rsidRPr="009375DD">
              <w:rPr>
                <w:rFonts w:ascii="Times New Roman" w:hAnsi="Times New Roman" w:cs="Times New Roman"/>
                <w:color w:val="000000"/>
              </w:rPr>
              <w:tab/>
              <w:t>4</w:t>
            </w:r>
          </w:hyperlink>
        </w:p>
        <w:p w14:paraId="0AF7F7AB"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fnpbeot6fgt5">
            <w:r w:rsidRPr="009375DD">
              <w:rPr>
                <w:rFonts w:ascii="Times New Roman" w:hAnsi="Times New Roman" w:cs="Times New Roman"/>
                <w:color w:val="000000"/>
              </w:rPr>
              <w:t>National Response to Reduce Health Inequalities</w:t>
            </w:r>
            <w:r w:rsidRPr="009375DD">
              <w:rPr>
                <w:rFonts w:ascii="Times New Roman" w:hAnsi="Times New Roman" w:cs="Times New Roman"/>
                <w:color w:val="000000"/>
              </w:rPr>
              <w:tab/>
              <w:t>4</w:t>
            </w:r>
          </w:hyperlink>
        </w:p>
        <w:p w14:paraId="65E51184"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dyt1l1cqhfpu">
            <w:r w:rsidRPr="009375DD">
              <w:rPr>
                <w:rFonts w:ascii="Times New Roman" w:hAnsi="Times New Roman" w:cs="Times New Roman"/>
                <w:color w:val="000000"/>
              </w:rPr>
              <w:t>Organisations Supporting Older Adults – Age UK</w:t>
            </w:r>
            <w:r w:rsidRPr="009375DD">
              <w:rPr>
                <w:rFonts w:ascii="Times New Roman" w:hAnsi="Times New Roman" w:cs="Times New Roman"/>
                <w:color w:val="000000"/>
              </w:rPr>
              <w:tab/>
              <w:t>5</w:t>
            </w:r>
          </w:hyperlink>
        </w:p>
        <w:p w14:paraId="1FDDF036"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15d6ripwmy6z">
            <w:r w:rsidRPr="009375DD">
              <w:rPr>
                <w:rFonts w:ascii="Times New Roman" w:hAnsi="Times New Roman" w:cs="Times New Roman"/>
                <w:color w:val="000000"/>
              </w:rPr>
              <w:t>Conclusion</w:t>
            </w:r>
            <w:r w:rsidRPr="009375DD">
              <w:rPr>
                <w:rFonts w:ascii="Times New Roman" w:hAnsi="Times New Roman" w:cs="Times New Roman"/>
                <w:color w:val="000000"/>
              </w:rPr>
              <w:tab/>
              <w:t>5</w:t>
            </w:r>
          </w:hyperlink>
        </w:p>
        <w:p w14:paraId="205519BE"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csk4ubtwruxr">
            <w:r w:rsidRPr="009375DD">
              <w:rPr>
                <w:rFonts w:ascii="Times New Roman" w:hAnsi="Times New Roman" w:cs="Times New Roman"/>
                <w:color w:val="000000"/>
              </w:rPr>
              <w:t>Task 2- Epidemiological Analysis</w:t>
            </w:r>
            <w:r w:rsidRPr="009375DD">
              <w:rPr>
                <w:rFonts w:ascii="Times New Roman" w:hAnsi="Times New Roman" w:cs="Times New Roman"/>
                <w:color w:val="000000"/>
              </w:rPr>
              <w:tab/>
              <w:t>6</w:t>
            </w:r>
          </w:hyperlink>
        </w:p>
        <w:p w14:paraId="7BC9447E"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bl1odxyj69lk">
            <w:r w:rsidRPr="009375DD">
              <w:rPr>
                <w:rFonts w:ascii="Times New Roman" w:hAnsi="Times New Roman" w:cs="Times New Roman"/>
                <w:color w:val="000000"/>
              </w:rPr>
              <w:t>Introduction</w:t>
            </w:r>
            <w:r w:rsidRPr="009375DD">
              <w:rPr>
                <w:rFonts w:ascii="Times New Roman" w:hAnsi="Times New Roman" w:cs="Times New Roman"/>
                <w:color w:val="000000"/>
              </w:rPr>
              <w:tab/>
              <w:t>6</w:t>
            </w:r>
          </w:hyperlink>
        </w:p>
        <w:p w14:paraId="735597FF" w14:textId="63DC02A0"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h81koyyy7tvc">
            <w:r w:rsidRPr="009375DD">
              <w:rPr>
                <w:rFonts w:ascii="Times New Roman" w:hAnsi="Times New Roman" w:cs="Times New Roman"/>
                <w:color w:val="000000"/>
              </w:rPr>
              <w:t>Main Body</w:t>
            </w:r>
            <w:r w:rsidR="009375DD">
              <w:rPr>
                <w:rFonts w:ascii="Times New Roman" w:hAnsi="Times New Roman" w:cs="Times New Roman"/>
                <w:color w:val="000000"/>
              </w:rPr>
              <w:t>(3 P’s)</w:t>
            </w:r>
            <w:r w:rsidRPr="009375DD">
              <w:rPr>
                <w:rFonts w:ascii="Times New Roman" w:hAnsi="Times New Roman" w:cs="Times New Roman"/>
                <w:color w:val="000000"/>
              </w:rPr>
              <w:t>6</w:t>
            </w:r>
          </w:hyperlink>
          <w:r w:rsidR="009375DD">
            <w:rPr>
              <w:rFonts w:ascii="Times New Roman" w:hAnsi="Times New Roman" w:cs="Times New Roman"/>
            </w:rPr>
            <w:t>……………………………………………………………………………………..6</w:t>
          </w:r>
        </w:p>
        <w:p w14:paraId="35B50627"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rt8yfynbqbd3">
            <w:r w:rsidRPr="009375DD">
              <w:rPr>
                <w:rFonts w:ascii="Times New Roman" w:hAnsi="Times New Roman" w:cs="Times New Roman"/>
                <w:color w:val="000000"/>
              </w:rPr>
              <w:t>Public Health Measures</w:t>
            </w:r>
            <w:r w:rsidRPr="009375DD">
              <w:rPr>
                <w:rFonts w:ascii="Times New Roman" w:hAnsi="Times New Roman" w:cs="Times New Roman"/>
                <w:color w:val="000000"/>
              </w:rPr>
              <w:tab/>
              <w:t>6</w:t>
            </w:r>
          </w:hyperlink>
        </w:p>
        <w:p w14:paraId="7CB9CB06"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j69vhjq38zua">
            <w:r w:rsidRPr="009375DD">
              <w:rPr>
                <w:rFonts w:ascii="Times New Roman" w:hAnsi="Times New Roman" w:cs="Times New Roman"/>
                <w:color w:val="000000"/>
              </w:rPr>
              <w:t>Determinants or Risk Factors</w:t>
            </w:r>
            <w:r w:rsidRPr="009375DD">
              <w:rPr>
                <w:rFonts w:ascii="Times New Roman" w:hAnsi="Times New Roman" w:cs="Times New Roman"/>
                <w:color w:val="000000"/>
              </w:rPr>
              <w:tab/>
              <w:t>7</w:t>
            </w:r>
          </w:hyperlink>
        </w:p>
        <w:p w14:paraId="7EAEA29B"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ywpcthl8b3b5">
            <w:r w:rsidRPr="009375DD">
              <w:rPr>
                <w:rFonts w:ascii="Times New Roman" w:hAnsi="Times New Roman" w:cs="Times New Roman"/>
                <w:color w:val="000000"/>
              </w:rPr>
              <w:t>Epidemiological Identification and At- Risk Population</w:t>
            </w:r>
            <w:r w:rsidRPr="009375DD">
              <w:rPr>
                <w:rFonts w:ascii="Times New Roman" w:hAnsi="Times New Roman" w:cs="Times New Roman"/>
                <w:color w:val="000000"/>
              </w:rPr>
              <w:tab/>
              <w:t>7</w:t>
            </w:r>
          </w:hyperlink>
        </w:p>
        <w:p w14:paraId="0CA11736"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bwj9yn3afhtg">
            <w:r w:rsidRPr="009375DD">
              <w:rPr>
                <w:rFonts w:ascii="Times New Roman" w:hAnsi="Times New Roman" w:cs="Times New Roman"/>
                <w:color w:val="000000"/>
              </w:rPr>
              <w:t>Monitoring and Surveillance Systems</w:t>
            </w:r>
            <w:r w:rsidRPr="009375DD">
              <w:rPr>
                <w:rFonts w:ascii="Times New Roman" w:hAnsi="Times New Roman" w:cs="Times New Roman"/>
                <w:color w:val="000000"/>
              </w:rPr>
              <w:tab/>
              <w:t>8</w:t>
            </w:r>
          </w:hyperlink>
        </w:p>
        <w:p w14:paraId="1B0432AF"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42mtjdbsgrse">
            <w:r w:rsidRPr="009375DD">
              <w:rPr>
                <w:rFonts w:ascii="Times New Roman" w:hAnsi="Times New Roman" w:cs="Times New Roman"/>
                <w:color w:val="000000"/>
              </w:rPr>
              <w:t>Intervention Design and Evaluation</w:t>
            </w:r>
            <w:r w:rsidRPr="009375DD">
              <w:rPr>
                <w:rFonts w:ascii="Times New Roman" w:hAnsi="Times New Roman" w:cs="Times New Roman"/>
                <w:color w:val="000000"/>
              </w:rPr>
              <w:tab/>
              <w:t>8</w:t>
            </w:r>
          </w:hyperlink>
        </w:p>
        <w:p w14:paraId="0B1922AB"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g7wdrdzen936">
            <w:r w:rsidRPr="009375DD">
              <w:rPr>
                <w:rFonts w:ascii="Times New Roman" w:hAnsi="Times New Roman" w:cs="Times New Roman"/>
                <w:color w:val="000000"/>
              </w:rPr>
              <w:t>Strengths and Weaknesses of the Epidemiological Approach</w:t>
            </w:r>
            <w:r w:rsidRPr="009375DD">
              <w:rPr>
                <w:rFonts w:ascii="Times New Roman" w:hAnsi="Times New Roman" w:cs="Times New Roman"/>
                <w:color w:val="000000"/>
              </w:rPr>
              <w:tab/>
              <w:t>10</w:t>
            </w:r>
          </w:hyperlink>
        </w:p>
        <w:p w14:paraId="5E53AB59" w14:textId="77777777" w:rsidR="003660E3" w:rsidRPr="009375DD" w:rsidRDefault="00921129">
          <w:pPr>
            <w:pBdr>
              <w:top w:val="nil"/>
              <w:left w:val="nil"/>
              <w:bottom w:val="nil"/>
              <w:right w:val="nil"/>
              <w:between w:val="nil"/>
            </w:pBdr>
            <w:tabs>
              <w:tab w:val="right" w:leader="dot" w:pos="9016"/>
            </w:tabs>
            <w:spacing w:before="120" w:after="120"/>
            <w:rPr>
              <w:rFonts w:ascii="Times New Roman" w:eastAsia="Calibri" w:hAnsi="Times New Roman" w:cs="Times New Roman"/>
              <w:color w:val="000000"/>
            </w:rPr>
          </w:pPr>
          <w:hyperlink w:anchor="_heading=h.d4zct4voqa6j">
            <w:r w:rsidRPr="009375DD">
              <w:rPr>
                <w:rFonts w:ascii="Times New Roman" w:hAnsi="Times New Roman" w:cs="Times New Roman"/>
                <w:color w:val="000000"/>
              </w:rPr>
              <w:t>References</w:t>
            </w:r>
            <w:r w:rsidRPr="009375DD">
              <w:rPr>
                <w:rFonts w:ascii="Times New Roman" w:hAnsi="Times New Roman" w:cs="Times New Roman"/>
                <w:color w:val="000000"/>
              </w:rPr>
              <w:tab/>
              <w:t>11</w:t>
            </w:r>
          </w:hyperlink>
        </w:p>
        <w:p w14:paraId="4AE15C22"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fldChar w:fldCharType="end"/>
          </w:r>
        </w:p>
      </w:sdtContent>
    </w:sdt>
    <w:p w14:paraId="42986648" w14:textId="77777777" w:rsidR="003660E3" w:rsidRPr="009375DD" w:rsidRDefault="003660E3">
      <w:pPr>
        <w:spacing w:before="120" w:after="120"/>
        <w:rPr>
          <w:rFonts w:ascii="Times New Roman" w:hAnsi="Times New Roman" w:cs="Times New Roman"/>
        </w:rPr>
      </w:pPr>
    </w:p>
    <w:p w14:paraId="6B98C181" w14:textId="77777777" w:rsidR="003660E3" w:rsidRPr="009375DD" w:rsidRDefault="00921129">
      <w:pPr>
        <w:spacing w:before="120" w:after="120"/>
        <w:jc w:val="left"/>
        <w:rPr>
          <w:rFonts w:ascii="Times New Roman" w:hAnsi="Times New Roman" w:cs="Times New Roman"/>
        </w:rPr>
      </w:pPr>
      <w:r w:rsidRPr="009375DD">
        <w:rPr>
          <w:rFonts w:ascii="Times New Roman" w:hAnsi="Times New Roman" w:cs="Times New Roman"/>
        </w:rPr>
        <w:br w:type="page"/>
      </w:r>
    </w:p>
    <w:p w14:paraId="5E445A89" w14:textId="2B42317A" w:rsidR="003660E3" w:rsidRPr="009375DD" w:rsidRDefault="00921129" w:rsidP="00F25F11">
      <w:pPr>
        <w:pStyle w:val="Heading1"/>
        <w:spacing w:before="120" w:after="120"/>
        <w:jc w:val="center"/>
        <w:rPr>
          <w:rFonts w:ascii="Times New Roman" w:hAnsi="Times New Roman" w:cs="Times New Roman"/>
        </w:rPr>
      </w:pPr>
      <w:bookmarkStart w:id="0" w:name="_heading=h.xpf2sm45msy8" w:colFirst="0" w:colLast="0"/>
      <w:bookmarkEnd w:id="0"/>
      <w:r w:rsidRPr="009375DD">
        <w:rPr>
          <w:rFonts w:ascii="Times New Roman" w:hAnsi="Times New Roman" w:cs="Times New Roman"/>
        </w:rPr>
        <w:t>Task 1- Social Epidemiological Analysis</w:t>
      </w:r>
    </w:p>
    <w:p w14:paraId="7F523087" w14:textId="77777777" w:rsidR="003660E3" w:rsidRPr="009375DD" w:rsidRDefault="00921129" w:rsidP="00F25F11">
      <w:pPr>
        <w:pStyle w:val="Heading1"/>
        <w:numPr>
          <w:ilvl w:val="0"/>
          <w:numId w:val="1"/>
        </w:numPr>
        <w:spacing w:before="120" w:after="120"/>
        <w:rPr>
          <w:rFonts w:ascii="Times New Roman" w:hAnsi="Times New Roman" w:cs="Times New Roman"/>
        </w:rPr>
      </w:pPr>
      <w:bookmarkStart w:id="1" w:name="_heading=h.o4cam9n5wap4" w:colFirst="0" w:colLast="0"/>
      <w:bookmarkEnd w:id="1"/>
      <w:r w:rsidRPr="009375DD">
        <w:rPr>
          <w:rFonts w:ascii="Times New Roman" w:hAnsi="Times New Roman" w:cs="Times New Roman"/>
        </w:rPr>
        <w:t>Introduction</w:t>
      </w:r>
    </w:p>
    <w:p w14:paraId="0F1CA76D"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Aging persons, who are commonly referred to as older adults at a particular age of 65-years and more, are becoming a population group that has been reported to have very high health inequalities. The term " health inequalities” implies the issue of avoidable and unfair variations in health outcomes that are caused by social, economic and environmental conditions (McCartney, et al., 2019). While the process of ageing is associated with normal physiological changes, other social determinants such as income, housing and health care play a significant role in health inequalities in older people. This report examines the major disease trends and social determinants of health inequalities in the UK in older adults. </w:t>
      </w:r>
    </w:p>
    <w:p w14:paraId="594FC827" w14:textId="77777777" w:rsidR="003660E3" w:rsidRPr="009375DD" w:rsidRDefault="00921129" w:rsidP="00F25F11">
      <w:pPr>
        <w:pStyle w:val="Heading1"/>
        <w:numPr>
          <w:ilvl w:val="0"/>
          <w:numId w:val="1"/>
        </w:numPr>
        <w:spacing w:before="120" w:after="120"/>
        <w:rPr>
          <w:rFonts w:ascii="Times New Roman" w:hAnsi="Times New Roman" w:cs="Times New Roman"/>
        </w:rPr>
      </w:pPr>
      <w:bookmarkStart w:id="2" w:name="_heading=h.i3lk2wxyk9rm" w:colFirst="0" w:colLast="0"/>
      <w:bookmarkEnd w:id="2"/>
      <w:r w:rsidRPr="009375DD">
        <w:rPr>
          <w:rFonts w:ascii="Times New Roman" w:hAnsi="Times New Roman" w:cs="Times New Roman"/>
        </w:rPr>
        <w:t>Contextual Background and Underlying Factors</w:t>
      </w:r>
    </w:p>
    <w:p w14:paraId="64BE6BEA" w14:textId="77777777" w:rsidR="003660E3" w:rsidRPr="009375DD" w:rsidRDefault="00921129" w:rsidP="00F25F11">
      <w:pPr>
        <w:pStyle w:val="Heading2"/>
        <w:numPr>
          <w:ilvl w:val="0"/>
          <w:numId w:val="4"/>
        </w:numPr>
        <w:spacing w:before="120" w:after="120"/>
        <w:rPr>
          <w:rFonts w:ascii="Times New Roman" w:hAnsi="Times New Roman" w:cs="Times New Roman"/>
        </w:rPr>
      </w:pPr>
      <w:bookmarkStart w:id="3" w:name="_heading=h.xe6u0aw53eck" w:colFirst="0" w:colLast="0"/>
      <w:bookmarkEnd w:id="3"/>
      <w:r w:rsidRPr="009375DD">
        <w:rPr>
          <w:rFonts w:ascii="Times New Roman" w:hAnsi="Times New Roman" w:cs="Times New Roman"/>
        </w:rPr>
        <w:t>Higher Rates of Cardiovascular Disease</w:t>
      </w:r>
    </w:p>
    <w:p w14:paraId="783ED17D"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Cardiovascular disease reports that almost 27% of all deaths are among people aged 65 years or older (British Heart Foundation, 2026). There are disparities with a greater incidence and death from CVD in poor areas than in rich. This is the result of the cumulative effects of risk factors such as unhealthy diet, smoking and failure to access preventative health care. This must be addressed with the NHS Health Check and early detection of CVD for at-risk groups.</w:t>
      </w:r>
    </w:p>
    <w:p w14:paraId="1CF78E51" w14:textId="77777777" w:rsidR="003660E3" w:rsidRPr="009375DD" w:rsidRDefault="00921129" w:rsidP="00F25F11">
      <w:pPr>
        <w:pStyle w:val="Heading2"/>
        <w:numPr>
          <w:ilvl w:val="0"/>
          <w:numId w:val="3"/>
        </w:numPr>
        <w:spacing w:before="120" w:after="120"/>
        <w:rPr>
          <w:rFonts w:ascii="Times New Roman" w:hAnsi="Times New Roman" w:cs="Times New Roman"/>
        </w:rPr>
      </w:pPr>
      <w:bookmarkStart w:id="4" w:name="_heading=h.t4qlacfx38wb" w:colFirst="0" w:colLast="0"/>
      <w:bookmarkEnd w:id="4"/>
      <w:r w:rsidRPr="009375DD">
        <w:rPr>
          <w:rFonts w:ascii="Times New Roman" w:hAnsi="Times New Roman" w:cs="Times New Roman"/>
        </w:rPr>
        <w:t>Increased Prevalence of Dementia</w:t>
      </w:r>
    </w:p>
    <w:p w14:paraId="601B6E19"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Dementia is partly due to age, with 982,000 people living with dementia in the UK, most of whom are 65 years or older (Alzheimer's Society, 2024). This can be attributed to the variations in health care services, knowledge and access. Late diagnosis increases the burden of care and decreases the quality of life. Government initiatives such as the NHS Long-term plan, look to improve the rate of early diagnosis and offer comprehensive care, but there is a need to address the geographical inequalities in health care (Giebel, et al., 2026).</w:t>
      </w:r>
    </w:p>
    <w:p w14:paraId="175BA986" w14:textId="77777777" w:rsidR="003660E3" w:rsidRPr="009375DD" w:rsidRDefault="00921129" w:rsidP="00F25F11">
      <w:pPr>
        <w:pStyle w:val="Heading2"/>
        <w:numPr>
          <w:ilvl w:val="0"/>
          <w:numId w:val="3"/>
        </w:numPr>
        <w:spacing w:before="120" w:after="120"/>
        <w:rPr>
          <w:rFonts w:ascii="Times New Roman" w:hAnsi="Times New Roman" w:cs="Times New Roman"/>
        </w:rPr>
      </w:pPr>
      <w:bookmarkStart w:id="5" w:name="_heading=h.98ivs1sttq3n" w:colFirst="0" w:colLast="0"/>
      <w:bookmarkEnd w:id="5"/>
      <w:r w:rsidRPr="009375DD">
        <w:rPr>
          <w:rFonts w:ascii="Times New Roman" w:hAnsi="Times New Roman" w:cs="Times New Roman"/>
        </w:rPr>
        <w:t>Higher Mortality and Multimorbidity Rate</w:t>
      </w:r>
    </w:p>
    <w:p w14:paraId="3283377F"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The data recorded in the year 2020 showed that the inequality in life expectancy for males and females was 10.7 and 8.5 years (ONS, 2021). According to the British Geriatrics Society reports 2 in 5 of over 74 years of age have two or more chronic conditions (BGS, 2025). These inequalities reflect the cumulative inequality and the need for holistic and preventative health care.</w:t>
      </w:r>
    </w:p>
    <w:p w14:paraId="6EF4D75B" w14:textId="77777777" w:rsidR="003660E3" w:rsidRPr="009375DD" w:rsidRDefault="00921129" w:rsidP="00F25F11">
      <w:pPr>
        <w:pStyle w:val="Heading2"/>
        <w:numPr>
          <w:ilvl w:val="0"/>
          <w:numId w:val="3"/>
        </w:numPr>
        <w:spacing w:before="120" w:after="120"/>
        <w:rPr>
          <w:rFonts w:ascii="Times New Roman" w:hAnsi="Times New Roman" w:cs="Times New Roman"/>
        </w:rPr>
      </w:pPr>
      <w:bookmarkStart w:id="6" w:name="_heading=h.a69ei8xrdpv7" w:colFirst="0" w:colLast="0"/>
      <w:bookmarkEnd w:id="6"/>
      <w:r w:rsidRPr="009375DD">
        <w:rPr>
          <w:rFonts w:ascii="Times New Roman" w:hAnsi="Times New Roman" w:cs="Times New Roman"/>
        </w:rPr>
        <w:t>Social Isolation and Loneliness</w:t>
      </w:r>
    </w:p>
    <w:p w14:paraId="41F69E31"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Loneliness among older people has been a major issue, as 1.4 million older people who are aged over 50 in England reported to feel lonely because of broken connections (Age UK, 2023). Ageing, loss of a partner and reduced mobility are amongst the causes. There is a correlation between loneliness and higher chances of depression, cardiovascular disease and early death (CDCP, 2024). The disparity is higher among the less affluent or poor people or those who are unhealthy because they have more limitations on social activities. Social prescribing and community-based support are interventions which can help reduce loneliness but the available services are still unevenly distributed.</w:t>
      </w:r>
    </w:p>
    <w:p w14:paraId="2D1F9971" w14:textId="77777777" w:rsidR="003660E3" w:rsidRPr="009375DD" w:rsidRDefault="00921129" w:rsidP="00F25F11">
      <w:pPr>
        <w:pStyle w:val="Heading2"/>
        <w:numPr>
          <w:ilvl w:val="0"/>
          <w:numId w:val="3"/>
        </w:numPr>
        <w:spacing w:before="120" w:after="120"/>
        <w:rPr>
          <w:rFonts w:ascii="Times New Roman" w:hAnsi="Times New Roman" w:cs="Times New Roman"/>
        </w:rPr>
      </w:pPr>
      <w:bookmarkStart w:id="7" w:name="_heading=h.mbahyjvwps87" w:colFirst="0" w:colLast="0"/>
      <w:bookmarkEnd w:id="7"/>
      <w:r w:rsidRPr="009375DD">
        <w:rPr>
          <w:rFonts w:ascii="Times New Roman" w:hAnsi="Times New Roman" w:cs="Times New Roman"/>
        </w:rPr>
        <w:t>Poverty and Financial Insecurity</w:t>
      </w:r>
    </w:p>
    <w:p w14:paraId="304E3D26"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Ageing populations also experience health inequity through poverty, with 18% of UK adults reported to be living in relative poverty which means after housing costs (IFS, 2024). Poverty impacts resources to access basic services such as food, heating and health care. This adds to worse physical and mental health outcomes. The increasing cost of living has also increased such disparities especially to those who rely on fixed incomes. The measures provided by the government to help reduce financial hardship include Pension Credit and winter fuel payment, but their effectiveness is still constrained by poor uptake of these benefits.</w:t>
      </w:r>
    </w:p>
    <w:p w14:paraId="448C9E04" w14:textId="77777777" w:rsidR="003660E3" w:rsidRPr="009375DD" w:rsidRDefault="00921129" w:rsidP="00F25F11">
      <w:pPr>
        <w:pStyle w:val="Heading2"/>
        <w:numPr>
          <w:ilvl w:val="0"/>
          <w:numId w:val="3"/>
        </w:numPr>
        <w:spacing w:before="120" w:after="120"/>
        <w:rPr>
          <w:rFonts w:ascii="Times New Roman" w:hAnsi="Times New Roman" w:cs="Times New Roman"/>
        </w:rPr>
      </w:pPr>
      <w:bookmarkStart w:id="8" w:name="_heading=h.n59peacr7g17" w:colFirst="0" w:colLast="0"/>
      <w:bookmarkEnd w:id="8"/>
      <w:r w:rsidRPr="009375DD">
        <w:rPr>
          <w:rFonts w:ascii="Times New Roman" w:hAnsi="Times New Roman" w:cs="Times New Roman"/>
        </w:rPr>
        <w:t>Housing and Access to Healthcare</w:t>
      </w:r>
    </w:p>
    <w:p w14:paraId="6196D6AB"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The health outcomes of older adults are a major factor in housing conditions with approximately 23% of homes inhabited by older people in England deemed as not being decent by housing standards (GOV.UK, 2025). Inadequate housing exposes people to respiratory diseases, injuries and poor health which can lead to death. There are also digital barriers and transport limitations, which limit access to healthcare services in rural and needy regions. These structural inequalities are also a cause of late diagnosis and treatment. Decent Homes Standard policies and community healthcare programs are designed to tackle these problems, yet housing quality disparities and access to services remain.</w:t>
      </w:r>
    </w:p>
    <w:p w14:paraId="72B64871" w14:textId="77777777" w:rsidR="003660E3" w:rsidRPr="009375DD" w:rsidRDefault="00921129" w:rsidP="00F25F11">
      <w:pPr>
        <w:pStyle w:val="Heading1"/>
        <w:numPr>
          <w:ilvl w:val="0"/>
          <w:numId w:val="5"/>
        </w:numPr>
        <w:spacing w:before="120" w:after="120"/>
        <w:rPr>
          <w:rFonts w:ascii="Times New Roman" w:hAnsi="Times New Roman" w:cs="Times New Roman"/>
        </w:rPr>
      </w:pPr>
      <w:bookmarkStart w:id="9" w:name="_heading=h.fnpbeot6fgt5" w:colFirst="0" w:colLast="0"/>
      <w:bookmarkEnd w:id="9"/>
      <w:r w:rsidRPr="009375DD">
        <w:rPr>
          <w:rFonts w:ascii="Times New Roman" w:hAnsi="Times New Roman" w:cs="Times New Roman"/>
        </w:rPr>
        <w:t>National Response to Reduce Health Inequalities</w:t>
      </w:r>
    </w:p>
    <w:p w14:paraId="56060D96"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The UK has come up with a number of national strategies that can be used to address ageing health inequalities. The NHS Long Term Plan lays emphasis on prevention and early-stage identification and more community-based care, especially for adults with multiple conditions, to decrease hospitalisation and enhance service provision (Charles, et al., 2019).</w:t>
      </w:r>
    </w:p>
    <w:p w14:paraId="41441B1E"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The Marmot Review (2020) indicates that health inequalities in England are on the rise and the authors indicate that health over a lifetime can be improved by mitigating social determinants of health, including income, housing and living conditions.</w:t>
      </w:r>
    </w:p>
    <w:p w14:paraId="6CD12FC1" w14:textId="77777777" w:rsidR="003660E3" w:rsidRPr="009375DD" w:rsidRDefault="00921129">
      <w:pPr>
        <w:spacing w:before="120" w:after="120"/>
        <w:rPr>
          <w:rFonts w:ascii="Times New Roman" w:hAnsi="Times New Roman" w:cs="Times New Roman"/>
          <w:b/>
          <w:bCs/>
        </w:rPr>
      </w:pPr>
      <w:r w:rsidRPr="009375DD">
        <w:rPr>
          <w:rFonts w:ascii="Times New Roman" w:hAnsi="Times New Roman" w:cs="Times New Roman"/>
        </w:rPr>
        <w:t>There are also social prescribing schemes whereby older people are linked with the services of the community so that they can be assisted in alleviating isolation effects as well as enhancing their lives (Percival, et al., 2022). But despite these programs, there exist inequalities because of the unavailability of funding, geographical and socioeconomic inequalities which restrain the efficacy of strategies.</w:t>
      </w:r>
    </w:p>
    <w:p w14:paraId="3021E17F" w14:textId="128C9749" w:rsidR="003660E3" w:rsidRPr="009375DD" w:rsidRDefault="00F25F11" w:rsidP="00F25F11">
      <w:pPr>
        <w:pStyle w:val="Heading1"/>
        <w:numPr>
          <w:ilvl w:val="0"/>
          <w:numId w:val="5"/>
        </w:numPr>
        <w:spacing w:before="120" w:after="120"/>
        <w:rPr>
          <w:rFonts w:ascii="Times New Roman" w:hAnsi="Times New Roman" w:cs="Times New Roman"/>
        </w:rPr>
      </w:pPr>
      <w:bookmarkStart w:id="10" w:name="_heading=h.dyt1l1cqhfpu" w:colFirst="0" w:colLast="0"/>
      <w:bookmarkEnd w:id="10"/>
      <w:r w:rsidRPr="009375DD">
        <w:rPr>
          <w:rFonts w:ascii="Times New Roman" w:hAnsi="Times New Roman" w:cs="Times New Roman"/>
        </w:rPr>
        <w:t>Organizations</w:t>
      </w:r>
      <w:r w:rsidR="00921129" w:rsidRPr="009375DD">
        <w:rPr>
          <w:rFonts w:ascii="Times New Roman" w:hAnsi="Times New Roman" w:cs="Times New Roman"/>
        </w:rPr>
        <w:t xml:space="preserve"> Supporting Older Adults – Age UK</w:t>
      </w:r>
    </w:p>
    <w:p w14:paraId="1ED48BA6" w14:textId="102CFBE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Age UK is a major national charity that helps older adults and aids in curbing health disparities throughout the UK (AGE UK, 2025). The essential services provided by the </w:t>
      </w:r>
      <w:r w:rsidR="00F25F11" w:rsidRPr="009375DD">
        <w:rPr>
          <w:rFonts w:ascii="Times New Roman" w:hAnsi="Times New Roman" w:cs="Times New Roman"/>
        </w:rPr>
        <w:t>organization</w:t>
      </w:r>
      <w:r w:rsidRPr="009375DD">
        <w:rPr>
          <w:rFonts w:ascii="Times New Roman" w:hAnsi="Times New Roman" w:cs="Times New Roman"/>
        </w:rPr>
        <w:t xml:space="preserve"> include information and advice, befriending </w:t>
      </w:r>
      <w:r w:rsidR="00F25F11" w:rsidRPr="009375DD">
        <w:rPr>
          <w:rFonts w:ascii="Times New Roman" w:hAnsi="Times New Roman" w:cs="Times New Roman"/>
        </w:rPr>
        <w:t>programmers</w:t>
      </w:r>
      <w:r w:rsidRPr="009375DD">
        <w:rPr>
          <w:rFonts w:ascii="Times New Roman" w:hAnsi="Times New Roman" w:cs="Times New Roman"/>
        </w:rPr>
        <w:t xml:space="preserve"> and support to people feeling lonely, poor and with poor health outcomes.</w:t>
      </w:r>
    </w:p>
    <w:p w14:paraId="5AFE0FDB" w14:textId="2FCA0AAA"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Age UK also has a significant role in creating awareness about health disparities in research and policy advocacy, where social isolation, fuel poverty and access barriers are the problems affecting older people's access to healthcare (Age UK, 2019). The mission of the </w:t>
      </w:r>
      <w:r w:rsidR="00F25F11" w:rsidRPr="009375DD">
        <w:rPr>
          <w:rFonts w:ascii="Times New Roman" w:hAnsi="Times New Roman" w:cs="Times New Roman"/>
        </w:rPr>
        <w:t>organization</w:t>
      </w:r>
      <w:r w:rsidRPr="009375DD">
        <w:rPr>
          <w:rFonts w:ascii="Times New Roman" w:hAnsi="Times New Roman" w:cs="Times New Roman"/>
        </w:rPr>
        <w:t xml:space="preserve"> is to enhance the quality of life, enhance independence and achieve fair access to services by older people. Although it has a large audience and high community engagement, it cannot be as effective as it depends on funding and does not solve more structural inequalities without more vigorous government intervention.</w:t>
      </w:r>
    </w:p>
    <w:p w14:paraId="5FB3395F" w14:textId="77777777" w:rsidR="003660E3" w:rsidRPr="009375DD" w:rsidRDefault="00921129" w:rsidP="00F25F11">
      <w:pPr>
        <w:pStyle w:val="Heading1"/>
        <w:numPr>
          <w:ilvl w:val="0"/>
          <w:numId w:val="5"/>
        </w:numPr>
        <w:spacing w:before="120" w:after="120"/>
        <w:rPr>
          <w:rFonts w:ascii="Times New Roman" w:hAnsi="Times New Roman" w:cs="Times New Roman"/>
        </w:rPr>
      </w:pPr>
      <w:bookmarkStart w:id="11" w:name="_heading=h.15d6ripwmy6z" w:colFirst="0" w:colLast="0"/>
      <w:bookmarkEnd w:id="11"/>
      <w:r w:rsidRPr="009375DD">
        <w:rPr>
          <w:rFonts w:ascii="Times New Roman" w:hAnsi="Times New Roman" w:cs="Times New Roman"/>
        </w:rPr>
        <w:t>Conclusion</w:t>
      </w:r>
    </w:p>
    <w:p w14:paraId="79ACD22B" w14:textId="0886B7FA"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This report aimed to explore the health inequalities that are connected to both disease and social factors. The cardiovascular disease, dementia and multimorbidity rates address the health inequalities with the help of factors like social isolation, poverty and housing issues. The national initiatives and bodies like the Age UK </w:t>
      </w:r>
      <w:r w:rsidR="00F25F11" w:rsidRPr="009375DD">
        <w:rPr>
          <w:rFonts w:ascii="Times New Roman" w:hAnsi="Times New Roman" w:cs="Times New Roman"/>
        </w:rPr>
        <w:t>organization</w:t>
      </w:r>
      <w:r w:rsidRPr="009375DD">
        <w:rPr>
          <w:rFonts w:ascii="Times New Roman" w:hAnsi="Times New Roman" w:cs="Times New Roman"/>
        </w:rPr>
        <w:t xml:space="preserve"> take important steps in handling these issues with the help of structural and socioeconomic factors. The age-related health inequalities need a holistic approach to take better care in health, social and community services. This can promote service equality and better health results for the elderly.</w:t>
      </w:r>
    </w:p>
    <w:p w14:paraId="7607A198" w14:textId="77777777" w:rsidR="003660E3" w:rsidRPr="009375DD" w:rsidRDefault="00921129">
      <w:pPr>
        <w:spacing w:before="120" w:after="120"/>
        <w:jc w:val="left"/>
        <w:rPr>
          <w:rFonts w:ascii="Times New Roman" w:hAnsi="Times New Roman" w:cs="Times New Roman"/>
          <w:highlight w:val="yellow"/>
        </w:rPr>
      </w:pPr>
      <w:r w:rsidRPr="009375DD">
        <w:rPr>
          <w:rFonts w:ascii="Times New Roman" w:hAnsi="Times New Roman" w:cs="Times New Roman"/>
        </w:rPr>
        <w:br w:type="page"/>
      </w:r>
    </w:p>
    <w:p w14:paraId="1DCF4CAA" w14:textId="77777777" w:rsidR="003660E3" w:rsidRPr="009375DD" w:rsidRDefault="00921129" w:rsidP="00F25F11">
      <w:pPr>
        <w:pStyle w:val="Heading1"/>
        <w:spacing w:before="120" w:after="120"/>
        <w:jc w:val="center"/>
        <w:rPr>
          <w:rFonts w:ascii="Times New Roman" w:hAnsi="Times New Roman" w:cs="Times New Roman"/>
        </w:rPr>
      </w:pPr>
      <w:bookmarkStart w:id="12" w:name="_heading=h.csk4ubtwruxr" w:colFirst="0" w:colLast="0"/>
      <w:bookmarkEnd w:id="12"/>
      <w:r w:rsidRPr="009375DD">
        <w:rPr>
          <w:rFonts w:ascii="Times New Roman" w:hAnsi="Times New Roman" w:cs="Times New Roman"/>
        </w:rPr>
        <w:t>Task 2- Epidemiological Analysis</w:t>
      </w:r>
    </w:p>
    <w:p w14:paraId="34BCE6C2" w14:textId="77777777" w:rsidR="003660E3" w:rsidRPr="009375DD" w:rsidRDefault="00921129" w:rsidP="00F25F11">
      <w:pPr>
        <w:pStyle w:val="Heading1"/>
        <w:numPr>
          <w:ilvl w:val="0"/>
          <w:numId w:val="5"/>
        </w:numPr>
        <w:spacing w:before="120" w:after="120"/>
        <w:rPr>
          <w:rFonts w:ascii="Times New Roman" w:hAnsi="Times New Roman" w:cs="Times New Roman"/>
        </w:rPr>
      </w:pPr>
      <w:bookmarkStart w:id="13" w:name="_heading=h.bl1odxyj69lk" w:colFirst="0" w:colLast="0"/>
      <w:bookmarkEnd w:id="13"/>
      <w:r w:rsidRPr="009375DD">
        <w:rPr>
          <w:rFonts w:ascii="Times New Roman" w:hAnsi="Times New Roman" w:cs="Times New Roman"/>
        </w:rPr>
        <w:t>Introduction</w:t>
      </w:r>
    </w:p>
    <w:p w14:paraId="4DED6184"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One of the most dangerous non-communicable chronic diseases is Type 2 Diabetes which is explained by insulin resistance and high blood pressure (CDCP, 2024). This disease is the world issue in healthcare among most of the population in the UK and the world. The reports by the International Diabetes Federation reported that in 2024, there were 589 million people who were living with diabetes (IDF, 2025). However, in the UK, 4.6 million people were diagnosed with diabetes including 1.3 million people with type 2 diabetes (IDF, 2025). </w:t>
      </w:r>
    </w:p>
    <w:p w14:paraId="26C2D1E8"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This disease is more prevalent in older people, people with minorities and disadvantaged people who reside in less privileged areas. These disparities show the broad factors of social health issues, which include education, income and lifestyle behaviours. This disease also shows various health complications which are cardiovascular diseases, kidney failures and more which can lead to an increase in morbidity and mortality rates (Anson, et al., 2025). The given report is dedicated to the adults in England as the target population and to the epidemiology, risk factors, monitoring systems and the strategies of managing and reducing the impact of Type 2 Diabetes on the population.</w:t>
      </w:r>
    </w:p>
    <w:p w14:paraId="1AFB79AA" w14:textId="77777777" w:rsidR="003660E3" w:rsidRPr="009375DD" w:rsidRDefault="00921129" w:rsidP="00F25F11">
      <w:pPr>
        <w:pStyle w:val="Heading1"/>
        <w:numPr>
          <w:ilvl w:val="0"/>
          <w:numId w:val="5"/>
        </w:numPr>
        <w:spacing w:before="120" w:after="120"/>
        <w:rPr>
          <w:rFonts w:ascii="Times New Roman" w:hAnsi="Times New Roman" w:cs="Times New Roman"/>
        </w:rPr>
      </w:pPr>
      <w:bookmarkStart w:id="14" w:name="_heading=h.h81koyyy7tvc" w:colFirst="0" w:colLast="0"/>
      <w:bookmarkEnd w:id="14"/>
      <w:r w:rsidRPr="009375DD">
        <w:rPr>
          <w:rFonts w:ascii="Times New Roman" w:hAnsi="Times New Roman" w:cs="Times New Roman"/>
        </w:rPr>
        <w:t>Main Body</w:t>
      </w:r>
    </w:p>
    <w:p w14:paraId="3C773411" w14:textId="77777777" w:rsidR="003660E3" w:rsidRPr="009375DD" w:rsidRDefault="00921129" w:rsidP="00F25F11">
      <w:pPr>
        <w:pStyle w:val="Heading1"/>
        <w:numPr>
          <w:ilvl w:val="0"/>
          <w:numId w:val="6"/>
        </w:numPr>
        <w:spacing w:before="120" w:after="120"/>
        <w:rPr>
          <w:rFonts w:ascii="Times New Roman" w:hAnsi="Times New Roman" w:cs="Times New Roman"/>
        </w:rPr>
      </w:pPr>
      <w:bookmarkStart w:id="15" w:name="_heading=h.rt8yfynbqbd3" w:colFirst="0" w:colLast="0"/>
      <w:bookmarkEnd w:id="15"/>
      <w:r w:rsidRPr="009375DD">
        <w:rPr>
          <w:rFonts w:ascii="Times New Roman" w:hAnsi="Times New Roman" w:cs="Times New Roman"/>
        </w:rPr>
        <w:t>Public Health Measures</w:t>
      </w:r>
    </w:p>
    <w:p w14:paraId="44154AB0"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The </w:t>
      </w:r>
      <w:r w:rsidRPr="009375DD">
        <w:rPr>
          <w:rFonts w:ascii="Times New Roman" w:hAnsi="Times New Roman" w:cs="Times New Roman"/>
          <w:b/>
          <w:bCs/>
          <w:i/>
          <w:iCs/>
          <w:u w:val="single"/>
        </w:rPr>
        <w:t>prevention, protection and promotion</w:t>
      </w:r>
      <w:r w:rsidRPr="009375DD">
        <w:rPr>
          <w:rFonts w:ascii="Times New Roman" w:hAnsi="Times New Roman" w:cs="Times New Roman"/>
        </w:rPr>
        <w:t xml:space="preserve"> of Type 2 Diabetes within the population are organised as part of public health to manage the disease in England and reduce the incidence and improve the outcomes. The main methods by which prevention strategies are provided are the NHS Diabetes Prevention Programme, aimed at addressing the high-risk group of people by promoting weight control, healthy eating habits and exercise (NHS England, 2023). It has been demonstrated that such interventions can go a long way in lowering the rate of prediabetes progression to Type 2 Diabetes among the high-risk groups.</w:t>
      </w:r>
    </w:p>
    <w:p w14:paraId="7FDF2BF5"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The protection strategies are centred on early detection and clinical care with the help of NHS Health Checks provided to adults aged 40-74 to diagnose the disease early and provide timely treatment (NHS, 2023). These are to prevent complications such as cardiovascular disease and kidney failure. Nevertheless, screening access is not even, as lower uptake is being seen in the deprived communities.</w:t>
      </w:r>
    </w:p>
    <w:p w14:paraId="2FA65708"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The promotion plans involve national campaigns and local promotion that promote behavioural change and enhance self-management among the diagnosed persons (Parkinson, 2025). These are effective in creating awareness, their effectiveness is hindered by socioeconomic factors like health literacy and service access. The 3Ps framework is a comprehensive approach, but disparities in access and participation decrease the efficiency of such interventions among various population groups.</w:t>
      </w:r>
    </w:p>
    <w:p w14:paraId="1B659FA8" w14:textId="77777777" w:rsidR="003660E3" w:rsidRPr="009375DD" w:rsidRDefault="00921129" w:rsidP="00F25F11">
      <w:pPr>
        <w:pStyle w:val="Heading1"/>
        <w:numPr>
          <w:ilvl w:val="0"/>
          <w:numId w:val="6"/>
        </w:numPr>
        <w:spacing w:before="120" w:after="120"/>
        <w:rPr>
          <w:rFonts w:ascii="Times New Roman" w:hAnsi="Times New Roman" w:cs="Times New Roman"/>
        </w:rPr>
      </w:pPr>
      <w:bookmarkStart w:id="16" w:name="_heading=h.j69vhjq38zua" w:colFirst="0" w:colLast="0"/>
      <w:bookmarkEnd w:id="16"/>
      <w:r w:rsidRPr="009375DD">
        <w:rPr>
          <w:rFonts w:ascii="Times New Roman" w:hAnsi="Times New Roman" w:cs="Times New Roman"/>
        </w:rPr>
        <w:t>Determinants or Risk Factors</w:t>
      </w:r>
    </w:p>
    <w:p w14:paraId="24AAAA07"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A set of biological, behavioural and social determinants contributes to the development of Type 2 Diabetes. Age is a significant risk factor biologically and the prevalence is higher in persons older than 65 (Wang, et al. 2021). Ethnicity and genetic predisposition are also important factors since, in the UK, there is a higher risk in South Asian and Black populations than in White populations (Farmaki, et al., 2021).</w:t>
      </w:r>
    </w:p>
    <w:p w14:paraId="424998A6"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Obesity, unhealthy diet and physical inactivity are some of the behavioural factors that are highly linked to the development of the disease (Yashi and Daley, 2023). Within England, the levels of obesity have been on the increase thus contributing to the spread of diabetes. The environmental and socioeconomic conditions tend to influence these behaviours and not necessarily the choice of an individual.</w:t>
      </w:r>
    </w:p>
    <w:p w14:paraId="1C71E46F"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Social factors also increase the risk with people in disadvantaged neighborhoods at a higher risk of poor nutritional intake, lack of access to medical services and limited physical exercise (Briggs, 2020). Hence, Type 2 Diabetes is not a disease that can be perceived only as a lifestyle issue, but it is a disease that is caused by structural inequalities that mediate the exposure to risk factors and access to preventive resources.</w:t>
      </w:r>
    </w:p>
    <w:p w14:paraId="58553EC7" w14:textId="77777777" w:rsidR="003660E3" w:rsidRPr="009375DD" w:rsidRDefault="00921129" w:rsidP="00F25F11">
      <w:pPr>
        <w:pStyle w:val="Heading1"/>
        <w:numPr>
          <w:ilvl w:val="0"/>
          <w:numId w:val="6"/>
        </w:numPr>
        <w:spacing w:before="120" w:after="120"/>
        <w:rPr>
          <w:rFonts w:ascii="Times New Roman" w:hAnsi="Times New Roman" w:cs="Times New Roman"/>
        </w:rPr>
      </w:pPr>
      <w:bookmarkStart w:id="17" w:name="_heading=h.ywpcthl8b3b5" w:colFirst="0" w:colLast="0"/>
      <w:bookmarkEnd w:id="17"/>
      <w:r w:rsidRPr="009375DD">
        <w:rPr>
          <w:rFonts w:ascii="Times New Roman" w:hAnsi="Times New Roman" w:cs="Times New Roman"/>
        </w:rPr>
        <w:t>Epidemiological Identification and At- Risk Population</w:t>
      </w:r>
    </w:p>
    <w:p w14:paraId="59564AEF"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Epidemiological studies and health needs assessment indicate that there are certain clear trends in the occurrence of Type 2 Diabetes in different population groups in England. The disease affects older adults more disproportionately and after the age of 40 years, it increases exponentially as the number of those older than 65 years old increases (Endocrine Society, 2020). These ethnic minority groups, particularly South Asian and Black people, are at high risk and the condition develops among them at a younger age as compared to the rest of the population.</w:t>
      </w:r>
    </w:p>
    <w:p w14:paraId="5E858937"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Another important determinant is socioeconomic status, with the population residing in needy areas having higher chances of being diagnosed with Type 2 Diabetes and poor health outcomes. Health needs assessment reveals a number of barriers to health of these populations including limited accessibility to healthcare services, low health literacy and high-risk factors exposure including poor environmental conditions and lack of access to healthy food.</w:t>
      </w:r>
    </w:p>
    <w:p w14:paraId="43EDED61" w14:textId="77777777" w:rsidR="003660E3" w:rsidRPr="009375DD" w:rsidRDefault="00921129">
      <w:pPr>
        <w:spacing w:before="120" w:after="120"/>
        <w:rPr>
          <w:rFonts w:ascii="Times New Roman" w:hAnsi="Times New Roman" w:cs="Times New Roman"/>
          <w:b/>
          <w:bCs/>
        </w:rPr>
      </w:pPr>
      <w:r w:rsidRPr="009375DD">
        <w:rPr>
          <w:rFonts w:ascii="Times New Roman" w:hAnsi="Times New Roman" w:cs="Times New Roman"/>
        </w:rPr>
        <w:t>These inequalities show that Type 2 Diabetes is not equally distributed across the population and that there are populations that are disproportionately affected. There is a need to identify these vulnerable groups to be able to target the intervention and for optimal use of resources in order to minimise the health inequalities and improve health outcomes.</w:t>
      </w:r>
    </w:p>
    <w:p w14:paraId="19B87962" w14:textId="77777777" w:rsidR="003660E3" w:rsidRPr="009375DD" w:rsidRDefault="00921129" w:rsidP="00F25F11">
      <w:pPr>
        <w:pStyle w:val="Heading1"/>
        <w:numPr>
          <w:ilvl w:val="0"/>
          <w:numId w:val="6"/>
        </w:numPr>
        <w:spacing w:before="120" w:after="120"/>
        <w:rPr>
          <w:rFonts w:ascii="Times New Roman" w:hAnsi="Times New Roman" w:cs="Times New Roman"/>
        </w:rPr>
      </w:pPr>
      <w:bookmarkStart w:id="18" w:name="_heading=h.bwj9yn3afhtg" w:colFirst="0" w:colLast="0"/>
      <w:bookmarkEnd w:id="18"/>
      <w:r w:rsidRPr="009375DD">
        <w:rPr>
          <w:rFonts w:ascii="Times New Roman" w:hAnsi="Times New Roman" w:cs="Times New Roman"/>
        </w:rPr>
        <w:t>Monitoring and Surveillance Systems</w:t>
      </w:r>
    </w:p>
    <w:p w14:paraId="55156198"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The incidence and prevalence of Type 2 Diabetes in England are checked using a variety of national surveillance systems which give continuous data at the population equal. The National Diabetes Audit gathers data in the primary and secondary care settings to evaluate the diagnosis rates, treatment outcomes and quality of care among the population (Diabetes UK, 2025). The system allows discovering regional differences and benchmarking among healthcare providers.</w:t>
      </w:r>
    </w:p>
    <w:p w14:paraId="304DD884"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Also, the NHS Digital datasets and General Practice (GP) records are followed to monitor new diagnoses, the trends in the prevalence and the risk factors in the specified population (NHS Digital, 2021). These data sources enable early detection of high-risk populations and facilitate targeted interventions in the health of the population. The Fingertips tool by Public Health England also offers convenient epidemiological information, which may be compared across demographic groups and local authorities. Underdiagnosis of disease means that the percentage of the population will remain undiagnosed in the deprived and marginalised communities.</w:t>
      </w:r>
    </w:p>
    <w:p w14:paraId="357800B1" w14:textId="77777777" w:rsidR="003660E3" w:rsidRPr="009375DD" w:rsidRDefault="00921129" w:rsidP="00F25F11">
      <w:pPr>
        <w:pStyle w:val="ListParagraph"/>
        <w:numPr>
          <w:ilvl w:val="0"/>
          <w:numId w:val="6"/>
        </w:numPr>
        <w:spacing w:before="120" w:after="120"/>
        <w:rPr>
          <w:rFonts w:ascii="Times New Roman" w:hAnsi="Times New Roman" w:cs="Times New Roman"/>
          <w:b/>
          <w:bCs/>
          <w:color w:val="000000"/>
        </w:rPr>
      </w:pPr>
      <w:r w:rsidRPr="009375DD">
        <w:rPr>
          <w:rFonts w:ascii="Times New Roman" w:hAnsi="Times New Roman" w:cs="Times New Roman"/>
          <w:b/>
          <w:bCs/>
          <w:color w:val="000000"/>
        </w:rPr>
        <w:t>Public Health Impact and Epidemiological Assessment</w:t>
      </w:r>
    </w:p>
    <w:p w14:paraId="57BF5DBE" w14:textId="20BE2A40"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 xml:space="preserve">Ling, et al., (2023) show that Type 2 Diabetes imposes a significant and disproportionate burden on adults in England. The acute effects are a higher healthcare use, as more primary care visits and </w:t>
      </w:r>
      <w:r w:rsidR="00F25F11" w:rsidRPr="009375DD">
        <w:rPr>
          <w:rFonts w:ascii="Times New Roman" w:hAnsi="Times New Roman" w:cs="Times New Roman"/>
          <w:color w:val="000000"/>
        </w:rPr>
        <w:t>hospitalizations</w:t>
      </w:r>
      <w:r w:rsidRPr="009375DD">
        <w:rPr>
          <w:rFonts w:ascii="Times New Roman" w:hAnsi="Times New Roman" w:cs="Times New Roman"/>
          <w:color w:val="000000"/>
        </w:rPr>
        <w:t xml:space="preserve"> are associated with inadequate </w:t>
      </w:r>
      <w:r w:rsidR="00F25F11" w:rsidRPr="009375DD">
        <w:rPr>
          <w:rFonts w:ascii="Times New Roman" w:hAnsi="Times New Roman" w:cs="Times New Roman"/>
          <w:color w:val="000000"/>
        </w:rPr>
        <w:t>glycemic</w:t>
      </w:r>
      <w:r w:rsidRPr="009375DD">
        <w:rPr>
          <w:rFonts w:ascii="Times New Roman" w:hAnsi="Times New Roman" w:cs="Times New Roman"/>
          <w:color w:val="000000"/>
        </w:rPr>
        <w:t xml:space="preserve"> control. The long-term effects are worse, such as cardiovascular disease, kidney failure and early death, and diabetes is a cause of almost one-third of cardiovascular deaths in England. Wirth et al. (2026) </w:t>
      </w:r>
      <w:r w:rsidR="00F25F11" w:rsidRPr="009375DD">
        <w:rPr>
          <w:rFonts w:ascii="Times New Roman" w:hAnsi="Times New Roman" w:cs="Times New Roman"/>
          <w:color w:val="000000"/>
        </w:rPr>
        <w:t>emphasize</w:t>
      </w:r>
      <w:r w:rsidRPr="009375DD">
        <w:rPr>
          <w:rFonts w:ascii="Times New Roman" w:hAnsi="Times New Roman" w:cs="Times New Roman"/>
          <w:color w:val="000000"/>
        </w:rPr>
        <w:t xml:space="preserve"> that prevalence is highly socially stratified, with 14% of adults in the most deprived </w:t>
      </w:r>
      <w:r w:rsidR="00F25F11" w:rsidRPr="009375DD">
        <w:rPr>
          <w:rFonts w:ascii="Times New Roman" w:hAnsi="Times New Roman" w:cs="Times New Roman"/>
          <w:color w:val="000000"/>
        </w:rPr>
        <w:t>neighborhoods</w:t>
      </w:r>
      <w:r w:rsidRPr="009375DD">
        <w:rPr>
          <w:rFonts w:ascii="Times New Roman" w:hAnsi="Times New Roman" w:cs="Times New Roman"/>
          <w:color w:val="000000"/>
        </w:rPr>
        <w:t xml:space="preserve"> affected. These trends show that epidemiology allows </w:t>
      </w:r>
      <w:r w:rsidR="00F25F11" w:rsidRPr="009375DD">
        <w:rPr>
          <w:rFonts w:ascii="Times New Roman" w:hAnsi="Times New Roman" w:cs="Times New Roman"/>
          <w:color w:val="000000"/>
        </w:rPr>
        <w:t>recognizing</w:t>
      </w:r>
      <w:r w:rsidRPr="009375DD">
        <w:rPr>
          <w:rFonts w:ascii="Times New Roman" w:hAnsi="Times New Roman" w:cs="Times New Roman"/>
          <w:color w:val="000000"/>
        </w:rPr>
        <w:t xml:space="preserve"> high-risk populations, predicting the burden of disease and projections of future healthcare needs, which can be used to facilitate specific planning of public health and resource distribution.</w:t>
      </w:r>
    </w:p>
    <w:p w14:paraId="637C1AE3" w14:textId="77777777" w:rsidR="003660E3" w:rsidRPr="009375DD" w:rsidRDefault="00921129">
      <w:pPr>
        <w:pStyle w:val="Heading1"/>
        <w:spacing w:before="120" w:after="120"/>
        <w:rPr>
          <w:rFonts w:ascii="Times New Roman" w:hAnsi="Times New Roman" w:cs="Times New Roman"/>
        </w:rPr>
      </w:pPr>
      <w:bookmarkStart w:id="19" w:name="_heading=h.42mtjdbsgrse" w:colFirst="0" w:colLast="0"/>
      <w:bookmarkEnd w:id="19"/>
      <w:r w:rsidRPr="009375DD">
        <w:rPr>
          <w:rFonts w:ascii="Times New Roman" w:hAnsi="Times New Roman" w:cs="Times New Roman"/>
        </w:rPr>
        <w:t>Intervention Design and Evaluation</w:t>
      </w:r>
    </w:p>
    <w:p w14:paraId="2B2060A4" w14:textId="34DB8DC3"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 xml:space="preserve">A successful intervention </w:t>
      </w:r>
      <w:r w:rsidR="00F25F11" w:rsidRPr="009375DD">
        <w:rPr>
          <w:rFonts w:ascii="Times New Roman" w:hAnsi="Times New Roman" w:cs="Times New Roman"/>
          <w:color w:val="000000"/>
        </w:rPr>
        <w:t>programmer</w:t>
      </w:r>
      <w:r w:rsidRPr="009375DD">
        <w:rPr>
          <w:rFonts w:ascii="Times New Roman" w:hAnsi="Times New Roman" w:cs="Times New Roman"/>
          <w:color w:val="000000"/>
        </w:rPr>
        <w:t xml:space="preserve"> must embrace a balanced approach to universalism, involving prevention at a population level and high-risk populations (Tuomilehto, et al., 2023).</w:t>
      </w:r>
    </w:p>
    <w:p w14:paraId="142835D1" w14:textId="77777777" w:rsidR="003660E3" w:rsidRPr="009375DD" w:rsidRDefault="003660E3">
      <w:pPr>
        <w:spacing w:before="120" w:after="120"/>
        <w:rPr>
          <w:rFonts w:ascii="Times New Roman" w:hAnsi="Times New Roman" w:cs="Times New Roman"/>
          <w:color w:val="000000"/>
        </w:rPr>
      </w:pPr>
    </w:p>
    <w:p w14:paraId="65A55C47" w14:textId="77777777" w:rsidR="003660E3" w:rsidRPr="009375DD" w:rsidRDefault="003660E3">
      <w:pPr>
        <w:spacing w:before="120" w:after="120"/>
        <w:rPr>
          <w:rFonts w:ascii="Times New Roman" w:hAnsi="Times New Roman" w:cs="Times New Roman"/>
          <w:color w:val="000000"/>
        </w:rPr>
      </w:pP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0"/>
        <w:gridCol w:w="7216"/>
      </w:tblGrid>
      <w:tr w:rsidR="003660E3" w:rsidRPr="009375DD" w14:paraId="0F588ED3" w14:textId="77777777">
        <w:tc>
          <w:tcPr>
            <w:tcW w:w="1800" w:type="dxa"/>
            <w:tcBorders>
              <w:top w:val="single" w:sz="4" w:space="0" w:color="000000"/>
              <w:left w:val="single" w:sz="4" w:space="0" w:color="000000"/>
              <w:bottom w:val="single" w:sz="4" w:space="0" w:color="000000"/>
              <w:right w:val="single" w:sz="4" w:space="0" w:color="000000"/>
            </w:tcBorders>
          </w:tcPr>
          <w:p w14:paraId="13D20954" w14:textId="77777777" w:rsidR="003660E3" w:rsidRPr="009375DD" w:rsidRDefault="00921129">
            <w:pPr>
              <w:spacing w:before="120" w:after="120"/>
              <w:jc w:val="center"/>
              <w:rPr>
                <w:rFonts w:ascii="Times New Roman" w:hAnsi="Times New Roman" w:cs="Times New Roman"/>
                <w:b/>
                <w:bCs/>
                <w:color w:val="000000"/>
              </w:rPr>
            </w:pPr>
            <w:r w:rsidRPr="009375DD">
              <w:rPr>
                <w:rFonts w:ascii="Times New Roman" w:hAnsi="Times New Roman" w:cs="Times New Roman"/>
                <w:b/>
                <w:bCs/>
                <w:color w:val="000000"/>
              </w:rPr>
              <w:t>Component</w:t>
            </w:r>
          </w:p>
        </w:tc>
        <w:tc>
          <w:tcPr>
            <w:tcW w:w="7216" w:type="dxa"/>
            <w:tcBorders>
              <w:top w:val="single" w:sz="4" w:space="0" w:color="000000"/>
              <w:left w:val="single" w:sz="4" w:space="0" w:color="000000"/>
              <w:bottom w:val="single" w:sz="4" w:space="0" w:color="000000"/>
              <w:right w:val="single" w:sz="4" w:space="0" w:color="000000"/>
            </w:tcBorders>
          </w:tcPr>
          <w:p w14:paraId="7BBCA6D1" w14:textId="77777777" w:rsidR="003660E3" w:rsidRPr="009375DD" w:rsidRDefault="00921129">
            <w:pPr>
              <w:spacing w:before="120" w:after="120"/>
              <w:jc w:val="center"/>
              <w:rPr>
                <w:rFonts w:ascii="Times New Roman" w:hAnsi="Times New Roman" w:cs="Times New Roman"/>
                <w:b/>
                <w:bCs/>
                <w:color w:val="000000"/>
              </w:rPr>
            </w:pPr>
            <w:r w:rsidRPr="009375DD">
              <w:rPr>
                <w:rFonts w:ascii="Times New Roman" w:hAnsi="Times New Roman" w:cs="Times New Roman"/>
                <w:b/>
                <w:bCs/>
                <w:color w:val="000000"/>
              </w:rPr>
              <w:t>Description</w:t>
            </w:r>
          </w:p>
        </w:tc>
      </w:tr>
      <w:tr w:rsidR="003660E3" w:rsidRPr="009375DD" w14:paraId="6D58C567" w14:textId="77777777">
        <w:tc>
          <w:tcPr>
            <w:tcW w:w="1800" w:type="dxa"/>
            <w:tcBorders>
              <w:top w:val="single" w:sz="4" w:space="0" w:color="000000"/>
              <w:left w:val="single" w:sz="4" w:space="0" w:color="000000"/>
              <w:bottom w:val="single" w:sz="4" w:space="0" w:color="000000"/>
              <w:right w:val="single" w:sz="4" w:space="0" w:color="000000"/>
            </w:tcBorders>
          </w:tcPr>
          <w:p w14:paraId="536BE189"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Intervention Name</w:t>
            </w:r>
          </w:p>
        </w:tc>
        <w:tc>
          <w:tcPr>
            <w:tcW w:w="7216" w:type="dxa"/>
            <w:tcBorders>
              <w:top w:val="single" w:sz="4" w:space="0" w:color="000000"/>
              <w:left w:val="single" w:sz="4" w:space="0" w:color="000000"/>
              <w:bottom w:val="single" w:sz="4" w:space="0" w:color="000000"/>
              <w:right w:val="single" w:sz="4" w:space="0" w:color="000000"/>
            </w:tcBorders>
          </w:tcPr>
          <w:p w14:paraId="6CB8170A"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Targeted Community-Based Diabetes Prevention and Management Programme</w:t>
            </w:r>
          </w:p>
        </w:tc>
      </w:tr>
      <w:tr w:rsidR="003660E3" w:rsidRPr="009375DD" w14:paraId="094A618E" w14:textId="77777777">
        <w:tc>
          <w:tcPr>
            <w:tcW w:w="1800" w:type="dxa"/>
            <w:tcBorders>
              <w:top w:val="single" w:sz="4" w:space="0" w:color="000000"/>
              <w:left w:val="single" w:sz="4" w:space="0" w:color="000000"/>
              <w:bottom w:val="single" w:sz="4" w:space="0" w:color="000000"/>
              <w:right w:val="single" w:sz="4" w:space="0" w:color="000000"/>
            </w:tcBorders>
          </w:tcPr>
          <w:p w14:paraId="0199FA7B"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Aim</w:t>
            </w:r>
          </w:p>
        </w:tc>
        <w:tc>
          <w:tcPr>
            <w:tcW w:w="7216" w:type="dxa"/>
            <w:tcBorders>
              <w:top w:val="single" w:sz="4" w:space="0" w:color="000000"/>
              <w:left w:val="single" w:sz="4" w:space="0" w:color="000000"/>
              <w:bottom w:val="single" w:sz="4" w:space="0" w:color="000000"/>
              <w:right w:val="single" w:sz="4" w:space="0" w:color="000000"/>
            </w:tcBorders>
          </w:tcPr>
          <w:p w14:paraId="0B2AF01E"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To reduce the incidence and improve management of Type 2 Diabetes among adults in deprived areas of England</w:t>
            </w:r>
          </w:p>
        </w:tc>
      </w:tr>
      <w:tr w:rsidR="003660E3" w:rsidRPr="009375DD" w14:paraId="318D3376" w14:textId="77777777">
        <w:tc>
          <w:tcPr>
            <w:tcW w:w="1800" w:type="dxa"/>
            <w:tcBorders>
              <w:top w:val="single" w:sz="4" w:space="0" w:color="000000"/>
              <w:left w:val="single" w:sz="4" w:space="0" w:color="000000"/>
              <w:bottom w:val="single" w:sz="4" w:space="0" w:color="000000"/>
              <w:right w:val="single" w:sz="4" w:space="0" w:color="000000"/>
            </w:tcBorders>
          </w:tcPr>
          <w:p w14:paraId="058D3B7A"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Target Population</w:t>
            </w:r>
          </w:p>
        </w:tc>
        <w:tc>
          <w:tcPr>
            <w:tcW w:w="7216" w:type="dxa"/>
            <w:tcBorders>
              <w:top w:val="single" w:sz="4" w:space="0" w:color="000000"/>
              <w:left w:val="single" w:sz="4" w:space="0" w:color="000000"/>
              <w:bottom w:val="single" w:sz="4" w:space="0" w:color="000000"/>
              <w:right w:val="single" w:sz="4" w:space="0" w:color="000000"/>
            </w:tcBorders>
          </w:tcPr>
          <w:p w14:paraId="162F599A"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 xml:space="preserve">Adults aged 40–74 in high-deprivation areas, with a focus on high-risk ethnic groups </w:t>
            </w:r>
          </w:p>
        </w:tc>
      </w:tr>
      <w:tr w:rsidR="003660E3" w:rsidRPr="009375DD" w14:paraId="3F518010" w14:textId="77777777">
        <w:tc>
          <w:tcPr>
            <w:tcW w:w="1800" w:type="dxa"/>
            <w:tcBorders>
              <w:top w:val="single" w:sz="4" w:space="0" w:color="000000"/>
              <w:left w:val="single" w:sz="4" w:space="0" w:color="000000"/>
              <w:bottom w:val="single" w:sz="4" w:space="0" w:color="000000"/>
              <w:right w:val="single" w:sz="4" w:space="0" w:color="000000"/>
            </w:tcBorders>
          </w:tcPr>
          <w:p w14:paraId="10FC1524"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Approach</w:t>
            </w:r>
          </w:p>
        </w:tc>
        <w:tc>
          <w:tcPr>
            <w:tcW w:w="7216" w:type="dxa"/>
            <w:tcBorders>
              <w:top w:val="single" w:sz="4" w:space="0" w:color="000000"/>
              <w:left w:val="single" w:sz="4" w:space="0" w:color="000000"/>
              <w:bottom w:val="single" w:sz="4" w:space="0" w:color="000000"/>
              <w:right w:val="single" w:sz="4" w:space="0" w:color="000000"/>
            </w:tcBorders>
          </w:tcPr>
          <w:p w14:paraId="31C3CB0D"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Proportionate universalism: universal access with intensified support in high-risk groups</w:t>
            </w:r>
          </w:p>
        </w:tc>
      </w:tr>
      <w:tr w:rsidR="003660E3" w:rsidRPr="009375DD" w14:paraId="553CCE39" w14:textId="77777777">
        <w:tc>
          <w:tcPr>
            <w:tcW w:w="1800" w:type="dxa"/>
            <w:tcBorders>
              <w:top w:val="single" w:sz="4" w:space="0" w:color="000000"/>
              <w:left w:val="single" w:sz="4" w:space="0" w:color="000000"/>
              <w:bottom w:val="single" w:sz="4" w:space="0" w:color="000000"/>
              <w:right w:val="single" w:sz="4" w:space="0" w:color="000000"/>
            </w:tcBorders>
          </w:tcPr>
          <w:p w14:paraId="34AAA8D6"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Delivery Setting</w:t>
            </w:r>
          </w:p>
        </w:tc>
        <w:tc>
          <w:tcPr>
            <w:tcW w:w="7216" w:type="dxa"/>
            <w:tcBorders>
              <w:top w:val="single" w:sz="4" w:space="0" w:color="000000"/>
              <w:left w:val="single" w:sz="4" w:space="0" w:color="000000"/>
              <w:bottom w:val="single" w:sz="4" w:space="0" w:color="000000"/>
              <w:right w:val="single" w:sz="4" w:space="0" w:color="000000"/>
            </w:tcBorders>
          </w:tcPr>
          <w:p w14:paraId="121BF2C3" w14:textId="612D762A"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 xml:space="preserve">Primary care networks, community </w:t>
            </w:r>
            <w:r w:rsidR="00F25F11" w:rsidRPr="009375DD">
              <w:rPr>
                <w:rFonts w:ascii="Times New Roman" w:hAnsi="Times New Roman" w:cs="Times New Roman"/>
                <w:color w:val="000000"/>
              </w:rPr>
              <w:t>centers</w:t>
            </w:r>
            <w:r w:rsidRPr="009375DD">
              <w:rPr>
                <w:rFonts w:ascii="Times New Roman" w:hAnsi="Times New Roman" w:cs="Times New Roman"/>
                <w:color w:val="000000"/>
              </w:rPr>
              <w:t xml:space="preserve">, and faith-based </w:t>
            </w:r>
            <w:r w:rsidR="00F25F11" w:rsidRPr="009375DD">
              <w:rPr>
                <w:rFonts w:ascii="Times New Roman" w:hAnsi="Times New Roman" w:cs="Times New Roman"/>
                <w:color w:val="000000"/>
              </w:rPr>
              <w:t>organizations</w:t>
            </w:r>
          </w:p>
        </w:tc>
      </w:tr>
      <w:tr w:rsidR="003660E3" w:rsidRPr="009375DD" w14:paraId="145DDD49" w14:textId="77777777">
        <w:tc>
          <w:tcPr>
            <w:tcW w:w="1800" w:type="dxa"/>
            <w:tcBorders>
              <w:top w:val="single" w:sz="4" w:space="0" w:color="000000"/>
              <w:left w:val="single" w:sz="4" w:space="0" w:color="000000"/>
              <w:bottom w:val="single" w:sz="4" w:space="0" w:color="000000"/>
              <w:right w:val="single" w:sz="4" w:space="0" w:color="000000"/>
            </w:tcBorders>
          </w:tcPr>
          <w:p w14:paraId="18C04111"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Stakeholders</w:t>
            </w:r>
          </w:p>
        </w:tc>
        <w:tc>
          <w:tcPr>
            <w:tcW w:w="7216" w:type="dxa"/>
            <w:tcBorders>
              <w:top w:val="single" w:sz="4" w:space="0" w:color="000000"/>
              <w:left w:val="single" w:sz="4" w:space="0" w:color="000000"/>
              <w:bottom w:val="single" w:sz="4" w:space="0" w:color="000000"/>
              <w:right w:val="single" w:sz="4" w:space="0" w:color="000000"/>
            </w:tcBorders>
          </w:tcPr>
          <w:p w14:paraId="228CF348" w14:textId="314E00E4"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 xml:space="preserve">NHS England, local authorities, GPs, voluntary </w:t>
            </w:r>
            <w:r w:rsidR="00F25F11" w:rsidRPr="009375DD">
              <w:rPr>
                <w:rFonts w:ascii="Times New Roman" w:hAnsi="Times New Roman" w:cs="Times New Roman"/>
                <w:color w:val="000000"/>
              </w:rPr>
              <w:t>organizations</w:t>
            </w:r>
            <w:r w:rsidRPr="009375DD">
              <w:rPr>
                <w:rFonts w:ascii="Times New Roman" w:hAnsi="Times New Roman" w:cs="Times New Roman"/>
                <w:color w:val="000000"/>
              </w:rPr>
              <w:t xml:space="preserve"> (e.g., diabetes charities), community leaders</w:t>
            </w:r>
          </w:p>
        </w:tc>
      </w:tr>
      <w:tr w:rsidR="003660E3" w:rsidRPr="009375DD" w14:paraId="6439B59F" w14:textId="77777777">
        <w:tc>
          <w:tcPr>
            <w:tcW w:w="1800" w:type="dxa"/>
            <w:tcBorders>
              <w:top w:val="single" w:sz="4" w:space="0" w:color="000000"/>
              <w:left w:val="single" w:sz="4" w:space="0" w:color="000000"/>
              <w:bottom w:val="single" w:sz="4" w:space="0" w:color="000000"/>
              <w:right w:val="single" w:sz="4" w:space="0" w:color="000000"/>
            </w:tcBorders>
          </w:tcPr>
          <w:p w14:paraId="6FFF01F9"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Duration</w:t>
            </w:r>
          </w:p>
        </w:tc>
        <w:tc>
          <w:tcPr>
            <w:tcW w:w="7216" w:type="dxa"/>
            <w:tcBorders>
              <w:top w:val="single" w:sz="4" w:space="0" w:color="000000"/>
              <w:left w:val="single" w:sz="4" w:space="0" w:color="000000"/>
              <w:bottom w:val="single" w:sz="4" w:space="0" w:color="000000"/>
              <w:right w:val="single" w:sz="4" w:space="0" w:color="000000"/>
            </w:tcBorders>
          </w:tcPr>
          <w:p w14:paraId="24FBA019"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12-month structured programme with ongoing follow-up</w:t>
            </w:r>
          </w:p>
        </w:tc>
      </w:tr>
    </w:tbl>
    <w:p w14:paraId="14F98D19" w14:textId="2FD2E474"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 xml:space="preserve">The proposed intervention has a high potential to decrease the burden of Type 2 Diabetes by focusing on the prevention and management of the disease using a multi-level approach. Prior research on parallel programmes like national diabetes prevention initiatives has indicated that </w:t>
      </w:r>
      <w:r w:rsidR="00F25F11" w:rsidRPr="009375DD">
        <w:rPr>
          <w:rFonts w:ascii="Times New Roman" w:hAnsi="Times New Roman" w:cs="Times New Roman"/>
          <w:color w:val="000000"/>
        </w:rPr>
        <w:t>organized</w:t>
      </w:r>
      <w:r w:rsidRPr="009375DD">
        <w:rPr>
          <w:rFonts w:ascii="Times New Roman" w:hAnsi="Times New Roman" w:cs="Times New Roman"/>
          <w:color w:val="000000"/>
        </w:rPr>
        <w:t xml:space="preserve"> lifestyle interventions may have a significant impact on preventing the development of diabetes out of prediabetes and on the development and management of </w:t>
      </w:r>
      <w:r w:rsidR="00F25F11" w:rsidRPr="009375DD">
        <w:rPr>
          <w:rFonts w:ascii="Times New Roman" w:hAnsi="Times New Roman" w:cs="Times New Roman"/>
          <w:color w:val="000000"/>
        </w:rPr>
        <w:t>glycemic</w:t>
      </w:r>
      <w:r w:rsidRPr="009375DD">
        <w:rPr>
          <w:rFonts w:ascii="Times New Roman" w:hAnsi="Times New Roman" w:cs="Times New Roman"/>
          <w:color w:val="000000"/>
        </w:rPr>
        <w:t xml:space="preserve"> regulation. Community-based delivery and culturally-specific education are especially relevant in terms of overcoming access and engagement barriers among high-risk and underserved groups.</w:t>
      </w:r>
    </w:p>
    <w:p w14:paraId="44A6C6FB"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However, there are a number of factors that could limit the effectiveness of the intervention. Socioeconomically deprived groups tend to have less uptake and adherence because of barriers, which include low health literacy, competing life priorities, and limited access to digital resources. Although digital tools can improve self-management, they can contribute to increased inequalities if they are not designed and made accessible (Litchfield, et al., 2023). Moreover, long-term funding, capacity and coordination of the workforce among stakeholders are key to the success of the programme, but that is difficult to put into practice.</w:t>
      </w:r>
    </w:p>
    <w:p w14:paraId="4D2C6F4A" w14:textId="77777777" w:rsidR="003660E3" w:rsidRPr="009375DD" w:rsidRDefault="00921129" w:rsidP="00F25F11">
      <w:pPr>
        <w:pStyle w:val="Heading1"/>
        <w:numPr>
          <w:ilvl w:val="0"/>
          <w:numId w:val="7"/>
        </w:numPr>
        <w:spacing w:before="120" w:after="120"/>
        <w:rPr>
          <w:rFonts w:ascii="Times New Roman" w:hAnsi="Times New Roman" w:cs="Times New Roman"/>
        </w:rPr>
      </w:pPr>
      <w:bookmarkStart w:id="20" w:name="_heading=h.g7wdrdzen936" w:colFirst="0" w:colLast="0"/>
      <w:bookmarkEnd w:id="20"/>
      <w:r w:rsidRPr="009375DD">
        <w:rPr>
          <w:rFonts w:ascii="Times New Roman" w:hAnsi="Times New Roman" w:cs="Times New Roman"/>
        </w:rPr>
        <w:t>Strengths and Weaknesses of the Epidemiological Approach</w:t>
      </w:r>
    </w:p>
    <w:p w14:paraId="3CB63722"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The wide-ranging national datasets support the epidemiological approach to Type 2 Diabetes in England (Misra, et al., 2023). Such data can be used to identify inequalities, including greater prevalence in disadvantaged groups and earlier onset of certain groups, to inform policy development. Trends and evaluation of interventions over time can also be traced using longitudinal data.</w:t>
      </w:r>
    </w:p>
    <w:p w14:paraId="356DF79B" w14:textId="77777777" w:rsidR="003660E3" w:rsidRPr="009375DD" w:rsidRDefault="00921129">
      <w:pPr>
        <w:spacing w:before="120" w:after="120"/>
        <w:rPr>
          <w:rFonts w:ascii="Times New Roman" w:hAnsi="Times New Roman" w:cs="Times New Roman"/>
          <w:color w:val="000000"/>
        </w:rPr>
      </w:pPr>
      <w:r w:rsidRPr="009375DD">
        <w:rPr>
          <w:rFonts w:ascii="Times New Roman" w:hAnsi="Times New Roman" w:cs="Times New Roman"/>
          <w:color w:val="000000"/>
        </w:rPr>
        <w:t>However, underdiagnosis is still a serious issue, and one million adults are estimated to have undiagnosed diabetes, which contributes to the underestimation of the actual prevalence (Campbell, et al., 2024). Moreover, regular datasets usually do not provide in-depth data on social determinants like housing, diet and lived experience to interpret causal inequalities. Reliability may also be impacted by variability in the quality of data and regional reporting. Thus, epidemiology plays a vital role in the planning of health in the population, but it ought to be supplemented with both qualitative and mixed methods approaches in order to gain an in-depth understanding of the sources of disease and inequality.</w:t>
      </w:r>
    </w:p>
    <w:p w14:paraId="56C0D07F" w14:textId="77777777" w:rsidR="003660E3" w:rsidRPr="009375DD" w:rsidRDefault="00921129">
      <w:pPr>
        <w:spacing w:before="120" w:after="120"/>
        <w:rPr>
          <w:rFonts w:ascii="Times New Roman" w:hAnsi="Times New Roman" w:cs="Times New Roman"/>
          <w:b/>
          <w:bCs/>
          <w:color w:val="000000"/>
        </w:rPr>
      </w:pPr>
      <w:r w:rsidRPr="009375DD">
        <w:rPr>
          <w:rFonts w:ascii="Times New Roman" w:hAnsi="Times New Roman" w:cs="Times New Roman"/>
        </w:rPr>
        <w:br w:type="page"/>
      </w:r>
    </w:p>
    <w:p w14:paraId="3E0B7426" w14:textId="77777777" w:rsidR="003660E3" w:rsidRPr="009375DD" w:rsidRDefault="00921129" w:rsidP="00F25F11">
      <w:pPr>
        <w:pStyle w:val="Heading1"/>
        <w:numPr>
          <w:ilvl w:val="0"/>
          <w:numId w:val="8"/>
        </w:numPr>
        <w:spacing w:before="120" w:after="120"/>
        <w:rPr>
          <w:rFonts w:ascii="Times New Roman" w:hAnsi="Times New Roman" w:cs="Times New Roman"/>
        </w:rPr>
      </w:pPr>
      <w:bookmarkStart w:id="21" w:name="_heading=h.d4zct4voqa6j" w:colFirst="0" w:colLast="0"/>
      <w:bookmarkEnd w:id="21"/>
      <w:r w:rsidRPr="009375DD">
        <w:rPr>
          <w:rFonts w:ascii="Times New Roman" w:hAnsi="Times New Roman" w:cs="Times New Roman"/>
        </w:rPr>
        <w:t>References</w:t>
      </w:r>
    </w:p>
    <w:p w14:paraId="5873B1BE"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Age UK (2019) </w:t>
      </w:r>
      <w:r w:rsidRPr="009375DD">
        <w:rPr>
          <w:rFonts w:ascii="Times New Roman" w:hAnsi="Times New Roman" w:cs="Times New Roman"/>
          <w:i/>
          <w:iCs/>
          <w:color w:val="000000"/>
        </w:rPr>
        <w:t>Policy positions | Age UK</w:t>
      </w:r>
      <w:r w:rsidRPr="009375DD">
        <w:rPr>
          <w:rFonts w:ascii="Times New Roman" w:hAnsi="Times New Roman" w:cs="Times New Roman"/>
          <w:color w:val="000000"/>
        </w:rPr>
        <w:t xml:space="preserve">. [online] Ageuk.org.uk. Available at: </w:t>
      </w:r>
      <w:hyperlink r:id="rId9">
        <w:r w:rsidRPr="009375DD">
          <w:rPr>
            <w:rFonts w:ascii="Times New Roman" w:hAnsi="Times New Roman" w:cs="Times New Roman"/>
            <w:color w:val="0563C1"/>
            <w:u w:val="single"/>
          </w:rPr>
          <w:t>https://www.ageuk.org.uk/our-impact/policy-research/policy-positions/</w:t>
        </w:r>
      </w:hyperlink>
      <w:r w:rsidRPr="009375DD">
        <w:rPr>
          <w:rFonts w:ascii="Times New Roman" w:hAnsi="Times New Roman" w:cs="Times New Roman"/>
          <w:color w:val="000000"/>
        </w:rPr>
        <w:t xml:space="preserve"> [Accessed 27 Apr. 2026].</w:t>
      </w:r>
    </w:p>
    <w:p w14:paraId="69769AFD"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Age UK (2023) </w:t>
      </w:r>
      <w:r w:rsidRPr="009375DD">
        <w:rPr>
          <w:rFonts w:ascii="Times New Roman" w:hAnsi="Times New Roman" w:cs="Times New Roman"/>
          <w:i/>
          <w:iCs/>
          <w:color w:val="000000"/>
        </w:rPr>
        <w:t>Loneliness research and impact</w:t>
      </w:r>
      <w:r w:rsidRPr="009375DD">
        <w:rPr>
          <w:rFonts w:ascii="Times New Roman" w:hAnsi="Times New Roman" w:cs="Times New Roman"/>
          <w:color w:val="000000"/>
        </w:rPr>
        <w:t xml:space="preserve">. [online] Age UK. Available at: </w:t>
      </w:r>
      <w:hyperlink r:id="rId10">
        <w:r w:rsidRPr="009375DD">
          <w:rPr>
            <w:rFonts w:ascii="Times New Roman" w:hAnsi="Times New Roman" w:cs="Times New Roman"/>
            <w:color w:val="0563C1"/>
            <w:u w:val="single"/>
          </w:rPr>
          <w:t>https://www.ageuk.org.uk/our-impact/policy-research/loneliness-research-and-resources/</w:t>
        </w:r>
      </w:hyperlink>
      <w:r w:rsidRPr="009375DD">
        <w:rPr>
          <w:rFonts w:ascii="Times New Roman" w:hAnsi="Times New Roman" w:cs="Times New Roman"/>
          <w:color w:val="000000"/>
        </w:rPr>
        <w:t xml:space="preserve"> [Accessed 27 Apr. 2026].</w:t>
      </w:r>
    </w:p>
    <w:p w14:paraId="0624DB5E"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AGE UK (2025) </w:t>
      </w:r>
      <w:r w:rsidRPr="009375DD">
        <w:rPr>
          <w:rFonts w:ascii="Times New Roman" w:hAnsi="Times New Roman" w:cs="Times New Roman"/>
          <w:i/>
          <w:iCs/>
          <w:color w:val="000000"/>
        </w:rPr>
        <w:t xml:space="preserve">Age UK </w:t>
      </w:r>
      <w:r w:rsidRPr="009375DD">
        <w:rPr>
          <w:rFonts w:ascii="Times New Roman" w:hAnsi="Times New Roman" w:cs="Times New Roman"/>
          <w:color w:val="000000"/>
        </w:rPr>
        <w:t xml:space="preserve">. [online] Ageuk.org.uk. Available at: </w:t>
      </w:r>
      <w:hyperlink r:id="rId11">
        <w:r w:rsidRPr="009375DD">
          <w:rPr>
            <w:rFonts w:ascii="Times New Roman" w:hAnsi="Times New Roman" w:cs="Times New Roman"/>
            <w:color w:val="0563C1"/>
            <w:u w:val="single"/>
          </w:rPr>
          <w:t>https://www.ageuk.org.uk/</w:t>
        </w:r>
      </w:hyperlink>
      <w:r w:rsidRPr="009375DD">
        <w:rPr>
          <w:rFonts w:ascii="Times New Roman" w:hAnsi="Times New Roman" w:cs="Times New Roman"/>
          <w:color w:val="000000"/>
        </w:rPr>
        <w:t xml:space="preserve"> [Accessed 27 Apr. 2026].</w:t>
      </w:r>
    </w:p>
    <w:p w14:paraId="4F005780"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Alzheimer's Society (2024) </w:t>
      </w:r>
      <w:r w:rsidRPr="009375DD">
        <w:rPr>
          <w:rFonts w:ascii="Times New Roman" w:hAnsi="Times New Roman" w:cs="Times New Roman"/>
          <w:i/>
          <w:iCs/>
        </w:rPr>
        <w:t>How many people have dementia in the UK?</w:t>
      </w:r>
      <w:r w:rsidRPr="009375DD">
        <w:rPr>
          <w:rFonts w:ascii="Times New Roman" w:hAnsi="Times New Roman" w:cs="Times New Roman"/>
        </w:rPr>
        <w:t xml:space="preserve"> [online] www.alzheimers.org.uk. Available at: </w:t>
      </w:r>
      <w:hyperlink r:id="rId12">
        <w:r w:rsidRPr="009375DD">
          <w:rPr>
            <w:rFonts w:ascii="Times New Roman" w:hAnsi="Times New Roman" w:cs="Times New Roman"/>
            <w:color w:val="0563C1"/>
            <w:u w:val="single"/>
          </w:rPr>
          <w:t>https://www.alzheimers.org.uk/blog/how-many-people-have-dementia-uk</w:t>
        </w:r>
      </w:hyperlink>
      <w:r w:rsidRPr="009375DD">
        <w:rPr>
          <w:rFonts w:ascii="Times New Roman" w:hAnsi="Times New Roman" w:cs="Times New Roman"/>
        </w:rPr>
        <w:t xml:space="preserve">  [Accessed 27 Apr. 2026].</w:t>
      </w:r>
    </w:p>
    <w:p w14:paraId="5B29A5BC"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Anson, M., Henney, A.E., Edwards, H., Ibarburu, G.H., Mordi, I., Jaffar, S., Anupam Garrib, Lip, G.Y.H., Wang, D., Katarzyna Nabrdalik, Perkins, B.A., Cuthbertson, D.J. and Alam, U. (2025) The rapidly increasing incidence of type 2 diabetes and macrovascular and microvascular complications disproportionately affects younger age groups: A decade of evidence from an international federated database. </w:t>
      </w:r>
      <w:r w:rsidRPr="009375DD">
        <w:rPr>
          <w:rFonts w:ascii="Times New Roman" w:hAnsi="Times New Roman" w:cs="Times New Roman"/>
          <w:i/>
          <w:iCs/>
          <w:color w:val="000000"/>
        </w:rPr>
        <w:t>Diabetes Research and Clinical Practice</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228</w:t>
      </w:r>
      <w:r w:rsidRPr="009375DD">
        <w:rPr>
          <w:rFonts w:ascii="Times New Roman" w:hAnsi="Times New Roman" w:cs="Times New Roman"/>
          <w:color w:val="000000"/>
        </w:rPr>
        <w:t>, pp.112431–112431.</w:t>
      </w:r>
    </w:p>
    <w:p w14:paraId="67C80E23"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BGS (2025) </w:t>
      </w:r>
      <w:r w:rsidRPr="009375DD">
        <w:rPr>
          <w:rFonts w:ascii="Times New Roman" w:hAnsi="Times New Roman" w:cs="Times New Roman"/>
          <w:i/>
          <w:iCs/>
          <w:color w:val="000000"/>
        </w:rPr>
        <w:t>BGS key messages: Older people’s healthcare | British Geriatrics Society</w:t>
      </w:r>
      <w:r w:rsidRPr="009375DD">
        <w:rPr>
          <w:rFonts w:ascii="Times New Roman" w:hAnsi="Times New Roman" w:cs="Times New Roman"/>
          <w:color w:val="000000"/>
        </w:rPr>
        <w:t>. [online] British Geriatrics Society. Available at: https://www.bgs.org.uk/keymsgs [Accessed 27 Apr. 2026].</w:t>
      </w:r>
    </w:p>
    <w:p w14:paraId="00D343B0"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Briggs, F. H. (2020) Social determinants of health and diabetes: A scientific review. </w:t>
      </w:r>
      <w:r w:rsidRPr="009375DD">
        <w:rPr>
          <w:rFonts w:ascii="Times New Roman" w:hAnsi="Times New Roman" w:cs="Times New Roman"/>
          <w:i/>
          <w:iCs/>
          <w:color w:val="000000"/>
        </w:rPr>
        <w:t>Diabetes Care</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44</w:t>
      </w:r>
      <w:r w:rsidRPr="009375DD">
        <w:rPr>
          <w:rFonts w:ascii="Times New Roman" w:hAnsi="Times New Roman" w:cs="Times New Roman"/>
          <w:color w:val="000000"/>
        </w:rPr>
        <w:t>(1), pp.258–279.</w:t>
      </w:r>
    </w:p>
    <w:p w14:paraId="43D86ACA"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rPr>
        <w:t xml:space="preserve">British Heart Foundation (2026) </w:t>
      </w:r>
      <w:r w:rsidRPr="009375DD">
        <w:rPr>
          <w:rFonts w:ascii="Times New Roman" w:hAnsi="Times New Roman" w:cs="Times New Roman"/>
          <w:i/>
          <w:iCs/>
        </w:rPr>
        <w:t>UK Cardiovascular Disease Factsheet</w:t>
      </w:r>
      <w:r w:rsidRPr="009375DD">
        <w:rPr>
          <w:rFonts w:ascii="Times New Roman" w:hAnsi="Times New Roman" w:cs="Times New Roman"/>
        </w:rPr>
        <w:t xml:space="preserve">. [online] Available at: </w:t>
      </w:r>
      <w:hyperlink r:id="rId13">
        <w:r w:rsidRPr="009375DD">
          <w:rPr>
            <w:rFonts w:ascii="Times New Roman" w:hAnsi="Times New Roman" w:cs="Times New Roman"/>
            <w:color w:val="0563C1"/>
            <w:u w:val="single"/>
          </w:rPr>
          <w:t>https://www.bhf.org.uk/-/media/files/for-professionals/research/heart-statistics/bhf-cvd-statistics-uk-factsheet-jan26.pdf?rev=26534e1487094dbd806277891baef112&amp;hash=836271B8610F86FF345146CAD695D6CA</w:t>
        </w:r>
      </w:hyperlink>
      <w:r w:rsidRPr="009375DD">
        <w:rPr>
          <w:rFonts w:ascii="Times New Roman" w:hAnsi="Times New Roman" w:cs="Times New Roman"/>
        </w:rPr>
        <w:t xml:space="preserve"> [Accessed 27 Apr. 2026].</w:t>
      </w:r>
    </w:p>
    <w:p w14:paraId="60859588" w14:textId="77777777" w:rsidR="003660E3" w:rsidRPr="009375DD" w:rsidRDefault="00921129">
      <w:pPr>
        <w:spacing w:before="120" w:after="120"/>
        <w:rPr>
          <w:rFonts w:ascii="Times New Roman" w:eastAsia="Times New Roman" w:hAnsi="Times New Roman" w:cs="Times New Roman"/>
          <w:highlight w:val="white"/>
        </w:rPr>
      </w:pPr>
      <w:r w:rsidRPr="009375DD">
        <w:rPr>
          <w:rFonts w:ascii="Times New Roman" w:hAnsi="Times New Roman" w:cs="Times New Roman"/>
        </w:rPr>
        <w:t>Campbell, E., Macey, E., Kneebone-Hopkins, C., Shine, C., Nafilyan, V., Brown, N., White, M., Jones, R., Khunti, K. and Finning, K</w:t>
      </w:r>
      <w:r w:rsidRPr="009375DD">
        <w:rPr>
          <w:rFonts w:ascii="Times New Roman" w:hAnsi="Times New Roman" w:cs="Times New Roman"/>
          <w:highlight w:val="white"/>
        </w:rPr>
        <w:t>. (2024) Sociodemographic and health-related differences in non-diabetic hyperglycaemia and undiagnosed type 2 diabetes in England during 2013–19: a cross-sectional study. </w:t>
      </w:r>
      <w:r w:rsidRPr="009375DD">
        <w:rPr>
          <w:rFonts w:ascii="Times New Roman" w:hAnsi="Times New Roman" w:cs="Times New Roman"/>
          <w:i/>
          <w:iCs/>
          <w:highlight w:val="white"/>
        </w:rPr>
        <w:t>The Lancet Diabetes &amp; Endocrinology</w:t>
      </w:r>
      <w:r w:rsidRPr="009375DD">
        <w:rPr>
          <w:rFonts w:ascii="Times New Roman" w:hAnsi="Times New Roman" w:cs="Times New Roman"/>
          <w:highlight w:val="white"/>
        </w:rPr>
        <w:t>, </w:t>
      </w:r>
      <w:r w:rsidRPr="009375DD">
        <w:rPr>
          <w:rFonts w:ascii="Times New Roman" w:hAnsi="Times New Roman" w:cs="Times New Roman"/>
          <w:i/>
          <w:iCs/>
          <w:highlight w:val="white"/>
        </w:rPr>
        <w:t>12</w:t>
      </w:r>
      <w:r w:rsidRPr="009375DD">
        <w:rPr>
          <w:rFonts w:ascii="Times New Roman" w:hAnsi="Times New Roman" w:cs="Times New Roman"/>
          <w:highlight w:val="white"/>
        </w:rPr>
        <w:t>(10), pp.698-702.</w:t>
      </w:r>
    </w:p>
    <w:p w14:paraId="7FC67904"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CDCP (2024) </w:t>
      </w:r>
      <w:r w:rsidRPr="009375DD">
        <w:rPr>
          <w:rFonts w:ascii="Times New Roman" w:hAnsi="Times New Roman" w:cs="Times New Roman"/>
          <w:i/>
          <w:iCs/>
          <w:color w:val="000000"/>
        </w:rPr>
        <w:t>Health Effects of Social Isolation and Loneliness</w:t>
      </w:r>
      <w:r w:rsidRPr="009375DD">
        <w:rPr>
          <w:rFonts w:ascii="Times New Roman" w:hAnsi="Times New Roman" w:cs="Times New Roman"/>
          <w:color w:val="000000"/>
        </w:rPr>
        <w:t xml:space="preserve">. [online] Social Connection. Available at: </w:t>
      </w:r>
      <w:hyperlink r:id="rId14">
        <w:r w:rsidRPr="009375DD">
          <w:rPr>
            <w:rFonts w:ascii="Times New Roman" w:hAnsi="Times New Roman" w:cs="Times New Roman"/>
            <w:color w:val="0563C1"/>
            <w:u w:val="single"/>
          </w:rPr>
          <w:t>https://www.cdc.gov/social-connectedness/risk-factors/index.html</w:t>
        </w:r>
      </w:hyperlink>
      <w:r w:rsidRPr="009375DD">
        <w:rPr>
          <w:rFonts w:ascii="Times New Roman" w:hAnsi="Times New Roman" w:cs="Times New Roman"/>
          <w:color w:val="000000"/>
        </w:rPr>
        <w:t xml:space="preserve"> [Accessed 27 Apr. 2026].</w:t>
      </w:r>
    </w:p>
    <w:p w14:paraId="7C1D7CE5"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CDCP (2024) </w:t>
      </w:r>
      <w:r w:rsidRPr="009375DD">
        <w:rPr>
          <w:rFonts w:ascii="Times New Roman" w:hAnsi="Times New Roman" w:cs="Times New Roman"/>
          <w:i/>
          <w:iCs/>
          <w:color w:val="000000"/>
        </w:rPr>
        <w:t>Type 2 diabetes</w:t>
      </w:r>
      <w:r w:rsidRPr="009375DD">
        <w:rPr>
          <w:rFonts w:ascii="Times New Roman" w:hAnsi="Times New Roman" w:cs="Times New Roman"/>
          <w:color w:val="000000"/>
        </w:rPr>
        <w:t xml:space="preserve">. [online] Diabetes. Available at: </w:t>
      </w:r>
      <w:hyperlink r:id="rId15">
        <w:r w:rsidRPr="009375DD">
          <w:rPr>
            <w:rFonts w:ascii="Times New Roman" w:hAnsi="Times New Roman" w:cs="Times New Roman"/>
            <w:color w:val="0563C1"/>
            <w:u w:val="single"/>
          </w:rPr>
          <w:t>https://www.cdc.gov/diabetes/about/about-type-2-diabetes.html</w:t>
        </w:r>
      </w:hyperlink>
      <w:r w:rsidRPr="009375DD">
        <w:rPr>
          <w:rFonts w:ascii="Times New Roman" w:hAnsi="Times New Roman" w:cs="Times New Roman"/>
          <w:color w:val="000000"/>
        </w:rPr>
        <w:t xml:space="preserve">  [Accessed 27 Apr. 2026].</w:t>
      </w:r>
    </w:p>
    <w:p w14:paraId="124D5382"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Charles, A., Ewbank, L., McKenna, H. and Wenzel, L. (2019) </w:t>
      </w:r>
      <w:r w:rsidRPr="009375DD">
        <w:rPr>
          <w:rFonts w:ascii="Times New Roman" w:hAnsi="Times New Roman" w:cs="Times New Roman"/>
          <w:i/>
          <w:iCs/>
          <w:color w:val="000000"/>
        </w:rPr>
        <w:t>The NHS Long-term Plan Explained</w:t>
      </w:r>
      <w:r w:rsidRPr="009375DD">
        <w:rPr>
          <w:rFonts w:ascii="Times New Roman" w:hAnsi="Times New Roman" w:cs="Times New Roman"/>
          <w:color w:val="000000"/>
        </w:rPr>
        <w:t xml:space="preserve">. [online] The King’s Fund. Available at: </w:t>
      </w:r>
      <w:hyperlink r:id="rId16">
        <w:r w:rsidRPr="009375DD">
          <w:rPr>
            <w:rFonts w:ascii="Times New Roman" w:hAnsi="Times New Roman" w:cs="Times New Roman"/>
            <w:color w:val="0563C1"/>
            <w:u w:val="single"/>
          </w:rPr>
          <w:t>https://www.kingsfund.org.uk/insight-and-analysis/long-reads/nhs-long-term-plan-explained</w:t>
        </w:r>
      </w:hyperlink>
      <w:r w:rsidRPr="009375DD">
        <w:rPr>
          <w:rFonts w:ascii="Times New Roman" w:hAnsi="Times New Roman" w:cs="Times New Roman"/>
          <w:color w:val="000000"/>
        </w:rPr>
        <w:t xml:space="preserve">  [Accessed 27 Apr. 2026].</w:t>
      </w:r>
    </w:p>
    <w:p w14:paraId="3B894E83"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Diabetes UK (2025) </w:t>
      </w:r>
      <w:r w:rsidRPr="009375DD">
        <w:rPr>
          <w:rFonts w:ascii="Times New Roman" w:hAnsi="Times New Roman" w:cs="Times New Roman"/>
          <w:i/>
          <w:iCs/>
          <w:color w:val="000000"/>
        </w:rPr>
        <w:t>National Diabetes Audit</w:t>
      </w:r>
      <w:r w:rsidRPr="009375DD">
        <w:rPr>
          <w:rFonts w:ascii="Times New Roman" w:hAnsi="Times New Roman" w:cs="Times New Roman"/>
          <w:color w:val="000000"/>
        </w:rPr>
        <w:t xml:space="preserve">. [online] Diabetes UK. Available at: </w:t>
      </w:r>
      <w:hyperlink r:id="rId17">
        <w:r w:rsidRPr="009375DD">
          <w:rPr>
            <w:rFonts w:ascii="Times New Roman" w:hAnsi="Times New Roman" w:cs="Times New Roman"/>
            <w:color w:val="0563C1"/>
            <w:u w:val="single"/>
          </w:rPr>
          <w:t>https://www.diabetes.org.uk/for-professionals/improving-care/clinical-recommendations-for-professionals/national-diabetes-audit</w:t>
        </w:r>
      </w:hyperlink>
      <w:r w:rsidRPr="009375DD">
        <w:rPr>
          <w:rFonts w:ascii="Times New Roman" w:hAnsi="Times New Roman" w:cs="Times New Roman"/>
          <w:color w:val="000000"/>
        </w:rPr>
        <w:t xml:space="preserve"> [Accessed 28 Apr. 2026].</w:t>
      </w:r>
    </w:p>
    <w:p w14:paraId="1D95B87B"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Endocrine Society (2022) </w:t>
      </w:r>
      <w:r w:rsidRPr="009375DD">
        <w:rPr>
          <w:rFonts w:ascii="Times New Roman" w:hAnsi="Times New Roman" w:cs="Times New Roman"/>
          <w:i/>
          <w:iCs/>
          <w:color w:val="000000"/>
        </w:rPr>
        <w:t>Diabetes and older adults</w:t>
      </w:r>
      <w:r w:rsidRPr="009375DD">
        <w:rPr>
          <w:rFonts w:ascii="Times New Roman" w:hAnsi="Times New Roman" w:cs="Times New Roman"/>
          <w:color w:val="000000"/>
        </w:rPr>
        <w:t xml:space="preserve">. [online] www.endocrine.org. Available at: </w:t>
      </w:r>
      <w:hyperlink r:id="rId18">
        <w:r w:rsidRPr="009375DD">
          <w:rPr>
            <w:rFonts w:ascii="Times New Roman" w:hAnsi="Times New Roman" w:cs="Times New Roman"/>
            <w:color w:val="0563C1"/>
            <w:u w:val="single"/>
          </w:rPr>
          <w:t>https://www.endocrine.org/patient-engagement/endocrine-library/diabetes-and-older-adults</w:t>
        </w:r>
      </w:hyperlink>
      <w:r w:rsidRPr="009375DD">
        <w:rPr>
          <w:rFonts w:ascii="Times New Roman" w:hAnsi="Times New Roman" w:cs="Times New Roman"/>
          <w:color w:val="000000"/>
        </w:rPr>
        <w:t xml:space="preserve"> [Accessed 28 Apr. 2026].</w:t>
      </w:r>
    </w:p>
    <w:p w14:paraId="13D305B4"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Farmaki, A.-E., Garfield, V., Eastwood, S.V., Farmer, R.E., Mathur, R., Giannakopoulou, O., Patalay, P., Kuchenbaecker, K., Sattar, N., Hughes, A., Bhaskaran, K., Smeeth, L. and Chaturvedi, N. (2021). Type 2 diabetes risks and determinants in second-generation migrants and mixed ethnicity people of South Asian and African Caribbean descent in the UK. </w:t>
      </w:r>
      <w:r w:rsidRPr="009375DD">
        <w:rPr>
          <w:rFonts w:ascii="Times New Roman" w:hAnsi="Times New Roman" w:cs="Times New Roman"/>
          <w:i/>
          <w:iCs/>
          <w:color w:val="000000"/>
        </w:rPr>
        <w:t>Diabetologia</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65</w:t>
      </w:r>
      <w:r w:rsidRPr="009375DD">
        <w:rPr>
          <w:rFonts w:ascii="Times New Roman" w:hAnsi="Times New Roman" w:cs="Times New Roman"/>
          <w:color w:val="000000"/>
        </w:rPr>
        <w:t>(1).</w:t>
      </w:r>
    </w:p>
    <w:p w14:paraId="218E74A7"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Giebel, C., Poole, M., Talbot, C., Chadborn, N., Brookes, N., Samsi, K., Clarkson, P., Cannon, J., Gabbay, M., Hanna, K., Aravind Komuravelli, Rozansky, D., Tetlow, H., Walpert, M., Whittington, R., Williams, E. and Robinson, L. (2026) Finding Solutions to Addressing Inequalities in Dementia Diagnosis and Care: Recommendations From a Country</w:t>
      </w:r>
      <w:r w:rsidRPr="009375DD">
        <w:rPr>
          <w:rFonts w:ascii="Times New Roman" w:eastAsia="Cambria Math" w:hAnsi="Times New Roman" w:cs="Times New Roman"/>
          <w:color w:val="000000"/>
        </w:rPr>
        <w:t>‐</w:t>
      </w:r>
      <w:r w:rsidRPr="009375DD">
        <w:rPr>
          <w:rFonts w:ascii="Times New Roman" w:hAnsi="Times New Roman" w:cs="Times New Roman"/>
          <w:color w:val="000000"/>
        </w:rPr>
        <w:t xml:space="preserve">Wide Consultation. </w:t>
      </w:r>
      <w:r w:rsidRPr="009375DD">
        <w:rPr>
          <w:rFonts w:ascii="Times New Roman" w:hAnsi="Times New Roman" w:cs="Times New Roman"/>
          <w:i/>
          <w:iCs/>
          <w:color w:val="000000"/>
        </w:rPr>
        <w:t>International Journal of Geriatric Psychiatry</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41</w:t>
      </w:r>
      <w:r w:rsidRPr="009375DD">
        <w:rPr>
          <w:rFonts w:ascii="Times New Roman" w:hAnsi="Times New Roman" w:cs="Times New Roman"/>
          <w:color w:val="000000"/>
        </w:rPr>
        <w:t>(3), p.e70198.</w:t>
      </w:r>
    </w:p>
    <w:p w14:paraId="711DEF3A"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GOV.UK (2025) </w:t>
      </w:r>
      <w:r w:rsidRPr="009375DD">
        <w:rPr>
          <w:rFonts w:ascii="Times New Roman" w:hAnsi="Times New Roman" w:cs="Times New Roman"/>
          <w:i/>
          <w:iCs/>
          <w:color w:val="000000"/>
        </w:rPr>
        <w:t>English Housing Survey 2023 to 2024: drivers and impacts of housing quality</w:t>
      </w:r>
      <w:r w:rsidRPr="009375DD">
        <w:rPr>
          <w:rFonts w:ascii="Times New Roman" w:hAnsi="Times New Roman" w:cs="Times New Roman"/>
          <w:color w:val="000000"/>
        </w:rPr>
        <w:t xml:space="preserve">. [online] GOV.UK. Available at: </w:t>
      </w:r>
      <w:hyperlink r:id="rId19">
        <w:r w:rsidRPr="009375DD">
          <w:rPr>
            <w:rFonts w:ascii="Times New Roman" w:hAnsi="Times New Roman" w:cs="Times New Roman"/>
            <w:color w:val="0563C1"/>
            <w:u w:val="single"/>
          </w:rPr>
          <w:t>https://www.gov.uk/government/statistics/english-housing-survey-2023-to-2024-drivers-and-impacts-of-housing-quality/english-housing-survey-2023-to-2024-drivers-and-impacts-of-housing-quality</w:t>
        </w:r>
      </w:hyperlink>
      <w:r w:rsidRPr="009375DD">
        <w:rPr>
          <w:rFonts w:ascii="Times New Roman" w:hAnsi="Times New Roman" w:cs="Times New Roman"/>
          <w:color w:val="000000"/>
        </w:rPr>
        <w:t xml:space="preserve">  [Accessed 27 Apr. 2026].</w:t>
      </w:r>
    </w:p>
    <w:p w14:paraId="246F65A1"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IDF (2025) </w:t>
      </w:r>
      <w:r w:rsidRPr="009375DD">
        <w:rPr>
          <w:rFonts w:ascii="Times New Roman" w:hAnsi="Times New Roman" w:cs="Times New Roman"/>
          <w:i/>
          <w:iCs/>
          <w:color w:val="000000"/>
        </w:rPr>
        <w:t>Diabetes Facts &amp; Figures</w:t>
      </w:r>
      <w:r w:rsidRPr="009375DD">
        <w:rPr>
          <w:rFonts w:ascii="Times New Roman" w:hAnsi="Times New Roman" w:cs="Times New Roman"/>
          <w:color w:val="000000"/>
        </w:rPr>
        <w:t xml:space="preserve">. [online] International Diabetes Federation. Available at: </w:t>
      </w:r>
      <w:hyperlink r:id="rId20">
        <w:r w:rsidRPr="009375DD">
          <w:rPr>
            <w:rFonts w:ascii="Times New Roman" w:hAnsi="Times New Roman" w:cs="Times New Roman"/>
            <w:color w:val="0563C1"/>
            <w:u w:val="single"/>
          </w:rPr>
          <w:t>https://idf.org/about-diabetes/diabetes-facts-figures/</w:t>
        </w:r>
      </w:hyperlink>
      <w:r w:rsidRPr="009375DD">
        <w:rPr>
          <w:rFonts w:ascii="Times New Roman" w:hAnsi="Times New Roman" w:cs="Times New Roman"/>
          <w:color w:val="000000"/>
        </w:rPr>
        <w:t xml:space="preserve">  [Accessed 27 Apr. 2026].</w:t>
      </w:r>
    </w:p>
    <w:p w14:paraId="609A9825"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IFS (2024) </w:t>
      </w:r>
      <w:r w:rsidRPr="009375DD">
        <w:rPr>
          <w:rFonts w:ascii="Times New Roman" w:hAnsi="Times New Roman" w:cs="Times New Roman"/>
          <w:i/>
          <w:iCs/>
          <w:color w:val="000000"/>
        </w:rPr>
        <w:t>Living standards, poverty and inequality in the UK: 2024</w:t>
      </w:r>
      <w:r w:rsidRPr="009375DD">
        <w:rPr>
          <w:rFonts w:ascii="Times New Roman" w:hAnsi="Times New Roman" w:cs="Times New Roman"/>
          <w:color w:val="000000"/>
        </w:rPr>
        <w:t xml:space="preserve">. [online] Institute for Fiscal Studies. Available at: </w:t>
      </w:r>
      <w:hyperlink r:id="rId21">
        <w:r w:rsidRPr="009375DD">
          <w:rPr>
            <w:rFonts w:ascii="Times New Roman" w:hAnsi="Times New Roman" w:cs="Times New Roman"/>
            <w:color w:val="0563C1"/>
            <w:u w:val="single"/>
          </w:rPr>
          <w:t>https://ifs.org.uk/publications/living-standards-poverty-and-inequality-uk-2024</w:t>
        </w:r>
      </w:hyperlink>
      <w:r w:rsidRPr="009375DD">
        <w:rPr>
          <w:rFonts w:ascii="Times New Roman" w:hAnsi="Times New Roman" w:cs="Times New Roman"/>
          <w:color w:val="000000"/>
        </w:rPr>
        <w:t xml:space="preserve"> [Accessed 27 Apr. 2026].</w:t>
      </w:r>
    </w:p>
    <w:p w14:paraId="25CBA84C" w14:textId="77777777" w:rsidR="003660E3" w:rsidRPr="009375DD" w:rsidRDefault="00921129">
      <w:pPr>
        <w:spacing w:before="120" w:after="120"/>
        <w:rPr>
          <w:rFonts w:ascii="Times New Roman" w:hAnsi="Times New Roman" w:cs="Times New Roman"/>
          <w:highlight w:val="white"/>
        </w:rPr>
      </w:pPr>
      <w:r w:rsidRPr="009375DD">
        <w:rPr>
          <w:rFonts w:ascii="Times New Roman" w:hAnsi="Times New Roman" w:cs="Times New Roman"/>
          <w:highlight w:val="white"/>
        </w:rPr>
        <w:t>Ling, S., Zaccardi, F., Issa, E., Davies, M.J., Khunti, K. and Brown, K. (2023) Inequalities in cancer mortality trends in people with type 2 diabetes: 20 year population-based study in England. </w:t>
      </w:r>
      <w:r w:rsidRPr="009375DD">
        <w:rPr>
          <w:rFonts w:ascii="Times New Roman" w:hAnsi="Times New Roman" w:cs="Times New Roman"/>
          <w:i/>
          <w:iCs/>
          <w:highlight w:val="white"/>
        </w:rPr>
        <w:t>Diabetologia</w:t>
      </w:r>
      <w:r w:rsidRPr="009375DD">
        <w:rPr>
          <w:rFonts w:ascii="Times New Roman" w:hAnsi="Times New Roman" w:cs="Times New Roman"/>
          <w:highlight w:val="white"/>
        </w:rPr>
        <w:t>, </w:t>
      </w:r>
      <w:r w:rsidRPr="009375DD">
        <w:rPr>
          <w:rFonts w:ascii="Times New Roman" w:hAnsi="Times New Roman" w:cs="Times New Roman"/>
          <w:i/>
          <w:iCs/>
          <w:highlight w:val="white"/>
        </w:rPr>
        <w:t>66</w:t>
      </w:r>
      <w:r w:rsidRPr="009375DD">
        <w:rPr>
          <w:rFonts w:ascii="Times New Roman" w:hAnsi="Times New Roman" w:cs="Times New Roman"/>
          <w:highlight w:val="white"/>
        </w:rPr>
        <w:t>(4), pp.657-673.</w:t>
      </w:r>
    </w:p>
    <w:p w14:paraId="110431D2" w14:textId="77777777" w:rsidR="003660E3" w:rsidRPr="009375DD" w:rsidRDefault="00921129">
      <w:pPr>
        <w:spacing w:before="120" w:after="120"/>
        <w:rPr>
          <w:rFonts w:ascii="Times New Roman" w:hAnsi="Times New Roman" w:cs="Times New Roman"/>
          <w:highlight w:val="white"/>
        </w:rPr>
      </w:pPr>
      <w:r w:rsidRPr="009375DD">
        <w:rPr>
          <w:rFonts w:ascii="Times New Roman" w:hAnsi="Times New Roman" w:cs="Times New Roman"/>
          <w:highlight w:val="white"/>
        </w:rPr>
        <w:t>Litchfield, I., Barrett, T., Hamilton-Shield, J., Moore, T., Narendran, P., Redwood, S., Searle, A., Uday, S., Wheeler, J. and Greenfield, S. (2023) Current evidence for designing self-management support for underserved populations: an integrative review using the example of diabetes. </w:t>
      </w:r>
      <w:r w:rsidRPr="009375DD">
        <w:rPr>
          <w:rFonts w:ascii="Times New Roman" w:hAnsi="Times New Roman" w:cs="Times New Roman"/>
          <w:i/>
          <w:iCs/>
          <w:highlight w:val="white"/>
        </w:rPr>
        <w:t>International journal for equity in health</w:t>
      </w:r>
      <w:r w:rsidRPr="009375DD">
        <w:rPr>
          <w:rFonts w:ascii="Times New Roman" w:hAnsi="Times New Roman" w:cs="Times New Roman"/>
          <w:highlight w:val="white"/>
        </w:rPr>
        <w:t>, </w:t>
      </w:r>
      <w:r w:rsidRPr="009375DD">
        <w:rPr>
          <w:rFonts w:ascii="Times New Roman" w:hAnsi="Times New Roman" w:cs="Times New Roman"/>
          <w:i/>
          <w:iCs/>
          <w:highlight w:val="white"/>
        </w:rPr>
        <w:t>22</w:t>
      </w:r>
      <w:r w:rsidRPr="009375DD">
        <w:rPr>
          <w:rFonts w:ascii="Times New Roman" w:hAnsi="Times New Roman" w:cs="Times New Roman"/>
          <w:highlight w:val="white"/>
        </w:rPr>
        <w:t>(1), p.188.</w:t>
      </w:r>
    </w:p>
    <w:p w14:paraId="68F80055"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Marmot, M. (2020) </w:t>
      </w:r>
      <w:r w:rsidRPr="009375DD">
        <w:rPr>
          <w:rFonts w:ascii="Times New Roman" w:hAnsi="Times New Roman" w:cs="Times New Roman"/>
          <w:i/>
          <w:iCs/>
          <w:color w:val="000000"/>
        </w:rPr>
        <w:t>Health Equity In England: The Marmot Review 10 Years On Executive Summary</w:t>
      </w:r>
      <w:r w:rsidRPr="009375DD">
        <w:rPr>
          <w:rFonts w:ascii="Times New Roman" w:hAnsi="Times New Roman" w:cs="Times New Roman"/>
          <w:color w:val="000000"/>
        </w:rPr>
        <w:t xml:space="preserve">. [online] Available at: </w:t>
      </w:r>
      <w:hyperlink r:id="rId22">
        <w:r w:rsidRPr="009375DD">
          <w:rPr>
            <w:rFonts w:ascii="Times New Roman" w:hAnsi="Times New Roman" w:cs="Times New Roman"/>
            <w:color w:val="0563C1"/>
            <w:u w:val="single"/>
          </w:rPr>
          <w:t>https://www.health.org.uk/sites/default/files/2020-03/Health%20Equity%20in%20England_The%20Marmot%20Review%2010%20Years%20On_executive%20summary_web.pdf</w:t>
        </w:r>
      </w:hyperlink>
      <w:r w:rsidRPr="009375DD">
        <w:rPr>
          <w:rFonts w:ascii="Times New Roman" w:hAnsi="Times New Roman" w:cs="Times New Roman"/>
          <w:color w:val="000000"/>
        </w:rPr>
        <w:t xml:space="preserve"> [Accessed 27 Apr. 2026].</w:t>
      </w:r>
    </w:p>
    <w:p w14:paraId="0D319BD1"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McCartney, G., Popham, F., McMaster, R. and Cumbers, A. (2019) Defining health and health inequalities. </w:t>
      </w:r>
      <w:r w:rsidRPr="009375DD">
        <w:rPr>
          <w:rFonts w:ascii="Times New Roman" w:hAnsi="Times New Roman" w:cs="Times New Roman"/>
          <w:i/>
          <w:iCs/>
          <w:color w:val="000000"/>
        </w:rPr>
        <w:t>Public Health</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172</w:t>
      </w:r>
      <w:r w:rsidRPr="009375DD">
        <w:rPr>
          <w:rFonts w:ascii="Times New Roman" w:hAnsi="Times New Roman" w:cs="Times New Roman"/>
          <w:color w:val="000000"/>
        </w:rPr>
        <w:t>, pp.22–30.</w:t>
      </w:r>
    </w:p>
    <w:p w14:paraId="433359B9" w14:textId="77777777" w:rsidR="003660E3" w:rsidRPr="009375DD" w:rsidRDefault="00921129">
      <w:pPr>
        <w:spacing w:before="120" w:after="120"/>
        <w:rPr>
          <w:rFonts w:ascii="Times New Roman" w:hAnsi="Times New Roman" w:cs="Times New Roman"/>
        </w:rPr>
      </w:pPr>
      <w:r w:rsidRPr="009375DD">
        <w:rPr>
          <w:rFonts w:ascii="Times New Roman" w:hAnsi="Times New Roman" w:cs="Times New Roman"/>
          <w:highlight w:val="white"/>
        </w:rPr>
        <w:t>Misra, S., Holman, N., Barron, E., Knighton, P., Warner, J., Kar, P., Young, B. and Valabhji, J. (2023) Characteristics and care of young people with type 2 diabetes included in the national diabetes audit datasets for England. </w:t>
      </w:r>
      <w:r w:rsidRPr="009375DD">
        <w:rPr>
          <w:rFonts w:ascii="Times New Roman" w:hAnsi="Times New Roman" w:cs="Times New Roman"/>
          <w:i/>
          <w:iCs/>
          <w:highlight w:val="white"/>
        </w:rPr>
        <w:t>Diabetic Medicine</w:t>
      </w:r>
      <w:r w:rsidRPr="009375DD">
        <w:rPr>
          <w:rFonts w:ascii="Times New Roman" w:hAnsi="Times New Roman" w:cs="Times New Roman"/>
          <w:highlight w:val="white"/>
        </w:rPr>
        <w:t>, </w:t>
      </w:r>
      <w:r w:rsidRPr="009375DD">
        <w:rPr>
          <w:rFonts w:ascii="Times New Roman" w:hAnsi="Times New Roman" w:cs="Times New Roman"/>
          <w:i/>
          <w:iCs/>
          <w:highlight w:val="white"/>
        </w:rPr>
        <w:t>40</w:t>
      </w:r>
      <w:r w:rsidRPr="009375DD">
        <w:rPr>
          <w:rFonts w:ascii="Times New Roman" w:hAnsi="Times New Roman" w:cs="Times New Roman"/>
          <w:highlight w:val="white"/>
        </w:rPr>
        <w:t>(1), p.e14940.</w:t>
      </w:r>
    </w:p>
    <w:p w14:paraId="2405DBE9"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NHS (2023) </w:t>
      </w:r>
      <w:r w:rsidRPr="009375DD">
        <w:rPr>
          <w:rFonts w:ascii="Times New Roman" w:hAnsi="Times New Roman" w:cs="Times New Roman"/>
          <w:i/>
          <w:iCs/>
          <w:color w:val="000000"/>
        </w:rPr>
        <w:t>NHS Health Check</w:t>
      </w:r>
      <w:r w:rsidRPr="009375DD">
        <w:rPr>
          <w:rFonts w:ascii="Times New Roman" w:hAnsi="Times New Roman" w:cs="Times New Roman"/>
          <w:color w:val="000000"/>
        </w:rPr>
        <w:t xml:space="preserve">. [online] nhs.uk. Available at: </w:t>
      </w:r>
      <w:hyperlink r:id="rId23">
        <w:r w:rsidRPr="009375DD">
          <w:rPr>
            <w:rFonts w:ascii="Times New Roman" w:hAnsi="Times New Roman" w:cs="Times New Roman"/>
            <w:color w:val="0563C1"/>
            <w:u w:val="single"/>
          </w:rPr>
          <w:t>https://www.nhs.uk/tests-and-treatments/nhs-health-check/</w:t>
        </w:r>
      </w:hyperlink>
      <w:r w:rsidRPr="009375DD">
        <w:rPr>
          <w:rFonts w:ascii="Times New Roman" w:hAnsi="Times New Roman" w:cs="Times New Roman"/>
          <w:color w:val="000000"/>
        </w:rPr>
        <w:t xml:space="preserve">  [Accessed 27 Apr. 2026].</w:t>
      </w:r>
    </w:p>
    <w:p w14:paraId="0FD23AFC"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NHS Digital (2021) </w:t>
      </w:r>
      <w:r w:rsidRPr="009375DD">
        <w:rPr>
          <w:rFonts w:ascii="Times New Roman" w:hAnsi="Times New Roman" w:cs="Times New Roman"/>
          <w:i/>
          <w:iCs/>
          <w:color w:val="000000"/>
        </w:rPr>
        <w:t>General Practice Data for Planning and Research (GPDPR)</w:t>
      </w:r>
      <w:r w:rsidRPr="009375DD">
        <w:rPr>
          <w:rFonts w:ascii="Times New Roman" w:hAnsi="Times New Roman" w:cs="Times New Roman"/>
          <w:color w:val="000000"/>
        </w:rPr>
        <w:t xml:space="preserve">. [online] NHS Digital. Available at: </w:t>
      </w:r>
      <w:hyperlink r:id="rId24">
        <w:r w:rsidRPr="009375DD">
          <w:rPr>
            <w:rFonts w:ascii="Times New Roman" w:hAnsi="Times New Roman" w:cs="Times New Roman"/>
            <w:color w:val="0563C1"/>
            <w:u w:val="single"/>
          </w:rPr>
          <w:t>https://digital.nhs.uk/data-and-information/data-collections-and-data-sets/data-collections/general-practice-data-for-planning-and-research</w:t>
        </w:r>
      </w:hyperlink>
      <w:r w:rsidRPr="009375DD">
        <w:rPr>
          <w:rFonts w:ascii="Times New Roman" w:hAnsi="Times New Roman" w:cs="Times New Roman"/>
          <w:color w:val="000000"/>
        </w:rPr>
        <w:t xml:space="preserve"> [Accessed 28 Apr. 2026].</w:t>
      </w:r>
    </w:p>
    <w:p w14:paraId="0F2D9803"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NHS England (2023) </w:t>
      </w:r>
      <w:r w:rsidRPr="009375DD">
        <w:rPr>
          <w:rFonts w:ascii="Times New Roman" w:hAnsi="Times New Roman" w:cs="Times New Roman"/>
          <w:i/>
          <w:iCs/>
          <w:color w:val="000000"/>
        </w:rPr>
        <w:t>NHS Diabetes Prevention Programme (NHS DPP)</w:t>
      </w:r>
      <w:r w:rsidRPr="009375DD">
        <w:rPr>
          <w:rFonts w:ascii="Times New Roman" w:hAnsi="Times New Roman" w:cs="Times New Roman"/>
          <w:color w:val="000000"/>
        </w:rPr>
        <w:t xml:space="preserve">. [online] NHS England. Available at: </w:t>
      </w:r>
      <w:hyperlink r:id="rId25">
        <w:r w:rsidRPr="009375DD">
          <w:rPr>
            <w:rFonts w:ascii="Times New Roman" w:hAnsi="Times New Roman" w:cs="Times New Roman"/>
            <w:color w:val="0563C1"/>
            <w:u w:val="single"/>
          </w:rPr>
          <w:t>https://www.england.nhs.uk/diabetes/diabetes-prevention/</w:t>
        </w:r>
      </w:hyperlink>
      <w:r w:rsidRPr="009375DD">
        <w:rPr>
          <w:rFonts w:ascii="Times New Roman" w:hAnsi="Times New Roman" w:cs="Times New Roman"/>
          <w:color w:val="000000"/>
        </w:rPr>
        <w:t xml:space="preserve">  [Accessed 27 Apr. 2026].</w:t>
      </w:r>
    </w:p>
    <w:p w14:paraId="632D62FC"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bookmarkStart w:id="22" w:name="_heading=h.mc69keb0ptzo" w:colFirst="0" w:colLast="0"/>
      <w:bookmarkEnd w:id="22"/>
      <w:r w:rsidRPr="009375DD">
        <w:rPr>
          <w:rFonts w:ascii="Times New Roman" w:hAnsi="Times New Roman" w:cs="Times New Roman"/>
          <w:color w:val="000000"/>
        </w:rPr>
        <w:t xml:space="preserve">ONS (2021) </w:t>
      </w:r>
      <w:r w:rsidRPr="009375DD">
        <w:rPr>
          <w:rFonts w:ascii="Times New Roman" w:hAnsi="Times New Roman" w:cs="Times New Roman"/>
          <w:i/>
          <w:iCs/>
          <w:color w:val="000000"/>
        </w:rPr>
        <w:t>Health inequalities - Office for National Statistics</w:t>
      </w:r>
      <w:r w:rsidRPr="009375DD">
        <w:rPr>
          <w:rFonts w:ascii="Times New Roman" w:hAnsi="Times New Roman" w:cs="Times New Roman"/>
          <w:color w:val="000000"/>
        </w:rPr>
        <w:t xml:space="preserve">. [online] Ons.gov.uk. Available at: </w:t>
      </w:r>
      <w:hyperlink r:id="rId26">
        <w:r w:rsidRPr="009375DD">
          <w:rPr>
            <w:rFonts w:ascii="Times New Roman" w:hAnsi="Times New Roman" w:cs="Times New Roman"/>
            <w:color w:val="0563C1"/>
            <w:u w:val="single"/>
          </w:rPr>
          <w:t>https://www.ons.gov.uk/peoplepopulationandcommunity/healthandsocialcare/healthinequalities</w:t>
        </w:r>
      </w:hyperlink>
      <w:r w:rsidRPr="009375DD">
        <w:rPr>
          <w:rFonts w:ascii="Times New Roman" w:hAnsi="Times New Roman" w:cs="Times New Roman"/>
          <w:color w:val="000000"/>
        </w:rPr>
        <w:t xml:space="preserve"> [Accessed 27 Apr. 2026].</w:t>
      </w:r>
    </w:p>
    <w:p w14:paraId="5F3B4AB7"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Parkinson, J.A. (2025) Promoting Behavioral Change to Improve Health Outcomes. </w:t>
      </w:r>
      <w:r w:rsidRPr="009375DD">
        <w:rPr>
          <w:rFonts w:ascii="Times New Roman" w:hAnsi="Times New Roman" w:cs="Times New Roman"/>
          <w:i/>
          <w:iCs/>
          <w:color w:val="000000"/>
        </w:rPr>
        <w:t>Behavioral Sciences</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15</w:t>
      </w:r>
      <w:r w:rsidRPr="009375DD">
        <w:rPr>
          <w:rFonts w:ascii="Times New Roman" w:hAnsi="Times New Roman" w:cs="Times New Roman"/>
          <w:color w:val="000000"/>
        </w:rPr>
        <w:t>(4), p.417.</w:t>
      </w:r>
    </w:p>
    <w:p w14:paraId="00AE4146"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Percival, A., Newton, C., Mulligan, K., Petrella, R.J. and Ashe, M.C. (2022) Systematic review of social prescribing and older adults: where to from here? </w:t>
      </w:r>
      <w:r w:rsidRPr="009375DD">
        <w:rPr>
          <w:rFonts w:ascii="Times New Roman" w:hAnsi="Times New Roman" w:cs="Times New Roman"/>
          <w:i/>
          <w:iCs/>
          <w:color w:val="000000"/>
        </w:rPr>
        <w:t>Family Medicine and Community Health</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10</w:t>
      </w:r>
      <w:r w:rsidRPr="009375DD">
        <w:rPr>
          <w:rFonts w:ascii="Times New Roman" w:hAnsi="Times New Roman" w:cs="Times New Roman"/>
          <w:color w:val="000000"/>
        </w:rPr>
        <w:t xml:space="preserve">(1), p.e001829. </w:t>
      </w:r>
    </w:p>
    <w:p w14:paraId="380AD865" w14:textId="77777777" w:rsidR="003660E3" w:rsidRPr="009375DD" w:rsidRDefault="00921129">
      <w:pPr>
        <w:spacing w:before="120" w:after="120"/>
        <w:rPr>
          <w:rFonts w:ascii="Times New Roman" w:hAnsi="Times New Roman" w:cs="Times New Roman"/>
          <w:highlight w:val="white"/>
        </w:rPr>
      </w:pPr>
      <w:r w:rsidRPr="009375DD">
        <w:rPr>
          <w:rFonts w:ascii="Times New Roman" w:hAnsi="Times New Roman" w:cs="Times New Roman"/>
          <w:highlight w:val="white"/>
        </w:rPr>
        <w:t>Tuomilehto, J., Uusitupa, M., Gregg, E.W. and Lindström, J. (2023) Type 2 diabetes prevention programs—from proof-of-concept trials to national intervention and beyond. </w:t>
      </w:r>
      <w:r w:rsidRPr="009375DD">
        <w:rPr>
          <w:rFonts w:ascii="Times New Roman" w:hAnsi="Times New Roman" w:cs="Times New Roman"/>
          <w:i/>
          <w:iCs/>
          <w:highlight w:val="white"/>
        </w:rPr>
        <w:t>Journal of clinical medicine</w:t>
      </w:r>
      <w:r w:rsidRPr="009375DD">
        <w:rPr>
          <w:rFonts w:ascii="Times New Roman" w:hAnsi="Times New Roman" w:cs="Times New Roman"/>
          <w:highlight w:val="white"/>
        </w:rPr>
        <w:t>, </w:t>
      </w:r>
      <w:r w:rsidRPr="009375DD">
        <w:rPr>
          <w:rFonts w:ascii="Times New Roman" w:hAnsi="Times New Roman" w:cs="Times New Roman"/>
          <w:i/>
          <w:iCs/>
          <w:highlight w:val="white"/>
        </w:rPr>
        <w:t>12</w:t>
      </w:r>
      <w:r w:rsidRPr="009375DD">
        <w:rPr>
          <w:rFonts w:ascii="Times New Roman" w:hAnsi="Times New Roman" w:cs="Times New Roman"/>
          <w:highlight w:val="white"/>
        </w:rPr>
        <w:t>(5), p.1876.</w:t>
      </w:r>
    </w:p>
    <w:p w14:paraId="131C7CDA"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Wang, T., Zhao, Z., Wang, G., Li, Q., Xu, Y., Li, M., Hu, R., Chen, G., Su, Q., Mu, Y., Tang, X., Yan, L., Qin, G., Wan, Q., Gao, Z., Yu, X., Shen, F., Luo, Z., Qin, Y. and Chen, L. (2021) Age-related disparities in diabetes risk attributable to modifiable risk factor profiles in Chinese adults: a nationwide, population-based, cohort study. </w:t>
      </w:r>
      <w:r w:rsidRPr="009375DD">
        <w:rPr>
          <w:rFonts w:ascii="Times New Roman" w:hAnsi="Times New Roman" w:cs="Times New Roman"/>
          <w:i/>
          <w:iCs/>
          <w:color w:val="000000"/>
        </w:rPr>
        <w:t>The Lancet Healthy Longevity</w:t>
      </w:r>
      <w:r w:rsidRPr="009375DD">
        <w:rPr>
          <w:rFonts w:ascii="Times New Roman" w:hAnsi="Times New Roman" w:cs="Times New Roman"/>
          <w:color w:val="000000"/>
        </w:rPr>
        <w:t xml:space="preserve">, </w:t>
      </w:r>
      <w:r w:rsidRPr="009375DD">
        <w:rPr>
          <w:rFonts w:ascii="Times New Roman" w:hAnsi="Times New Roman" w:cs="Times New Roman"/>
          <w:i/>
          <w:iCs/>
          <w:color w:val="000000"/>
        </w:rPr>
        <w:t>2</w:t>
      </w:r>
      <w:r w:rsidRPr="009375DD">
        <w:rPr>
          <w:rFonts w:ascii="Times New Roman" w:hAnsi="Times New Roman" w:cs="Times New Roman"/>
          <w:color w:val="000000"/>
        </w:rPr>
        <w:t xml:space="preserve">(10), pp.e618–e628. </w:t>
      </w:r>
    </w:p>
    <w:p w14:paraId="46EE7430" w14:textId="77777777" w:rsidR="003660E3" w:rsidRPr="009375DD" w:rsidRDefault="00921129">
      <w:pPr>
        <w:spacing w:before="120" w:after="120"/>
        <w:rPr>
          <w:rFonts w:ascii="Times New Roman" w:hAnsi="Times New Roman" w:cs="Times New Roman"/>
          <w:highlight w:val="white"/>
        </w:rPr>
      </w:pPr>
      <w:r w:rsidRPr="009375DD">
        <w:rPr>
          <w:rFonts w:ascii="Times New Roman" w:hAnsi="Times New Roman" w:cs="Times New Roman"/>
          <w:highlight w:val="white"/>
        </w:rPr>
        <w:t>Wirth, M., Bischoff, S., Hering, R., Schulz, M., Mackowiak, M., Piedboeuf-Potyka, K., Brinks, R., Hoyer, A. and Tönnies, T. (2026) Prevalence of type 2 diabetes from 2011 to 2023 by regional socioeconomic deprivation in Germany: an ecological study. </w:t>
      </w:r>
      <w:r w:rsidRPr="009375DD">
        <w:rPr>
          <w:rFonts w:ascii="Times New Roman" w:hAnsi="Times New Roman" w:cs="Times New Roman"/>
          <w:i/>
          <w:iCs/>
          <w:highlight w:val="white"/>
        </w:rPr>
        <w:t>BMC Public Health</w:t>
      </w:r>
      <w:r w:rsidRPr="009375DD">
        <w:rPr>
          <w:rFonts w:ascii="Times New Roman" w:hAnsi="Times New Roman" w:cs="Times New Roman"/>
          <w:highlight w:val="white"/>
        </w:rPr>
        <w:t>, </w:t>
      </w:r>
      <w:r w:rsidRPr="009375DD">
        <w:rPr>
          <w:rFonts w:ascii="Times New Roman" w:hAnsi="Times New Roman" w:cs="Times New Roman"/>
          <w:i/>
          <w:iCs/>
          <w:highlight w:val="white"/>
        </w:rPr>
        <w:t>26</w:t>
      </w:r>
      <w:r w:rsidRPr="009375DD">
        <w:rPr>
          <w:rFonts w:ascii="Times New Roman" w:hAnsi="Times New Roman" w:cs="Times New Roman"/>
          <w:highlight w:val="white"/>
        </w:rPr>
        <w:t>(1), p.258.</w:t>
      </w:r>
    </w:p>
    <w:p w14:paraId="44EC29BB" w14:textId="77777777" w:rsidR="003660E3" w:rsidRPr="009375DD" w:rsidRDefault="00921129">
      <w:pPr>
        <w:pBdr>
          <w:top w:val="nil"/>
          <w:left w:val="nil"/>
          <w:bottom w:val="nil"/>
          <w:right w:val="nil"/>
          <w:between w:val="nil"/>
        </w:pBdr>
        <w:spacing w:before="120" w:after="120"/>
        <w:rPr>
          <w:rFonts w:ascii="Times New Roman" w:hAnsi="Times New Roman" w:cs="Times New Roman"/>
          <w:color w:val="000000"/>
        </w:rPr>
      </w:pPr>
      <w:r w:rsidRPr="009375DD">
        <w:rPr>
          <w:rFonts w:ascii="Times New Roman" w:hAnsi="Times New Roman" w:cs="Times New Roman"/>
          <w:color w:val="000000"/>
        </w:rPr>
        <w:t xml:space="preserve">Yashi, K. and Daley, S.F. (2023) </w:t>
      </w:r>
      <w:r w:rsidRPr="009375DD">
        <w:rPr>
          <w:rFonts w:ascii="Times New Roman" w:hAnsi="Times New Roman" w:cs="Times New Roman"/>
          <w:i/>
          <w:iCs/>
          <w:color w:val="000000"/>
        </w:rPr>
        <w:t>Obesity and type 2 diabetes</w:t>
      </w:r>
      <w:r w:rsidRPr="009375DD">
        <w:rPr>
          <w:rFonts w:ascii="Times New Roman" w:hAnsi="Times New Roman" w:cs="Times New Roman"/>
          <w:color w:val="000000"/>
        </w:rPr>
        <w:t xml:space="preserve">. [online] PubMed. Available at: </w:t>
      </w:r>
      <w:hyperlink r:id="rId27">
        <w:r w:rsidRPr="009375DD">
          <w:rPr>
            <w:rFonts w:ascii="Times New Roman" w:hAnsi="Times New Roman" w:cs="Times New Roman"/>
            <w:color w:val="0563C1"/>
            <w:u w:val="single"/>
          </w:rPr>
          <w:t>https://www.ncbi.nlm.nih.gov/books/NBK592412/</w:t>
        </w:r>
      </w:hyperlink>
      <w:r w:rsidRPr="009375DD">
        <w:rPr>
          <w:rFonts w:ascii="Times New Roman" w:hAnsi="Times New Roman" w:cs="Times New Roman"/>
          <w:color w:val="000000"/>
        </w:rPr>
        <w:t xml:space="preserve"> [Accessed 28 Apr. 2026].</w:t>
      </w:r>
    </w:p>
    <w:p w14:paraId="3309D209" w14:textId="77777777" w:rsidR="003660E3" w:rsidRPr="009375DD" w:rsidRDefault="003660E3">
      <w:pPr>
        <w:pBdr>
          <w:top w:val="nil"/>
          <w:left w:val="nil"/>
          <w:bottom w:val="nil"/>
          <w:right w:val="nil"/>
          <w:between w:val="nil"/>
        </w:pBdr>
        <w:spacing w:before="120" w:after="120"/>
        <w:rPr>
          <w:rFonts w:ascii="Times New Roman" w:hAnsi="Times New Roman" w:cs="Times New Roman"/>
          <w:color w:val="000000"/>
        </w:rPr>
      </w:pPr>
    </w:p>
    <w:sectPr w:rsidR="003660E3" w:rsidRPr="009375DD">
      <w:footerReference w:type="default" r:id="rId2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8CC47" w14:textId="77777777" w:rsidR="003F52C5" w:rsidRDefault="003F52C5">
      <w:pPr>
        <w:spacing w:after="0" w:line="240" w:lineRule="auto"/>
      </w:pPr>
      <w:r>
        <w:separator/>
      </w:r>
    </w:p>
  </w:endnote>
  <w:endnote w:type="continuationSeparator" w:id="0">
    <w:p w14:paraId="1D8C2F55" w14:textId="77777777" w:rsidR="003F52C5" w:rsidRDefault="003F5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F294AC2-6695-4E19-B21B-EBF242D8A8A4}"/>
  </w:font>
  <w:font w:name="Cambria Math">
    <w:panose1 w:val="02040503050406030204"/>
    <w:charset w:val="00"/>
    <w:family w:val="roman"/>
    <w:pitch w:val="variable"/>
    <w:sig w:usb0="E00006FF" w:usb1="420024FF" w:usb2="02000000" w:usb3="00000000" w:csb0="0000019F" w:csb1="00000000"/>
    <w:embedRegular r:id="rId2" w:fontKey="{39633962-59DE-4A62-BB8A-6AF64D9773D8}"/>
  </w:font>
  <w:font w:name="Cambria">
    <w:panose1 w:val="02040503050406030204"/>
    <w:charset w:val="00"/>
    <w:family w:val="roman"/>
    <w:pitch w:val="variable"/>
    <w:sig w:usb0="E00006FF" w:usb1="420024FF" w:usb2="02000000" w:usb3="00000000" w:csb0="0000019F" w:csb1="00000000"/>
    <w:embedRegular r:id="rId3" w:fontKey="{9991E59F-7E50-428D-9EF6-EBEB65A465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D7C24" w14:textId="77777777" w:rsidR="003660E3" w:rsidRDefault="0092112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25F11">
      <w:rPr>
        <w:noProof/>
        <w:color w:val="000000"/>
      </w:rPr>
      <w:t>1</w:t>
    </w:r>
    <w:r>
      <w:rPr>
        <w:color w:val="000000"/>
      </w:rPr>
      <w:fldChar w:fldCharType="end"/>
    </w:r>
  </w:p>
  <w:p w14:paraId="68101D82" w14:textId="77777777" w:rsidR="003660E3" w:rsidRDefault="003660E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67DD8" w14:textId="77777777" w:rsidR="003F52C5" w:rsidRDefault="003F52C5">
      <w:pPr>
        <w:spacing w:after="0" w:line="240" w:lineRule="auto"/>
      </w:pPr>
      <w:r>
        <w:separator/>
      </w:r>
    </w:p>
  </w:footnote>
  <w:footnote w:type="continuationSeparator" w:id="0">
    <w:p w14:paraId="00A75709" w14:textId="77777777" w:rsidR="003F52C5" w:rsidRDefault="003F52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15082"/>
    <w:multiLevelType w:val="hybridMultilevel"/>
    <w:tmpl w:val="CD5CBDF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5F7D38"/>
    <w:multiLevelType w:val="hybridMultilevel"/>
    <w:tmpl w:val="594E6B0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77C1847"/>
    <w:multiLevelType w:val="hybridMultilevel"/>
    <w:tmpl w:val="0CDA8C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3D72AFA"/>
    <w:multiLevelType w:val="hybridMultilevel"/>
    <w:tmpl w:val="B83ED0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A8A2357"/>
    <w:multiLevelType w:val="hybridMultilevel"/>
    <w:tmpl w:val="D864303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07D1E32"/>
    <w:multiLevelType w:val="hybridMultilevel"/>
    <w:tmpl w:val="0684773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63A305A"/>
    <w:multiLevelType w:val="hybridMultilevel"/>
    <w:tmpl w:val="3F18E0B0"/>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1E783B"/>
    <w:multiLevelType w:val="hybridMultilevel"/>
    <w:tmpl w:val="E8DA94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88994709">
    <w:abstractNumId w:val="7"/>
  </w:num>
  <w:num w:numId="2" w16cid:durableId="1714577568">
    <w:abstractNumId w:val="1"/>
  </w:num>
  <w:num w:numId="3" w16cid:durableId="1038698244">
    <w:abstractNumId w:val="4"/>
  </w:num>
  <w:num w:numId="4" w16cid:durableId="1139224155">
    <w:abstractNumId w:val="2"/>
  </w:num>
  <w:num w:numId="5" w16cid:durableId="730537672">
    <w:abstractNumId w:val="3"/>
  </w:num>
  <w:num w:numId="6" w16cid:durableId="1003515297">
    <w:abstractNumId w:val="0"/>
  </w:num>
  <w:num w:numId="7" w16cid:durableId="399835417">
    <w:abstractNumId w:val="5"/>
  </w:num>
  <w:num w:numId="8" w16cid:durableId="399905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0E3"/>
    <w:rsid w:val="003660E3"/>
    <w:rsid w:val="003F52C5"/>
    <w:rsid w:val="00752A37"/>
    <w:rsid w:val="00921129"/>
    <w:rsid w:val="009375DD"/>
    <w:rsid w:val="00943A8D"/>
    <w:rsid w:val="00BF2B9C"/>
    <w:rsid w:val="00F206C9"/>
    <w:rsid w:val="00F25F11"/>
    <w:rsid w:val="00FD00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833F1"/>
  <w15:docId w15:val="{028A7855-F782-4A5C-B2FC-6BE7ABBE5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color w:val="000000"/>
    </w:rPr>
  </w:style>
  <w:style w:type="paragraph" w:styleId="Heading2">
    <w:name w:val="heading 2"/>
    <w:basedOn w:val="Normal"/>
    <w:next w:val="Normal"/>
    <w:uiPriority w:val="9"/>
    <w:unhideWhenUsed/>
    <w:qFormat/>
    <w:pPr>
      <w:keepNext/>
      <w:keepLines/>
      <w:spacing w:before="40" w:after="0"/>
      <w:outlineLvl w:val="1"/>
    </w:pPr>
    <w:rPr>
      <w:b/>
      <w:bCs/>
      <w:i/>
      <w:iCs/>
    </w:rPr>
  </w:style>
  <w:style w:type="paragraph" w:styleId="Heading3">
    <w:name w:val="heading 3"/>
    <w:basedOn w:val="Normal"/>
    <w:next w:val="Normal"/>
    <w:uiPriority w:val="9"/>
    <w:semiHidden/>
    <w:unhideWhenUsed/>
    <w:qFormat/>
    <w:pPr>
      <w:keepNext/>
      <w:keepLines/>
      <w:spacing w:before="40" w:after="0"/>
      <w:outlineLvl w:val="2"/>
    </w:pPr>
    <w:rPr>
      <w:b/>
      <w:bCs/>
      <w:i/>
      <w:iCs/>
      <w:color w:val="000000"/>
      <w:u w:val="single"/>
    </w:rPr>
  </w:style>
  <w:style w:type="paragraph" w:styleId="Heading4">
    <w:name w:val="heading 4"/>
    <w:basedOn w:val="Normal"/>
    <w:next w:val="Normal"/>
    <w:uiPriority w:val="9"/>
    <w:semiHidden/>
    <w:unhideWhenUsed/>
    <w:qFormat/>
    <w:pPr>
      <w:keepNext/>
      <w:keepLines/>
      <w:spacing w:before="40" w:after="0"/>
      <w:outlineLvl w:val="3"/>
    </w:pPr>
    <w:rPr>
      <w:i/>
      <w:iCs/>
      <w:color w:val="000000"/>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spacing w:before="120" w:after="280"/>
    </w:pPr>
    <w:rPr>
      <w:b/>
      <w:bCs/>
      <w:i/>
      <w:iCs/>
      <w:color w:val="000000"/>
      <w:u w:val="single"/>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F25F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www.bhf.org.uk/-/media/files/for-professionals/research/heart-statistics/bhf-cvd-statistics-uk-factsheet-jan26.pdf?rev=26534e1487094dbd806277891baef112&amp;hash=836271B8610F86FF345146CAD695D6CA" TargetMode="External" /><Relationship Id="rId18" Type="http://schemas.openxmlformats.org/officeDocument/2006/relationships/hyperlink" Target="https://www.endocrine.org/patient-engagement/endocrine-library/diabetes-and-older-adults" TargetMode="External" /><Relationship Id="rId26" Type="http://schemas.openxmlformats.org/officeDocument/2006/relationships/hyperlink" Target="https://www.ons.gov.uk/peoplepopulationandcommunity/healthandsocialcare/healthinequalities" TargetMode="External" /><Relationship Id="rId3" Type="http://schemas.openxmlformats.org/officeDocument/2006/relationships/numbering" Target="numbering.xml" /><Relationship Id="rId21" Type="http://schemas.openxmlformats.org/officeDocument/2006/relationships/hyperlink" Target="https://ifs.org.uk/publications/living-standards-poverty-and-inequality-uk-2024" TargetMode="External" /><Relationship Id="rId7" Type="http://schemas.openxmlformats.org/officeDocument/2006/relationships/footnotes" Target="footnotes.xml" /><Relationship Id="rId12" Type="http://schemas.openxmlformats.org/officeDocument/2006/relationships/hyperlink" Target="https://www.alzheimers.org.uk/blog/how-many-people-have-dementia-uk" TargetMode="External" /><Relationship Id="rId17" Type="http://schemas.openxmlformats.org/officeDocument/2006/relationships/hyperlink" Target="https://www.diabetes.org.uk/for-professionals/improving-care/clinical-recommendations-for-professionals/national-diabetes-audit" TargetMode="External" /><Relationship Id="rId25" Type="http://schemas.openxmlformats.org/officeDocument/2006/relationships/hyperlink" Target="https://www.england.nhs.uk/diabetes/diabetes-prevention/" TargetMode="External" /><Relationship Id="rId2" Type="http://schemas.openxmlformats.org/officeDocument/2006/relationships/customXml" Target="../customXml/item2.xml" /><Relationship Id="rId16" Type="http://schemas.openxmlformats.org/officeDocument/2006/relationships/hyperlink" Target="https://www.kingsfund.org.uk/insight-and-analysis/long-reads/nhs-long-term-plan-explained" TargetMode="External" /><Relationship Id="rId20" Type="http://schemas.openxmlformats.org/officeDocument/2006/relationships/hyperlink" Target="https://idf.org/about-diabetes/diabetes-facts-figures/"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ageuk.org.uk/" TargetMode="External" /><Relationship Id="rId24" Type="http://schemas.openxmlformats.org/officeDocument/2006/relationships/hyperlink" Target="https://digital.nhs.uk/data-and-information/data-collections-and-data-sets/data-collections/general-practice-data-for-planning-and-research" TargetMode="External" /><Relationship Id="rId5" Type="http://schemas.openxmlformats.org/officeDocument/2006/relationships/settings" Target="settings.xml" /><Relationship Id="rId15" Type="http://schemas.openxmlformats.org/officeDocument/2006/relationships/hyperlink" Target="https://www.cdc.gov/diabetes/about/about-type-2-diabetes.html" TargetMode="External" /><Relationship Id="rId23" Type="http://schemas.openxmlformats.org/officeDocument/2006/relationships/hyperlink" Target="https://www.nhs.uk/tests-and-treatments/nhs-health-check/" TargetMode="External" /><Relationship Id="rId28" Type="http://schemas.openxmlformats.org/officeDocument/2006/relationships/footer" Target="footer1.xml" /><Relationship Id="rId10" Type="http://schemas.openxmlformats.org/officeDocument/2006/relationships/hyperlink" Target="https://www.ageuk.org.uk/our-impact/policy-research/loneliness-research-and-resources/" TargetMode="External" /><Relationship Id="rId19" Type="http://schemas.openxmlformats.org/officeDocument/2006/relationships/hyperlink" Target="https://www.gov.uk/government/statistics/english-housing-survey-2023-to-2024-drivers-and-impacts-of-housing-quality/english-housing-survey-2023-to-2024-drivers-and-impacts-of-housing-quality" TargetMode="External" /><Relationship Id="rId4" Type="http://schemas.openxmlformats.org/officeDocument/2006/relationships/styles" Target="styles.xml" /><Relationship Id="rId9" Type="http://schemas.openxmlformats.org/officeDocument/2006/relationships/hyperlink" Target="https://www.ageuk.org.uk/our-impact/policy-research/policy-positions/" TargetMode="External" /><Relationship Id="rId14" Type="http://schemas.openxmlformats.org/officeDocument/2006/relationships/hyperlink" Target="https://www.cdc.gov/social-connectedness/risk-factors/index.html" TargetMode="External" /><Relationship Id="rId22" Type="http://schemas.openxmlformats.org/officeDocument/2006/relationships/hyperlink" Target="https://www.health.org.uk/sites/default/files/2020-03/Health%20Equity%20in%20England_The%20Marmot%20Review%2010%20Years%20On_executive%20summary_web.pdf" TargetMode="External" /><Relationship Id="rId27" Type="http://schemas.openxmlformats.org/officeDocument/2006/relationships/hyperlink" Target="https://www.ncbi.nlm.nih.gov/books/NBK592412/" TargetMode="External" /><Relationship Id="rId30"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wWTlcfzvPIIyjQk7cmS5lfS1mg==">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A316229E-5669-452B-B614-35C25A506E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4556</Words>
  <Characters>25972</Characters>
  <Application>Microsoft Office Word</Application>
  <DocSecurity>0</DocSecurity>
  <Lines>216</Lines>
  <Paragraphs>60</Paragraphs>
  <ScaleCrop>false</ScaleCrop>
  <Company/>
  <LinksUpToDate>false</LinksUpToDate>
  <CharactersWithSpaces>30468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dc:creator>
  <cp:lastModifiedBy>yashu7041@gmail.com</cp:lastModifiedBy>
  <cp:revision>2</cp:revision>
  <dcterms:created xsi:type="dcterms:W3CDTF">2026-04-30T17:39:00Z</dcterms:created>
  <dcterms:modified xsi:type="dcterms:W3CDTF">2026-04-30T17:39:00Z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847b06c2-4fc2-4229-a263-15c0ec90f385</vt:lpwstr>
  </property>
</Properties>
</file>