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6F09F" w14:textId="4A6EAE09" w:rsidR="00B44E40" w:rsidRPr="00316122" w:rsidRDefault="00B44E40" w:rsidP="00316122">
      <w:pPr>
        <w:spacing w:line="276" w:lineRule="auto"/>
        <w:rPr>
          <w:rFonts w:cstheme="minorHAnsi"/>
          <w:b/>
          <w:bCs/>
          <w:sz w:val="24"/>
          <w:szCs w:val="24"/>
        </w:rPr>
      </w:pPr>
      <w:r w:rsidRPr="00316122">
        <w:rPr>
          <w:rFonts w:cstheme="minorHAnsi"/>
          <w:b/>
          <w:bCs/>
          <w:sz w:val="24"/>
          <w:szCs w:val="24"/>
        </w:rPr>
        <w:t xml:space="preserve">Essay one: Assess the impact that cultural diversity has had on policing practice (e.g. neighbourhood policing) and professional policies and standards (e.g. PACE, Code of Ethics). </w:t>
      </w:r>
    </w:p>
    <w:p w14:paraId="27735724" w14:textId="77777777" w:rsidR="00B44E40" w:rsidRPr="00316122" w:rsidRDefault="00B44E40" w:rsidP="00316122">
      <w:pPr>
        <w:spacing w:line="276" w:lineRule="auto"/>
        <w:rPr>
          <w:rFonts w:cstheme="minorHAnsi"/>
          <w:sz w:val="24"/>
          <w:szCs w:val="24"/>
        </w:rPr>
      </w:pPr>
    </w:p>
    <w:p w14:paraId="23603FA1" w14:textId="1B1F432E" w:rsidR="00B44E40" w:rsidRPr="00316122" w:rsidRDefault="00B44E40" w:rsidP="00316122">
      <w:pPr>
        <w:spacing w:line="276" w:lineRule="auto"/>
        <w:rPr>
          <w:rFonts w:cstheme="minorHAnsi"/>
          <w:sz w:val="24"/>
          <w:szCs w:val="24"/>
        </w:rPr>
      </w:pPr>
      <w:r w:rsidRPr="00316122">
        <w:rPr>
          <w:rFonts w:cstheme="minorHAnsi"/>
          <w:sz w:val="24"/>
          <w:szCs w:val="24"/>
        </w:rPr>
        <w:t xml:space="preserve">Cultural diversity is believed to have an impact on policing practices and professional policies and standards by influencing various features of law enforcement, community relations, and general effectiveness. One way in which cultural diversity is believed to have an impact on policing practices, professional policies and standards is through police training and police officer’s education. Policing agencies are sometimes responsible for policing culturally diverse communities where community cooperation and trust are essential. As a result of The Race Relations Act (2000) and the Stephen Lawrence inquiry (Macpherson, 1999) Community and Race Relations training was launched in hope of educating police officers in the experiences of minority groups. For example, police officers visited places of worship and learnt about customs within a religion or community. These actions were an attempt to educate police officer and promote understanding and respect to build trust between communities and law enforcement. It’s also believed that officers who are culturally aware have a better understanding of how to respond appropriately, communicate effectively and act to the needs of a diverse population.  </w:t>
      </w:r>
    </w:p>
    <w:p w14:paraId="488B0A47" w14:textId="0EE2C311" w:rsidR="00B44E40" w:rsidRPr="00316122" w:rsidRDefault="00B44E40" w:rsidP="00316122">
      <w:pPr>
        <w:spacing w:line="276" w:lineRule="auto"/>
        <w:rPr>
          <w:rFonts w:cstheme="minorHAnsi"/>
          <w:sz w:val="24"/>
          <w:szCs w:val="24"/>
        </w:rPr>
      </w:pPr>
      <w:r w:rsidRPr="00316122">
        <w:rPr>
          <w:rFonts w:cstheme="minorHAnsi"/>
          <w:sz w:val="24"/>
          <w:szCs w:val="24"/>
        </w:rPr>
        <w:t xml:space="preserve">The findings from Diversity, Equality and Inclusion in Policing (2019) reported that police officers involved in the research felt there were more positive attitudes towards cultural diversity if their force modelled a positive organisational attitude to conquering prejudice and bias and promoted individuals to incorporate and accept the need to improve their attitudes towards diversity.  </w:t>
      </w:r>
    </w:p>
    <w:p w14:paraId="7FCB66E7" w14:textId="2C62257D" w:rsidR="00B44E40" w:rsidRPr="00316122" w:rsidRDefault="00B44E40" w:rsidP="00316122">
      <w:pPr>
        <w:spacing w:line="276" w:lineRule="auto"/>
        <w:rPr>
          <w:rFonts w:cstheme="minorHAnsi"/>
          <w:sz w:val="24"/>
          <w:szCs w:val="24"/>
        </w:rPr>
      </w:pPr>
      <w:r w:rsidRPr="00316122">
        <w:rPr>
          <w:rFonts w:cstheme="minorHAnsi"/>
          <w:sz w:val="24"/>
          <w:szCs w:val="24"/>
        </w:rPr>
        <w:t xml:space="preserve">Macpherson inquiry (1999) into the Stephen Lawrence murder, investigated police training in relation to diversity and racism.   </w:t>
      </w:r>
    </w:p>
    <w:p w14:paraId="249CD7FF" w14:textId="4C44FCBC" w:rsidR="00B44E40" w:rsidRPr="00316122" w:rsidRDefault="00B44E40" w:rsidP="00316122">
      <w:pPr>
        <w:spacing w:line="276" w:lineRule="auto"/>
        <w:rPr>
          <w:rFonts w:cstheme="minorHAnsi"/>
          <w:sz w:val="24"/>
          <w:szCs w:val="24"/>
        </w:rPr>
      </w:pPr>
      <w:r w:rsidRPr="00316122">
        <w:rPr>
          <w:rFonts w:cstheme="minorHAnsi"/>
          <w:sz w:val="24"/>
          <w:szCs w:val="24"/>
        </w:rPr>
        <w:t xml:space="preserve">Recommendation 48 of the report was that within the Police Service there should be an immediate review of racism awareness training. The report argues that training courses should be designed and delivered so that police officers understand racism within the force to be an incompetent force and to understand the importance of trust within a diverse community. </w:t>
      </w:r>
    </w:p>
    <w:p w14:paraId="034DA01C" w14:textId="0DA0875A" w:rsidR="00B44E40" w:rsidRPr="00316122" w:rsidRDefault="00B44E40" w:rsidP="00316122">
      <w:pPr>
        <w:spacing w:line="276" w:lineRule="auto"/>
        <w:rPr>
          <w:rFonts w:cstheme="minorHAnsi"/>
          <w:sz w:val="24"/>
          <w:szCs w:val="24"/>
        </w:rPr>
      </w:pPr>
      <w:r w:rsidRPr="00316122">
        <w:rPr>
          <w:rFonts w:cstheme="minorHAnsi"/>
          <w:sz w:val="24"/>
          <w:szCs w:val="24"/>
        </w:rPr>
        <w:t xml:space="preserve">Furthermore, Recommendation 49 notes, “That all police officers, including CID and civilian staff, should be trained in racism awareness and valuing cultural diversity.” (Macpherson, 1999, P.380). </w:t>
      </w:r>
    </w:p>
    <w:p w14:paraId="38C129D5" w14:textId="62752D02" w:rsidR="00B44E40" w:rsidRPr="00316122" w:rsidRDefault="00B44E40" w:rsidP="00316122">
      <w:pPr>
        <w:spacing w:line="276" w:lineRule="auto"/>
        <w:rPr>
          <w:rFonts w:cstheme="minorHAnsi"/>
          <w:sz w:val="24"/>
          <w:szCs w:val="24"/>
        </w:rPr>
      </w:pPr>
      <w:r w:rsidRPr="00316122">
        <w:rPr>
          <w:rFonts w:cstheme="minorHAnsi"/>
          <w:sz w:val="24"/>
          <w:szCs w:val="24"/>
        </w:rPr>
        <w:t xml:space="preserve">It can be argued that cultural diversity also impacts on police recruitment. The Equality, diversity and inclusion strategy 2022-25 report notes that the IOPC workforce must mirror the culturally diverse communities' communities in order to ensure a quality, inclusive law enforcement.  </w:t>
      </w:r>
    </w:p>
    <w:p w14:paraId="6322E564" w14:textId="444C9119" w:rsidR="00B44E40" w:rsidRPr="00316122" w:rsidRDefault="00B44E40" w:rsidP="00316122">
      <w:pPr>
        <w:spacing w:line="276" w:lineRule="auto"/>
        <w:rPr>
          <w:rFonts w:cstheme="minorHAnsi"/>
          <w:sz w:val="24"/>
          <w:szCs w:val="24"/>
        </w:rPr>
      </w:pPr>
      <w:r w:rsidRPr="00316122">
        <w:rPr>
          <w:rFonts w:cstheme="minorHAnsi"/>
          <w:sz w:val="24"/>
          <w:szCs w:val="24"/>
        </w:rPr>
        <w:lastRenderedPageBreak/>
        <w:t xml:space="preserve">Recommendation 64 of  the Stephen Lawrence inquiry  notes “That the Home Secretary and Police Authorities’ policing plans should include targets for recruitment, progression and retention of minority ethnic staff” (Macpherson, 1999, P.381).   </w:t>
      </w:r>
    </w:p>
    <w:p w14:paraId="0D676BE5" w14:textId="48675116" w:rsidR="00B44E40" w:rsidRPr="00316122" w:rsidRDefault="00B44E40" w:rsidP="00316122">
      <w:pPr>
        <w:spacing w:line="276" w:lineRule="auto"/>
        <w:rPr>
          <w:rFonts w:cstheme="minorHAnsi"/>
          <w:sz w:val="24"/>
          <w:szCs w:val="24"/>
        </w:rPr>
      </w:pPr>
      <w:r w:rsidRPr="00316122">
        <w:rPr>
          <w:rFonts w:cstheme="minorHAnsi"/>
          <w:sz w:val="24"/>
          <w:szCs w:val="24"/>
        </w:rPr>
        <w:t xml:space="preserve">The value of cultural diversity has created initiative such as The College of Policing (CoP), The Black and </w:t>
      </w:r>
      <w:proofErr w:type="spellStart"/>
      <w:r w:rsidRPr="00316122">
        <w:rPr>
          <w:rFonts w:cstheme="minorHAnsi"/>
          <w:sz w:val="24"/>
          <w:szCs w:val="24"/>
        </w:rPr>
        <w:t>minorty</w:t>
      </w:r>
      <w:proofErr w:type="spellEnd"/>
      <w:r w:rsidRPr="00316122">
        <w:rPr>
          <w:rFonts w:cstheme="minorHAnsi"/>
          <w:sz w:val="24"/>
          <w:szCs w:val="24"/>
        </w:rPr>
        <w:t xml:space="preserve"> ethnic (BME) Progression 2018 programme which strives to improve the recruitment, retention and the development of Black and Minority Ethnic police officers and staff.  </w:t>
      </w:r>
    </w:p>
    <w:p w14:paraId="2D664D61" w14:textId="3E9E8D23" w:rsidR="00B44E40" w:rsidRPr="00316122" w:rsidRDefault="00B44E40" w:rsidP="00316122">
      <w:pPr>
        <w:spacing w:line="276" w:lineRule="auto"/>
        <w:rPr>
          <w:rFonts w:cstheme="minorHAnsi"/>
          <w:sz w:val="24"/>
          <w:szCs w:val="24"/>
        </w:rPr>
      </w:pPr>
      <w:r w:rsidRPr="00316122">
        <w:rPr>
          <w:rFonts w:cstheme="minorHAnsi"/>
          <w:sz w:val="24"/>
          <w:szCs w:val="24"/>
        </w:rPr>
        <w:t xml:space="preserve">However, in March 2022, Police Workforce (2023)  figures showed that of 136,274 police officers in England and Wales, 91.9% of them were white but only 8.1% were from black, mixed, Asian and other ethnic minority backgrounds. </w:t>
      </w:r>
    </w:p>
    <w:p w14:paraId="1F5CB0EE" w14:textId="0BC0A76D" w:rsidR="00B44E40" w:rsidRPr="00316122" w:rsidRDefault="00B44E40" w:rsidP="00316122">
      <w:pPr>
        <w:spacing w:line="276" w:lineRule="auto"/>
        <w:rPr>
          <w:rFonts w:cstheme="minorHAnsi"/>
          <w:sz w:val="24"/>
          <w:szCs w:val="24"/>
        </w:rPr>
      </w:pPr>
      <w:r w:rsidRPr="00316122">
        <w:rPr>
          <w:rFonts w:cstheme="minorHAnsi"/>
          <w:sz w:val="24"/>
          <w:szCs w:val="24"/>
        </w:rPr>
        <w:t xml:space="preserve">Policing policies have also adapted considering the needs and concerns of diverse communities. An example of this are policies aimed at preventing racial profiling and ensuring fair treatment. In the United Kingdom, racial and ethnic bias in policing have been the focus of many public debates with a heavy focus on “stop and search.”  Under the regulation and provision of Police and Criminal Evidence Act (1984) Police officers in England and Wales are legally allowed to search vehicles or people for stolen or prohibited items. Searches must have “reasonable grounds for suspicion” which are used to find items such as knives, firearms, drugs, stolen goods and/or items for use in property offences (Home Office, 2014). Police and crime Evidence (PACE) Code A states that reasonable suspicion cannot be based on a person’s appearance with regard to any of the ‘relevant protected characteristics’ set out in the Equality Act 2010, section 149, such as religion, belief or race.  </w:t>
      </w:r>
    </w:p>
    <w:p w14:paraId="0843B67B" w14:textId="78E3B259" w:rsidR="00B44E40" w:rsidRPr="00316122" w:rsidRDefault="00B44E40" w:rsidP="00316122">
      <w:pPr>
        <w:spacing w:line="276" w:lineRule="auto"/>
        <w:rPr>
          <w:rFonts w:cstheme="minorHAnsi"/>
          <w:sz w:val="24"/>
          <w:szCs w:val="24"/>
        </w:rPr>
      </w:pPr>
      <w:r w:rsidRPr="00316122">
        <w:rPr>
          <w:rFonts w:cstheme="minorHAnsi"/>
          <w:sz w:val="24"/>
          <w:szCs w:val="24"/>
        </w:rPr>
        <w:t xml:space="preserve">PACE (1984) aimed to reinforce legalistic and bureaucratic rulings (Quinton, 2011). The establishment of PACE meant changes to policing and aimed to balance police powers and procedural safeguards (Brown 1997; Shiner &amp; Delsol 2015). </w:t>
      </w:r>
    </w:p>
    <w:p w14:paraId="5C09D321" w14:textId="523DF18C" w:rsidR="00B44E40" w:rsidRPr="00316122" w:rsidRDefault="00B44E40" w:rsidP="00316122">
      <w:pPr>
        <w:spacing w:line="276" w:lineRule="auto"/>
        <w:rPr>
          <w:rFonts w:cstheme="minorHAnsi"/>
          <w:sz w:val="24"/>
          <w:szCs w:val="24"/>
        </w:rPr>
      </w:pPr>
      <w:r w:rsidRPr="00316122">
        <w:rPr>
          <w:rFonts w:cstheme="minorHAnsi"/>
          <w:sz w:val="24"/>
          <w:szCs w:val="24"/>
        </w:rPr>
        <w:t>Despite the targeted intentions of PACE, the Home Office (2019) reported that searches of black people were nine time more common in England and Wales between 2018-2019, compared to the searches of white people.  Searches of mixed ethnic and Asian people were three times as common. The perceived discriminatively use of ‘Stop and Search’ has a profound impact on police relationships with BME communities (</w:t>
      </w:r>
      <w:proofErr w:type="spellStart"/>
      <w:r w:rsidRPr="00316122">
        <w:rPr>
          <w:rFonts w:cstheme="minorHAnsi"/>
          <w:sz w:val="24"/>
          <w:szCs w:val="24"/>
        </w:rPr>
        <w:t>Renauer</w:t>
      </w:r>
      <w:proofErr w:type="spellEnd"/>
      <w:r w:rsidRPr="00316122">
        <w:rPr>
          <w:rFonts w:cstheme="minorHAnsi"/>
          <w:sz w:val="24"/>
          <w:szCs w:val="24"/>
        </w:rPr>
        <w:t xml:space="preserve"> and </w:t>
      </w:r>
      <w:proofErr w:type="spellStart"/>
      <w:r w:rsidRPr="00316122">
        <w:rPr>
          <w:rFonts w:cstheme="minorHAnsi"/>
          <w:sz w:val="24"/>
          <w:szCs w:val="24"/>
        </w:rPr>
        <w:t>Covelli</w:t>
      </w:r>
      <w:proofErr w:type="spellEnd"/>
      <w:r w:rsidRPr="00316122">
        <w:rPr>
          <w:rFonts w:cstheme="minorHAnsi"/>
          <w:sz w:val="24"/>
          <w:szCs w:val="24"/>
        </w:rPr>
        <w:t xml:space="preserve">, 2011),  </w:t>
      </w:r>
    </w:p>
    <w:p w14:paraId="09735BF6" w14:textId="2D687362" w:rsidR="00B44E40" w:rsidRPr="00316122" w:rsidRDefault="00B44E40" w:rsidP="00316122">
      <w:pPr>
        <w:spacing w:line="276" w:lineRule="auto"/>
        <w:rPr>
          <w:rFonts w:cstheme="minorHAnsi"/>
          <w:sz w:val="24"/>
          <w:szCs w:val="24"/>
        </w:rPr>
      </w:pPr>
      <w:r w:rsidRPr="00316122">
        <w:rPr>
          <w:rFonts w:cstheme="minorHAnsi"/>
          <w:sz w:val="24"/>
          <w:szCs w:val="24"/>
        </w:rPr>
        <w:t xml:space="preserve">Cultural diversity has impacted on procedures such as language access and communication policies. The police recognise the importance of language access and facilitating communication. People have the right to communicate effectively throughout criminal proceedings with the support of language services, such as translation, is required.  The Ministry of Justice (2015) Code of Practice for Victims of Crime states that a witness or victim is allowed to seek the support of an interpretation and/or translation services in a language they understand. Furthermore, the Equality Act (2010) states that law enforcement agencies must have due regard to the need to eliminate discrimination. </w:t>
      </w:r>
    </w:p>
    <w:p w14:paraId="299BB26D" w14:textId="77777777" w:rsidR="00B44E40" w:rsidRPr="00316122" w:rsidRDefault="00B44E40" w:rsidP="00316122">
      <w:pPr>
        <w:spacing w:line="276" w:lineRule="auto"/>
        <w:rPr>
          <w:rFonts w:cstheme="minorHAnsi"/>
          <w:sz w:val="24"/>
          <w:szCs w:val="24"/>
        </w:rPr>
      </w:pPr>
      <w:r w:rsidRPr="00316122">
        <w:rPr>
          <w:rFonts w:cstheme="minorHAnsi"/>
          <w:sz w:val="24"/>
          <w:szCs w:val="24"/>
        </w:rPr>
        <w:lastRenderedPageBreak/>
        <w:t xml:space="preserve">Whilst progress has been made, challenges remain, police policies, practices and standards have been scrutinised due to failures but there in a continued commitment to addressing the impact of cultural diversity within policing. Continued efforts in training, policy development, and community engagement are crucial for ensuring that policing practices are inclusive and responsive to the needs of diverse populations. </w:t>
      </w:r>
    </w:p>
    <w:p w14:paraId="5518D311" w14:textId="77777777" w:rsidR="00B44E40" w:rsidRPr="00316122" w:rsidRDefault="00B44E40" w:rsidP="00316122">
      <w:pPr>
        <w:spacing w:line="276" w:lineRule="auto"/>
        <w:rPr>
          <w:rFonts w:cstheme="minorHAnsi"/>
          <w:sz w:val="24"/>
          <w:szCs w:val="24"/>
        </w:rPr>
      </w:pPr>
    </w:p>
    <w:p w14:paraId="4C0DCD1B" w14:textId="75652FD2" w:rsidR="00B44E40" w:rsidRPr="00316122" w:rsidRDefault="00B44E40" w:rsidP="00316122">
      <w:pPr>
        <w:spacing w:line="276" w:lineRule="auto"/>
        <w:rPr>
          <w:rFonts w:cstheme="minorHAnsi"/>
          <w:sz w:val="24"/>
          <w:szCs w:val="24"/>
        </w:rPr>
      </w:pPr>
      <w:r w:rsidRPr="00316122">
        <w:rPr>
          <w:rFonts w:cstheme="minorHAnsi"/>
          <w:sz w:val="24"/>
          <w:szCs w:val="24"/>
        </w:rPr>
        <w:t xml:space="preserve"> Word count – 900 </w:t>
      </w:r>
    </w:p>
    <w:p w14:paraId="4882598D"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4BB260C5" w14:textId="77777777" w:rsidR="00B44E40" w:rsidRPr="00316122" w:rsidRDefault="00B44E40" w:rsidP="00316122">
      <w:pPr>
        <w:spacing w:line="276" w:lineRule="auto"/>
        <w:rPr>
          <w:rFonts w:cstheme="minorHAnsi"/>
          <w:sz w:val="24"/>
          <w:szCs w:val="24"/>
        </w:rPr>
      </w:pPr>
    </w:p>
    <w:p w14:paraId="15374AA6"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0537770F" w14:textId="77777777" w:rsidR="00B44E40" w:rsidRPr="00316122" w:rsidRDefault="00B44E40" w:rsidP="00316122">
      <w:pPr>
        <w:spacing w:line="276" w:lineRule="auto"/>
        <w:rPr>
          <w:rFonts w:cstheme="minorHAnsi"/>
          <w:sz w:val="24"/>
          <w:szCs w:val="24"/>
        </w:rPr>
      </w:pPr>
    </w:p>
    <w:p w14:paraId="3BDF2921"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7B39B70B" w14:textId="77777777" w:rsidR="00B44E40" w:rsidRPr="00316122" w:rsidRDefault="00B44E40" w:rsidP="00316122">
      <w:pPr>
        <w:spacing w:line="276" w:lineRule="auto"/>
        <w:rPr>
          <w:rFonts w:cstheme="minorHAnsi"/>
          <w:sz w:val="24"/>
          <w:szCs w:val="24"/>
        </w:rPr>
      </w:pPr>
    </w:p>
    <w:p w14:paraId="70301BF3"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00AD3C55" w14:textId="77777777" w:rsidR="00B44E40" w:rsidRPr="00316122" w:rsidRDefault="00B44E40" w:rsidP="00316122">
      <w:pPr>
        <w:spacing w:line="276" w:lineRule="auto"/>
        <w:rPr>
          <w:rFonts w:cstheme="minorHAnsi"/>
          <w:sz w:val="24"/>
          <w:szCs w:val="24"/>
        </w:rPr>
      </w:pPr>
    </w:p>
    <w:p w14:paraId="10F03085"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6982152A" w14:textId="77777777" w:rsidR="00B44E40" w:rsidRPr="00316122" w:rsidRDefault="00B44E40" w:rsidP="00316122">
      <w:pPr>
        <w:spacing w:line="276" w:lineRule="auto"/>
        <w:rPr>
          <w:rFonts w:cstheme="minorHAnsi"/>
          <w:sz w:val="24"/>
          <w:szCs w:val="24"/>
        </w:rPr>
      </w:pPr>
    </w:p>
    <w:p w14:paraId="3E72D01A"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55A63D86" w14:textId="77777777" w:rsidR="00B44E40" w:rsidRPr="00316122" w:rsidRDefault="00B44E40" w:rsidP="00316122">
      <w:pPr>
        <w:spacing w:line="276" w:lineRule="auto"/>
        <w:rPr>
          <w:rFonts w:cstheme="minorHAnsi"/>
          <w:sz w:val="24"/>
          <w:szCs w:val="24"/>
        </w:rPr>
      </w:pPr>
    </w:p>
    <w:p w14:paraId="659333D7"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5B38AA1A" w14:textId="77777777" w:rsidR="00B44E40" w:rsidRPr="00316122" w:rsidRDefault="00B44E40" w:rsidP="00316122">
      <w:pPr>
        <w:spacing w:line="276" w:lineRule="auto"/>
        <w:rPr>
          <w:rFonts w:cstheme="minorHAnsi"/>
          <w:sz w:val="24"/>
          <w:szCs w:val="24"/>
        </w:rPr>
      </w:pPr>
    </w:p>
    <w:p w14:paraId="27E28FF9"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39BA05D8" w14:textId="77777777" w:rsidR="00B44E40" w:rsidRPr="00316122" w:rsidRDefault="00B44E40" w:rsidP="00316122">
      <w:pPr>
        <w:spacing w:line="276" w:lineRule="auto"/>
        <w:rPr>
          <w:rFonts w:cstheme="minorHAnsi"/>
          <w:sz w:val="24"/>
          <w:szCs w:val="24"/>
        </w:rPr>
      </w:pPr>
    </w:p>
    <w:p w14:paraId="307F06C3"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143331C5" w14:textId="77777777" w:rsidR="00B44E40" w:rsidRPr="00316122" w:rsidRDefault="00B44E40" w:rsidP="00316122">
      <w:pPr>
        <w:spacing w:line="276" w:lineRule="auto"/>
        <w:rPr>
          <w:rFonts w:cstheme="minorHAnsi"/>
          <w:sz w:val="24"/>
          <w:szCs w:val="24"/>
        </w:rPr>
      </w:pPr>
    </w:p>
    <w:p w14:paraId="0B091E9F"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77E87B3F" w14:textId="77777777" w:rsidR="00B44E40" w:rsidRPr="00316122" w:rsidRDefault="00B44E40" w:rsidP="00316122">
      <w:pPr>
        <w:spacing w:line="276" w:lineRule="auto"/>
        <w:rPr>
          <w:rFonts w:cstheme="minorHAnsi"/>
          <w:sz w:val="24"/>
          <w:szCs w:val="24"/>
        </w:rPr>
      </w:pPr>
    </w:p>
    <w:p w14:paraId="2CCD16A6"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4F8A29B7" w14:textId="77777777" w:rsidR="00B44E40" w:rsidRPr="00316122" w:rsidRDefault="00B44E40" w:rsidP="00316122">
      <w:pPr>
        <w:spacing w:line="276" w:lineRule="auto"/>
        <w:rPr>
          <w:rFonts w:cstheme="minorHAnsi"/>
          <w:sz w:val="24"/>
          <w:szCs w:val="24"/>
        </w:rPr>
      </w:pPr>
    </w:p>
    <w:p w14:paraId="2EF77AC1" w14:textId="46413B3B" w:rsidR="00B44E40" w:rsidRPr="00316122" w:rsidRDefault="00B44E40" w:rsidP="00316122">
      <w:pPr>
        <w:spacing w:line="276" w:lineRule="auto"/>
        <w:rPr>
          <w:rFonts w:cstheme="minorHAnsi"/>
          <w:b/>
          <w:bCs/>
          <w:sz w:val="24"/>
          <w:szCs w:val="24"/>
        </w:rPr>
      </w:pPr>
      <w:r w:rsidRPr="00316122">
        <w:rPr>
          <w:rFonts w:cstheme="minorHAnsi"/>
          <w:b/>
          <w:bCs/>
          <w:sz w:val="24"/>
          <w:szCs w:val="24"/>
        </w:rPr>
        <w:lastRenderedPageBreak/>
        <w:t xml:space="preserve">Essay two: Examine the various socio-economic and psychological characteristics which can make people vulnerable to exploitation by criminal gangs. </w:t>
      </w:r>
    </w:p>
    <w:p w14:paraId="672D15C7" w14:textId="77777777" w:rsidR="00B44E40" w:rsidRPr="00316122" w:rsidRDefault="00B44E40" w:rsidP="00316122">
      <w:pPr>
        <w:spacing w:line="276" w:lineRule="auto"/>
        <w:rPr>
          <w:rFonts w:cstheme="minorHAnsi"/>
          <w:sz w:val="24"/>
          <w:szCs w:val="24"/>
        </w:rPr>
      </w:pPr>
    </w:p>
    <w:p w14:paraId="190FA334" w14:textId="4E580685" w:rsidR="00B44E40" w:rsidRPr="00316122" w:rsidRDefault="00B44E40" w:rsidP="00316122">
      <w:pPr>
        <w:spacing w:line="276" w:lineRule="auto"/>
        <w:rPr>
          <w:rFonts w:cstheme="minorHAnsi"/>
          <w:sz w:val="24"/>
          <w:szCs w:val="24"/>
        </w:rPr>
      </w:pPr>
      <w:r w:rsidRPr="00316122">
        <w:rPr>
          <w:rFonts w:cstheme="minorHAnsi"/>
          <w:sz w:val="24"/>
          <w:szCs w:val="24"/>
        </w:rPr>
        <w:t xml:space="preserve"> ‘Gang’, a term that lacks precise definition in law and policing and a term that has not legally updated since 2015.  </w:t>
      </w:r>
    </w:p>
    <w:p w14:paraId="07F4BD9D"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Section 34(5) of the Policing and Crime Act (2009) as revised by the Serious Crime Act (2015) defines something as ‘gang related’ if which: </w:t>
      </w:r>
    </w:p>
    <w:p w14:paraId="7AEAACBD" w14:textId="21FEE96B" w:rsidR="00B44E40" w:rsidRPr="00316122" w:rsidRDefault="00B44E40" w:rsidP="00316122">
      <w:pPr>
        <w:spacing w:line="276" w:lineRule="auto"/>
        <w:rPr>
          <w:rFonts w:cstheme="minorHAnsi"/>
          <w:sz w:val="24"/>
          <w:szCs w:val="24"/>
        </w:rPr>
      </w:pPr>
      <w:r w:rsidRPr="00316122">
        <w:rPr>
          <w:rFonts w:cstheme="minorHAnsi"/>
          <w:sz w:val="24"/>
          <w:szCs w:val="24"/>
        </w:rPr>
        <w:t xml:space="preserve">Involves three of more people </w:t>
      </w:r>
    </w:p>
    <w:p w14:paraId="70FDC78C" w14:textId="28B658C7" w:rsidR="00B44E40" w:rsidRPr="00316122" w:rsidRDefault="00B44E40" w:rsidP="00316122">
      <w:pPr>
        <w:spacing w:line="276" w:lineRule="auto"/>
        <w:rPr>
          <w:rFonts w:cstheme="minorHAnsi"/>
          <w:sz w:val="24"/>
          <w:szCs w:val="24"/>
        </w:rPr>
      </w:pPr>
      <w:r w:rsidRPr="00316122">
        <w:rPr>
          <w:rFonts w:cstheme="minorHAnsi"/>
          <w:sz w:val="24"/>
          <w:szCs w:val="24"/>
        </w:rPr>
        <w:t xml:space="preserve">Is identified by others as a group by one or more characteristics that enable its members to be identified by others as a group.’  </w:t>
      </w:r>
    </w:p>
    <w:p w14:paraId="522B28C5" w14:textId="02FAEEB7" w:rsidR="00B44E40" w:rsidRPr="00316122" w:rsidRDefault="00B44E40" w:rsidP="00316122">
      <w:pPr>
        <w:spacing w:line="276" w:lineRule="auto"/>
        <w:rPr>
          <w:rFonts w:cstheme="minorHAnsi"/>
          <w:sz w:val="24"/>
          <w:szCs w:val="24"/>
        </w:rPr>
      </w:pPr>
      <w:r w:rsidRPr="00316122">
        <w:rPr>
          <w:rFonts w:cstheme="minorHAnsi"/>
          <w:sz w:val="24"/>
          <w:szCs w:val="24"/>
        </w:rPr>
        <w:t xml:space="preserve">MOPAC Public Attitude Survey (2022) revealed that two thirds of participants believed ‘gangs’ to be an issue in society. </w:t>
      </w:r>
    </w:p>
    <w:p w14:paraId="5CC7FEDB"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In this essay, I will explore the various socio-economic and psychological characteristics which can make people vulnerable to exploitation by criminal gangs.  I will explore the following characteristic and their relevance to making an individual susceptible criminal gangs: </w:t>
      </w:r>
    </w:p>
    <w:p w14:paraId="062641E2" w14:textId="77777777" w:rsidR="00B44E40" w:rsidRPr="00316122" w:rsidRDefault="00B44E40" w:rsidP="00316122">
      <w:pPr>
        <w:pStyle w:val="ListParagraph"/>
        <w:numPr>
          <w:ilvl w:val="0"/>
          <w:numId w:val="2"/>
        </w:numPr>
        <w:spacing w:line="276" w:lineRule="auto"/>
        <w:rPr>
          <w:rFonts w:cstheme="minorHAnsi"/>
          <w:sz w:val="24"/>
          <w:szCs w:val="24"/>
        </w:rPr>
      </w:pPr>
      <w:r w:rsidRPr="00316122">
        <w:rPr>
          <w:rFonts w:cstheme="minorHAnsi"/>
          <w:sz w:val="24"/>
          <w:szCs w:val="24"/>
        </w:rPr>
        <w:t xml:space="preserve">Age </w:t>
      </w:r>
    </w:p>
    <w:p w14:paraId="12C51549" w14:textId="77777777" w:rsidR="00B44E40" w:rsidRPr="00316122" w:rsidRDefault="00B44E40" w:rsidP="00316122">
      <w:pPr>
        <w:pStyle w:val="ListParagraph"/>
        <w:numPr>
          <w:ilvl w:val="0"/>
          <w:numId w:val="2"/>
        </w:numPr>
        <w:spacing w:line="276" w:lineRule="auto"/>
        <w:rPr>
          <w:rFonts w:cstheme="minorHAnsi"/>
          <w:sz w:val="24"/>
          <w:szCs w:val="24"/>
        </w:rPr>
      </w:pPr>
      <w:r w:rsidRPr="00316122">
        <w:rPr>
          <w:rFonts w:cstheme="minorHAnsi"/>
          <w:sz w:val="24"/>
          <w:szCs w:val="24"/>
        </w:rPr>
        <w:t xml:space="preserve">Social disadvantage  </w:t>
      </w:r>
    </w:p>
    <w:p w14:paraId="1B8692D5" w14:textId="77777777" w:rsidR="00B44E40" w:rsidRPr="00316122" w:rsidRDefault="00B44E40" w:rsidP="00316122">
      <w:pPr>
        <w:pStyle w:val="ListParagraph"/>
        <w:numPr>
          <w:ilvl w:val="0"/>
          <w:numId w:val="2"/>
        </w:numPr>
        <w:spacing w:line="276" w:lineRule="auto"/>
        <w:rPr>
          <w:rFonts w:cstheme="minorHAnsi"/>
          <w:sz w:val="24"/>
          <w:szCs w:val="24"/>
        </w:rPr>
      </w:pPr>
      <w:r w:rsidRPr="00316122">
        <w:rPr>
          <w:rFonts w:cstheme="minorHAnsi"/>
          <w:sz w:val="24"/>
          <w:szCs w:val="24"/>
        </w:rPr>
        <w:t xml:space="preserve">Peer and social pressure  </w:t>
      </w:r>
    </w:p>
    <w:p w14:paraId="39FA65CB" w14:textId="77777777" w:rsidR="00B44E40" w:rsidRPr="00316122" w:rsidRDefault="00B44E40" w:rsidP="00316122">
      <w:pPr>
        <w:pStyle w:val="ListParagraph"/>
        <w:numPr>
          <w:ilvl w:val="0"/>
          <w:numId w:val="2"/>
        </w:numPr>
        <w:spacing w:line="276" w:lineRule="auto"/>
        <w:rPr>
          <w:rFonts w:cstheme="minorHAnsi"/>
          <w:sz w:val="24"/>
          <w:szCs w:val="24"/>
        </w:rPr>
      </w:pPr>
      <w:r w:rsidRPr="00316122">
        <w:rPr>
          <w:rFonts w:cstheme="minorHAnsi"/>
          <w:sz w:val="24"/>
          <w:szCs w:val="24"/>
        </w:rPr>
        <w:t xml:space="preserve">Drug addiction  </w:t>
      </w:r>
    </w:p>
    <w:p w14:paraId="2E12AA66" w14:textId="6C46DCE2" w:rsidR="00B44E40" w:rsidRPr="00316122" w:rsidRDefault="00B44E40" w:rsidP="00316122">
      <w:pPr>
        <w:pStyle w:val="ListParagraph"/>
        <w:numPr>
          <w:ilvl w:val="0"/>
          <w:numId w:val="2"/>
        </w:numPr>
        <w:spacing w:line="276" w:lineRule="auto"/>
        <w:rPr>
          <w:rFonts w:cstheme="minorHAnsi"/>
          <w:sz w:val="24"/>
          <w:szCs w:val="24"/>
        </w:rPr>
      </w:pPr>
      <w:r w:rsidRPr="00316122">
        <w:rPr>
          <w:rFonts w:cstheme="minorHAnsi"/>
          <w:sz w:val="24"/>
          <w:szCs w:val="24"/>
        </w:rPr>
        <w:t xml:space="preserve">Lack of education </w:t>
      </w:r>
    </w:p>
    <w:p w14:paraId="6AA0023E" w14:textId="7594B83E" w:rsidR="00B44E40" w:rsidRPr="00316122" w:rsidRDefault="00B44E40" w:rsidP="00316122">
      <w:pPr>
        <w:spacing w:line="276" w:lineRule="auto"/>
        <w:rPr>
          <w:rFonts w:cstheme="minorHAnsi"/>
          <w:sz w:val="24"/>
          <w:szCs w:val="24"/>
        </w:rPr>
      </w:pPr>
      <w:r w:rsidRPr="00316122">
        <w:rPr>
          <w:rFonts w:cstheme="minorHAnsi"/>
          <w:sz w:val="24"/>
          <w:szCs w:val="24"/>
        </w:rPr>
        <w:t xml:space="preserve">Annan et al (2022) suggested that a person’s age, particularly those of a young age, makes an individual vulnerable to exploitation to criminal gangs. A study conducted in 2019 by the Children’s Commissioner for England, discovered that there are 27,000 young people and children in England classified as gang members. A further 60,000 children were linked to gangs or gang member’s families (Longfield, 2019).  Furthermore, Youth Violence Commission (2018) published data showed that at least once a month, 70% of young people are susceptible to serious violence (Andell, 2019). </w:t>
      </w:r>
    </w:p>
    <w:p w14:paraId="15230A3B" w14:textId="656D2353" w:rsidR="00B44E40" w:rsidRPr="00316122" w:rsidRDefault="00B44E40" w:rsidP="00316122">
      <w:pPr>
        <w:spacing w:line="276" w:lineRule="auto"/>
        <w:rPr>
          <w:rFonts w:cstheme="minorHAnsi"/>
          <w:sz w:val="24"/>
          <w:szCs w:val="24"/>
        </w:rPr>
      </w:pPr>
      <w:r w:rsidRPr="00316122">
        <w:rPr>
          <w:rFonts w:cstheme="minorHAnsi"/>
          <w:sz w:val="24"/>
          <w:szCs w:val="24"/>
        </w:rPr>
        <w:t xml:space="preserve">Annan et al (2022) suggested that modern society exposes young people to pressure and influence disseminated via a range of media.  </w:t>
      </w:r>
    </w:p>
    <w:p w14:paraId="7C4C482E"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Other finding further supports this argument by stating that 90% of young people are exposed to serious violence at least once a week through television, music and social media. (Youth Violence Commission 2018).  </w:t>
      </w:r>
    </w:p>
    <w:p w14:paraId="157A093F" w14:textId="77777777" w:rsidR="00B44E40" w:rsidRPr="00316122" w:rsidRDefault="00B44E40" w:rsidP="00316122">
      <w:pPr>
        <w:spacing w:line="276" w:lineRule="auto"/>
        <w:rPr>
          <w:rFonts w:cstheme="minorHAnsi"/>
          <w:sz w:val="24"/>
          <w:szCs w:val="24"/>
        </w:rPr>
      </w:pPr>
    </w:p>
    <w:p w14:paraId="05C1652C"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6752EDB2" w14:textId="77777777" w:rsidR="00B44E40" w:rsidRPr="00316122" w:rsidRDefault="00B44E40" w:rsidP="00316122">
      <w:pPr>
        <w:spacing w:line="276" w:lineRule="auto"/>
        <w:rPr>
          <w:rFonts w:cstheme="minorHAnsi"/>
          <w:sz w:val="24"/>
          <w:szCs w:val="24"/>
        </w:rPr>
      </w:pPr>
    </w:p>
    <w:p w14:paraId="1EA22958" w14:textId="33AD1493" w:rsidR="00B44E40" w:rsidRPr="00316122" w:rsidRDefault="00B44E40" w:rsidP="00316122">
      <w:pPr>
        <w:spacing w:line="276" w:lineRule="auto"/>
        <w:rPr>
          <w:rFonts w:cstheme="minorHAnsi"/>
          <w:sz w:val="24"/>
          <w:szCs w:val="24"/>
        </w:rPr>
      </w:pPr>
      <w:r w:rsidRPr="00316122">
        <w:rPr>
          <w:rFonts w:cstheme="minorHAnsi"/>
          <w:sz w:val="24"/>
          <w:szCs w:val="24"/>
        </w:rPr>
        <w:t>Harding (2014)argue that social medial is used by gang members to broadcast and proclaim a glamourized version of their lifestyle such as the ownership of expensive items. This glamourised lifestyle may appeal to young, impressionable people who aspire to live that lifestyle. Furthermore, young people who are uncertain of their prospects, gang membership presents opportunity to earn money (</w:t>
      </w:r>
      <w:proofErr w:type="spellStart"/>
      <w:r w:rsidRPr="00316122">
        <w:rPr>
          <w:rFonts w:cstheme="minorHAnsi"/>
          <w:sz w:val="24"/>
          <w:szCs w:val="24"/>
        </w:rPr>
        <w:t>Storrod</w:t>
      </w:r>
      <w:proofErr w:type="spellEnd"/>
      <w:r w:rsidRPr="00316122">
        <w:rPr>
          <w:rFonts w:cstheme="minorHAnsi"/>
          <w:sz w:val="24"/>
          <w:szCs w:val="24"/>
        </w:rPr>
        <w:t xml:space="preserve"> &amp; </w:t>
      </w:r>
      <w:proofErr w:type="spellStart"/>
      <w:r w:rsidRPr="00316122">
        <w:rPr>
          <w:rFonts w:cstheme="minorHAnsi"/>
          <w:sz w:val="24"/>
          <w:szCs w:val="24"/>
        </w:rPr>
        <w:t>Densley</w:t>
      </w:r>
      <w:proofErr w:type="spellEnd"/>
      <w:r w:rsidRPr="00316122">
        <w:rPr>
          <w:rFonts w:cstheme="minorHAnsi"/>
          <w:sz w:val="24"/>
          <w:szCs w:val="24"/>
        </w:rPr>
        <w:t xml:space="preserve">, 2017). </w:t>
      </w:r>
    </w:p>
    <w:p w14:paraId="3DC84477" w14:textId="033EBDF2" w:rsidR="00B44E40" w:rsidRPr="00316122" w:rsidRDefault="00B44E40" w:rsidP="00316122">
      <w:pPr>
        <w:spacing w:line="276" w:lineRule="auto"/>
        <w:rPr>
          <w:rFonts w:cstheme="minorHAnsi"/>
          <w:sz w:val="24"/>
          <w:szCs w:val="24"/>
        </w:rPr>
      </w:pPr>
      <w:r w:rsidRPr="00316122">
        <w:rPr>
          <w:rFonts w:cstheme="minorHAnsi"/>
          <w:sz w:val="24"/>
          <w:szCs w:val="24"/>
        </w:rPr>
        <w:t>Additionally, the connection between a person’s vulnerability to gang member exploitation and age, is amplified where there is a lack of parental engagement (</w:t>
      </w:r>
      <w:proofErr w:type="spellStart"/>
      <w:r w:rsidRPr="00316122">
        <w:rPr>
          <w:rFonts w:cstheme="minorHAnsi"/>
          <w:sz w:val="24"/>
          <w:szCs w:val="24"/>
        </w:rPr>
        <w:t>Weerman</w:t>
      </w:r>
      <w:proofErr w:type="spellEnd"/>
      <w:r w:rsidRPr="00316122">
        <w:rPr>
          <w:rFonts w:cstheme="minorHAnsi"/>
          <w:sz w:val="24"/>
          <w:szCs w:val="24"/>
        </w:rPr>
        <w:t xml:space="preserve"> et al,  2009).   </w:t>
      </w:r>
    </w:p>
    <w:p w14:paraId="46F750A3"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Tower Hamlets (2018) argue that deficient parental management of their child is a possible outcome of their low socioeconomic status. Finigan-Carr et al (2015) argue that there is a direct link between social deprivation a person’s age, causing a young person more vulnerable to gang exploitation. </w:t>
      </w:r>
    </w:p>
    <w:p w14:paraId="1321596E" w14:textId="58C13ECF" w:rsidR="00B44E40" w:rsidRPr="00316122" w:rsidRDefault="00B44E40" w:rsidP="00316122">
      <w:pPr>
        <w:spacing w:line="276" w:lineRule="auto"/>
        <w:rPr>
          <w:rFonts w:cstheme="minorHAnsi"/>
          <w:sz w:val="24"/>
          <w:szCs w:val="24"/>
        </w:rPr>
      </w:pPr>
      <w:r w:rsidRPr="00316122">
        <w:rPr>
          <w:rFonts w:cstheme="minorHAnsi"/>
          <w:sz w:val="24"/>
          <w:szCs w:val="24"/>
        </w:rPr>
        <w:t xml:space="preserve">It can also be argued that there is a link between broken families and a young person’s vulnerability to exploitation by gang members.  Young people from broken families may seek the sense of belonging to a family, a sense that may be possible if they belong to a gang. Additionally, Wells and Rankin (1991) argue that males from broken homes are more perceptible to juvenile delinquency (Rebellon, 2002). </w:t>
      </w:r>
    </w:p>
    <w:p w14:paraId="5BD175BD" w14:textId="054AD77F" w:rsidR="00B44E40" w:rsidRPr="00316122" w:rsidRDefault="00B44E40" w:rsidP="00316122">
      <w:pPr>
        <w:spacing w:line="276" w:lineRule="auto"/>
        <w:rPr>
          <w:rFonts w:cstheme="minorHAnsi"/>
          <w:sz w:val="24"/>
          <w:szCs w:val="24"/>
        </w:rPr>
      </w:pPr>
      <w:r w:rsidRPr="00316122">
        <w:rPr>
          <w:rFonts w:cstheme="minorHAnsi"/>
          <w:sz w:val="24"/>
          <w:szCs w:val="24"/>
        </w:rPr>
        <w:t xml:space="preserve">Densley &amp; Stevens (2015) conducted a study in Glasgow which found that there is a lack of opportunity for legal work, as well as economic and social marginalisation, young people believed dealing drugs to be a primary method to be successful in society. Consequently, gang leaders target socially and economically deprived young people to be drug dealers ( Densley, 2018).   </w:t>
      </w:r>
    </w:p>
    <w:p w14:paraId="50A621A0" w14:textId="6194BCEE" w:rsidR="00B44E40" w:rsidRPr="00316122" w:rsidRDefault="00B44E40" w:rsidP="00316122">
      <w:pPr>
        <w:spacing w:line="276" w:lineRule="auto"/>
        <w:rPr>
          <w:rFonts w:cstheme="minorHAnsi"/>
          <w:sz w:val="24"/>
          <w:szCs w:val="24"/>
        </w:rPr>
      </w:pPr>
      <w:r w:rsidRPr="00316122">
        <w:rPr>
          <w:rFonts w:cstheme="minorHAnsi"/>
          <w:sz w:val="24"/>
          <w:szCs w:val="24"/>
        </w:rPr>
        <w:t xml:space="preserve">Furthermore, Hesketh's (2018) argue that young people in low socioeconomic communities feel marginalised from society, causing them to find a sense of belonging in an alternative community which sometimes leads them to join gang communities which their own values. </w:t>
      </w:r>
    </w:p>
    <w:p w14:paraId="08B724D1" w14:textId="616D5414" w:rsidR="00B44E40" w:rsidRPr="00316122" w:rsidRDefault="00B44E40" w:rsidP="00316122">
      <w:pPr>
        <w:spacing w:line="276" w:lineRule="auto"/>
        <w:rPr>
          <w:rFonts w:cstheme="minorHAnsi"/>
          <w:sz w:val="24"/>
          <w:szCs w:val="24"/>
        </w:rPr>
      </w:pPr>
      <w:r w:rsidRPr="00316122">
        <w:rPr>
          <w:rFonts w:cstheme="minorHAnsi"/>
          <w:sz w:val="24"/>
          <w:szCs w:val="24"/>
        </w:rPr>
        <w:t xml:space="preserve">In addition to social disadvantage and poverty, individuals with low self-efficacy are believed to have further levels of vulnerability to being groomed by older gang members (McLean et al 2020).  </w:t>
      </w:r>
    </w:p>
    <w:p w14:paraId="750C1102"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Annan et al (2022) argue that low self‐efficacy is a key psychological factor connected to street gang involvement, violence and drug dealing.  Household deprivation and lack of opportunities leads people to become drug dealers as an alternative to legal employment.  </w:t>
      </w:r>
    </w:p>
    <w:p w14:paraId="6CA220F1" w14:textId="0CFAED4C" w:rsidR="00B44E40" w:rsidRPr="00316122" w:rsidRDefault="00870FC2" w:rsidP="00316122">
      <w:pPr>
        <w:spacing w:line="276" w:lineRule="auto"/>
        <w:rPr>
          <w:rFonts w:cstheme="minorHAnsi"/>
          <w:sz w:val="24"/>
          <w:szCs w:val="24"/>
        </w:rPr>
      </w:pPr>
      <w:r w:rsidRPr="00316122">
        <w:rPr>
          <w:rFonts w:cstheme="minorHAnsi"/>
          <w:sz w:val="24"/>
          <w:szCs w:val="24"/>
        </w:rPr>
        <w:t>F</w:t>
      </w:r>
      <w:r w:rsidR="00B44E40" w:rsidRPr="00316122">
        <w:rPr>
          <w:rFonts w:cstheme="minorHAnsi"/>
          <w:sz w:val="24"/>
          <w:szCs w:val="24"/>
        </w:rPr>
        <w:t xml:space="preserve">inigan-Carr et al (2015) understands negative peer relationships and street culture to enhance the probability of a young person being exposed to violent victimisation, weapons and witnessing violence. </w:t>
      </w:r>
    </w:p>
    <w:p w14:paraId="54776CCE" w14:textId="4C656016" w:rsidR="00B44E40" w:rsidRPr="00316122" w:rsidRDefault="00B44E40" w:rsidP="00316122">
      <w:pPr>
        <w:spacing w:line="276" w:lineRule="auto"/>
        <w:rPr>
          <w:rFonts w:cstheme="minorHAnsi"/>
          <w:sz w:val="24"/>
          <w:szCs w:val="24"/>
        </w:rPr>
      </w:pPr>
      <w:r w:rsidRPr="00316122">
        <w:rPr>
          <w:rFonts w:cstheme="minorHAnsi"/>
          <w:sz w:val="24"/>
          <w:szCs w:val="24"/>
        </w:rPr>
        <w:lastRenderedPageBreak/>
        <w:t xml:space="preserve">Elijah Anderson (1999) argues that social capital can be gained within street cultures with a reputation for violence.  Simon Harding (2014) labels this type of form of social capital as street capital. </w:t>
      </w:r>
    </w:p>
    <w:p w14:paraId="33ED49DC" w14:textId="3CA9D308" w:rsidR="00B44E40" w:rsidRPr="00316122" w:rsidRDefault="00870FC2" w:rsidP="00316122">
      <w:pPr>
        <w:spacing w:line="276" w:lineRule="auto"/>
        <w:rPr>
          <w:rFonts w:cstheme="minorHAnsi"/>
          <w:sz w:val="24"/>
          <w:szCs w:val="24"/>
        </w:rPr>
      </w:pPr>
      <w:r w:rsidRPr="00316122">
        <w:rPr>
          <w:rFonts w:cstheme="minorHAnsi"/>
          <w:sz w:val="24"/>
          <w:szCs w:val="24"/>
        </w:rPr>
        <w:t>W</w:t>
      </w:r>
      <w:r w:rsidR="00B44E40" w:rsidRPr="00316122">
        <w:rPr>
          <w:rFonts w:cstheme="minorHAnsi"/>
          <w:sz w:val="24"/>
          <w:szCs w:val="24"/>
        </w:rPr>
        <w:t xml:space="preserve">orking County Lines (2019) research found drug users to be extremely vulnerable to gang exploitation. Gang leaders can easily manipulate drug users to engage in acts of violence, sex and drug dealing in exchange for personal use drugs. The study also found that in some cases, vulnerable drug users where forces to allow their homes to be used by the gang leaders and drug dealers.  </w:t>
      </w:r>
    </w:p>
    <w:p w14:paraId="74D14A3C" w14:textId="1924A2D9" w:rsidR="00B44E40" w:rsidRPr="00316122" w:rsidRDefault="00B44E40" w:rsidP="00316122">
      <w:pPr>
        <w:spacing w:line="276" w:lineRule="auto"/>
        <w:rPr>
          <w:rFonts w:cstheme="minorHAnsi"/>
          <w:sz w:val="24"/>
          <w:szCs w:val="24"/>
        </w:rPr>
      </w:pPr>
      <w:r w:rsidRPr="00316122">
        <w:rPr>
          <w:rFonts w:cstheme="minorHAnsi"/>
          <w:sz w:val="24"/>
          <w:szCs w:val="24"/>
        </w:rPr>
        <w:t xml:space="preserve">Cheshire East Safeguarding Adults Board (no date) explained that gang leaders will target vulnerable people, such as drug users, and befriend them and promise them drugs in exchange for their property, this term is referred to as “Cuckooing”.    </w:t>
      </w:r>
    </w:p>
    <w:p w14:paraId="0ADF296E"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Individuals with limited access to education may lack the skills and knowledge necessary for legal employment, making them more susceptible to involvement in illegal activities.  Longfield’s study focused on children who’ve been excluded from school and were then educated are pupil referral units or home educated. Both alternative places of education are linked to worse educational outcomes. Longfield (2019) noted that gangs use PRU as a source of recruitment for drug dealing roles.    </w:t>
      </w:r>
    </w:p>
    <w:p w14:paraId="64AAA397" w14:textId="77777777" w:rsidR="00B44E40" w:rsidRPr="00316122" w:rsidRDefault="00B44E40" w:rsidP="00316122">
      <w:pPr>
        <w:spacing w:line="276" w:lineRule="auto"/>
        <w:rPr>
          <w:rFonts w:cstheme="minorHAnsi"/>
          <w:sz w:val="24"/>
          <w:szCs w:val="24"/>
        </w:rPr>
      </w:pPr>
    </w:p>
    <w:p w14:paraId="0152B538"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To conclude, there are several socio-economic and psychological characteristics which can make people susceptible to exploitation by criminal gangs. </w:t>
      </w:r>
    </w:p>
    <w:p w14:paraId="5CFEE542" w14:textId="77777777" w:rsidR="00B44E40" w:rsidRPr="00316122" w:rsidRDefault="00B44E40" w:rsidP="00316122">
      <w:pPr>
        <w:spacing w:line="276" w:lineRule="auto"/>
        <w:rPr>
          <w:rFonts w:cstheme="minorHAnsi"/>
          <w:sz w:val="24"/>
          <w:szCs w:val="24"/>
        </w:rPr>
      </w:pPr>
    </w:p>
    <w:p w14:paraId="39ADEC7F" w14:textId="4C33DA52"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r w:rsidR="00870FC2" w:rsidRPr="00316122">
        <w:rPr>
          <w:rFonts w:cstheme="minorHAnsi"/>
          <w:sz w:val="24"/>
          <w:szCs w:val="24"/>
        </w:rPr>
        <w:t xml:space="preserve">Word count – 913 </w:t>
      </w:r>
    </w:p>
    <w:p w14:paraId="60568912" w14:textId="77777777" w:rsidR="00B44E40" w:rsidRPr="00316122" w:rsidRDefault="00B44E40" w:rsidP="00316122">
      <w:pPr>
        <w:spacing w:line="276" w:lineRule="auto"/>
        <w:rPr>
          <w:rFonts w:cstheme="minorHAnsi"/>
          <w:sz w:val="24"/>
          <w:szCs w:val="24"/>
        </w:rPr>
      </w:pPr>
    </w:p>
    <w:p w14:paraId="6651B6D0" w14:textId="77777777" w:rsidR="00D0165B" w:rsidRPr="00316122" w:rsidRDefault="00D0165B" w:rsidP="00316122">
      <w:pPr>
        <w:spacing w:line="276" w:lineRule="auto"/>
        <w:rPr>
          <w:rFonts w:cstheme="minorHAnsi"/>
          <w:sz w:val="24"/>
          <w:szCs w:val="24"/>
        </w:rPr>
      </w:pPr>
    </w:p>
    <w:p w14:paraId="7A1E0CE4" w14:textId="77777777" w:rsidR="00D0165B" w:rsidRPr="00316122" w:rsidRDefault="00D0165B" w:rsidP="00316122">
      <w:pPr>
        <w:spacing w:line="276" w:lineRule="auto"/>
        <w:rPr>
          <w:rFonts w:cstheme="minorHAnsi"/>
          <w:sz w:val="24"/>
          <w:szCs w:val="24"/>
        </w:rPr>
      </w:pPr>
    </w:p>
    <w:p w14:paraId="00A7086A" w14:textId="77777777" w:rsidR="00D0165B" w:rsidRPr="00316122" w:rsidRDefault="00D0165B" w:rsidP="00316122">
      <w:pPr>
        <w:spacing w:line="276" w:lineRule="auto"/>
        <w:rPr>
          <w:rFonts w:cstheme="minorHAnsi"/>
          <w:sz w:val="24"/>
          <w:szCs w:val="24"/>
        </w:rPr>
      </w:pPr>
    </w:p>
    <w:p w14:paraId="7FA5F3DF" w14:textId="77777777" w:rsidR="00D0165B" w:rsidRPr="00316122" w:rsidRDefault="00D0165B" w:rsidP="00316122">
      <w:pPr>
        <w:spacing w:line="276" w:lineRule="auto"/>
        <w:rPr>
          <w:rFonts w:cstheme="minorHAnsi"/>
          <w:sz w:val="24"/>
          <w:szCs w:val="24"/>
        </w:rPr>
      </w:pPr>
    </w:p>
    <w:p w14:paraId="67C4DE01" w14:textId="77777777" w:rsidR="00D0165B" w:rsidRPr="00316122" w:rsidRDefault="00D0165B" w:rsidP="00316122">
      <w:pPr>
        <w:spacing w:line="276" w:lineRule="auto"/>
        <w:rPr>
          <w:rFonts w:cstheme="minorHAnsi"/>
          <w:sz w:val="24"/>
          <w:szCs w:val="24"/>
        </w:rPr>
      </w:pPr>
    </w:p>
    <w:p w14:paraId="50B045C7" w14:textId="77777777" w:rsidR="00D0165B" w:rsidRPr="00316122" w:rsidRDefault="00D0165B" w:rsidP="00316122">
      <w:pPr>
        <w:spacing w:line="276" w:lineRule="auto"/>
        <w:rPr>
          <w:rFonts w:cstheme="minorHAnsi"/>
          <w:sz w:val="24"/>
          <w:szCs w:val="24"/>
        </w:rPr>
      </w:pPr>
    </w:p>
    <w:p w14:paraId="4785B21E" w14:textId="77777777" w:rsidR="00D0165B" w:rsidRPr="00316122" w:rsidRDefault="00D0165B" w:rsidP="00316122">
      <w:pPr>
        <w:spacing w:line="276" w:lineRule="auto"/>
        <w:rPr>
          <w:rFonts w:cstheme="minorHAnsi"/>
          <w:sz w:val="24"/>
          <w:szCs w:val="24"/>
        </w:rPr>
      </w:pPr>
    </w:p>
    <w:p w14:paraId="2F44AEAF" w14:textId="77777777" w:rsidR="00D0165B" w:rsidRPr="00316122" w:rsidRDefault="00D0165B" w:rsidP="00316122">
      <w:pPr>
        <w:spacing w:line="276" w:lineRule="auto"/>
        <w:rPr>
          <w:rFonts w:cstheme="minorHAnsi"/>
          <w:sz w:val="24"/>
          <w:szCs w:val="24"/>
        </w:rPr>
      </w:pPr>
    </w:p>
    <w:p w14:paraId="6877B9B2" w14:textId="77777777" w:rsidR="00D0165B" w:rsidRPr="00316122" w:rsidRDefault="00D0165B" w:rsidP="00316122">
      <w:pPr>
        <w:spacing w:line="276" w:lineRule="auto"/>
        <w:rPr>
          <w:rFonts w:cstheme="minorHAnsi"/>
          <w:sz w:val="24"/>
          <w:szCs w:val="24"/>
        </w:rPr>
      </w:pPr>
    </w:p>
    <w:p w14:paraId="61B1BB38" w14:textId="77777777" w:rsidR="00D0165B" w:rsidRPr="00316122" w:rsidRDefault="00D0165B" w:rsidP="00316122">
      <w:pPr>
        <w:spacing w:line="276" w:lineRule="auto"/>
        <w:rPr>
          <w:rFonts w:cstheme="minorHAnsi"/>
          <w:sz w:val="24"/>
          <w:szCs w:val="24"/>
        </w:rPr>
      </w:pPr>
    </w:p>
    <w:p w14:paraId="2D4047DF" w14:textId="179A0033" w:rsidR="00D0165B" w:rsidRPr="00316122" w:rsidRDefault="00D0165B" w:rsidP="00316122">
      <w:pPr>
        <w:spacing w:line="276" w:lineRule="auto"/>
        <w:rPr>
          <w:rFonts w:cstheme="minorHAnsi"/>
          <w:b/>
          <w:bCs/>
          <w:sz w:val="24"/>
          <w:szCs w:val="24"/>
        </w:rPr>
      </w:pPr>
      <w:r w:rsidRPr="00316122">
        <w:rPr>
          <w:rFonts w:cstheme="minorHAnsi"/>
          <w:b/>
          <w:bCs/>
          <w:sz w:val="24"/>
          <w:szCs w:val="24"/>
        </w:rPr>
        <w:lastRenderedPageBreak/>
        <w:t xml:space="preserve">Essay Three - Is MAPPA an effective means of managing violent and sexual offenders? What increases or detracts from its effectiveness? </w:t>
      </w:r>
    </w:p>
    <w:p w14:paraId="495D7DF1" w14:textId="0A066472" w:rsidR="00D0165B" w:rsidRPr="00316122" w:rsidRDefault="00D0165B" w:rsidP="00316122">
      <w:pPr>
        <w:spacing w:line="276" w:lineRule="auto"/>
        <w:rPr>
          <w:rFonts w:cstheme="minorHAnsi"/>
          <w:sz w:val="24"/>
          <w:szCs w:val="24"/>
        </w:rPr>
      </w:pPr>
      <w:r w:rsidRPr="00316122">
        <w:rPr>
          <w:rFonts w:cstheme="minorHAnsi"/>
          <w:sz w:val="24"/>
          <w:szCs w:val="24"/>
        </w:rPr>
        <w:t xml:space="preserve">MAPPA is a multi-agency public protection arrangement. This is a relationship between the Police, prison, and probation service, ensuring that each responsible authority is working together. “Multi-agency public protection arrangements (MAPPA) were introduced in 2001 with the aim of improving inter-agency collaboration” (Multi-agency public protection arrangements, 2021). </w:t>
      </w:r>
    </w:p>
    <w:p w14:paraId="262B0C61" w14:textId="32481A91" w:rsidR="00D0165B" w:rsidRPr="00316122" w:rsidRDefault="00D0165B" w:rsidP="00316122">
      <w:pPr>
        <w:spacing w:line="276" w:lineRule="auto"/>
        <w:rPr>
          <w:rFonts w:cstheme="minorHAnsi"/>
          <w:sz w:val="24"/>
          <w:szCs w:val="24"/>
        </w:rPr>
      </w:pPr>
      <w:r w:rsidRPr="00316122">
        <w:rPr>
          <w:rFonts w:cstheme="minorHAnsi"/>
          <w:sz w:val="24"/>
          <w:szCs w:val="24"/>
        </w:rPr>
        <w:t xml:space="preserve">MAPPA requires criminal justice agencies and other bodies to work in partnership with offenders. MAPPA works and manages offenders who have committed crimes of a sexual nature, and violent offenders. </w:t>
      </w:r>
    </w:p>
    <w:p w14:paraId="32F3B246" w14:textId="13300C83" w:rsidR="00D0165B" w:rsidRPr="00316122" w:rsidRDefault="00D0165B" w:rsidP="00316122">
      <w:pPr>
        <w:spacing w:line="276" w:lineRule="auto"/>
        <w:rPr>
          <w:rFonts w:cstheme="minorHAnsi"/>
          <w:sz w:val="24"/>
          <w:szCs w:val="24"/>
        </w:rPr>
      </w:pPr>
      <w:r w:rsidRPr="00316122">
        <w:rPr>
          <w:rFonts w:cstheme="minorHAnsi"/>
          <w:sz w:val="24"/>
          <w:szCs w:val="24"/>
        </w:rPr>
        <w:t xml:space="preserve">“At the end of March 2019, there were 82,921 MAPPA nominals in Wales and England. This had risen by 85 per cent since 2009.” (Multi-agency public protection arrangements, 2021). </w:t>
      </w:r>
    </w:p>
    <w:p w14:paraId="21E39542" w14:textId="3BCB8C29" w:rsidR="00D0165B" w:rsidRPr="00316122" w:rsidRDefault="00D0165B" w:rsidP="00316122">
      <w:pPr>
        <w:spacing w:line="276" w:lineRule="auto"/>
        <w:rPr>
          <w:rFonts w:cstheme="minorHAnsi"/>
          <w:sz w:val="24"/>
          <w:szCs w:val="24"/>
        </w:rPr>
      </w:pPr>
      <w:r w:rsidRPr="00316122">
        <w:rPr>
          <w:rFonts w:cstheme="minorHAnsi"/>
          <w:sz w:val="24"/>
          <w:szCs w:val="24"/>
        </w:rPr>
        <w:t xml:space="preserve">MAPPA is managed on three different levels. The levels have been categorised by the involvement of agencies. Level 1 identifies registered sex offenders managed by a single agency management who are not involved in a MAPPA discussion.  In 2019 “73% of MAPPA nominals were registered sexual offenders” (Multi-agency public protection arrangements, 2021).  </w:t>
      </w:r>
    </w:p>
    <w:p w14:paraId="1D7B919E" w14:textId="41D635C5" w:rsidR="00D0165B" w:rsidRPr="00316122" w:rsidRDefault="00D0165B" w:rsidP="00316122">
      <w:pPr>
        <w:spacing w:line="276" w:lineRule="auto"/>
        <w:rPr>
          <w:rFonts w:cstheme="minorHAnsi"/>
          <w:sz w:val="24"/>
          <w:szCs w:val="24"/>
        </w:rPr>
      </w:pPr>
      <w:r w:rsidRPr="00316122">
        <w:rPr>
          <w:rFonts w:cstheme="minorHAnsi"/>
          <w:sz w:val="24"/>
          <w:szCs w:val="24"/>
        </w:rPr>
        <w:t xml:space="preserve">Offenders who are violent, and, or have been convicted of a violent offence are categorised as Level 2 offender who have been sentenced to a minimum of 12 months in custody or detained under a hospital order.  These offenders are managed by multi agencies and may not be on the sex offenders' register.  </w:t>
      </w:r>
    </w:p>
    <w:p w14:paraId="7071711C" w14:textId="51D98C66" w:rsidR="00D0165B" w:rsidRPr="00316122" w:rsidRDefault="00D0165B" w:rsidP="00316122">
      <w:pPr>
        <w:spacing w:line="276" w:lineRule="auto"/>
        <w:rPr>
          <w:rFonts w:cstheme="minorHAnsi"/>
          <w:sz w:val="24"/>
          <w:szCs w:val="24"/>
        </w:rPr>
      </w:pPr>
      <w:r w:rsidRPr="00316122">
        <w:rPr>
          <w:rFonts w:cstheme="minorHAnsi"/>
          <w:sz w:val="24"/>
          <w:szCs w:val="24"/>
        </w:rPr>
        <w:t xml:space="preserve">Level 3 offenders are any other threatening offenders where multi-agency management is essential and overseen by senior management. </w:t>
      </w:r>
    </w:p>
    <w:p w14:paraId="5262845E" w14:textId="2CC3CE7B" w:rsidR="00D0165B" w:rsidRPr="00316122" w:rsidRDefault="00D0165B" w:rsidP="00316122">
      <w:pPr>
        <w:spacing w:line="276" w:lineRule="auto"/>
        <w:rPr>
          <w:rFonts w:cstheme="minorHAnsi"/>
          <w:sz w:val="24"/>
          <w:szCs w:val="24"/>
        </w:rPr>
      </w:pPr>
      <w:r w:rsidRPr="00316122">
        <w:rPr>
          <w:rFonts w:cstheme="minorHAnsi"/>
          <w:sz w:val="24"/>
          <w:szCs w:val="24"/>
        </w:rPr>
        <w:t xml:space="preserve">The National MAPPA research conducted by the Policing Institute for the Eastern Region examined the effectiveness of MAPPA in Wales and England. The study was an analysis of 39,000 individuals subject to MAPPA management “made up of three components: process effectiveness analysis, proven reoffending analysis and a serious case review analysis” (Lundrigan, S. and Mann, N., 2021). </w:t>
      </w:r>
    </w:p>
    <w:p w14:paraId="5C347C35" w14:textId="2D5F7C4E" w:rsidR="00D0165B" w:rsidRPr="00316122" w:rsidRDefault="00D0165B" w:rsidP="00316122">
      <w:pPr>
        <w:spacing w:line="276" w:lineRule="auto"/>
        <w:rPr>
          <w:rFonts w:cstheme="minorHAnsi"/>
          <w:sz w:val="24"/>
          <w:szCs w:val="24"/>
        </w:rPr>
      </w:pPr>
      <w:r w:rsidRPr="00316122">
        <w:rPr>
          <w:rFonts w:cstheme="minorHAnsi"/>
          <w:sz w:val="24"/>
          <w:szCs w:val="24"/>
        </w:rPr>
        <w:t xml:space="preserve">Evidence shown in Multi-agency public protection arrangements (2021) summarises MAPPA’s success and shows the recorded rates of reoffending by those managed by MAPPA. The reoffending rates of those managed under MAPPA are less than half of that of the national average. Category 2 proven reoffending rate within a year, amongst sexual and violent offenders decreased from 26% in 2000, pre-implementation of MAPPA, to 23% in 2004, and changed between 22% and 24% from 2004 to 2010.Another success of MAPPA is it’s positive perception by its users. Wood et al. (2007, cited in Mann, N. and Lundrigan, S. 2023) found that those managed by MAPPA believed that the system supported their personal targets and they argued that they benefited from the system.  </w:t>
      </w:r>
    </w:p>
    <w:p w14:paraId="32D48A9F" w14:textId="19DEF77F" w:rsidR="00D0165B" w:rsidRPr="00316122" w:rsidRDefault="00D0165B" w:rsidP="00316122">
      <w:pPr>
        <w:spacing w:line="276" w:lineRule="auto"/>
        <w:rPr>
          <w:rFonts w:cstheme="minorHAnsi"/>
          <w:sz w:val="24"/>
          <w:szCs w:val="24"/>
        </w:rPr>
      </w:pPr>
      <w:r w:rsidRPr="00316122">
        <w:rPr>
          <w:rFonts w:cstheme="minorHAnsi"/>
          <w:sz w:val="24"/>
          <w:szCs w:val="24"/>
        </w:rPr>
        <w:lastRenderedPageBreak/>
        <w:t xml:space="preserve">Weaver and Barry (2014) interviewed MAPPA managed individuals and MAPPA practitioners and found that an individual showed higher levels to cooperation and desire to conform with supervision displayed an improved willingness to conform with supervision. They also showed willingness to apply their learning to modify their behaviours and actions.  </w:t>
      </w:r>
    </w:p>
    <w:p w14:paraId="307A090B" w14:textId="3A83C91B" w:rsidR="00D0165B" w:rsidRPr="00316122" w:rsidRDefault="00D0165B" w:rsidP="00316122">
      <w:pPr>
        <w:spacing w:line="276" w:lineRule="auto"/>
        <w:rPr>
          <w:rFonts w:cstheme="minorHAnsi"/>
          <w:sz w:val="24"/>
          <w:szCs w:val="24"/>
        </w:rPr>
      </w:pPr>
      <w:r w:rsidRPr="00316122">
        <w:rPr>
          <w:rFonts w:cstheme="minorHAnsi"/>
          <w:sz w:val="24"/>
          <w:szCs w:val="24"/>
        </w:rPr>
        <w:t xml:space="preserve">However, in 2022, the Criminal Justice Joint Inspectorate managed a thematic inspection of MAPPA (CJJI, 2022) which reported that some MAPPA managed individuals felt that their ‘MAPPA label’ targeted and stigmatised them. Yet, the report also noted that MAPPA managed individuals were appreciative of MAPPA’s support.  </w:t>
      </w:r>
    </w:p>
    <w:p w14:paraId="73A1CFDB" w14:textId="61ACED23" w:rsidR="00D0165B" w:rsidRPr="00316122" w:rsidRDefault="00D0165B" w:rsidP="00316122">
      <w:pPr>
        <w:spacing w:line="276" w:lineRule="auto"/>
        <w:rPr>
          <w:rFonts w:cstheme="minorHAnsi"/>
          <w:sz w:val="24"/>
          <w:szCs w:val="24"/>
        </w:rPr>
      </w:pPr>
      <w:r w:rsidRPr="00316122">
        <w:rPr>
          <w:rFonts w:cstheme="minorHAnsi"/>
          <w:sz w:val="24"/>
          <w:szCs w:val="24"/>
        </w:rPr>
        <w:t xml:space="preserve">Wood et al. (2007, cited in Mann, N. and Lundrigan, S. 2023) found that practitioners involved in the MAPPA management of registered sex offenders, recognised MAPPA as a system which increased interagency working and consequently, levels of accountability. Furthermore, practitioners argued that MAPPA allows access to vital resource sharing to promote the successful management of MAPPA’s users. In 2011, HM Inspectorate of Probation and HMI Constabulary conducted a joint inspection of MAPPA and discovered that multi agencies showed readiness to cooperate effectively and share information. Wood et al. (2007) argued that without MAPPA, there may have been inconsistent practice.  </w:t>
      </w:r>
    </w:p>
    <w:p w14:paraId="74A00D74" w14:textId="4212330D" w:rsidR="00D0165B" w:rsidRPr="00316122" w:rsidRDefault="00D0165B" w:rsidP="00316122">
      <w:pPr>
        <w:spacing w:line="276" w:lineRule="auto"/>
        <w:rPr>
          <w:rFonts w:cstheme="minorHAnsi"/>
          <w:sz w:val="24"/>
          <w:szCs w:val="24"/>
        </w:rPr>
      </w:pPr>
      <w:r w:rsidRPr="00316122">
        <w:rPr>
          <w:rFonts w:cstheme="minorHAnsi"/>
          <w:sz w:val="24"/>
          <w:szCs w:val="24"/>
        </w:rPr>
        <w:t xml:space="preserve">However, experienced MAPPA managers expressed concern that there is a risk to effective collaboration and information sharing due to the high rates of staff turnover withing the police force. It was argued that effective communication and information sharing was hindered by the loss of experienced staff members, lack of established professional relationships. CJJI, 2022 reported 45% of MAPPA practitioners included in the report felt they’d received inadequate MAPPA training Mann, N. and Lundrigan, S. 2023). </w:t>
      </w:r>
    </w:p>
    <w:p w14:paraId="65D8F1F4" w14:textId="4F3D63AC" w:rsidR="00D0165B" w:rsidRPr="00316122" w:rsidRDefault="00D0165B" w:rsidP="00316122">
      <w:pPr>
        <w:spacing w:line="276" w:lineRule="auto"/>
        <w:rPr>
          <w:rFonts w:cstheme="minorHAnsi"/>
          <w:sz w:val="24"/>
          <w:szCs w:val="24"/>
        </w:rPr>
      </w:pPr>
      <w:r w:rsidRPr="00316122">
        <w:rPr>
          <w:rFonts w:cstheme="minorHAnsi"/>
          <w:sz w:val="24"/>
          <w:szCs w:val="24"/>
        </w:rPr>
        <w:t xml:space="preserve">Furthermore, MAPPA meetings are reported to be ‘intense’ and at times ‘confrontational. Practitioners argued that firmly established relationships and practitioner’s experience were crucial in encouraging confidence necessary to participate in the ‘intense’ and ‘confrontational’ meetings. It was suggested to be a difficult environment for new or less confident practitioners.  </w:t>
      </w:r>
    </w:p>
    <w:p w14:paraId="29603A0E" w14:textId="306FB903" w:rsidR="00D0165B" w:rsidRPr="00316122" w:rsidRDefault="00D0165B" w:rsidP="00316122">
      <w:pPr>
        <w:spacing w:line="276" w:lineRule="auto"/>
        <w:rPr>
          <w:rFonts w:cstheme="minorHAnsi"/>
          <w:sz w:val="24"/>
          <w:szCs w:val="24"/>
        </w:rPr>
      </w:pPr>
      <w:r w:rsidRPr="00316122">
        <w:rPr>
          <w:rFonts w:cstheme="minorHAnsi"/>
          <w:sz w:val="24"/>
          <w:szCs w:val="24"/>
        </w:rPr>
        <w:t xml:space="preserve">As well as practitioner's experience affecting information sharing, another noted factor distracting from MAPPA’s effectiveness is the uncertainty of what information can legally be distributed, with whom and for what reason. Where the 2021 MAPPA guidance lacked clarity,  MAPPA practitioners tended to be overly cautious (Mann, N. and Lundrigan, S. 2023).   </w:t>
      </w:r>
    </w:p>
    <w:p w14:paraId="6B9FF842" w14:textId="77777777" w:rsidR="00D0165B" w:rsidRPr="00316122" w:rsidRDefault="00D0165B" w:rsidP="00316122">
      <w:pPr>
        <w:spacing w:line="276" w:lineRule="auto"/>
        <w:rPr>
          <w:rFonts w:cstheme="minorHAnsi"/>
          <w:sz w:val="24"/>
          <w:szCs w:val="24"/>
        </w:rPr>
      </w:pPr>
      <w:r w:rsidRPr="00316122">
        <w:rPr>
          <w:rFonts w:cstheme="minorHAnsi"/>
          <w:sz w:val="24"/>
          <w:szCs w:val="24"/>
        </w:rPr>
        <w:t xml:space="preserve">The Independent Review of Statutory Multiagency Public Protection Arrangements (2020) found that confidentiality negatively impacted information sharing on several occasions which practitioners identified as concerning. Practitioners shared examples of times where they withheld information that could support a case in focus but concern for data protection and confidentiality restricted information sharing. </w:t>
      </w:r>
    </w:p>
    <w:p w14:paraId="3047FF44" w14:textId="6DFB7E59" w:rsidR="00D0165B" w:rsidRPr="00316122" w:rsidRDefault="00D0165B" w:rsidP="00316122">
      <w:pPr>
        <w:spacing w:line="276" w:lineRule="auto"/>
        <w:rPr>
          <w:rFonts w:cstheme="minorHAnsi"/>
          <w:sz w:val="24"/>
          <w:szCs w:val="24"/>
        </w:rPr>
      </w:pPr>
      <w:r w:rsidRPr="00316122">
        <w:rPr>
          <w:rFonts w:cstheme="minorHAnsi"/>
          <w:sz w:val="24"/>
          <w:szCs w:val="24"/>
        </w:rPr>
        <w:lastRenderedPageBreak/>
        <w:t xml:space="preserve">The MAPPA guidance on information sharing with the Parole Board was believed by Parole Board members to be unhelpful as it lacked clarity. Parole Board practitioners found requested information dissemination amongst agencies encountered hostility.  </w:t>
      </w:r>
    </w:p>
    <w:p w14:paraId="2E566437" w14:textId="642B10C5" w:rsidR="00D0165B" w:rsidRPr="00316122" w:rsidRDefault="00D0165B" w:rsidP="00316122">
      <w:pPr>
        <w:spacing w:line="276" w:lineRule="auto"/>
        <w:rPr>
          <w:rFonts w:cstheme="minorHAnsi"/>
          <w:sz w:val="24"/>
          <w:szCs w:val="24"/>
        </w:rPr>
      </w:pPr>
      <w:r w:rsidRPr="00316122">
        <w:rPr>
          <w:rFonts w:cstheme="minorHAnsi"/>
          <w:sz w:val="24"/>
          <w:szCs w:val="24"/>
        </w:rPr>
        <w:t xml:space="preserve">The 2022 updated MAPPA guidance aimed to provide clarity on procedures and rules of sharing information. The Police Crime Sentencing and Courts Act (PCSCA) 2022 also aimed to provide clarity on information sharing by including all agencies which ‘may contribute to the assessment and management of the risk presented by MAPPA offenders’ (MAPPA, 2022:6). </w:t>
      </w:r>
    </w:p>
    <w:p w14:paraId="542DFF68" w14:textId="632F39E5" w:rsidR="00D0165B" w:rsidRPr="00316122" w:rsidRDefault="00D0165B" w:rsidP="00316122">
      <w:pPr>
        <w:spacing w:line="276" w:lineRule="auto"/>
        <w:rPr>
          <w:rFonts w:cstheme="minorHAnsi"/>
          <w:sz w:val="24"/>
          <w:szCs w:val="24"/>
        </w:rPr>
      </w:pPr>
      <w:r w:rsidRPr="00316122">
        <w:rPr>
          <w:rFonts w:cstheme="minorHAnsi"/>
          <w:sz w:val="24"/>
          <w:szCs w:val="24"/>
        </w:rPr>
        <w:t xml:space="preserve">Overall, practitioners believed MAPPA to be a good system to protect the public. However, practitioners believed that the lack of resources and attendance of some agencies hindered the MAPPA system. Attendance was described as inconsistent with the some agencies repeatedly absent from meetings such as Adult Social Care, Children’s Services and Mental Health. (Lundrigan, S. and Mann, N. (2021) </w:t>
      </w:r>
    </w:p>
    <w:p w14:paraId="7C8C8155" w14:textId="25CCE859" w:rsidR="00D0165B" w:rsidRPr="00316122" w:rsidRDefault="00D0165B" w:rsidP="00316122">
      <w:pPr>
        <w:spacing w:line="276" w:lineRule="auto"/>
        <w:rPr>
          <w:rFonts w:cstheme="minorHAnsi"/>
          <w:sz w:val="24"/>
          <w:szCs w:val="24"/>
        </w:rPr>
      </w:pPr>
      <w:r w:rsidRPr="00316122">
        <w:rPr>
          <w:rFonts w:cstheme="minorHAnsi"/>
          <w:sz w:val="24"/>
          <w:szCs w:val="24"/>
        </w:rPr>
        <w:t xml:space="preserve">The 2022 guidance states that it’s best practice for a mental health representative to attend panel meetings and that a sufficient level of representation, who has as good operational knowledge and authority to access resources. (Lundrigan, S. and Mann, N. (2021) </w:t>
      </w:r>
    </w:p>
    <w:p w14:paraId="0BA0F6F6" w14:textId="40FA7639" w:rsidR="00D0165B" w:rsidRPr="00316122" w:rsidRDefault="00D0165B" w:rsidP="00316122">
      <w:pPr>
        <w:spacing w:line="276" w:lineRule="auto"/>
        <w:rPr>
          <w:rFonts w:cstheme="minorHAnsi"/>
          <w:sz w:val="24"/>
          <w:szCs w:val="24"/>
        </w:rPr>
      </w:pPr>
      <w:r w:rsidRPr="00316122">
        <w:rPr>
          <w:rFonts w:cstheme="minorHAnsi"/>
          <w:sz w:val="24"/>
          <w:szCs w:val="24"/>
        </w:rPr>
        <w:t xml:space="preserve">A second joint inspection (HM Inspectorate of Probation and HMI Constabulary, 2015) published findings of an improvement in MAPPA practice in some key areas such as improved management and improved pinpointing of the lead agency. (HM Inspectorate of Probation and HMI Constabulary, 2015). </w:t>
      </w:r>
    </w:p>
    <w:p w14:paraId="0DCD4562" w14:textId="392EEE78" w:rsidR="00D0165B" w:rsidRPr="00316122" w:rsidRDefault="00D0165B" w:rsidP="00316122">
      <w:pPr>
        <w:spacing w:line="276" w:lineRule="auto"/>
        <w:rPr>
          <w:rFonts w:cstheme="minorHAnsi"/>
          <w:sz w:val="24"/>
          <w:szCs w:val="24"/>
        </w:rPr>
      </w:pPr>
      <w:r w:rsidRPr="00316122">
        <w:rPr>
          <w:rFonts w:cstheme="minorHAnsi"/>
          <w:sz w:val="24"/>
          <w:szCs w:val="24"/>
        </w:rPr>
        <w:t xml:space="preserve">To conclude, MAPPA has some features such as multi agency sharing of information and resources which is believed to be an effective means of managing violent and sexual offenders. However, there are several issues and failings within MAPPA which detracts from its effectiveness.  </w:t>
      </w:r>
    </w:p>
    <w:p w14:paraId="72D55592"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7D40C0AA" w14:textId="4611A122" w:rsidR="00B44E40" w:rsidRPr="00316122" w:rsidRDefault="00D0165B" w:rsidP="00316122">
      <w:pPr>
        <w:spacing w:line="276" w:lineRule="auto"/>
        <w:rPr>
          <w:rFonts w:cstheme="minorHAnsi"/>
          <w:sz w:val="24"/>
          <w:szCs w:val="24"/>
        </w:rPr>
      </w:pPr>
      <w:r w:rsidRPr="00316122">
        <w:rPr>
          <w:rFonts w:cstheme="minorHAnsi"/>
          <w:sz w:val="24"/>
          <w:szCs w:val="24"/>
        </w:rPr>
        <w:t>Word count - 1099</w:t>
      </w:r>
    </w:p>
    <w:p w14:paraId="382C3910"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1395E5AB" w14:textId="77777777" w:rsidR="00B44E40" w:rsidRPr="00316122" w:rsidRDefault="00B44E40" w:rsidP="00316122">
      <w:pPr>
        <w:spacing w:line="276" w:lineRule="auto"/>
        <w:rPr>
          <w:rFonts w:cstheme="minorHAnsi"/>
          <w:sz w:val="24"/>
          <w:szCs w:val="24"/>
        </w:rPr>
      </w:pPr>
    </w:p>
    <w:p w14:paraId="78989634"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10C734DE" w14:textId="77777777" w:rsidR="00B44E40" w:rsidRPr="00316122" w:rsidRDefault="00B44E40" w:rsidP="00316122">
      <w:pPr>
        <w:spacing w:line="276" w:lineRule="auto"/>
        <w:rPr>
          <w:rFonts w:cstheme="minorHAnsi"/>
          <w:sz w:val="24"/>
          <w:szCs w:val="24"/>
        </w:rPr>
      </w:pPr>
    </w:p>
    <w:p w14:paraId="4543D262"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55EADA1C" w14:textId="77777777" w:rsidR="00B44E40" w:rsidRPr="00316122" w:rsidRDefault="00B44E40" w:rsidP="00316122">
      <w:pPr>
        <w:spacing w:line="276" w:lineRule="auto"/>
        <w:rPr>
          <w:rFonts w:cstheme="minorHAnsi"/>
          <w:sz w:val="24"/>
          <w:szCs w:val="24"/>
        </w:rPr>
      </w:pPr>
    </w:p>
    <w:p w14:paraId="309E86DB" w14:textId="6DDB1F1F"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33451966" w14:textId="77777777" w:rsidR="00A52D9A" w:rsidRPr="00316122" w:rsidRDefault="00A52D9A" w:rsidP="00316122">
      <w:pPr>
        <w:spacing w:line="276" w:lineRule="auto"/>
        <w:rPr>
          <w:rFonts w:cstheme="minorHAnsi"/>
          <w:sz w:val="24"/>
          <w:szCs w:val="24"/>
        </w:rPr>
      </w:pPr>
    </w:p>
    <w:p w14:paraId="30C528AF" w14:textId="77777777" w:rsidR="00A52D9A" w:rsidRPr="00316122" w:rsidRDefault="00A52D9A" w:rsidP="00316122">
      <w:pPr>
        <w:spacing w:line="276" w:lineRule="auto"/>
        <w:rPr>
          <w:rFonts w:cstheme="minorHAnsi"/>
          <w:b/>
          <w:bCs/>
          <w:sz w:val="24"/>
          <w:szCs w:val="24"/>
        </w:rPr>
      </w:pPr>
      <w:r w:rsidRPr="00316122">
        <w:rPr>
          <w:rFonts w:cstheme="minorHAnsi"/>
          <w:b/>
          <w:bCs/>
          <w:sz w:val="24"/>
          <w:szCs w:val="24"/>
        </w:rPr>
        <w:lastRenderedPageBreak/>
        <w:t>Essay Four: 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w:t>
      </w:r>
    </w:p>
    <w:p w14:paraId="16B68DB4" w14:textId="77777777" w:rsidR="00A52D9A" w:rsidRPr="00316122" w:rsidRDefault="00A52D9A" w:rsidP="00316122">
      <w:pPr>
        <w:spacing w:line="276" w:lineRule="auto"/>
        <w:rPr>
          <w:rFonts w:cstheme="minorHAnsi"/>
          <w:sz w:val="24"/>
          <w:szCs w:val="24"/>
        </w:rPr>
      </w:pPr>
    </w:p>
    <w:p w14:paraId="2DB2231C" w14:textId="59B20D8C" w:rsidR="00A52D9A" w:rsidRPr="00316122" w:rsidRDefault="00A52D9A" w:rsidP="00316122">
      <w:pPr>
        <w:spacing w:line="276" w:lineRule="auto"/>
        <w:rPr>
          <w:rFonts w:cstheme="minorHAnsi"/>
          <w:sz w:val="24"/>
          <w:szCs w:val="24"/>
        </w:rPr>
      </w:pPr>
      <w:r w:rsidRPr="00316122">
        <w:rPr>
          <w:rFonts w:cstheme="minorHAnsi"/>
          <w:sz w:val="24"/>
          <w:szCs w:val="24"/>
        </w:rPr>
        <w:t>In this essay, I will explain the importance of independent bodies' existence to hold police officers accountable</w:t>
      </w:r>
      <w:r w:rsidR="00316122" w:rsidRPr="00316122">
        <w:rPr>
          <w:rFonts w:cstheme="minorHAnsi"/>
          <w:sz w:val="24"/>
          <w:szCs w:val="24"/>
        </w:rPr>
        <w:t xml:space="preserve"> in light of recent scandals that have </w:t>
      </w:r>
      <w:r w:rsidR="00316122" w:rsidRPr="00316122">
        <w:rPr>
          <w:rFonts w:cstheme="minorHAnsi"/>
          <w:sz w:val="24"/>
          <w:szCs w:val="24"/>
        </w:rPr>
        <w:t>exposed severe flaws in forces’ internal vetting and misconduct procedures and affected public confidence in the police</w:t>
      </w:r>
      <w:r w:rsidR="00316122" w:rsidRPr="00316122">
        <w:rPr>
          <w:rFonts w:cstheme="minorHAnsi"/>
          <w:sz w:val="24"/>
          <w:szCs w:val="24"/>
        </w:rPr>
        <w:t>.</w:t>
      </w:r>
    </w:p>
    <w:p w14:paraId="793CA173" w14:textId="2B6FAA3D" w:rsidR="00A52D9A" w:rsidRPr="00316122" w:rsidRDefault="00A52D9A" w:rsidP="00316122">
      <w:pPr>
        <w:spacing w:line="276" w:lineRule="auto"/>
        <w:rPr>
          <w:rFonts w:cstheme="minorHAnsi"/>
          <w:sz w:val="24"/>
          <w:szCs w:val="24"/>
        </w:rPr>
      </w:pPr>
      <w:r w:rsidRPr="00316122">
        <w:rPr>
          <w:rFonts w:cstheme="minorHAnsi"/>
          <w:sz w:val="24"/>
          <w:szCs w:val="24"/>
        </w:rPr>
        <w:t>Two main independent bodies</w:t>
      </w:r>
      <w:r w:rsidR="00316122" w:rsidRPr="00316122">
        <w:rPr>
          <w:rFonts w:cstheme="minorHAnsi"/>
          <w:sz w:val="24"/>
          <w:szCs w:val="24"/>
        </w:rPr>
        <w:t xml:space="preserve"> in the United Kingdom that</w:t>
      </w:r>
      <w:r w:rsidRPr="00316122">
        <w:rPr>
          <w:rFonts w:cstheme="minorHAnsi"/>
          <w:sz w:val="24"/>
          <w:szCs w:val="24"/>
        </w:rPr>
        <w:t xml:space="preserve"> ensure police are held accountable.</w:t>
      </w:r>
    </w:p>
    <w:p w14:paraId="02C399D1" w14:textId="1B87581A" w:rsidR="00A52D9A" w:rsidRPr="00316122" w:rsidRDefault="00A52D9A" w:rsidP="00316122">
      <w:pPr>
        <w:spacing w:line="276" w:lineRule="auto"/>
        <w:rPr>
          <w:rFonts w:cstheme="minorHAnsi"/>
          <w:sz w:val="24"/>
          <w:szCs w:val="24"/>
        </w:rPr>
      </w:pPr>
      <w:r w:rsidRPr="00316122">
        <w:rPr>
          <w:rFonts w:cstheme="minorHAnsi"/>
          <w:sz w:val="24"/>
          <w:szCs w:val="24"/>
        </w:rPr>
        <w:t>Firstly, there is the Independent Office for Police Conduct (IOPC). The IOPC investigate the most severe issues whilst facilitating the rights of the public, to foster learning and encourage change in policing (Independent Office for Police Conduct, 2023).</w:t>
      </w:r>
    </w:p>
    <w:p w14:paraId="3C889CCB" w14:textId="324B8D1A" w:rsidR="00A52D9A" w:rsidRPr="00316122" w:rsidRDefault="00A52D9A" w:rsidP="00316122">
      <w:pPr>
        <w:spacing w:line="276" w:lineRule="auto"/>
        <w:rPr>
          <w:rFonts w:cstheme="minorHAnsi"/>
          <w:sz w:val="24"/>
          <w:szCs w:val="24"/>
        </w:rPr>
      </w:pPr>
      <w:r w:rsidRPr="00316122">
        <w:rPr>
          <w:rFonts w:cstheme="minorHAnsi"/>
          <w:sz w:val="24"/>
          <w:szCs w:val="24"/>
        </w:rPr>
        <w:t>The IOPC states that by ensuring misconduct is addressed and consequently holding officers accountable for wrongdoings, the system increases public confidence in the police. Richards, G. (2023)</w:t>
      </w:r>
    </w:p>
    <w:p w14:paraId="2A7CB0B4" w14:textId="1770E601" w:rsidR="00A52D9A" w:rsidRPr="00316122" w:rsidRDefault="00A52D9A" w:rsidP="00316122">
      <w:pPr>
        <w:spacing w:line="276" w:lineRule="auto"/>
        <w:rPr>
          <w:rFonts w:cstheme="minorHAnsi"/>
          <w:sz w:val="24"/>
          <w:szCs w:val="24"/>
        </w:rPr>
      </w:pPr>
      <w:r w:rsidRPr="00316122">
        <w:rPr>
          <w:rFonts w:cstheme="minorHAnsi"/>
          <w:sz w:val="24"/>
          <w:szCs w:val="24"/>
        </w:rPr>
        <w:t>Secondly, there is His Majesty's Inspectorate of Constabulary and Fire &amp; Rescue Services (HMICFRS). HM Inspectorate of Constabulary and Fire &amp; Rescue Services (HMICFRS) is independent of the Police Service and the Government. Its purpose is to boost the productivity and success of police forces and policing organisations by implementing assessments and inspections in England, Wales and Northern Ireland (His Majesty’s Inspectorate of Constabulary and Fire &amp; Rescue Services (HMICFRS) 2023).</w:t>
      </w:r>
    </w:p>
    <w:p w14:paraId="190F1EA1" w14:textId="613479BF" w:rsidR="00A52D9A" w:rsidRPr="00316122" w:rsidRDefault="00A52D9A" w:rsidP="00316122">
      <w:pPr>
        <w:spacing w:line="276" w:lineRule="auto"/>
        <w:rPr>
          <w:rFonts w:cstheme="minorHAnsi"/>
          <w:sz w:val="24"/>
          <w:szCs w:val="24"/>
        </w:rPr>
      </w:pPr>
      <w:r w:rsidRPr="00316122">
        <w:rPr>
          <w:rFonts w:cstheme="minorHAnsi"/>
          <w:sz w:val="24"/>
          <w:szCs w:val="24"/>
        </w:rPr>
        <w:t>Before June 1997, there were no independent bodies and complaints against police officers were managed directly by the police forces themselves. On June 1st, 1997, the Police Complaints Board was established and chaired by Lord Plowden. Because of Lord Scarman’s report on the Brixton riots of 1981, the complaints system was reassessed and the Police and Criminal Evidence Act 1984 was established. The Police Complaints Board was replaced with the Police Complaints Authority (PCA) under Section 83 of the Act and started work in April 1985. Years later, The Police Complaints Authority was replaced by the Independent Police Complaints Commission (IPCC) in April 2004 under the Police Reform Act 2002. There were significant staff, assets, and ongoing investigation transfers between IPCC and the PCA.</w:t>
      </w:r>
    </w:p>
    <w:p w14:paraId="28DD33E7" w14:textId="352F75DF" w:rsidR="00A52D9A" w:rsidRPr="00316122" w:rsidRDefault="00A52D9A" w:rsidP="00316122">
      <w:pPr>
        <w:spacing w:line="276" w:lineRule="auto"/>
        <w:rPr>
          <w:rFonts w:cstheme="minorHAnsi"/>
          <w:sz w:val="24"/>
          <w:szCs w:val="24"/>
        </w:rPr>
      </w:pPr>
      <w:r w:rsidRPr="00316122">
        <w:rPr>
          <w:rFonts w:cstheme="minorHAnsi"/>
          <w:sz w:val="24"/>
          <w:szCs w:val="24"/>
        </w:rPr>
        <w:t>On 8 January 2018, The Independent Office for Police Conduct (IOPC) replaced the IPCC on 8 January 2018. The IOPC was born from the Policing and Crime Act 2017 to oversee the police complaints system and monitor how police complaints are dealt with by the police force.</w:t>
      </w:r>
    </w:p>
    <w:p w14:paraId="491CE3C8" w14:textId="77777777" w:rsidR="00A52D9A" w:rsidRPr="00316122" w:rsidRDefault="00A52D9A" w:rsidP="00316122">
      <w:pPr>
        <w:spacing w:line="276" w:lineRule="auto"/>
        <w:rPr>
          <w:rFonts w:cstheme="minorHAnsi"/>
          <w:sz w:val="24"/>
          <w:szCs w:val="24"/>
        </w:rPr>
      </w:pPr>
      <w:r w:rsidRPr="00316122">
        <w:rPr>
          <w:rFonts w:cstheme="minorHAnsi"/>
          <w:sz w:val="24"/>
          <w:szCs w:val="24"/>
        </w:rPr>
        <w:t>It is argued that independent bodies play a significant role in holding police officers accountable for numerous reasons. One reason is public confidence and trust in the police force.</w:t>
      </w:r>
    </w:p>
    <w:p w14:paraId="595AFC78" w14:textId="78C9AB8C" w:rsidR="00A52D9A" w:rsidRPr="00316122" w:rsidRDefault="00A52D9A" w:rsidP="00316122">
      <w:pPr>
        <w:spacing w:line="276" w:lineRule="auto"/>
        <w:rPr>
          <w:rFonts w:cstheme="minorHAnsi"/>
          <w:sz w:val="24"/>
          <w:szCs w:val="24"/>
        </w:rPr>
      </w:pPr>
      <w:r w:rsidRPr="00316122">
        <w:rPr>
          <w:rFonts w:cstheme="minorHAnsi"/>
          <w:sz w:val="24"/>
          <w:szCs w:val="24"/>
        </w:rPr>
        <w:lastRenderedPageBreak/>
        <w:t>In an article published by Power DMS “Importance of accountability in law enforcement “(2020) it states a culture of accountability in law enforcement creates trust between the public and the police. When police act against the high standard held by the public, trust and credibility are damaged. violate the rules, they break public trust and lose credibility. Consequently, the public are less likely to trust the police, making policing more problematic.</w:t>
      </w:r>
    </w:p>
    <w:p w14:paraId="60A17A0C" w14:textId="6BC71B42" w:rsidR="00A52D9A" w:rsidRPr="00316122" w:rsidRDefault="00A52D9A" w:rsidP="00316122">
      <w:pPr>
        <w:spacing w:line="276" w:lineRule="auto"/>
        <w:rPr>
          <w:rFonts w:cstheme="minorHAnsi"/>
          <w:sz w:val="24"/>
          <w:szCs w:val="24"/>
        </w:rPr>
      </w:pPr>
      <w:r w:rsidRPr="00316122">
        <w:rPr>
          <w:rFonts w:cstheme="minorHAnsi"/>
          <w:sz w:val="24"/>
          <w:szCs w:val="24"/>
        </w:rPr>
        <w:t>Some scholars argue that the public are more inclined to act as a community to tackle neighbourhood issues when they feel that the police are an effective resource who exercise their authority in the correct, legal manner (</w:t>
      </w:r>
      <w:proofErr w:type="spellStart"/>
      <w:r w:rsidRPr="00316122">
        <w:rPr>
          <w:rFonts w:cstheme="minorHAnsi"/>
          <w:sz w:val="24"/>
          <w:szCs w:val="24"/>
        </w:rPr>
        <w:t>Yesberg</w:t>
      </w:r>
      <w:proofErr w:type="spellEnd"/>
      <w:r w:rsidRPr="00316122">
        <w:rPr>
          <w:rFonts w:cstheme="minorHAnsi"/>
          <w:sz w:val="24"/>
          <w:szCs w:val="24"/>
        </w:rPr>
        <w:t>, J., Brunton-Smith, I., &amp; Bradford, B. 2023)</w:t>
      </w:r>
    </w:p>
    <w:p w14:paraId="3AD0EC93" w14:textId="506DA77D" w:rsidR="00A52D9A" w:rsidRPr="00316122" w:rsidRDefault="00A52D9A" w:rsidP="00316122">
      <w:pPr>
        <w:spacing w:line="276" w:lineRule="auto"/>
        <w:rPr>
          <w:rFonts w:cstheme="minorHAnsi"/>
          <w:sz w:val="24"/>
          <w:szCs w:val="24"/>
        </w:rPr>
      </w:pPr>
      <w:r w:rsidRPr="00316122">
        <w:rPr>
          <w:rFonts w:cstheme="minorHAnsi"/>
          <w:sz w:val="24"/>
          <w:szCs w:val="24"/>
        </w:rPr>
        <w:t>Trust is related to compliance, police “integrity and ethical standards” (Albrecht, 2019 cited in Hanway , P. and Hambly, O. 2023). The public will trust the police if they feel that the police force faces crime effectively and if the public is processed with procedural justice. (Sargeant et al., 2017). A shortage of trust and confidence can weaken the authenticity of the police.</w:t>
      </w:r>
    </w:p>
    <w:p w14:paraId="24C36151" w14:textId="19BF51A3" w:rsidR="00A52D9A" w:rsidRPr="00316122" w:rsidRDefault="00A52D9A" w:rsidP="00316122">
      <w:pPr>
        <w:spacing w:line="276" w:lineRule="auto"/>
        <w:rPr>
          <w:rFonts w:cstheme="minorHAnsi"/>
          <w:sz w:val="24"/>
          <w:szCs w:val="24"/>
        </w:rPr>
      </w:pPr>
      <w:r w:rsidRPr="00316122">
        <w:rPr>
          <w:rFonts w:cstheme="minorHAnsi"/>
          <w:sz w:val="24"/>
          <w:szCs w:val="24"/>
        </w:rPr>
        <w:t>Another reason why independent bodies are essential for holding the police accountable for misconduct is the ‘Blue Wall of Silence’. The Blue Wall of silence is believed to be a code of silence within the police force to protect misbehaving officers.</w:t>
      </w:r>
    </w:p>
    <w:p w14:paraId="226423E5" w14:textId="33042BE5" w:rsidR="00A52D9A" w:rsidRPr="00316122" w:rsidRDefault="00A52D9A" w:rsidP="00316122">
      <w:pPr>
        <w:spacing w:line="276" w:lineRule="auto"/>
        <w:rPr>
          <w:rFonts w:cstheme="minorHAnsi"/>
          <w:sz w:val="24"/>
          <w:szCs w:val="24"/>
        </w:rPr>
      </w:pPr>
      <w:r w:rsidRPr="00316122">
        <w:rPr>
          <w:rFonts w:cstheme="minorHAnsi"/>
          <w:sz w:val="24"/>
          <w:szCs w:val="24"/>
        </w:rPr>
        <w:t>According to Walker, J. (2022) the phenomenon of “cop culture” is equally problematic. The shared set of beliefs, traditions and values in police forces often creates a strong sense of cohesion, loyalty and camaraderie among its members. However, cop culture has been widely criticized for creating an “us versus them” mentality among police officers, resulting in a lack of transparency and accountability surrounding their actions.</w:t>
      </w:r>
    </w:p>
    <w:p w14:paraId="065CA657" w14:textId="5BAB8AEB" w:rsidR="00A52D9A" w:rsidRPr="00316122" w:rsidRDefault="00A52D9A" w:rsidP="00316122">
      <w:pPr>
        <w:spacing w:line="276" w:lineRule="auto"/>
        <w:rPr>
          <w:rFonts w:cstheme="minorHAnsi"/>
          <w:sz w:val="24"/>
          <w:szCs w:val="24"/>
        </w:rPr>
      </w:pPr>
      <w:r w:rsidRPr="00316122">
        <w:rPr>
          <w:rFonts w:cstheme="minorHAnsi"/>
          <w:sz w:val="24"/>
          <w:szCs w:val="24"/>
        </w:rPr>
        <w:t xml:space="preserve">Studies have revealed that some police officers fail to report and/or lie on behalf of their colleagues’ wrongdoings. </w:t>
      </w:r>
      <w:proofErr w:type="spellStart"/>
      <w:r w:rsidRPr="00316122">
        <w:rPr>
          <w:rFonts w:cstheme="minorHAnsi"/>
          <w:sz w:val="24"/>
          <w:szCs w:val="24"/>
        </w:rPr>
        <w:t>Westmarland</w:t>
      </w:r>
      <w:proofErr w:type="spellEnd"/>
      <w:r w:rsidRPr="00316122">
        <w:rPr>
          <w:rFonts w:cstheme="minorHAnsi"/>
          <w:sz w:val="24"/>
          <w:szCs w:val="24"/>
        </w:rPr>
        <w:t>, L. and Conway, S. (2000) argued that there is a sense of reluctance among police officers to whistle-blow and report their colleagues’ behaviours.</w:t>
      </w:r>
    </w:p>
    <w:p w14:paraId="0747D956" w14:textId="5EFD35C2" w:rsidR="00A52D9A" w:rsidRPr="00316122" w:rsidRDefault="00A52D9A" w:rsidP="00316122">
      <w:pPr>
        <w:spacing w:line="276" w:lineRule="auto"/>
        <w:rPr>
          <w:rFonts w:cstheme="minorHAnsi"/>
          <w:sz w:val="24"/>
          <w:szCs w:val="24"/>
        </w:rPr>
      </w:pPr>
      <w:r w:rsidRPr="00316122">
        <w:rPr>
          <w:rFonts w:cstheme="minorHAnsi"/>
          <w:sz w:val="24"/>
          <w:szCs w:val="24"/>
        </w:rPr>
        <w:t>Therefore, independent bodies provide unbiased reports of misconduct where there is no fear of peer pressure from colleagues, further ensuring accountability.</w:t>
      </w:r>
    </w:p>
    <w:p w14:paraId="4EF5407F" w14:textId="7FC27253" w:rsidR="00A52D9A" w:rsidRPr="00316122" w:rsidRDefault="00A52D9A" w:rsidP="00316122">
      <w:pPr>
        <w:spacing w:line="276" w:lineRule="auto"/>
        <w:rPr>
          <w:rFonts w:cstheme="minorHAnsi"/>
          <w:sz w:val="24"/>
          <w:szCs w:val="24"/>
        </w:rPr>
      </w:pPr>
      <w:r w:rsidRPr="00316122">
        <w:rPr>
          <w:rFonts w:cstheme="minorHAnsi"/>
          <w:sz w:val="24"/>
          <w:szCs w:val="24"/>
        </w:rPr>
        <w:t>Independent oversight guarantees that investigations are managed in compliance with legal and ethical standards. The Independent Police Complaints Commission (2013) can investigate cases of concern or sensitivity that may not necessarily be invaginated if there are no independent bodies. The Independent Police Complaints Commission (2013) can commend disciplinary action and/or refer the case to the Crown Prosecutor for criminal prosecution. This is an example of an independent body ensuring officers are held accountable.</w:t>
      </w:r>
    </w:p>
    <w:p w14:paraId="01DC4FE6" w14:textId="77777777" w:rsidR="00A52D9A" w:rsidRPr="00316122" w:rsidRDefault="00A52D9A" w:rsidP="00316122">
      <w:pPr>
        <w:spacing w:line="276" w:lineRule="auto"/>
        <w:rPr>
          <w:rFonts w:cstheme="minorHAnsi"/>
          <w:sz w:val="24"/>
          <w:szCs w:val="24"/>
        </w:rPr>
      </w:pPr>
      <w:r w:rsidRPr="00316122">
        <w:rPr>
          <w:rFonts w:cstheme="minorHAnsi"/>
          <w:sz w:val="24"/>
          <w:szCs w:val="24"/>
        </w:rPr>
        <w:t xml:space="preserve">British policing is based on consent, meaning the ability of the police to carry out their function’s rests on ‘public approval of their existence, actions and behaviour’ Richards </w:t>
      </w:r>
      <w:r w:rsidRPr="00316122">
        <w:rPr>
          <w:rFonts w:cstheme="minorHAnsi"/>
          <w:sz w:val="24"/>
          <w:szCs w:val="24"/>
        </w:rPr>
        <w:lastRenderedPageBreak/>
        <w:t>(2022). Accountability is therefore essential to ensure the police’s responsiveness to the public.</w:t>
      </w:r>
    </w:p>
    <w:p w14:paraId="7BF1DFE6" w14:textId="77777777" w:rsidR="00A52D9A" w:rsidRPr="00316122" w:rsidRDefault="00A52D9A" w:rsidP="00316122">
      <w:pPr>
        <w:spacing w:line="276" w:lineRule="auto"/>
        <w:rPr>
          <w:rFonts w:cstheme="minorHAnsi"/>
          <w:sz w:val="24"/>
          <w:szCs w:val="24"/>
        </w:rPr>
      </w:pPr>
    </w:p>
    <w:p w14:paraId="4CA844DE" w14:textId="5AFC7941" w:rsidR="00B44E40" w:rsidRPr="00316122" w:rsidRDefault="00A52D9A" w:rsidP="00316122">
      <w:pPr>
        <w:spacing w:line="276" w:lineRule="auto"/>
        <w:rPr>
          <w:rFonts w:cstheme="minorHAnsi"/>
          <w:sz w:val="24"/>
          <w:szCs w:val="24"/>
        </w:rPr>
      </w:pPr>
      <w:r w:rsidRPr="00316122">
        <w:rPr>
          <w:rFonts w:cstheme="minorHAnsi"/>
          <w:sz w:val="24"/>
          <w:szCs w:val="24"/>
        </w:rPr>
        <w:t>To conclude, independent bodies are important for maintaining police officer’s accountability by ensuring the law is upheld, through an unbiased, transparent, independent system that promotes community trust.</w:t>
      </w:r>
      <w:r w:rsidR="00316122" w:rsidRPr="00316122">
        <w:rPr>
          <w:rFonts w:cstheme="minorHAnsi"/>
          <w:sz w:val="24"/>
          <w:szCs w:val="24"/>
        </w:rPr>
        <w:t xml:space="preserve"> However, it has been noted that there are some areas in which independent bodies are failing at the detriment of the public. </w:t>
      </w:r>
    </w:p>
    <w:p w14:paraId="6E66D329"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4959B1D0" w14:textId="78DE5A9A" w:rsidR="00B44E40" w:rsidRPr="00316122" w:rsidRDefault="00316122" w:rsidP="00316122">
      <w:pPr>
        <w:spacing w:line="276" w:lineRule="auto"/>
        <w:rPr>
          <w:rFonts w:cstheme="minorHAnsi"/>
          <w:sz w:val="24"/>
          <w:szCs w:val="24"/>
        </w:rPr>
      </w:pPr>
      <w:r w:rsidRPr="00316122">
        <w:rPr>
          <w:rFonts w:cstheme="minorHAnsi"/>
          <w:sz w:val="24"/>
          <w:szCs w:val="24"/>
        </w:rPr>
        <w:t xml:space="preserve">Word count – 902 </w:t>
      </w:r>
    </w:p>
    <w:p w14:paraId="11074DD6" w14:textId="77777777" w:rsidR="00B44E40" w:rsidRPr="00316122" w:rsidRDefault="00B44E40" w:rsidP="00316122">
      <w:pPr>
        <w:spacing w:line="276" w:lineRule="auto"/>
        <w:rPr>
          <w:rFonts w:cstheme="minorHAnsi"/>
          <w:sz w:val="24"/>
          <w:szCs w:val="24"/>
        </w:rPr>
      </w:pPr>
      <w:r w:rsidRPr="00316122">
        <w:rPr>
          <w:rFonts w:cstheme="minorHAnsi"/>
          <w:sz w:val="24"/>
          <w:szCs w:val="24"/>
        </w:rPr>
        <w:t xml:space="preserve"> </w:t>
      </w:r>
    </w:p>
    <w:p w14:paraId="6041B2FA" w14:textId="77777777" w:rsidR="00B44E40" w:rsidRPr="00B44E40" w:rsidRDefault="00B44E40" w:rsidP="00B44E40">
      <w:pPr>
        <w:spacing w:line="276" w:lineRule="auto"/>
        <w:rPr>
          <w:rFonts w:cstheme="minorHAnsi"/>
          <w:sz w:val="24"/>
          <w:szCs w:val="24"/>
        </w:rPr>
      </w:pPr>
    </w:p>
    <w:p w14:paraId="537C0F6A" w14:textId="77777777" w:rsidR="00B44E40" w:rsidRPr="00B44E40" w:rsidRDefault="00B44E40" w:rsidP="00B44E40">
      <w:pPr>
        <w:spacing w:line="276" w:lineRule="auto"/>
        <w:rPr>
          <w:rFonts w:cstheme="minorHAnsi"/>
          <w:sz w:val="24"/>
          <w:szCs w:val="24"/>
        </w:rPr>
      </w:pPr>
      <w:r w:rsidRPr="00B44E40">
        <w:rPr>
          <w:rFonts w:cstheme="minorHAnsi"/>
          <w:sz w:val="24"/>
          <w:szCs w:val="24"/>
        </w:rPr>
        <w:t xml:space="preserve"> </w:t>
      </w:r>
    </w:p>
    <w:p w14:paraId="5968333E" w14:textId="77777777" w:rsidR="00B44E40" w:rsidRPr="00B44E40" w:rsidRDefault="00B44E40" w:rsidP="00B44E40">
      <w:pPr>
        <w:spacing w:line="276" w:lineRule="auto"/>
        <w:rPr>
          <w:rFonts w:cstheme="minorHAnsi"/>
          <w:sz w:val="24"/>
          <w:szCs w:val="24"/>
        </w:rPr>
      </w:pPr>
    </w:p>
    <w:p w14:paraId="0D82B448" w14:textId="77777777" w:rsidR="00B44E40" w:rsidRPr="00B44E40" w:rsidRDefault="00B44E40" w:rsidP="00B44E40">
      <w:pPr>
        <w:spacing w:line="276" w:lineRule="auto"/>
        <w:rPr>
          <w:rFonts w:cstheme="minorHAnsi"/>
          <w:sz w:val="24"/>
          <w:szCs w:val="24"/>
        </w:rPr>
      </w:pPr>
      <w:r w:rsidRPr="00B44E40">
        <w:rPr>
          <w:rFonts w:cstheme="minorHAnsi"/>
          <w:sz w:val="24"/>
          <w:szCs w:val="24"/>
        </w:rPr>
        <w:t xml:space="preserve"> </w:t>
      </w:r>
    </w:p>
    <w:p w14:paraId="6A4AF111" w14:textId="77777777" w:rsidR="00B44E40" w:rsidRPr="00B44E40" w:rsidRDefault="00B44E40" w:rsidP="00B44E40">
      <w:pPr>
        <w:spacing w:line="276" w:lineRule="auto"/>
        <w:rPr>
          <w:rFonts w:cstheme="minorHAnsi"/>
          <w:sz w:val="24"/>
          <w:szCs w:val="24"/>
        </w:rPr>
      </w:pPr>
    </w:p>
    <w:p w14:paraId="580EFAE2" w14:textId="77777777" w:rsidR="00B44E40" w:rsidRPr="00B44E40" w:rsidRDefault="00B44E40" w:rsidP="00B44E40">
      <w:pPr>
        <w:spacing w:line="276" w:lineRule="auto"/>
        <w:rPr>
          <w:rFonts w:cstheme="minorHAnsi"/>
          <w:sz w:val="24"/>
          <w:szCs w:val="24"/>
        </w:rPr>
      </w:pPr>
      <w:r w:rsidRPr="00B44E40">
        <w:rPr>
          <w:rFonts w:cstheme="minorHAnsi"/>
          <w:sz w:val="24"/>
          <w:szCs w:val="24"/>
        </w:rPr>
        <w:t xml:space="preserve"> </w:t>
      </w:r>
    </w:p>
    <w:p w14:paraId="51BB848C" w14:textId="77777777" w:rsidR="00B44E40" w:rsidRPr="00B44E40" w:rsidRDefault="00B44E40" w:rsidP="00B44E40">
      <w:pPr>
        <w:spacing w:line="276" w:lineRule="auto"/>
        <w:rPr>
          <w:rFonts w:cstheme="minorHAnsi"/>
          <w:sz w:val="24"/>
          <w:szCs w:val="24"/>
        </w:rPr>
      </w:pPr>
    </w:p>
    <w:p w14:paraId="21D8BD89" w14:textId="77777777" w:rsidR="00B44E40" w:rsidRPr="00B44E40" w:rsidRDefault="00B44E40" w:rsidP="00B44E40">
      <w:pPr>
        <w:spacing w:line="276" w:lineRule="auto"/>
        <w:rPr>
          <w:rFonts w:cstheme="minorHAnsi"/>
          <w:sz w:val="24"/>
          <w:szCs w:val="24"/>
        </w:rPr>
      </w:pPr>
      <w:r w:rsidRPr="00B44E40">
        <w:rPr>
          <w:rFonts w:cstheme="minorHAnsi"/>
          <w:sz w:val="24"/>
          <w:szCs w:val="24"/>
        </w:rPr>
        <w:t xml:space="preserve"> </w:t>
      </w:r>
    </w:p>
    <w:p w14:paraId="12EBFFF9" w14:textId="77777777" w:rsidR="00B44E40" w:rsidRPr="00B44E40" w:rsidRDefault="00B44E40" w:rsidP="00B44E40">
      <w:pPr>
        <w:spacing w:line="276" w:lineRule="auto"/>
        <w:rPr>
          <w:rFonts w:cstheme="minorHAnsi"/>
          <w:sz w:val="24"/>
          <w:szCs w:val="24"/>
        </w:rPr>
      </w:pPr>
    </w:p>
    <w:p w14:paraId="02C7A6B6" w14:textId="77777777" w:rsidR="00B44E40" w:rsidRPr="00B44E40" w:rsidRDefault="00B44E40" w:rsidP="00B44E40">
      <w:pPr>
        <w:spacing w:line="276" w:lineRule="auto"/>
        <w:rPr>
          <w:rFonts w:cstheme="minorHAnsi"/>
          <w:sz w:val="24"/>
          <w:szCs w:val="24"/>
        </w:rPr>
      </w:pPr>
      <w:r w:rsidRPr="00B44E40">
        <w:rPr>
          <w:rFonts w:cstheme="minorHAnsi"/>
          <w:sz w:val="24"/>
          <w:szCs w:val="24"/>
        </w:rPr>
        <w:t xml:space="preserve"> </w:t>
      </w:r>
    </w:p>
    <w:p w14:paraId="405350E2" w14:textId="77777777" w:rsidR="00B44E40" w:rsidRPr="00B44E40" w:rsidRDefault="00B44E40" w:rsidP="00B44E40">
      <w:pPr>
        <w:spacing w:line="276" w:lineRule="auto"/>
        <w:rPr>
          <w:rFonts w:cstheme="minorHAnsi"/>
          <w:sz w:val="24"/>
          <w:szCs w:val="24"/>
        </w:rPr>
      </w:pPr>
    </w:p>
    <w:p w14:paraId="5752D3DB" w14:textId="77777777" w:rsidR="00B44E40" w:rsidRPr="00B44E40" w:rsidRDefault="00B44E40" w:rsidP="00B44E40">
      <w:pPr>
        <w:spacing w:line="276" w:lineRule="auto"/>
        <w:rPr>
          <w:rFonts w:cstheme="minorHAnsi"/>
          <w:sz w:val="24"/>
          <w:szCs w:val="24"/>
        </w:rPr>
      </w:pPr>
      <w:r w:rsidRPr="00B44E40">
        <w:rPr>
          <w:rFonts w:cstheme="minorHAnsi"/>
          <w:sz w:val="24"/>
          <w:szCs w:val="24"/>
        </w:rPr>
        <w:t xml:space="preserve"> </w:t>
      </w:r>
    </w:p>
    <w:p w14:paraId="1F965CAA" w14:textId="77777777" w:rsidR="00B44E40" w:rsidRPr="00B44E40" w:rsidRDefault="00B44E40" w:rsidP="00B44E40">
      <w:pPr>
        <w:spacing w:line="276" w:lineRule="auto"/>
        <w:rPr>
          <w:rFonts w:cstheme="minorHAnsi"/>
          <w:sz w:val="24"/>
          <w:szCs w:val="24"/>
        </w:rPr>
      </w:pPr>
    </w:p>
    <w:p w14:paraId="666DB302" w14:textId="77777777" w:rsidR="00B44E40" w:rsidRPr="00B44E40" w:rsidRDefault="00B44E40" w:rsidP="00B44E40">
      <w:pPr>
        <w:spacing w:line="276" w:lineRule="auto"/>
        <w:rPr>
          <w:rFonts w:cstheme="minorHAnsi"/>
          <w:sz w:val="24"/>
          <w:szCs w:val="24"/>
        </w:rPr>
      </w:pPr>
      <w:r w:rsidRPr="00B44E40">
        <w:rPr>
          <w:rFonts w:cstheme="minorHAnsi"/>
          <w:sz w:val="24"/>
          <w:szCs w:val="24"/>
        </w:rPr>
        <w:t xml:space="preserve"> </w:t>
      </w:r>
    </w:p>
    <w:p w14:paraId="197937FC" w14:textId="77777777" w:rsidR="00B44E40" w:rsidRPr="00B44E40" w:rsidRDefault="00B44E40" w:rsidP="00B44E40">
      <w:pPr>
        <w:spacing w:line="276" w:lineRule="auto"/>
        <w:rPr>
          <w:rFonts w:cstheme="minorHAnsi"/>
          <w:sz w:val="24"/>
          <w:szCs w:val="24"/>
        </w:rPr>
      </w:pPr>
    </w:p>
    <w:p w14:paraId="5A65735F" w14:textId="77777777" w:rsidR="00B44E40" w:rsidRPr="00B44E40" w:rsidRDefault="00B44E40" w:rsidP="00B44E40">
      <w:pPr>
        <w:spacing w:line="276" w:lineRule="auto"/>
        <w:rPr>
          <w:rFonts w:cstheme="minorHAnsi"/>
          <w:sz w:val="24"/>
          <w:szCs w:val="24"/>
        </w:rPr>
      </w:pPr>
      <w:r w:rsidRPr="00B44E40">
        <w:rPr>
          <w:rFonts w:cstheme="minorHAnsi"/>
          <w:sz w:val="24"/>
          <w:szCs w:val="24"/>
        </w:rPr>
        <w:t xml:space="preserve"> </w:t>
      </w:r>
    </w:p>
    <w:p w14:paraId="0107DF87" w14:textId="77777777" w:rsidR="00B44E40" w:rsidRPr="00B44E40" w:rsidRDefault="00B44E40" w:rsidP="00B44E40">
      <w:pPr>
        <w:spacing w:line="276" w:lineRule="auto"/>
        <w:rPr>
          <w:rFonts w:cstheme="minorHAnsi"/>
          <w:sz w:val="24"/>
          <w:szCs w:val="24"/>
        </w:rPr>
      </w:pPr>
    </w:p>
    <w:p w14:paraId="598CC95E" w14:textId="2BB754C0" w:rsidR="00B44E40" w:rsidRPr="00B44E40" w:rsidRDefault="00B44E40" w:rsidP="00B44E40">
      <w:pPr>
        <w:spacing w:line="276" w:lineRule="auto"/>
        <w:rPr>
          <w:rFonts w:cstheme="minorHAnsi"/>
          <w:sz w:val="24"/>
          <w:szCs w:val="24"/>
        </w:rPr>
      </w:pPr>
    </w:p>
    <w:p w14:paraId="0915FFBE" w14:textId="56F98438" w:rsidR="00B44E40" w:rsidRPr="00B44E40" w:rsidRDefault="00A52D9A" w:rsidP="00B44E40">
      <w:pPr>
        <w:spacing w:line="276" w:lineRule="auto"/>
        <w:rPr>
          <w:rFonts w:cstheme="minorHAnsi"/>
          <w:sz w:val="24"/>
          <w:szCs w:val="24"/>
        </w:rPr>
      </w:pPr>
      <w:r>
        <w:rPr>
          <w:rFonts w:cstheme="minorHAnsi"/>
          <w:sz w:val="24"/>
          <w:szCs w:val="24"/>
        </w:rPr>
        <w:t xml:space="preserve">Bibliography- </w:t>
      </w:r>
      <w:r w:rsidR="00B44E40" w:rsidRPr="00B44E40">
        <w:rPr>
          <w:rFonts w:cstheme="minorHAnsi"/>
          <w:sz w:val="24"/>
          <w:szCs w:val="24"/>
        </w:rPr>
        <w:t xml:space="preserve">  </w:t>
      </w:r>
    </w:p>
    <w:p w14:paraId="6ED7309E" w14:textId="77777777" w:rsidR="00A52D9A" w:rsidRPr="00A52D9A" w:rsidRDefault="00A52D9A" w:rsidP="00A52D9A">
      <w:pPr>
        <w:spacing w:line="276" w:lineRule="auto"/>
        <w:rPr>
          <w:rFonts w:cstheme="minorHAnsi"/>
          <w:sz w:val="24"/>
          <w:szCs w:val="24"/>
        </w:rPr>
      </w:pPr>
    </w:p>
    <w:p w14:paraId="5070FD88"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Andell P. (2019a) Thinking Seriously About Gangs, Towards a Critical Realist Approach. London: Palgrave. </w:t>
      </w:r>
    </w:p>
    <w:p w14:paraId="19BB260C" w14:textId="77777777" w:rsidR="00A52D9A" w:rsidRPr="00B44E40" w:rsidRDefault="00A52D9A" w:rsidP="00B44E40">
      <w:pPr>
        <w:spacing w:line="276" w:lineRule="auto"/>
        <w:rPr>
          <w:rFonts w:cstheme="minorHAnsi"/>
          <w:sz w:val="24"/>
          <w:szCs w:val="24"/>
        </w:rPr>
      </w:pPr>
      <w:proofErr w:type="spellStart"/>
      <w:r w:rsidRPr="00B44E40">
        <w:rPr>
          <w:rFonts w:cstheme="minorHAnsi"/>
          <w:sz w:val="24"/>
          <w:szCs w:val="24"/>
        </w:rPr>
        <w:t>Bhugowandeen</w:t>
      </w:r>
      <w:proofErr w:type="spellEnd"/>
      <w:r w:rsidRPr="00B44E40">
        <w:rPr>
          <w:rFonts w:cstheme="minorHAnsi"/>
          <w:sz w:val="24"/>
          <w:szCs w:val="24"/>
        </w:rPr>
        <w:t xml:space="preserve">, B. (2013) ‘Diversity in the British police : Adapting to a multicultural society’, </w:t>
      </w:r>
      <w:proofErr w:type="spellStart"/>
      <w:r w:rsidRPr="00B44E40">
        <w:rPr>
          <w:rFonts w:cstheme="minorHAnsi"/>
          <w:sz w:val="24"/>
          <w:szCs w:val="24"/>
        </w:rPr>
        <w:t>OpenEdition</w:t>
      </w:r>
      <w:proofErr w:type="spellEnd"/>
      <w:r w:rsidRPr="00B44E40">
        <w:rPr>
          <w:rFonts w:cstheme="minorHAnsi"/>
          <w:sz w:val="24"/>
          <w:szCs w:val="24"/>
        </w:rPr>
        <w:t xml:space="preserve"> Journals [Preprint], (10). doi:10.4000/mimmoc.1340.  </w:t>
      </w:r>
    </w:p>
    <w:p w14:paraId="3BAF5375"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Bosick, S. J., &amp; Fomby, P. (2018). Family Instability in Childhood and Criminal Offending During the Transition into Adulthood. American Behavioural Scientist, 62(11), 1483-1504. https://doi.org/10.1177/0002764218787000 </w:t>
      </w:r>
    </w:p>
    <w:p w14:paraId="502172B7"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Briefing note: Using language services (2020) library.college.police.uk. Available at: https://library.college.police.uk/docs/college-of-policing/Language-Services-v1.0.pdf (Accessed: 28 January 2024). </w:t>
      </w:r>
    </w:p>
    <w:p w14:paraId="2E3AADB3"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Cheshire East Safeguarding Adults Board (no date) Cuckooing / County Lines, Cuckooing / county lines. Available at: http://www.stopadultabuse.org.uk/what-is-abuse/cuckooing-county-lines.aspx (Accessed: 17 January 2024). </w:t>
      </w:r>
    </w:p>
    <w:p w14:paraId="1C266FFD"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Dempsey, M. (2021) Still not safe - children’s commissioner for England, assets.childrenscommissioner.gov.uk. Available at: https://assets.childrenscommissioner.gov.uk/wpuploads/2021/02/cco-still-not-safe.pdf (Accessed: 28 January 2024). </w:t>
      </w:r>
    </w:p>
    <w:p w14:paraId="09A30D16"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Equality, diversity and inclusion strategy 2022-25 (2022) www.policeconduct.gov.uk. Available at: https://www.policeconduct.gov.uk/sites/default/files/documents/ODDT_EDI_strategy_FINAL.pdf (Accessed: 27 January 2024). </w:t>
      </w:r>
    </w:p>
    <w:p w14:paraId="4F39C61B"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Graham, L. et al. (2020) Diversity, Equality and Inclusion in Policing 2019. rep. Durham: Durham University. </w:t>
      </w:r>
    </w:p>
    <w:p w14:paraId="7671CDBA" w14:textId="77777777" w:rsidR="00A52D9A" w:rsidRPr="00A52D9A" w:rsidRDefault="00A52D9A" w:rsidP="00A52D9A">
      <w:pPr>
        <w:spacing w:line="276" w:lineRule="auto"/>
        <w:rPr>
          <w:rFonts w:cstheme="minorHAnsi"/>
          <w:sz w:val="24"/>
          <w:szCs w:val="24"/>
        </w:rPr>
      </w:pPr>
      <w:r w:rsidRPr="00A52D9A">
        <w:rPr>
          <w:rFonts w:cstheme="minorHAnsi"/>
          <w:sz w:val="24"/>
          <w:szCs w:val="24"/>
        </w:rPr>
        <w:t>Hanway , P. and Hambly, O. (2023) Public perceptions of policing: A review of research and literature, GOV.UK. Available at: https://www.gov.uk/government/publications/public-perceptions-of-policing-a-review-of-research-and-literature/public-perceptions-of-policing-a-review-of-research-and-literature (Accessed: 29 January 2024).</w:t>
      </w:r>
    </w:p>
    <w:p w14:paraId="06EE4332"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Hills, J. (2021) The Macpherson Report: Twenty-Two Years on - home affairs committee ..., publications.parliament.uk. Available at: https://publications.parliament.uk/pa/cm5802/cmselect/cmhaff/139/13907.htm (Accessed: 27 January 2024). </w:t>
      </w:r>
    </w:p>
    <w:p w14:paraId="7D949AEB" w14:textId="77777777" w:rsidR="00A52D9A" w:rsidRPr="00A52D9A" w:rsidRDefault="00A52D9A" w:rsidP="00A52D9A">
      <w:pPr>
        <w:spacing w:line="276" w:lineRule="auto"/>
        <w:rPr>
          <w:rFonts w:cstheme="minorHAnsi"/>
          <w:sz w:val="24"/>
          <w:szCs w:val="24"/>
        </w:rPr>
      </w:pPr>
      <w:r w:rsidRPr="00A52D9A">
        <w:rPr>
          <w:rFonts w:cstheme="minorHAnsi"/>
          <w:sz w:val="24"/>
          <w:szCs w:val="24"/>
        </w:rPr>
        <w:t>His Majesty’s Inspectorate of Constabulary and Fire &amp; Rescue Services (HMICFRS) (2023) www.justiceinspectorates.gov.uk. Available at: https://www.justiceinspectorates.gov.uk/cjji/about-cjji/about-the-justice-inspectorates/hmicfrs/ (Accessed: 15 January 2024).</w:t>
      </w:r>
    </w:p>
    <w:p w14:paraId="49082DB2" w14:textId="77777777" w:rsidR="00A52D9A" w:rsidRPr="00A52D9A" w:rsidRDefault="00A52D9A" w:rsidP="00A52D9A">
      <w:pPr>
        <w:spacing w:line="276" w:lineRule="auto"/>
        <w:rPr>
          <w:rFonts w:cstheme="minorHAnsi"/>
          <w:sz w:val="24"/>
          <w:szCs w:val="24"/>
        </w:rPr>
      </w:pPr>
      <w:r w:rsidRPr="00A52D9A">
        <w:rPr>
          <w:rFonts w:cstheme="minorHAnsi"/>
          <w:sz w:val="24"/>
          <w:szCs w:val="24"/>
        </w:rPr>
        <w:lastRenderedPageBreak/>
        <w:t>Importance of accountability in law enforcement (2020) powerdms.com. Available at: https://www.powerdms.com/why-powerdms/law-enforcement/importance-of-accountability-in-law-enforcement (Accessed: 15 January 2024).</w:t>
      </w:r>
    </w:p>
    <w:p w14:paraId="59CDD71C" w14:textId="77777777" w:rsidR="00A52D9A" w:rsidRPr="00D0165B" w:rsidRDefault="00A52D9A" w:rsidP="00D0165B">
      <w:pPr>
        <w:spacing w:line="276" w:lineRule="auto"/>
        <w:rPr>
          <w:rFonts w:cstheme="minorHAnsi"/>
          <w:sz w:val="24"/>
          <w:szCs w:val="24"/>
        </w:rPr>
      </w:pPr>
      <w:r w:rsidRPr="00D0165B">
        <w:rPr>
          <w:rFonts w:cstheme="minorHAnsi"/>
          <w:sz w:val="24"/>
          <w:szCs w:val="24"/>
        </w:rPr>
        <w:t xml:space="preserve">Lundrigan, S. and Mann, N. (2021) The National </w:t>
      </w:r>
      <w:proofErr w:type="spellStart"/>
      <w:r w:rsidRPr="00D0165B">
        <w:rPr>
          <w:rFonts w:cstheme="minorHAnsi"/>
          <w:sz w:val="24"/>
          <w:szCs w:val="24"/>
        </w:rPr>
        <w:t>Mappa</w:t>
      </w:r>
      <w:proofErr w:type="spellEnd"/>
      <w:r w:rsidRPr="00D0165B">
        <w:rPr>
          <w:rFonts w:cstheme="minorHAnsi"/>
          <w:sz w:val="24"/>
          <w:szCs w:val="24"/>
        </w:rPr>
        <w:t xml:space="preserve"> Research, ARU. Available at: https://www.aru.ac.uk/policing-institute/research/national-mappa-research (Accessed: 25 January 2024). </w:t>
      </w:r>
    </w:p>
    <w:p w14:paraId="48C23805" w14:textId="77777777" w:rsidR="00A52D9A" w:rsidRPr="00B44E40" w:rsidRDefault="00A52D9A" w:rsidP="00B44E40">
      <w:pPr>
        <w:spacing w:line="276" w:lineRule="auto"/>
        <w:rPr>
          <w:rFonts w:cstheme="minorHAnsi"/>
          <w:sz w:val="24"/>
          <w:szCs w:val="24"/>
        </w:rPr>
      </w:pPr>
      <w:proofErr w:type="spellStart"/>
      <w:r w:rsidRPr="00B44E40">
        <w:rPr>
          <w:rFonts w:cstheme="minorHAnsi"/>
          <w:sz w:val="24"/>
          <w:szCs w:val="24"/>
        </w:rPr>
        <w:t>Machpherson</w:t>
      </w:r>
      <w:proofErr w:type="spellEnd"/>
      <w:r w:rsidRPr="00B44E40">
        <w:rPr>
          <w:rFonts w:cstheme="minorHAnsi"/>
          <w:sz w:val="24"/>
          <w:szCs w:val="24"/>
        </w:rPr>
        <w:t xml:space="preserve">, W. (1999) The Stephen Lawrence Inquiry, assets.publishing.service.gov.uk. Available at: https://assets.publishing.service.gov.uk/media/5a7c2af540f0b645ba3c7202/4262.pdf (Accessed: 26 January 2024). </w:t>
      </w:r>
    </w:p>
    <w:p w14:paraId="5DEBF267" w14:textId="77777777" w:rsidR="00A52D9A" w:rsidRPr="00D0165B" w:rsidRDefault="00A52D9A" w:rsidP="00D0165B">
      <w:pPr>
        <w:spacing w:line="276" w:lineRule="auto"/>
        <w:rPr>
          <w:rFonts w:cstheme="minorHAnsi"/>
          <w:sz w:val="24"/>
          <w:szCs w:val="24"/>
        </w:rPr>
      </w:pPr>
      <w:r w:rsidRPr="00D0165B">
        <w:rPr>
          <w:rFonts w:cstheme="minorHAnsi"/>
          <w:sz w:val="24"/>
          <w:szCs w:val="24"/>
        </w:rPr>
        <w:t xml:space="preserve">Mann, N. and Lundrigan, S. (2023) The National MAPPA Research:  Process  Effectiveness Report. rep. </w:t>
      </w:r>
      <w:proofErr w:type="spellStart"/>
      <w:r w:rsidRPr="00D0165B">
        <w:rPr>
          <w:rFonts w:cstheme="minorHAnsi"/>
          <w:sz w:val="24"/>
          <w:szCs w:val="24"/>
        </w:rPr>
        <w:t>A.r.u</w:t>
      </w:r>
      <w:proofErr w:type="spellEnd"/>
      <w:r w:rsidRPr="00D0165B">
        <w:rPr>
          <w:rFonts w:cstheme="minorHAnsi"/>
          <w:sz w:val="24"/>
          <w:szCs w:val="24"/>
        </w:rPr>
        <w:t xml:space="preserve">. </w:t>
      </w:r>
    </w:p>
    <w:p w14:paraId="3FBF4A69" w14:textId="77777777" w:rsidR="00A52D9A" w:rsidRPr="00D0165B" w:rsidRDefault="00A52D9A" w:rsidP="00D0165B">
      <w:pPr>
        <w:spacing w:line="276" w:lineRule="auto"/>
        <w:rPr>
          <w:rFonts w:cstheme="minorHAnsi"/>
          <w:sz w:val="24"/>
          <w:szCs w:val="24"/>
        </w:rPr>
      </w:pPr>
      <w:r w:rsidRPr="00D0165B">
        <w:rPr>
          <w:rFonts w:cstheme="minorHAnsi"/>
          <w:sz w:val="24"/>
          <w:szCs w:val="24"/>
        </w:rPr>
        <w:t xml:space="preserve">MAPPA Guidance (2022). Available at Multi-agency public protection arrangements (MAPPA): Guidance - GOV.UK (www.gov.uk) (Accessed 29th January 2022) </w:t>
      </w:r>
    </w:p>
    <w:p w14:paraId="289674B0" w14:textId="77777777" w:rsidR="00A52D9A" w:rsidRPr="00A52D9A" w:rsidRDefault="00A52D9A" w:rsidP="00A52D9A">
      <w:pPr>
        <w:spacing w:line="276" w:lineRule="auto"/>
        <w:rPr>
          <w:rFonts w:cstheme="minorHAnsi"/>
          <w:sz w:val="24"/>
          <w:szCs w:val="24"/>
        </w:rPr>
      </w:pPr>
      <w:r w:rsidRPr="00A52D9A">
        <w:rPr>
          <w:rFonts w:cstheme="minorHAnsi"/>
          <w:sz w:val="24"/>
          <w:szCs w:val="24"/>
        </w:rPr>
        <w:t>Mawby, D.R. and Wright, D.A. (2025) Police accountability in the United Kingdom - Commonwealth human rights ..., Police Accountability in the United Kingdom. Available at: https://www.humanrightsinitiative.org/programs/aj/police/res_mat/police_accountability_in_uk.pdf (Accessed: 03 January 2024).</w:t>
      </w:r>
    </w:p>
    <w:p w14:paraId="2F0755E9" w14:textId="77777777" w:rsidR="00A52D9A" w:rsidRPr="00A52D9A" w:rsidRDefault="00A52D9A" w:rsidP="00A52D9A">
      <w:pPr>
        <w:spacing w:line="276" w:lineRule="auto"/>
        <w:rPr>
          <w:rFonts w:cstheme="minorHAnsi"/>
          <w:sz w:val="24"/>
          <w:szCs w:val="24"/>
        </w:rPr>
      </w:pPr>
      <w:r w:rsidRPr="00A52D9A">
        <w:rPr>
          <w:rFonts w:cstheme="minorHAnsi"/>
          <w:sz w:val="24"/>
          <w:szCs w:val="24"/>
        </w:rPr>
        <w:t>Metropolitan police: Six of the worst scandals the force has faced in recent years (2023) Sky News. Available at: https://news.sky.com/story/six-of-the-worst-scandals-the-metropolitan-police-has-faced-in-recent-years-as-pressure-grows-on-force-12839492 (Accessed: 15 January 2024).</w:t>
      </w:r>
    </w:p>
    <w:p w14:paraId="47779A8B" w14:textId="77777777" w:rsidR="00A52D9A" w:rsidRPr="00D0165B" w:rsidRDefault="00A52D9A" w:rsidP="00D0165B">
      <w:pPr>
        <w:spacing w:line="276" w:lineRule="auto"/>
        <w:rPr>
          <w:rFonts w:cstheme="minorHAnsi"/>
          <w:sz w:val="24"/>
          <w:szCs w:val="24"/>
        </w:rPr>
      </w:pPr>
      <w:r w:rsidRPr="00D0165B">
        <w:rPr>
          <w:rFonts w:cstheme="minorHAnsi"/>
          <w:sz w:val="24"/>
          <w:szCs w:val="24"/>
        </w:rPr>
        <w:t xml:space="preserve">Multi-agency public protection arrangements (2021) Justice Inspectorate. Available at: https://www.justiceinspectorates.gov.uk/hmiprobation/research/the-evidence-base-probation/specific-types-of-delivery/mappa/ (Accessed: 27 January 2024). </w:t>
      </w:r>
    </w:p>
    <w:p w14:paraId="5270AA99" w14:textId="77777777" w:rsidR="00A52D9A" w:rsidRPr="00A52D9A" w:rsidRDefault="00A52D9A" w:rsidP="00A52D9A">
      <w:pPr>
        <w:spacing w:line="276" w:lineRule="auto"/>
        <w:rPr>
          <w:rFonts w:cstheme="minorHAnsi"/>
          <w:sz w:val="24"/>
          <w:szCs w:val="24"/>
        </w:rPr>
      </w:pPr>
      <w:r w:rsidRPr="00A52D9A">
        <w:rPr>
          <w:rFonts w:cstheme="minorHAnsi"/>
          <w:sz w:val="24"/>
          <w:szCs w:val="24"/>
        </w:rPr>
        <w:t>Our independence and governance (2023) Independent Office for Police Conduct (IOPC). Available at: https://www.policeconduct.gov.uk/about-us/our-independence-and-governance (Accessed: 16 January 2024).</w:t>
      </w:r>
    </w:p>
    <w:p w14:paraId="474DA332"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Participation, E. (2016) Policing and crime act 2009, Legislation.gov.uk. Available at: https://www.legislation.gov.uk/ukpga/2009/26/section/34/2016-05-26 (Accessed: 15 January 2024). </w:t>
      </w:r>
    </w:p>
    <w:p w14:paraId="087A996C"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Police and Criminal Evidence Act 1984  (PACE) – Code A (2023) assets.publishing.service.gov.uk. Available at: https://assets.publishing.service.gov.uk/media/652950f3d86b1b000d3a4f46/Revised_PACE_Code_A.pdf (Accessed: 27 January 2024). </w:t>
      </w:r>
    </w:p>
    <w:p w14:paraId="625C790F" w14:textId="77777777" w:rsidR="00A52D9A" w:rsidRPr="00B44E40" w:rsidRDefault="00A52D9A" w:rsidP="00B44E40">
      <w:pPr>
        <w:spacing w:line="276" w:lineRule="auto"/>
        <w:rPr>
          <w:rFonts w:cstheme="minorHAnsi"/>
          <w:sz w:val="24"/>
          <w:szCs w:val="24"/>
        </w:rPr>
      </w:pPr>
      <w:r w:rsidRPr="00B44E40">
        <w:rPr>
          <w:rFonts w:cstheme="minorHAnsi"/>
          <w:sz w:val="24"/>
          <w:szCs w:val="24"/>
        </w:rPr>
        <w:lastRenderedPageBreak/>
        <w:t xml:space="preserve">Police workforce (2023) GOV.UK Ethnicity facts and figures. Available at: https://www.ethnicity-facts-figures.service.gov.uk/workforce-and-business/workforce-diversity/police-workforce/latest/ (Accessed: 26 January 2024). </w:t>
      </w:r>
    </w:p>
    <w:p w14:paraId="109D1077"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Police, M. (2022) A Problem Profile of Violence, Gangs and Young People, www.london.gov.uk. Available at: https://www.london.gov.uk/sites/default/files/2022-10/Serious%20youth%20violence%20problem%20profile.pdf (Accessed: 16 January 2024). </w:t>
      </w:r>
    </w:p>
    <w:p w14:paraId="748D5ACD" w14:textId="77777777" w:rsidR="00A52D9A" w:rsidRPr="00A52D9A" w:rsidRDefault="00A52D9A" w:rsidP="00A52D9A">
      <w:pPr>
        <w:spacing w:line="276" w:lineRule="auto"/>
        <w:rPr>
          <w:rFonts w:cstheme="minorHAnsi"/>
          <w:sz w:val="24"/>
          <w:szCs w:val="24"/>
        </w:rPr>
      </w:pPr>
      <w:r w:rsidRPr="00A52D9A">
        <w:rPr>
          <w:rFonts w:cstheme="minorHAnsi"/>
          <w:sz w:val="24"/>
          <w:szCs w:val="24"/>
        </w:rPr>
        <w:t>Richards, G. (2022) Police accountability, Institute for Government. Available at: https://www.instituteforgovernment.org.uk/article/explainer/police-accountability (Accessed: 15 January 2024).</w:t>
      </w:r>
    </w:p>
    <w:p w14:paraId="6DE165CD" w14:textId="77777777" w:rsidR="00A52D9A" w:rsidRPr="00A52D9A" w:rsidRDefault="00A52D9A" w:rsidP="00A52D9A">
      <w:pPr>
        <w:spacing w:line="276" w:lineRule="auto"/>
        <w:rPr>
          <w:rFonts w:cstheme="minorHAnsi"/>
          <w:sz w:val="24"/>
          <w:szCs w:val="24"/>
        </w:rPr>
      </w:pPr>
      <w:r w:rsidRPr="00A52D9A">
        <w:rPr>
          <w:rFonts w:cstheme="minorHAnsi"/>
          <w:sz w:val="24"/>
          <w:szCs w:val="24"/>
        </w:rPr>
        <w:t>Richards, G. (2023) Police accountability, Institute for Government. Available at: https://www.instituteforgovernment.org.uk/article/explainer/police-accountability#:~:text=Why%20is%20police%20accountability%20important,police’s%20responsiveness%20to%20the%20public. (Accessed: 10 January 2024).</w:t>
      </w:r>
    </w:p>
    <w:p w14:paraId="7B0B6912"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Robinson, G., McLean, R., &amp; Densley, J. (2019). Working County Lines: Child Criminal Exploitation and Illicit Drug Dealing in Glasgow and Merseyside. International Journal of Offender Therapy and Comparative Criminology, 63(5), 694-711. https://doi-org.ezproxy.uwtsd.ac.uk/10.1177/0306624X18806742 </w:t>
      </w:r>
    </w:p>
    <w:p w14:paraId="7FCAE4A0"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Tapper, J. (2018) School exclusions ‘put children at risk of gang grooming’, 15 July. </w:t>
      </w:r>
    </w:p>
    <w:p w14:paraId="25B1CF87" w14:textId="77777777" w:rsidR="00A52D9A" w:rsidRPr="00D0165B" w:rsidRDefault="00A52D9A" w:rsidP="00D0165B">
      <w:pPr>
        <w:spacing w:line="276" w:lineRule="auto"/>
        <w:rPr>
          <w:rFonts w:cstheme="minorHAnsi"/>
          <w:sz w:val="24"/>
          <w:szCs w:val="24"/>
        </w:rPr>
      </w:pPr>
      <w:r w:rsidRPr="00D0165B">
        <w:rPr>
          <w:rFonts w:cstheme="minorHAnsi"/>
          <w:sz w:val="24"/>
          <w:szCs w:val="24"/>
        </w:rPr>
        <w:t xml:space="preserve">The impact of the COVID-19 pandemic on the Criminal Justice System - a Progress Report (2022) The impact of the Covid-19 pandemic on the criminal justice system – a progress report. Available at: https://www.justiceinspectorates.gov.uk/hmiprisons/inspections/the-impact-of-the-covid-19-pandemic-on-the-criminal-justice-system-a-progress-report/ (Accessed: 27 January 2024). </w:t>
      </w:r>
    </w:p>
    <w:p w14:paraId="31733C32" w14:textId="77777777" w:rsidR="00A52D9A" w:rsidRPr="00A52D9A" w:rsidRDefault="00A52D9A" w:rsidP="00A52D9A">
      <w:pPr>
        <w:spacing w:line="276" w:lineRule="auto"/>
        <w:rPr>
          <w:rFonts w:cstheme="minorHAnsi"/>
          <w:sz w:val="24"/>
          <w:szCs w:val="24"/>
        </w:rPr>
      </w:pPr>
      <w:r w:rsidRPr="00A52D9A">
        <w:rPr>
          <w:rFonts w:cstheme="minorHAnsi"/>
          <w:sz w:val="24"/>
          <w:szCs w:val="24"/>
        </w:rPr>
        <w:t>Walker, J. (2022) The ‘blue wall’ of silence allows bullying, sexual abuse and violence to infect police forces, The Conversation. Available at: https://theconversation.com/the-blue-wall-of-silence-allows-bullying-sexual-abuse-and-violence-to-infect-police-forces-198487 (Accessed: 15 January 2024).</w:t>
      </w:r>
    </w:p>
    <w:p w14:paraId="2CD90EF3" w14:textId="77777777" w:rsidR="00A52D9A" w:rsidRPr="00D0165B" w:rsidRDefault="00A52D9A" w:rsidP="00D0165B">
      <w:pPr>
        <w:spacing w:line="276" w:lineRule="auto"/>
        <w:rPr>
          <w:rFonts w:cstheme="minorHAnsi"/>
          <w:sz w:val="24"/>
          <w:szCs w:val="24"/>
        </w:rPr>
      </w:pPr>
      <w:r w:rsidRPr="00D0165B">
        <w:rPr>
          <w:rFonts w:cstheme="minorHAnsi"/>
          <w:sz w:val="24"/>
          <w:szCs w:val="24"/>
        </w:rPr>
        <w:t xml:space="preserve">Weaver, B. and Barry, M. (2014). “Managing high risk offenders in the community: Compliance, cooperation and consent in a climate of concern”, European Journal of Probation, 6 (3) pp. 278–295 </w:t>
      </w:r>
    </w:p>
    <w:p w14:paraId="1E1F5061" w14:textId="77777777" w:rsidR="00A52D9A" w:rsidRPr="00A52D9A" w:rsidRDefault="00A52D9A" w:rsidP="00A52D9A">
      <w:pPr>
        <w:spacing w:line="276" w:lineRule="auto"/>
        <w:rPr>
          <w:rFonts w:cstheme="minorHAnsi"/>
          <w:sz w:val="24"/>
          <w:szCs w:val="24"/>
        </w:rPr>
      </w:pPr>
      <w:proofErr w:type="spellStart"/>
      <w:r w:rsidRPr="00A52D9A">
        <w:rPr>
          <w:rFonts w:cstheme="minorHAnsi"/>
          <w:sz w:val="24"/>
          <w:szCs w:val="24"/>
        </w:rPr>
        <w:t>Westmarland</w:t>
      </w:r>
      <w:proofErr w:type="spellEnd"/>
      <w:r w:rsidRPr="00A52D9A">
        <w:rPr>
          <w:rFonts w:cstheme="minorHAnsi"/>
          <w:sz w:val="24"/>
          <w:szCs w:val="24"/>
        </w:rPr>
        <w:t>, L. and Conway, S. (2000) Police ethics and integrity: Keeping the ‘Blue Code’ of Silence, Sage Journals. Available at: https://journals.sagepub.com/doi/10.1177/1461355720947762 (Accessed: 15 January 2024).</w:t>
      </w:r>
    </w:p>
    <w:p w14:paraId="325B5362" w14:textId="77777777" w:rsidR="00A52D9A" w:rsidRDefault="00A52D9A" w:rsidP="00B44E40">
      <w:pPr>
        <w:spacing w:line="276" w:lineRule="auto"/>
        <w:rPr>
          <w:rFonts w:cstheme="minorHAnsi"/>
          <w:sz w:val="24"/>
          <w:szCs w:val="24"/>
        </w:rPr>
      </w:pPr>
      <w:r w:rsidRPr="00B44E40">
        <w:rPr>
          <w:rFonts w:cstheme="minorHAnsi"/>
          <w:sz w:val="24"/>
          <w:szCs w:val="24"/>
        </w:rPr>
        <w:lastRenderedPageBreak/>
        <w:t xml:space="preserve">Wood, J. (2012). MAPPA Level 3 offenders: Reconviction as a measure of effectiveness. Probation Journal, 59(2), 111-123. </w:t>
      </w:r>
      <w:r w:rsidRPr="00D0165B">
        <w:rPr>
          <w:rFonts w:cstheme="minorHAnsi"/>
          <w:sz w:val="24"/>
          <w:szCs w:val="24"/>
        </w:rPr>
        <w:t>https://doi-org.ezprwooxy.uwtsd.ac.uk/10.1177/0264550512438254</w:t>
      </w:r>
    </w:p>
    <w:p w14:paraId="749AAEA4" w14:textId="77777777" w:rsidR="00A52D9A" w:rsidRDefault="00A52D9A" w:rsidP="00D0165B">
      <w:pPr>
        <w:spacing w:line="276" w:lineRule="auto"/>
        <w:rPr>
          <w:rFonts w:cstheme="minorHAnsi"/>
          <w:sz w:val="24"/>
          <w:szCs w:val="24"/>
        </w:rPr>
      </w:pPr>
      <w:proofErr w:type="spellStart"/>
      <w:r w:rsidRPr="00D0165B">
        <w:rPr>
          <w:rFonts w:cstheme="minorHAnsi"/>
          <w:sz w:val="24"/>
          <w:szCs w:val="24"/>
        </w:rPr>
        <w:t>Yakeley</w:t>
      </w:r>
      <w:proofErr w:type="spellEnd"/>
      <w:r w:rsidRPr="00D0165B">
        <w:rPr>
          <w:rFonts w:cstheme="minorHAnsi"/>
          <w:sz w:val="24"/>
          <w:szCs w:val="24"/>
        </w:rPr>
        <w:t xml:space="preserve"> J, Taylor R, Cameron A. MAPPA and mental health — 10 years of controversy. The Psychiatrist. 2012;36(6):201-204. doi:10.1192/pb.bp.111.037960</w:t>
      </w:r>
    </w:p>
    <w:p w14:paraId="6D2AB3D3" w14:textId="77777777" w:rsidR="00A52D9A" w:rsidRPr="00B44E40" w:rsidRDefault="00A52D9A" w:rsidP="00A52D9A">
      <w:pPr>
        <w:spacing w:line="276" w:lineRule="auto"/>
        <w:rPr>
          <w:rFonts w:cstheme="minorHAnsi"/>
          <w:sz w:val="24"/>
          <w:szCs w:val="24"/>
        </w:rPr>
      </w:pPr>
      <w:proofErr w:type="spellStart"/>
      <w:r w:rsidRPr="00A52D9A">
        <w:rPr>
          <w:rFonts w:cstheme="minorHAnsi"/>
          <w:sz w:val="24"/>
          <w:szCs w:val="24"/>
        </w:rPr>
        <w:t>Yesberg</w:t>
      </w:r>
      <w:proofErr w:type="spellEnd"/>
      <w:r w:rsidRPr="00A52D9A">
        <w:rPr>
          <w:rFonts w:cstheme="minorHAnsi"/>
          <w:sz w:val="24"/>
          <w:szCs w:val="24"/>
        </w:rPr>
        <w:t>, J., Brunton-Smith, I., &amp; Bradford, B. (2023). Police visibility, trust in police fairness, and collective efficacy: A multilevel Structural Equation Model. European Journal of Criminology, 20(2), 712-737. https://doi.org/10.1177/14773708211035306</w:t>
      </w:r>
    </w:p>
    <w:p w14:paraId="1A419560" w14:textId="77777777" w:rsidR="00A52D9A" w:rsidRPr="00B44E40" w:rsidRDefault="00A52D9A" w:rsidP="00B44E40">
      <w:pPr>
        <w:spacing w:line="276" w:lineRule="auto"/>
        <w:rPr>
          <w:rFonts w:cstheme="minorHAnsi"/>
          <w:sz w:val="24"/>
          <w:szCs w:val="24"/>
        </w:rPr>
      </w:pPr>
      <w:r w:rsidRPr="00B44E40">
        <w:rPr>
          <w:rFonts w:cstheme="minorHAnsi"/>
          <w:sz w:val="24"/>
          <w:szCs w:val="24"/>
        </w:rPr>
        <w:t xml:space="preserve">Youth Violence Commission (2018) Interim Report, House of Commons. Available at: http://yvcommission.com/wp-content/uploads/2018/07/Interim-Report-FINAL-version-2.pdf. (Accessed: 15 January 2024). </w:t>
      </w:r>
    </w:p>
    <w:sectPr w:rsidR="00A52D9A" w:rsidRPr="00B44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F90814"/>
    <w:multiLevelType w:val="hybridMultilevel"/>
    <w:tmpl w:val="1DA25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A3206E"/>
    <w:multiLevelType w:val="hybridMultilevel"/>
    <w:tmpl w:val="C9101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6734556">
    <w:abstractNumId w:val="1"/>
  </w:num>
  <w:num w:numId="2" w16cid:durableId="766968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E40"/>
    <w:rsid w:val="0018074D"/>
    <w:rsid w:val="00316122"/>
    <w:rsid w:val="00870FC2"/>
    <w:rsid w:val="00A52D9A"/>
    <w:rsid w:val="00AF701D"/>
    <w:rsid w:val="00B44E40"/>
    <w:rsid w:val="00D0165B"/>
    <w:rsid w:val="00DC6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E35F8D"/>
  <w15:chartTrackingRefBased/>
  <w15:docId w15:val="{95F27EA4-81CA-46A4-9ADC-8A1255EBF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44E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44E40"/>
  </w:style>
  <w:style w:type="character" w:customStyle="1" w:styleId="eop">
    <w:name w:val="eop"/>
    <w:basedOn w:val="DefaultParagraphFont"/>
    <w:rsid w:val="00B44E40"/>
  </w:style>
  <w:style w:type="paragraph" w:styleId="ListParagraph">
    <w:name w:val="List Paragraph"/>
    <w:basedOn w:val="Normal"/>
    <w:uiPriority w:val="34"/>
    <w:qFormat/>
    <w:rsid w:val="00B44E40"/>
    <w:pPr>
      <w:ind w:left="720"/>
      <w:contextualSpacing/>
    </w:pPr>
  </w:style>
  <w:style w:type="character" w:styleId="Hyperlink">
    <w:name w:val="Hyperlink"/>
    <w:basedOn w:val="DefaultParagraphFont"/>
    <w:uiPriority w:val="99"/>
    <w:unhideWhenUsed/>
    <w:rsid w:val="00D0165B"/>
    <w:rPr>
      <w:color w:val="0563C1" w:themeColor="hyperlink"/>
      <w:u w:val="single"/>
    </w:rPr>
  </w:style>
  <w:style w:type="character" w:styleId="UnresolvedMention">
    <w:name w:val="Unresolved Mention"/>
    <w:basedOn w:val="DefaultParagraphFont"/>
    <w:uiPriority w:val="99"/>
    <w:semiHidden/>
    <w:unhideWhenUsed/>
    <w:rsid w:val="00D016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775297">
      <w:bodyDiv w:val="1"/>
      <w:marLeft w:val="0"/>
      <w:marRight w:val="0"/>
      <w:marTop w:val="0"/>
      <w:marBottom w:val="0"/>
      <w:divBdr>
        <w:top w:val="none" w:sz="0" w:space="0" w:color="auto"/>
        <w:left w:val="none" w:sz="0" w:space="0" w:color="auto"/>
        <w:bottom w:val="none" w:sz="0" w:space="0" w:color="auto"/>
        <w:right w:val="none" w:sz="0" w:space="0" w:color="auto"/>
      </w:divBdr>
      <w:divsChild>
        <w:div w:id="1817337848">
          <w:marLeft w:val="0"/>
          <w:marRight w:val="0"/>
          <w:marTop w:val="0"/>
          <w:marBottom w:val="0"/>
          <w:divBdr>
            <w:top w:val="none" w:sz="0" w:space="0" w:color="auto"/>
            <w:left w:val="none" w:sz="0" w:space="0" w:color="auto"/>
            <w:bottom w:val="none" w:sz="0" w:space="0" w:color="auto"/>
            <w:right w:val="none" w:sz="0" w:space="0" w:color="auto"/>
          </w:divBdr>
        </w:div>
        <w:div w:id="1344357898">
          <w:marLeft w:val="0"/>
          <w:marRight w:val="0"/>
          <w:marTop w:val="0"/>
          <w:marBottom w:val="0"/>
          <w:divBdr>
            <w:top w:val="none" w:sz="0" w:space="0" w:color="auto"/>
            <w:left w:val="none" w:sz="0" w:space="0" w:color="auto"/>
            <w:bottom w:val="none" w:sz="0" w:space="0" w:color="auto"/>
            <w:right w:val="none" w:sz="0" w:space="0" w:color="auto"/>
          </w:divBdr>
        </w:div>
        <w:div w:id="360479710">
          <w:marLeft w:val="0"/>
          <w:marRight w:val="0"/>
          <w:marTop w:val="0"/>
          <w:marBottom w:val="0"/>
          <w:divBdr>
            <w:top w:val="none" w:sz="0" w:space="0" w:color="auto"/>
            <w:left w:val="none" w:sz="0" w:space="0" w:color="auto"/>
            <w:bottom w:val="none" w:sz="0" w:space="0" w:color="auto"/>
            <w:right w:val="none" w:sz="0" w:space="0" w:color="auto"/>
          </w:divBdr>
        </w:div>
        <w:div w:id="794835694">
          <w:marLeft w:val="0"/>
          <w:marRight w:val="0"/>
          <w:marTop w:val="0"/>
          <w:marBottom w:val="0"/>
          <w:divBdr>
            <w:top w:val="none" w:sz="0" w:space="0" w:color="auto"/>
            <w:left w:val="none" w:sz="0" w:space="0" w:color="auto"/>
            <w:bottom w:val="none" w:sz="0" w:space="0" w:color="auto"/>
            <w:right w:val="none" w:sz="0" w:space="0" w:color="auto"/>
          </w:divBdr>
        </w:div>
        <w:div w:id="1321808318">
          <w:marLeft w:val="0"/>
          <w:marRight w:val="0"/>
          <w:marTop w:val="0"/>
          <w:marBottom w:val="0"/>
          <w:divBdr>
            <w:top w:val="none" w:sz="0" w:space="0" w:color="auto"/>
            <w:left w:val="none" w:sz="0" w:space="0" w:color="auto"/>
            <w:bottom w:val="none" w:sz="0" w:space="0" w:color="auto"/>
            <w:right w:val="none" w:sz="0" w:space="0" w:color="auto"/>
          </w:divBdr>
        </w:div>
        <w:div w:id="1690645156">
          <w:marLeft w:val="0"/>
          <w:marRight w:val="0"/>
          <w:marTop w:val="0"/>
          <w:marBottom w:val="0"/>
          <w:divBdr>
            <w:top w:val="none" w:sz="0" w:space="0" w:color="auto"/>
            <w:left w:val="none" w:sz="0" w:space="0" w:color="auto"/>
            <w:bottom w:val="none" w:sz="0" w:space="0" w:color="auto"/>
            <w:right w:val="none" w:sz="0" w:space="0" w:color="auto"/>
          </w:divBdr>
        </w:div>
        <w:div w:id="1426269615">
          <w:marLeft w:val="0"/>
          <w:marRight w:val="0"/>
          <w:marTop w:val="0"/>
          <w:marBottom w:val="0"/>
          <w:divBdr>
            <w:top w:val="none" w:sz="0" w:space="0" w:color="auto"/>
            <w:left w:val="none" w:sz="0" w:space="0" w:color="auto"/>
            <w:bottom w:val="none" w:sz="0" w:space="0" w:color="auto"/>
            <w:right w:val="none" w:sz="0" w:space="0" w:color="auto"/>
          </w:divBdr>
        </w:div>
        <w:div w:id="1203863547">
          <w:marLeft w:val="0"/>
          <w:marRight w:val="0"/>
          <w:marTop w:val="0"/>
          <w:marBottom w:val="0"/>
          <w:divBdr>
            <w:top w:val="none" w:sz="0" w:space="0" w:color="auto"/>
            <w:left w:val="none" w:sz="0" w:space="0" w:color="auto"/>
            <w:bottom w:val="none" w:sz="0" w:space="0" w:color="auto"/>
            <w:right w:val="none" w:sz="0" w:space="0" w:color="auto"/>
          </w:divBdr>
        </w:div>
        <w:div w:id="1697347056">
          <w:marLeft w:val="0"/>
          <w:marRight w:val="0"/>
          <w:marTop w:val="0"/>
          <w:marBottom w:val="0"/>
          <w:divBdr>
            <w:top w:val="none" w:sz="0" w:space="0" w:color="auto"/>
            <w:left w:val="none" w:sz="0" w:space="0" w:color="auto"/>
            <w:bottom w:val="none" w:sz="0" w:space="0" w:color="auto"/>
            <w:right w:val="none" w:sz="0" w:space="0" w:color="auto"/>
          </w:divBdr>
        </w:div>
        <w:div w:id="323358171">
          <w:marLeft w:val="0"/>
          <w:marRight w:val="0"/>
          <w:marTop w:val="0"/>
          <w:marBottom w:val="0"/>
          <w:divBdr>
            <w:top w:val="none" w:sz="0" w:space="0" w:color="auto"/>
            <w:left w:val="none" w:sz="0" w:space="0" w:color="auto"/>
            <w:bottom w:val="none" w:sz="0" w:space="0" w:color="auto"/>
            <w:right w:val="none" w:sz="0" w:space="0" w:color="auto"/>
          </w:divBdr>
        </w:div>
        <w:div w:id="668168741">
          <w:marLeft w:val="0"/>
          <w:marRight w:val="0"/>
          <w:marTop w:val="0"/>
          <w:marBottom w:val="0"/>
          <w:divBdr>
            <w:top w:val="none" w:sz="0" w:space="0" w:color="auto"/>
            <w:left w:val="none" w:sz="0" w:space="0" w:color="auto"/>
            <w:bottom w:val="none" w:sz="0" w:space="0" w:color="auto"/>
            <w:right w:val="none" w:sz="0" w:space="0" w:color="auto"/>
          </w:divBdr>
        </w:div>
        <w:div w:id="594439945">
          <w:marLeft w:val="0"/>
          <w:marRight w:val="0"/>
          <w:marTop w:val="0"/>
          <w:marBottom w:val="0"/>
          <w:divBdr>
            <w:top w:val="none" w:sz="0" w:space="0" w:color="auto"/>
            <w:left w:val="none" w:sz="0" w:space="0" w:color="auto"/>
            <w:bottom w:val="none" w:sz="0" w:space="0" w:color="auto"/>
            <w:right w:val="none" w:sz="0" w:space="0" w:color="auto"/>
          </w:divBdr>
        </w:div>
        <w:div w:id="1438988097">
          <w:marLeft w:val="0"/>
          <w:marRight w:val="0"/>
          <w:marTop w:val="0"/>
          <w:marBottom w:val="0"/>
          <w:divBdr>
            <w:top w:val="none" w:sz="0" w:space="0" w:color="auto"/>
            <w:left w:val="none" w:sz="0" w:space="0" w:color="auto"/>
            <w:bottom w:val="none" w:sz="0" w:space="0" w:color="auto"/>
            <w:right w:val="none" w:sz="0" w:space="0" w:color="auto"/>
          </w:divBdr>
        </w:div>
        <w:div w:id="1640837263">
          <w:marLeft w:val="0"/>
          <w:marRight w:val="0"/>
          <w:marTop w:val="0"/>
          <w:marBottom w:val="0"/>
          <w:divBdr>
            <w:top w:val="none" w:sz="0" w:space="0" w:color="auto"/>
            <w:left w:val="none" w:sz="0" w:space="0" w:color="auto"/>
            <w:bottom w:val="none" w:sz="0" w:space="0" w:color="auto"/>
            <w:right w:val="none" w:sz="0" w:space="0" w:color="auto"/>
          </w:divBdr>
        </w:div>
        <w:div w:id="1978216816">
          <w:marLeft w:val="0"/>
          <w:marRight w:val="0"/>
          <w:marTop w:val="0"/>
          <w:marBottom w:val="0"/>
          <w:divBdr>
            <w:top w:val="none" w:sz="0" w:space="0" w:color="auto"/>
            <w:left w:val="none" w:sz="0" w:space="0" w:color="auto"/>
            <w:bottom w:val="none" w:sz="0" w:space="0" w:color="auto"/>
            <w:right w:val="none" w:sz="0" w:space="0" w:color="auto"/>
          </w:divBdr>
        </w:div>
        <w:div w:id="706417135">
          <w:marLeft w:val="0"/>
          <w:marRight w:val="0"/>
          <w:marTop w:val="0"/>
          <w:marBottom w:val="0"/>
          <w:divBdr>
            <w:top w:val="none" w:sz="0" w:space="0" w:color="auto"/>
            <w:left w:val="none" w:sz="0" w:space="0" w:color="auto"/>
            <w:bottom w:val="none" w:sz="0" w:space="0" w:color="auto"/>
            <w:right w:val="none" w:sz="0" w:space="0" w:color="auto"/>
          </w:divBdr>
        </w:div>
        <w:div w:id="420493300">
          <w:marLeft w:val="0"/>
          <w:marRight w:val="0"/>
          <w:marTop w:val="0"/>
          <w:marBottom w:val="0"/>
          <w:divBdr>
            <w:top w:val="none" w:sz="0" w:space="0" w:color="auto"/>
            <w:left w:val="none" w:sz="0" w:space="0" w:color="auto"/>
            <w:bottom w:val="none" w:sz="0" w:space="0" w:color="auto"/>
            <w:right w:val="none" w:sz="0" w:space="0" w:color="auto"/>
          </w:divBdr>
        </w:div>
        <w:div w:id="315379459">
          <w:marLeft w:val="0"/>
          <w:marRight w:val="0"/>
          <w:marTop w:val="0"/>
          <w:marBottom w:val="0"/>
          <w:divBdr>
            <w:top w:val="none" w:sz="0" w:space="0" w:color="auto"/>
            <w:left w:val="none" w:sz="0" w:space="0" w:color="auto"/>
            <w:bottom w:val="none" w:sz="0" w:space="0" w:color="auto"/>
            <w:right w:val="none" w:sz="0" w:space="0" w:color="auto"/>
          </w:divBdr>
        </w:div>
        <w:div w:id="1114639813">
          <w:marLeft w:val="0"/>
          <w:marRight w:val="0"/>
          <w:marTop w:val="0"/>
          <w:marBottom w:val="0"/>
          <w:divBdr>
            <w:top w:val="none" w:sz="0" w:space="0" w:color="auto"/>
            <w:left w:val="none" w:sz="0" w:space="0" w:color="auto"/>
            <w:bottom w:val="none" w:sz="0" w:space="0" w:color="auto"/>
            <w:right w:val="none" w:sz="0" w:space="0" w:color="auto"/>
          </w:divBdr>
        </w:div>
        <w:div w:id="970356739">
          <w:marLeft w:val="0"/>
          <w:marRight w:val="0"/>
          <w:marTop w:val="0"/>
          <w:marBottom w:val="0"/>
          <w:divBdr>
            <w:top w:val="none" w:sz="0" w:space="0" w:color="auto"/>
            <w:left w:val="none" w:sz="0" w:space="0" w:color="auto"/>
            <w:bottom w:val="none" w:sz="0" w:space="0" w:color="auto"/>
            <w:right w:val="none" w:sz="0" w:space="0" w:color="auto"/>
          </w:divBdr>
        </w:div>
        <w:div w:id="1161848047">
          <w:marLeft w:val="0"/>
          <w:marRight w:val="0"/>
          <w:marTop w:val="0"/>
          <w:marBottom w:val="0"/>
          <w:divBdr>
            <w:top w:val="none" w:sz="0" w:space="0" w:color="auto"/>
            <w:left w:val="none" w:sz="0" w:space="0" w:color="auto"/>
            <w:bottom w:val="none" w:sz="0" w:space="0" w:color="auto"/>
            <w:right w:val="none" w:sz="0" w:space="0" w:color="auto"/>
          </w:divBdr>
        </w:div>
        <w:div w:id="1408310918">
          <w:marLeft w:val="0"/>
          <w:marRight w:val="0"/>
          <w:marTop w:val="0"/>
          <w:marBottom w:val="0"/>
          <w:divBdr>
            <w:top w:val="none" w:sz="0" w:space="0" w:color="auto"/>
            <w:left w:val="none" w:sz="0" w:space="0" w:color="auto"/>
            <w:bottom w:val="none" w:sz="0" w:space="0" w:color="auto"/>
            <w:right w:val="none" w:sz="0" w:space="0" w:color="auto"/>
          </w:divBdr>
        </w:div>
        <w:div w:id="183785437">
          <w:marLeft w:val="0"/>
          <w:marRight w:val="0"/>
          <w:marTop w:val="0"/>
          <w:marBottom w:val="0"/>
          <w:divBdr>
            <w:top w:val="none" w:sz="0" w:space="0" w:color="auto"/>
            <w:left w:val="none" w:sz="0" w:space="0" w:color="auto"/>
            <w:bottom w:val="none" w:sz="0" w:space="0" w:color="auto"/>
            <w:right w:val="none" w:sz="0" w:space="0" w:color="auto"/>
          </w:divBdr>
        </w:div>
        <w:div w:id="1608804743">
          <w:marLeft w:val="0"/>
          <w:marRight w:val="0"/>
          <w:marTop w:val="0"/>
          <w:marBottom w:val="0"/>
          <w:divBdr>
            <w:top w:val="none" w:sz="0" w:space="0" w:color="auto"/>
            <w:left w:val="none" w:sz="0" w:space="0" w:color="auto"/>
            <w:bottom w:val="none" w:sz="0" w:space="0" w:color="auto"/>
            <w:right w:val="none" w:sz="0" w:space="0" w:color="auto"/>
          </w:divBdr>
        </w:div>
        <w:div w:id="255408363">
          <w:marLeft w:val="0"/>
          <w:marRight w:val="0"/>
          <w:marTop w:val="0"/>
          <w:marBottom w:val="0"/>
          <w:divBdr>
            <w:top w:val="none" w:sz="0" w:space="0" w:color="auto"/>
            <w:left w:val="none" w:sz="0" w:space="0" w:color="auto"/>
            <w:bottom w:val="none" w:sz="0" w:space="0" w:color="auto"/>
            <w:right w:val="none" w:sz="0" w:space="0" w:color="auto"/>
          </w:divBdr>
        </w:div>
        <w:div w:id="542521609">
          <w:marLeft w:val="0"/>
          <w:marRight w:val="0"/>
          <w:marTop w:val="0"/>
          <w:marBottom w:val="0"/>
          <w:divBdr>
            <w:top w:val="none" w:sz="0" w:space="0" w:color="auto"/>
            <w:left w:val="none" w:sz="0" w:space="0" w:color="auto"/>
            <w:bottom w:val="none" w:sz="0" w:space="0" w:color="auto"/>
            <w:right w:val="none" w:sz="0" w:space="0" w:color="auto"/>
          </w:divBdr>
        </w:div>
        <w:div w:id="889262759">
          <w:marLeft w:val="0"/>
          <w:marRight w:val="0"/>
          <w:marTop w:val="0"/>
          <w:marBottom w:val="0"/>
          <w:divBdr>
            <w:top w:val="none" w:sz="0" w:space="0" w:color="auto"/>
            <w:left w:val="none" w:sz="0" w:space="0" w:color="auto"/>
            <w:bottom w:val="none" w:sz="0" w:space="0" w:color="auto"/>
            <w:right w:val="none" w:sz="0" w:space="0" w:color="auto"/>
          </w:divBdr>
        </w:div>
        <w:div w:id="447314447">
          <w:marLeft w:val="0"/>
          <w:marRight w:val="0"/>
          <w:marTop w:val="0"/>
          <w:marBottom w:val="0"/>
          <w:divBdr>
            <w:top w:val="none" w:sz="0" w:space="0" w:color="auto"/>
            <w:left w:val="none" w:sz="0" w:space="0" w:color="auto"/>
            <w:bottom w:val="none" w:sz="0" w:space="0" w:color="auto"/>
            <w:right w:val="none" w:sz="0" w:space="0" w:color="auto"/>
          </w:divBdr>
        </w:div>
        <w:div w:id="1233734774">
          <w:marLeft w:val="0"/>
          <w:marRight w:val="0"/>
          <w:marTop w:val="0"/>
          <w:marBottom w:val="0"/>
          <w:divBdr>
            <w:top w:val="none" w:sz="0" w:space="0" w:color="auto"/>
            <w:left w:val="none" w:sz="0" w:space="0" w:color="auto"/>
            <w:bottom w:val="none" w:sz="0" w:space="0" w:color="auto"/>
            <w:right w:val="none" w:sz="0" w:space="0" w:color="auto"/>
          </w:divBdr>
        </w:div>
        <w:div w:id="1881480237">
          <w:marLeft w:val="0"/>
          <w:marRight w:val="0"/>
          <w:marTop w:val="0"/>
          <w:marBottom w:val="0"/>
          <w:divBdr>
            <w:top w:val="none" w:sz="0" w:space="0" w:color="auto"/>
            <w:left w:val="none" w:sz="0" w:space="0" w:color="auto"/>
            <w:bottom w:val="none" w:sz="0" w:space="0" w:color="auto"/>
            <w:right w:val="none" w:sz="0" w:space="0" w:color="auto"/>
          </w:divBdr>
        </w:div>
        <w:div w:id="56444234">
          <w:marLeft w:val="0"/>
          <w:marRight w:val="0"/>
          <w:marTop w:val="0"/>
          <w:marBottom w:val="0"/>
          <w:divBdr>
            <w:top w:val="none" w:sz="0" w:space="0" w:color="auto"/>
            <w:left w:val="none" w:sz="0" w:space="0" w:color="auto"/>
            <w:bottom w:val="none" w:sz="0" w:space="0" w:color="auto"/>
            <w:right w:val="none" w:sz="0" w:space="0" w:color="auto"/>
          </w:divBdr>
        </w:div>
        <w:div w:id="1130244153">
          <w:marLeft w:val="0"/>
          <w:marRight w:val="0"/>
          <w:marTop w:val="0"/>
          <w:marBottom w:val="0"/>
          <w:divBdr>
            <w:top w:val="none" w:sz="0" w:space="0" w:color="auto"/>
            <w:left w:val="none" w:sz="0" w:space="0" w:color="auto"/>
            <w:bottom w:val="none" w:sz="0" w:space="0" w:color="auto"/>
            <w:right w:val="none" w:sz="0" w:space="0" w:color="auto"/>
          </w:divBdr>
        </w:div>
        <w:div w:id="823396616">
          <w:marLeft w:val="0"/>
          <w:marRight w:val="0"/>
          <w:marTop w:val="0"/>
          <w:marBottom w:val="0"/>
          <w:divBdr>
            <w:top w:val="none" w:sz="0" w:space="0" w:color="auto"/>
            <w:left w:val="none" w:sz="0" w:space="0" w:color="auto"/>
            <w:bottom w:val="none" w:sz="0" w:space="0" w:color="auto"/>
            <w:right w:val="none" w:sz="0" w:space="0" w:color="auto"/>
          </w:divBdr>
        </w:div>
        <w:div w:id="1982809594">
          <w:marLeft w:val="0"/>
          <w:marRight w:val="0"/>
          <w:marTop w:val="0"/>
          <w:marBottom w:val="0"/>
          <w:divBdr>
            <w:top w:val="none" w:sz="0" w:space="0" w:color="auto"/>
            <w:left w:val="none" w:sz="0" w:space="0" w:color="auto"/>
            <w:bottom w:val="none" w:sz="0" w:space="0" w:color="auto"/>
            <w:right w:val="none" w:sz="0" w:space="0" w:color="auto"/>
          </w:divBdr>
        </w:div>
        <w:div w:id="798453508">
          <w:marLeft w:val="0"/>
          <w:marRight w:val="0"/>
          <w:marTop w:val="0"/>
          <w:marBottom w:val="0"/>
          <w:divBdr>
            <w:top w:val="none" w:sz="0" w:space="0" w:color="auto"/>
            <w:left w:val="none" w:sz="0" w:space="0" w:color="auto"/>
            <w:bottom w:val="none" w:sz="0" w:space="0" w:color="auto"/>
            <w:right w:val="none" w:sz="0" w:space="0" w:color="auto"/>
          </w:divBdr>
        </w:div>
        <w:div w:id="658385070">
          <w:marLeft w:val="0"/>
          <w:marRight w:val="0"/>
          <w:marTop w:val="0"/>
          <w:marBottom w:val="0"/>
          <w:divBdr>
            <w:top w:val="none" w:sz="0" w:space="0" w:color="auto"/>
            <w:left w:val="none" w:sz="0" w:space="0" w:color="auto"/>
            <w:bottom w:val="none" w:sz="0" w:space="0" w:color="auto"/>
            <w:right w:val="none" w:sz="0" w:space="0" w:color="auto"/>
          </w:divBdr>
        </w:div>
        <w:div w:id="953249882">
          <w:marLeft w:val="0"/>
          <w:marRight w:val="0"/>
          <w:marTop w:val="0"/>
          <w:marBottom w:val="0"/>
          <w:divBdr>
            <w:top w:val="none" w:sz="0" w:space="0" w:color="auto"/>
            <w:left w:val="none" w:sz="0" w:space="0" w:color="auto"/>
            <w:bottom w:val="none" w:sz="0" w:space="0" w:color="auto"/>
            <w:right w:val="none" w:sz="0" w:space="0" w:color="auto"/>
          </w:divBdr>
        </w:div>
        <w:div w:id="1355155228">
          <w:marLeft w:val="0"/>
          <w:marRight w:val="0"/>
          <w:marTop w:val="0"/>
          <w:marBottom w:val="0"/>
          <w:divBdr>
            <w:top w:val="none" w:sz="0" w:space="0" w:color="auto"/>
            <w:left w:val="none" w:sz="0" w:space="0" w:color="auto"/>
            <w:bottom w:val="none" w:sz="0" w:space="0" w:color="auto"/>
            <w:right w:val="none" w:sz="0" w:space="0" w:color="auto"/>
          </w:divBdr>
        </w:div>
        <w:div w:id="1350061052">
          <w:marLeft w:val="0"/>
          <w:marRight w:val="0"/>
          <w:marTop w:val="0"/>
          <w:marBottom w:val="0"/>
          <w:divBdr>
            <w:top w:val="none" w:sz="0" w:space="0" w:color="auto"/>
            <w:left w:val="none" w:sz="0" w:space="0" w:color="auto"/>
            <w:bottom w:val="none" w:sz="0" w:space="0" w:color="auto"/>
            <w:right w:val="none" w:sz="0" w:space="0" w:color="auto"/>
          </w:divBdr>
        </w:div>
        <w:div w:id="276907560">
          <w:marLeft w:val="0"/>
          <w:marRight w:val="0"/>
          <w:marTop w:val="0"/>
          <w:marBottom w:val="0"/>
          <w:divBdr>
            <w:top w:val="none" w:sz="0" w:space="0" w:color="auto"/>
            <w:left w:val="none" w:sz="0" w:space="0" w:color="auto"/>
            <w:bottom w:val="none" w:sz="0" w:space="0" w:color="auto"/>
            <w:right w:val="none" w:sz="0" w:space="0" w:color="auto"/>
          </w:divBdr>
        </w:div>
      </w:divsChild>
    </w:div>
    <w:div w:id="1508716482">
      <w:bodyDiv w:val="1"/>
      <w:marLeft w:val="0"/>
      <w:marRight w:val="0"/>
      <w:marTop w:val="0"/>
      <w:marBottom w:val="0"/>
      <w:divBdr>
        <w:top w:val="none" w:sz="0" w:space="0" w:color="auto"/>
        <w:left w:val="none" w:sz="0" w:space="0" w:color="auto"/>
        <w:bottom w:val="none" w:sz="0" w:space="0" w:color="auto"/>
        <w:right w:val="none" w:sz="0" w:space="0" w:color="auto"/>
      </w:divBdr>
      <w:divsChild>
        <w:div w:id="1255357185">
          <w:marLeft w:val="0"/>
          <w:marRight w:val="0"/>
          <w:marTop w:val="0"/>
          <w:marBottom w:val="0"/>
          <w:divBdr>
            <w:top w:val="none" w:sz="0" w:space="0" w:color="auto"/>
            <w:left w:val="none" w:sz="0" w:space="0" w:color="auto"/>
            <w:bottom w:val="none" w:sz="0" w:space="0" w:color="auto"/>
            <w:right w:val="none" w:sz="0" w:space="0" w:color="auto"/>
          </w:divBdr>
        </w:div>
        <w:div w:id="599339750">
          <w:marLeft w:val="0"/>
          <w:marRight w:val="0"/>
          <w:marTop w:val="0"/>
          <w:marBottom w:val="0"/>
          <w:divBdr>
            <w:top w:val="none" w:sz="0" w:space="0" w:color="auto"/>
            <w:left w:val="none" w:sz="0" w:space="0" w:color="auto"/>
            <w:bottom w:val="none" w:sz="0" w:space="0" w:color="auto"/>
            <w:right w:val="none" w:sz="0" w:space="0" w:color="auto"/>
          </w:divBdr>
        </w:div>
        <w:div w:id="671302100">
          <w:marLeft w:val="0"/>
          <w:marRight w:val="0"/>
          <w:marTop w:val="0"/>
          <w:marBottom w:val="0"/>
          <w:divBdr>
            <w:top w:val="none" w:sz="0" w:space="0" w:color="auto"/>
            <w:left w:val="none" w:sz="0" w:space="0" w:color="auto"/>
            <w:bottom w:val="none" w:sz="0" w:space="0" w:color="auto"/>
            <w:right w:val="none" w:sz="0" w:space="0" w:color="auto"/>
          </w:divBdr>
        </w:div>
        <w:div w:id="1917783603">
          <w:marLeft w:val="0"/>
          <w:marRight w:val="0"/>
          <w:marTop w:val="0"/>
          <w:marBottom w:val="0"/>
          <w:divBdr>
            <w:top w:val="none" w:sz="0" w:space="0" w:color="auto"/>
            <w:left w:val="none" w:sz="0" w:space="0" w:color="auto"/>
            <w:bottom w:val="none" w:sz="0" w:space="0" w:color="auto"/>
            <w:right w:val="none" w:sz="0" w:space="0" w:color="auto"/>
          </w:divBdr>
        </w:div>
        <w:div w:id="1505978860">
          <w:marLeft w:val="0"/>
          <w:marRight w:val="0"/>
          <w:marTop w:val="0"/>
          <w:marBottom w:val="0"/>
          <w:divBdr>
            <w:top w:val="none" w:sz="0" w:space="0" w:color="auto"/>
            <w:left w:val="none" w:sz="0" w:space="0" w:color="auto"/>
            <w:bottom w:val="none" w:sz="0" w:space="0" w:color="auto"/>
            <w:right w:val="none" w:sz="0" w:space="0" w:color="auto"/>
          </w:divBdr>
        </w:div>
        <w:div w:id="593706915">
          <w:marLeft w:val="0"/>
          <w:marRight w:val="0"/>
          <w:marTop w:val="0"/>
          <w:marBottom w:val="0"/>
          <w:divBdr>
            <w:top w:val="none" w:sz="0" w:space="0" w:color="auto"/>
            <w:left w:val="none" w:sz="0" w:space="0" w:color="auto"/>
            <w:bottom w:val="none" w:sz="0" w:space="0" w:color="auto"/>
            <w:right w:val="none" w:sz="0" w:space="0" w:color="auto"/>
          </w:divBdr>
        </w:div>
        <w:div w:id="1942954282">
          <w:marLeft w:val="0"/>
          <w:marRight w:val="0"/>
          <w:marTop w:val="0"/>
          <w:marBottom w:val="0"/>
          <w:divBdr>
            <w:top w:val="none" w:sz="0" w:space="0" w:color="auto"/>
            <w:left w:val="none" w:sz="0" w:space="0" w:color="auto"/>
            <w:bottom w:val="none" w:sz="0" w:space="0" w:color="auto"/>
            <w:right w:val="none" w:sz="0" w:space="0" w:color="auto"/>
          </w:divBdr>
        </w:div>
      </w:divsChild>
    </w:div>
    <w:div w:id="1795368703">
      <w:bodyDiv w:val="1"/>
      <w:marLeft w:val="0"/>
      <w:marRight w:val="0"/>
      <w:marTop w:val="0"/>
      <w:marBottom w:val="0"/>
      <w:divBdr>
        <w:top w:val="none" w:sz="0" w:space="0" w:color="auto"/>
        <w:left w:val="none" w:sz="0" w:space="0" w:color="auto"/>
        <w:bottom w:val="none" w:sz="0" w:space="0" w:color="auto"/>
        <w:right w:val="none" w:sz="0" w:space="0" w:color="auto"/>
      </w:divBdr>
      <w:divsChild>
        <w:div w:id="1307122516">
          <w:marLeft w:val="0"/>
          <w:marRight w:val="0"/>
          <w:marTop w:val="0"/>
          <w:marBottom w:val="0"/>
          <w:divBdr>
            <w:top w:val="none" w:sz="0" w:space="0" w:color="auto"/>
            <w:left w:val="none" w:sz="0" w:space="0" w:color="auto"/>
            <w:bottom w:val="none" w:sz="0" w:space="0" w:color="auto"/>
            <w:right w:val="none" w:sz="0" w:space="0" w:color="auto"/>
          </w:divBdr>
        </w:div>
        <w:div w:id="40980948">
          <w:marLeft w:val="0"/>
          <w:marRight w:val="0"/>
          <w:marTop w:val="0"/>
          <w:marBottom w:val="0"/>
          <w:divBdr>
            <w:top w:val="none" w:sz="0" w:space="0" w:color="auto"/>
            <w:left w:val="none" w:sz="0" w:space="0" w:color="auto"/>
            <w:bottom w:val="none" w:sz="0" w:space="0" w:color="auto"/>
            <w:right w:val="none" w:sz="0" w:space="0" w:color="auto"/>
          </w:divBdr>
        </w:div>
        <w:div w:id="1304198194">
          <w:marLeft w:val="0"/>
          <w:marRight w:val="0"/>
          <w:marTop w:val="0"/>
          <w:marBottom w:val="0"/>
          <w:divBdr>
            <w:top w:val="none" w:sz="0" w:space="0" w:color="auto"/>
            <w:left w:val="none" w:sz="0" w:space="0" w:color="auto"/>
            <w:bottom w:val="none" w:sz="0" w:space="0" w:color="auto"/>
            <w:right w:val="none" w:sz="0" w:space="0" w:color="auto"/>
          </w:divBdr>
        </w:div>
        <w:div w:id="698316770">
          <w:marLeft w:val="0"/>
          <w:marRight w:val="0"/>
          <w:marTop w:val="0"/>
          <w:marBottom w:val="0"/>
          <w:divBdr>
            <w:top w:val="none" w:sz="0" w:space="0" w:color="auto"/>
            <w:left w:val="none" w:sz="0" w:space="0" w:color="auto"/>
            <w:bottom w:val="none" w:sz="0" w:space="0" w:color="auto"/>
            <w:right w:val="none" w:sz="0" w:space="0" w:color="auto"/>
          </w:divBdr>
        </w:div>
        <w:div w:id="999046175">
          <w:marLeft w:val="0"/>
          <w:marRight w:val="0"/>
          <w:marTop w:val="0"/>
          <w:marBottom w:val="0"/>
          <w:divBdr>
            <w:top w:val="none" w:sz="0" w:space="0" w:color="auto"/>
            <w:left w:val="none" w:sz="0" w:space="0" w:color="auto"/>
            <w:bottom w:val="none" w:sz="0" w:space="0" w:color="auto"/>
            <w:right w:val="none" w:sz="0" w:space="0" w:color="auto"/>
          </w:divBdr>
        </w:div>
        <w:div w:id="493112217">
          <w:marLeft w:val="0"/>
          <w:marRight w:val="0"/>
          <w:marTop w:val="0"/>
          <w:marBottom w:val="0"/>
          <w:divBdr>
            <w:top w:val="none" w:sz="0" w:space="0" w:color="auto"/>
            <w:left w:val="none" w:sz="0" w:space="0" w:color="auto"/>
            <w:bottom w:val="none" w:sz="0" w:space="0" w:color="auto"/>
            <w:right w:val="none" w:sz="0" w:space="0" w:color="auto"/>
          </w:divBdr>
        </w:div>
        <w:div w:id="1035693148">
          <w:marLeft w:val="0"/>
          <w:marRight w:val="0"/>
          <w:marTop w:val="0"/>
          <w:marBottom w:val="0"/>
          <w:divBdr>
            <w:top w:val="none" w:sz="0" w:space="0" w:color="auto"/>
            <w:left w:val="none" w:sz="0" w:space="0" w:color="auto"/>
            <w:bottom w:val="none" w:sz="0" w:space="0" w:color="auto"/>
            <w:right w:val="none" w:sz="0" w:space="0" w:color="auto"/>
          </w:divBdr>
        </w:div>
        <w:div w:id="763191326">
          <w:marLeft w:val="0"/>
          <w:marRight w:val="0"/>
          <w:marTop w:val="0"/>
          <w:marBottom w:val="0"/>
          <w:divBdr>
            <w:top w:val="none" w:sz="0" w:space="0" w:color="auto"/>
            <w:left w:val="none" w:sz="0" w:space="0" w:color="auto"/>
            <w:bottom w:val="none" w:sz="0" w:space="0" w:color="auto"/>
            <w:right w:val="none" w:sz="0" w:space="0" w:color="auto"/>
          </w:divBdr>
        </w:div>
        <w:div w:id="2067139141">
          <w:marLeft w:val="0"/>
          <w:marRight w:val="0"/>
          <w:marTop w:val="0"/>
          <w:marBottom w:val="0"/>
          <w:divBdr>
            <w:top w:val="none" w:sz="0" w:space="0" w:color="auto"/>
            <w:left w:val="none" w:sz="0" w:space="0" w:color="auto"/>
            <w:bottom w:val="none" w:sz="0" w:space="0" w:color="auto"/>
            <w:right w:val="none" w:sz="0" w:space="0" w:color="auto"/>
          </w:divBdr>
        </w:div>
        <w:div w:id="2108235645">
          <w:marLeft w:val="0"/>
          <w:marRight w:val="0"/>
          <w:marTop w:val="0"/>
          <w:marBottom w:val="0"/>
          <w:divBdr>
            <w:top w:val="none" w:sz="0" w:space="0" w:color="auto"/>
            <w:left w:val="none" w:sz="0" w:space="0" w:color="auto"/>
            <w:bottom w:val="none" w:sz="0" w:space="0" w:color="auto"/>
            <w:right w:val="none" w:sz="0" w:space="0" w:color="auto"/>
          </w:divBdr>
        </w:div>
        <w:div w:id="342632572">
          <w:marLeft w:val="0"/>
          <w:marRight w:val="0"/>
          <w:marTop w:val="0"/>
          <w:marBottom w:val="0"/>
          <w:divBdr>
            <w:top w:val="none" w:sz="0" w:space="0" w:color="auto"/>
            <w:left w:val="none" w:sz="0" w:space="0" w:color="auto"/>
            <w:bottom w:val="none" w:sz="0" w:space="0" w:color="auto"/>
            <w:right w:val="none" w:sz="0" w:space="0" w:color="auto"/>
          </w:divBdr>
        </w:div>
        <w:div w:id="598871618">
          <w:marLeft w:val="0"/>
          <w:marRight w:val="0"/>
          <w:marTop w:val="0"/>
          <w:marBottom w:val="0"/>
          <w:divBdr>
            <w:top w:val="none" w:sz="0" w:space="0" w:color="auto"/>
            <w:left w:val="none" w:sz="0" w:space="0" w:color="auto"/>
            <w:bottom w:val="none" w:sz="0" w:space="0" w:color="auto"/>
            <w:right w:val="none" w:sz="0" w:space="0" w:color="auto"/>
          </w:divBdr>
        </w:div>
        <w:div w:id="376663869">
          <w:marLeft w:val="0"/>
          <w:marRight w:val="0"/>
          <w:marTop w:val="0"/>
          <w:marBottom w:val="0"/>
          <w:divBdr>
            <w:top w:val="none" w:sz="0" w:space="0" w:color="auto"/>
            <w:left w:val="none" w:sz="0" w:space="0" w:color="auto"/>
            <w:bottom w:val="none" w:sz="0" w:space="0" w:color="auto"/>
            <w:right w:val="none" w:sz="0" w:space="0" w:color="auto"/>
          </w:divBdr>
        </w:div>
        <w:div w:id="410005260">
          <w:marLeft w:val="0"/>
          <w:marRight w:val="0"/>
          <w:marTop w:val="0"/>
          <w:marBottom w:val="0"/>
          <w:divBdr>
            <w:top w:val="none" w:sz="0" w:space="0" w:color="auto"/>
            <w:left w:val="none" w:sz="0" w:space="0" w:color="auto"/>
            <w:bottom w:val="none" w:sz="0" w:space="0" w:color="auto"/>
            <w:right w:val="none" w:sz="0" w:space="0" w:color="auto"/>
          </w:divBdr>
        </w:div>
        <w:div w:id="72169624">
          <w:marLeft w:val="0"/>
          <w:marRight w:val="0"/>
          <w:marTop w:val="0"/>
          <w:marBottom w:val="0"/>
          <w:divBdr>
            <w:top w:val="none" w:sz="0" w:space="0" w:color="auto"/>
            <w:left w:val="none" w:sz="0" w:space="0" w:color="auto"/>
            <w:bottom w:val="none" w:sz="0" w:space="0" w:color="auto"/>
            <w:right w:val="none" w:sz="0" w:space="0" w:color="auto"/>
          </w:divBdr>
        </w:div>
        <w:div w:id="879325239">
          <w:marLeft w:val="0"/>
          <w:marRight w:val="0"/>
          <w:marTop w:val="0"/>
          <w:marBottom w:val="0"/>
          <w:divBdr>
            <w:top w:val="none" w:sz="0" w:space="0" w:color="auto"/>
            <w:left w:val="none" w:sz="0" w:space="0" w:color="auto"/>
            <w:bottom w:val="none" w:sz="0" w:space="0" w:color="auto"/>
            <w:right w:val="none" w:sz="0" w:space="0" w:color="auto"/>
          </w:divBdr>
        </w:div>
        <w:div w:id="695545279">
          <w:marLeft w:val="0"/>
          <w:marRight w:val="0"/>
          <w:marTop w:val="0"/>
          <w:marBottom w:val="0"/>
          <w:divBdr>
            <w:top w:val="none" w:sz="0" w:space="0" w:color="auto"/>
            <w:left w:val="none" w:sz="0" w:space="0" w:color="auto"/>
            <w:bottom w:val="none" w:sz="0" w:space="0" w:color="auto"/>
            <w:right w:val="none" w:sz="0" w:space="0" w:color="auto"/>
          </w:divBdr>
        </w:div>
        <w:div w:id="215119709">
          <w:marLeft w:val="0"/>
          <w:marRight w:val="0"/>
          <w:marTop w:val="0"/>
          <w:marBottom w:val="0"/>
          <w:divBdr>
            <w:top w:val="none" w:sz="0" w:space="0" w:color="auto"/>
            <w:left w:val="none" w:sz="0" w:space="0" w:color="auto"/>
            <w:bottom w:val="none" w:sz="0" w:space="0" w:color="auto"/>
            <w:right w:val="none" w:sz="0" w:space="0" w:color="auto"/>
          </w:divBdr>
        </w:div>
        <w:div w:id="1308631798">
          <w:marLeft w:val="0"/>
          <w:marRight w:val="0"/>
          <w:marTop w:val="0"/>
          <w:marBottom w:val="0"/>
          <w:divBdr>
            <w:top w:val="none" w:sz="0" w:space="0" w:color="auto"/>
            <w:left w:val="none" w:sz="0" w:space="0" w:color="auto"/>
            <w:bottom w:val="none" w:sz="0" w:space="0" w:color="auto"/>
            <w:right w:val="none" w:sz="0" w:space="0" w:color="auto"/>
          </w:divBdr>
        </w:div>
        <w:div w:id="1326200351">
          <w:marLeft w:val="0"/>
          <w:marRight w:val="0"/>
          <w:marTop w:val="0"/>
          <w:marBottom w:val="0"/>
          <w:divBdr>
            <w:top w:val="none" w:sz="0" w:space="0" w:color="auto"/>
            <w:left w:val="none" w:sz="0" w:space="0" w:color="auto"/>
            <w:bottom w:val="none" w:sz="0" w:space="0" w:color="auto"/>
            <w:right w:val="none" w:sz="0" w:space="0" w:color="auto"/>
          </w:divBdr>
        </w:div>
        <w:div w:id="1276671243">
          <w:marLeft w:val="0"/>
          <w:marRight w:val="0"/>
          <w:marTop w:val="0"/>
          <w:marBottom w:val="0"/>
          <w:divBdr>
            <w:top w:val="none" w:sz="0" w:space="0" w:color="auto"/>
            <w:left w:val="none" w:sz="0" w:space="0" w:color="auto"/>
            <w:bottom w:val="none" w:sz="0" w:space="0" w:color="auto"/>
            <w:right w:val="none" w:sz="0" w:space="0" w:color="auto"/>
          </w:divBdr>
        </w:div>
        <w:div w:id="1335259408">
          <w:marLeft w:val="0"/>
          <w:marRight w:val="0"/>
          <w:marTop w:val="0"/>
          <w:marBottom w:val="0"/>
          <w:divBdr>
            <w:top w:val="none" w:sz="0" w:space="0" w:color="auto"/>
            <w:left w:val="none" w:sz="0" w:space="0" w:color="auto"/>
            <w:bottom w:val="none" w:sz="0" w:space="0" w:color="auto"/>
            <w:right w:val="none" w:sz="0" w:space="0" w:color="auto"/>
          </w:divBdr>
        </w:div>
        <w:div w:id="628781849">
          <w:marLeft w:val="0"/>
          <w:marRight w:val="0"/>
          <w:marTop w:val="0"/>
          <w:marBottom w:val="0"/>
          <w:divBdr>
            <w:top w:val="none" w:sz="0" w:space="0" w:color="auto"/>
            <w:left w:val="none" w:sz="0" w:space="0" w:color="auto"/>
            <w:bottom w:val="none" w:sz="0" w:space="0" w:color="auto"/>
            <w:right w:val="none" w:sz="0" w:space="0" w:color="auto"/>
          </w:divBdr>
        </w:div>
        <w:div w:id="693773711">
          <w:marLeft w:val="0"/>
          <w:marRight w:val="0"/>
          <w:marTop w:val="0"/>
          <w:marBottom w:val="0"/>
          <w:divBdr>
            <w:top w:val="none" w:sz="0" w:space="0" w:color="auto"/>
            <w:left w:val="none" w:sz="0" w:space="0" w:color="auto"/>
            <w:bottom w:val="none" w:sz="0" w:space="0" w:color="auto"/>
            <w:right w:val="none" w:sz="0" w:space="0" w:color="auto"/>
          </w:divBdr>
        </w:div>
        <w:div w:id="16658612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E9305-073B-448A-9D42-1AA69EF60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4661</Words>
  <Characters>29420</Characters>
  <Application>Microsoft Office Word</Application>
  <DocSecurity>0</DocSecurity>
  <Lines>530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jones</dc:creator>
  <cp:keywords/>
  <dc:description/>
  <cp:lastModifiedBy>Jones, Lucy</cp:lastModifiedBy>
  <cp:revision>2</cp:revision>
  <dcterms:created xsi:type="dcterms:W3CDTF">2024-01-29T23:45:00Z</dcterms:created>
  <dcterms:modified xsi:type="dcterms:W3CDTF">2024-01-29T23:45:00Z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7c6e8521e9f6dbb0584bf8b2f4a54ec7573917c17a95777e79389958d5b0468d</vt:lpwstr>
  </property>
  <property fmtid="{D5CDD505-2E9C-101B-9397-08002B2CF9AE}" pid="3" name="MSIP_Label_f2acd28b-79a3-4a0f-b0ff-4b75658b1549_Enabled">
    <vt:lpwstr>true</vt:lpwstr>
  </property>
  <property fmtid="{D5CDD505-2E9C-101B-9397-08002B2CF9AE}" pid="4" name="MSIP_Label_f2acd28b-79a3-4a0f-b0ff-4b75658b1549_SetDate">
    <vt:lpwstr>2024-01-29T23:45:25Z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7d09fd33-0e3c-4835-b4e9-8c039093b8ad</vt:lpwstr>
  </property>
  <property fmtid="{D5CDD505-2E9C-101B-9397-08002B2CF9AE}" pid="9" name="MSIP_Label_f2acd28b-79a3-4a0f-b0ff-4b75658b1549_ContentBits">
    <vt:lpwstr>0</vt:lpwstr>
  </property>
</Properties>
</file>