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2042352383"/>
        <w:docPartObj>
          <w:docPartGallery w:val="Cover Pages"/>
          <w:docPartUnique/>
        </w:docPartObj>
      </w:sdtPr>
      <w:sdtContent>
        <w:p w14:paraId="22453758" w14:textId="38CE1005" w:rsidR="005D1E7E" w:rsidRDefault="005D1E7E">
          <w:pPr>
            <w:pStyle w:val="NoSpacing"/>
          </w:pPr>
          <w:r>
            <w:rPr>
              <w:noProof/>
            </w:rPr>
            <mc:AlternateContent>
              <mc:Choice Requires="wpg">
                <w:drawing>
                  <wp:anchor distT="0" distB="0" distL="114300" distR="114300" simplePos="0" relativeHeight="251659264" behindDoc="1" locked="0" layoutInCell="1" allowOverlap="1" wp14:anchorId="5468FDC3" wp14:editId="5ADC170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5T00:00:00Z">
                                      <w:dateFormat w:val="dd/MM/yyyy"/>
                                      <w:lid w:val="en-GB"/>
                                      <w:storeMappedDataAs w:val="dateTime"/>
                                      <w:calendar w:val="gregorian"/>
                                    </w:date>
                                  </w:sdtPr>
                                  <w:sdtContent>
                                    <w:p w14:paraId="7637DFB9" w14:textId="37E16BE0" w:rsidR="005D1E7E" w:rsidRDefault="005D1E7E">
                                      <w:pPr>
                                        <w:pStyle w:val="NoSpacing"/>
                                        <w:jc w:val="right"/>
                                        <w:rPr>
                                          <w:color w:val="FFFFFF" w:themeColor="background1"/>
                                          <w:sz w:val="28"/>
                                          <w:szCs w:val="28"/>
                                        </w:rPr>
                                      </w:pPr>
                                      <w:r>
                                        <w:rPr>
                                          <w:color w:val="FFFFFF" w:themeColor="background1"/>
                                          <w:sz w:val="28"/>
                                          <w:szCs w:val="28"/>
                                        </w:rPr>
                                        <w:t>15/04/2026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68FDC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5T00:00:00Z">
                                <w:dateFormat w:val="dd/MM/yyyy"/>
                                <w:lid w:val="en-GB"/>
                                <w:storeMappedDataAs w:val="dateTime"/>
                                <w:calendar w:val="gregorian"/>
                              </w:date>
                            </w:sdtPr>
                            <w:sdtContent>
                              <w:p w14:paraId="7637DFB9" w14:textId="37E16BE0" w:rsidR="005D1E7E" w:rsidRDefault="005D1E7E">
                                <w:pPr>
                                  <w:pStyle w:val="NoSpacing"/>
                                  <w:jc w:val="right"/>
                                  <w:rPr>
                                    <w:color w:val="FFFFFF" w:themeColor="background1"/>
                                    <w:sz w:val="28"/>
                                    <w:szCs w:val="28"/>
                                  </w:rPr>
                                </w:pPr>
                                <w:r>
                                  <w:rPr>
                                    <w:color w:val="FFFFFF" w:themeColor="background1"/>
                                    <w:sz w:val="28"/>
                                    <w:szCs w:val="28"/>
                                  </w:rPr>
                                  <w:t>15/04/2026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5517002" wp14:editId="238C1AB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FE7E4" w14:textId="628738B5" w:rsidR="005D1E7E" w:rsidRPr="005D1E7E"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D1E7E" w:rsidRPr="005D1E7E">
                                      <w:rPr>
                                        <w:rFonts w:asciiTheme="majorHAnsi" w:eastAsiaTheme="majorEastAsia" w:hAnsiTheme="majorHAnsi" w:cstheme="majorBidi"/>
                                        <w:color w:val="262626" w:themeColor="text1" w:themeTint="D9"/>
                                        <w:sz w:val="56"/>
                                        <w:szCs w:val="56"/>
                                      </w:rPr>
                                      <w:t>Component 1: Written Assignment (Reflective Report)</w:t>
                                    </w:r>
                                  </w:sdtContent>
                                </w:sdt>
                              </w:p>
                              <w:p w14:paraId="227FF776" w14:textId="57A50810" w:rsidR="005D1E7E" w:rsidRDefault="00000000">
                                <w:pPr>
                                  <w:spacing w:before="120"/>
                                  <w:rPr>
                                    <w:color w:val="404040" w:themeColor="text1" w:themeTint="BF"/>
                                    <w:sz w:val="36"/>
                                    <w:szCs w:val="36"/>
                                  </w:rPr>
                                </w:pPr>
                                <w:sdt>
                                  <w:sdtPr>
                                    <w:rPr>
                                      <w:color w:val="215E99" w:themeColor="text2"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D1E7E" w:rsidRPr="005D1E7E">
                                      <w:rPr>
                                        <w:color w:val="215E99" w:themeColor="text2" w:themeTint="BF"/>
                                        <w:sz w:val="36"/>
                                        <w:szCs w:val="36"/>
                                      </w:rPr>
                                      <w:t>Student name: Laura Gando Student ID: 2428547               Module name: Principles of Health and Social Care Practice    Module code: BMHP5016   Lecturer name: Dr. Itse Olaoye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517002"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64FE7E4" w14:textId="628738B5" w:rsidR="005D1E7E" w:rsidRPr="005D1E7E"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D1E7E" w:rsidRPr="005D1E7E">
                                <w:rPr>
                                  <w:rFonts w:asciiTheme="majorHAnsi" w:eastAsiaTheme="majorEastAsia" w:hAnsiTheme="majorHAnsi" w:cstheme="majorBidi"/>
                                  <w:color w:val="262626" w:themeColor="text1" w:themeTint="D9"/>
                                  <w:sz w:val="56"/>
                                  <w:szCs w:val="56"/>
                                </w:rPr>
                                <w:t>Component 1: Written Assignment (Reflective Report)</w:t>
                              </w:r>
                            </w:sdtContent>
                          </w:sdt>
                        </w:p>
                        <w:p w14:paraId="227FF776" w14:textId="57A50810" w:rsidR="005D1E7E" w:rsidRDefault="00000000">
                          <w:pPr>
                            <w:spacing w:before="120"/>
                            <w:rPr>
                              <w:color w:val="404040" w:themeColor="text1" w:themeTint="BF"/>
                              <w:sz w:val="36"/>
                              <w:szCs w:val="36"/>
                            </w:rPr>
                          </w:pPr>
                          <w:sdt>
                            <w:sdtPr>
                              <w:rPr>
                                <w:color w:val="215E99" w:themeColor="text2"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D1E7E" w:rsidRPr="005D1E7E">
                                <w:rPr>
                                  <w:color w:val="215E99" w:themeColor="text2" w:themeTint="BF"/>
                                  <w:sz w:val="36"/>
                                  <w:szCs w:val="36"/>
                                </w:rPr>
                                <w:t>Student name: Laura Gando Student ID: 2428547               Module name: Principles of Health and Social Care Practice    Module code: BMHP5016   Lecturer name: Dr. Itse Olaoye</w:t>
                              </w:r>
                            </w:sdtContent>
                          </w:sdt>
                        </w:p>
                      </w:txbxContent>
                    </v:textbox>
                    <w10:wrap anchorx="page" anchory="page"/>
                  </v:shape>
                </w:pict>
              </mc:Fallback>
            </mc:AlternateContent>
          </w:r>
        </w:p>
        <w:p w14:paraId="5CB76EDA" w14:textId="5449683B" w:rsidR="005D1E7E" w:rsidRDefault="005D1E7E">
          <w:r>
            <w:rPr>
              <w:noProof/>
            </w:rPr>
            <mc:AlternateContent>
              <mc:Choice Requires="wps">
                <w:drawing>
                  <wp:anchor distT="0" distB="0" distL="114300" distR="114300" simplePos="0" relativeHeight="251661312" behindDoc="0" locked="0" layoutInCell="1" allowOverlap="1" wp14:anchorId="486C44AE" wp14:editId="21FECE57">
                    <wp:simplePos x="0" y="0"/>
                    <wp:positionH relativeFrom="page">
                      <wp:posOffset>2600839</wp:posOffset>
                    </wp:positionH>
                    <wp:positionV relativeFrom="page">
                      <wp:posOffset>9198754</wp:posOffset>
                    </wp:positionV>
                    <wp:extent cx="2453002" cy="972131"/>
                    <wp:effectExtent l="0" t="0" r="5080" b="0"/>
                    <wp:wrapNone/>
                    <wp:docPr id="32" name="Text Box 28"/>
                    <wp:cNvGraphicFramePr/>
                    <a:graphic xmlns:a="http://schemas.openxmlformats.org/drawingml/2006/main">
                      <a:graphicData uri="http://schemas.microsoft.com/office/word/2010/wordprocessingShape">
                        <wps:wsp>
                          <wps:cNvSpPr txBox="1"/>
                          <wps:spPr>
                            <a:xfrm>
                              <a:off x="0" y="0"/>
                              <a:ext cx="2453002" cy="9721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C4069" w14:textId="0B5217D3" w:rsidR="005D1E7E" w:rsidRDefault="005D1E7E">
                                <w:pPr>
                                  <w:pStyle w:val="NoSpacing"/>
                                  <w:rPr>
                                    <w:color w:val="595959" w:themeColor="text1" w:themeTint="A6"/>
                                    <w:sz w:val="20"/>
                                    <w:szCs w:val="20"/>
                                  </w:rPr>
                                </w:pPr>
                                <w:r w:rsidRPr="005D1E7E">
                                  <w:rPr>
                                    <w:noProof/>
                                  </w:rPr>
                                  <w:drawing>
                                    <wp:inline distT="0" distB="0" distL="0" distR="0" wp14:anchorId="33AA4F03" wp14:editId="14A4A4C7">
                                      <wp:extent cx="2359660" cy="722630"/>
                                      <wp:effectExtent l="0" t="0" r="2540" b="0"/>
                                      <wp:docPr id="1159830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9660" cy="72263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86C44AE" id="Text Box 28" o:spid="_x0000_s1056" type="#_x0000_t202" style="position:absolute;margin-left:204.8pt;margin-top:724.3pt;width:193.15pt;height:76.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" filled="f" stroked="f" strokeweight=".5pt">
                    <v:textbox inset="0,0,0,0">
                      <w:txbxContent>
                        <w:p w14:paraId="764C4069" w14:textId="0B5217D3" w:rsidR="005D1E7E" w:rsidRDefault="005D1E7E">
                          <w:pPr>
                            <w:pStyle w:val="NoSpacing"/>
                            <w:rPr>
                              <w:color w:val="595959" w:themeColor="text1" w:themeTint="A6"/>
                              <w:sz w:val="20"/>
                              <w:szCs w:val="20"/>
                            </w:rPr>
                          </w:pPr>
                          <w:r w:rsidRPr="005D1E7E">
                            <w:rPr>
                              <w:noProof/>
                            </w:rPr>
                            <w:drawing>
                              <wp:inline distT="0" distB="0" distL="0" distR="0" wp14:anchorId="33AA4F03" wp14:editId="14A4A4C7">
                                <wp:extent cx="2359660" cy="722630"/>
                                <wp:effectExtent l="0" t="0" r="2540" b="0"/>
                                <wp:docPr id="1159830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9660" cy="722630"/>
                                        </a:xfrm>
                                        <a:prstGeom prst="rect">
                                          <a:avLst/>
                                        </a:prstGeom>
                                        <a:noFill/>
                                        <a:ln>
                                          <a:noFill/>
                                        </a:ln>
                                      </pic:spPr>
                                    </pic:pic>
                                  </a:graphicData>
                                </a:graphic>
                              </wp:inline>
                            </w:drawing>
                          </w:r>
                        </w:p>
                      </w:txbxContent>
                    </v:textbox>
                    <w10:wrap anchorx="page" anchory="page"/>
                  </v:shape>
                </w:pict>
              </mc:Fallback>
            </mc:AlternateContent>
          </w:r>
          <w:r>
            <w:br w:type="page"/>
          </w:r>
        </w:p>
      </w:sdtContent>
    </w:sdt>
    <w:p w14:paraId="41945C9B" w14:textId="77777777" w:rsidR="00CA487E" w:rsidRDefault="00CA487E"/>
    <w:p w14:paraId="7C379BD8" w14:textId="77777777" w:rsidR="00CA487E" w:rsidRDefault="00CA487E"/>
    <w:sdt>
      <w:sdtPr>
        <w:rPr>
          <w:rFonts w:asciiTheme="minorHAnsi" w:eastAsiaTheme="minorHAnsi" w:hAnsiTheme="minorHAnsi" w:cstheme="minorBidi"/>
          <w:color w:val="auto"/>
          <w:kern w:val="2"/>
          <w:sz w:val="22"/>
          <w:szCs w:val="22"/>
          <w:lang w:eastAsia="en-US"/>
          <w14:ligatures w14:val="standardContextual"/>
        </w:rPr>
        <w:id w:val="-1509816086"/>
        <w:docPartObj>
          <w:docPartGallery w:val="Table of Contents"/>
          <w:docPartUnique/>
        </w:docPartObj>
      </w:sdtPr>
      <w:sdtEndPr>
        <w:rPr>
          <w:b/>
          <w:bCs/>
        </w:rPr>
      </w:sdtEndPr>
      <w:sdtContent>
        <w:p w14:paraId="6A2277CE" w14:textId="03258F93" w:rsidR="00E762F2" w:rsidRDefault="00E762F2">
          <w:pPr>
            <w:pStyle w:val="TOCHeading"/>
          </w:pPr>
          <w:r>
            <w:t>Contents</w:t>
          </w:r>
        </w:p>
        <w:p w14:paraId="07BA5102" w14:textId="3B3F9E7C" w:rsidR="00E762F2" w:rsidRDefault="00E762F2" w:rsidP="00526085">
          <w:pPr>
            <w:pStyle w:val="TOC1"/>
            <w:jc w:val="both"/>
          </w:pPr>
          <w:r>
            <w:fldChar w:fldCharType="begin"/>
          </w:r>
          <w:r>
            <w:instrText xml:space="preserve"> TOC \o "1-3" \h \z \u </w:instrText>
          </w:r>
          <w:r>
            <w:fldChar w:fldCharType="separate"/>
          </w:r>
          <w:hyperlink w:anchor="_Toc225101239" w:history="1">
            <w:r w:rsidRPr="00526085">
              <w:rPr>
                <w:rStyle w:val="Hyperlink"/>
                <w:b w:val="0"/>
                <w:bCs w:val="0"/>
              </w:rPr>
              <w:t>I</w:t>
            </w:r>
            <w:r w:rsidRPr="00526085">
              <w:rPr>
                <w:rStyle w:val="Hyperlink"/>
              </w:rPr>
              <w:t>ntroduction</w:t>
            </w:r>
            <w:r>
              <w:rPr>
                <w:webHidden/>
              </w:rPr>
              <w:tab/>
            </w:r>
            <w:r>
              <w:rPr>
                <w:webHidden/>
              </w:rPr>
              <w:fldChar w:fldCharType="begin"/>
            </w:r>
            <w:r>
              <w:rPr>
                <w:webHidden/>
              </w:rPr>
              <w:instrText xml:space="preserve"> PAGEREF _Toc225101239 \h </w:instrText>
            </w:r>
            <w:r>
              <w:rPr>
                <w:webHidden/>
              </w:rPr>
            </w:r>
            <w:r>
              <w:rPr>
                <w:webHidden/>
              </w:rPr>
              <w:fldChar w:fldCharType="separate"/>
            </w:r>
            <w:r>
              <w:rPr>
                <w:webHidden/>
              </w:rPr>
              <w:t>2</w:t>
            </w:r>
            <w:r>
              <w:rPr>
                <w:webHidden/>
              </w:rPr>
              <w:fldChar w:fldCharType="end"/>
            </w:r>
          </w:hyperlink>
        </w:p>
        <w:p w14:paraId="11C25EE5" w14:textId="6529E61D" w:rsidR="00E762F2" w:rsidRPr="00526085" w:rsidRDefault="00E762F2" w:rsidP="00526085">
          <w:pPr>
            <w:pStyle w:val="TOC1"/>
            <w:jc w:val="both"/>
            <w:rPr>
              <w:rStyle w:val="Hyperlink"/>
            </w:rPr>
          </w:pPr>
          <w:hyperlink w:anchor="_Toc225101240" w:history="1">
            <w:r w:rsidRPr="00744994">
              <w:rPr>
                <w:rStyle w:val="Hyperlink"/>
              </w:rPr>
              <w:t xml:space="preserve">Task 1. </w:t>
            </w:r>
            <w:r w:rsidR="00744994" w:rsidRPr="00744994">
              <w:rPr>
                <w:rStyle w:val="Hyperlink"/>
              </w:rPr>
              <w:t>Task 1: Considering the Significance of Health and Social Care Principles.</w:t>
            </w:r>
            <w:r w:rsidRPr="00744994">
              <w:rPr>
                <w:rStyle w:val="Hyperlink"/>
                <w:webHidden/>
              </w:rPr>
              <w:tab/>
            </w:r>
            <w:r w:rsidRPr="00744994">
              <w:rPr>
                <w:rStyle w:val="Hyperlink"/>
                <w:webHidden/>
              </w:rPr>
              <w:fldChar w:fldCharType="begin"/>
            </w:r>
            <w:r w:rsidRPr="00744994">
              <w:rPr>
                <w:rStyle w:val="Hyperlink"/>
                <w:webHidden/>
              </w:rPr>
              <w:instrText xml:space="preserve"> PAGEREF _Toc225101240 \h </w:instrText>
            </w:r>
            <w:r w:rsidRPr="00744994">
              <w:rPr>
                <w:rStyle w:val="Hyperlink"/>
                <w:webHidden/>
              </w:rPr>
            </w:r>
            <w:r w:rsidRPr="00744994">
              <w:rPr>
                <w:rStyle w:val="Hyperlink"/>
                <w:webHidden/>
              </w:rPr>
              <w:fldChar w:fldCharType="separate"/>
            </w:r>
            <w:r w:rsidRPr="00744994">
              <w:rPr>
                <w:rStyle w:val="Hyperlink"/>
                <w:webHidden/>
              </w:rPr>
              <w:t>2</w:t>
            </w:r>
            <w:r w:rsidRPr="00744994">
              <w:rPr>
                <w:rStyle w:val="Hyperlink"/>
                <w:webHidden/>
              </w:rPr>
              <w:fldChar w:fldCharType="end"/>
            </w:r>
          </w:hyperlink>
        </w:p>
        <w:p w14:paraId="17079841" w14:textId="54AED91F" w:rsidR="00526085" w:rsidRDefault="00526085" w:rsidP="00526085">
          <w:pPr>
            <w:jc w:val="both"/>
          </w:pPr>
          <w:r>
            <w:t>Partnership Working in Health and Social Care........................................................................2</w:t>
          </w:r>
        </w:p>
        <w:p w14:paraId="05C8A3D8" w14:textId="30D9F274" w:rsidR="00526085" w:rsidRDefault="00526085" w:rsidP="00526085">
          <w:pPr>
            <w:jc w:val="both"/>
          </w:pPr>
          <w:r>
            <w:t>Theoretical and Ethical Framework in Care Practice ................................................................3</w:t>
          </w:r>
        </w:p>
        <w:p w14:paraId="3ECACD1F" w14:textId="2381F865" w:rsidR="00526085" w:rsidRPr="00526085" w:rsidRDefault="00526085" w:rsidP="00526085">
          <w:pPr>
            <w:jc w:val="both"/>
          </w:pPr>
          <w:r>
            <w:t>Integration of Person-centred Care, Ethics and Partnership Working ........................................3</w:t>
          </w:r>
        </w:p>
        <w:p w14:paraId="68BF2E43" w14:textId="60CE29E0" w:rsidR="00E762F2" w:rsidRPr="00526085" w:rsidRDefault="00E762F2" w:rsidP="00C52D8A">
          <w:pPr>
            <w:pStyle w:val="TOC2"/>
            <w:ind w:left="0"/>
            <w:jc w:val="both"/>
          </w:pPr>
          <w:hyperlink w:anchor="_Toc225101241" w:history="1">
            <w:r w:rsidRPr="00526085">
              <w:rPr>
                <w:rStyle w:val="Hyperlink"/>
              </w:rPr>
              <w:t>Task 2: Putting Important Principles into Practice in a UK Hospital Setting</w:t>
            </w:r>
            <w:r w:rsidR="00860AD5">
              <w:rPr>
                <w:rStyle w:val="Hyperlink"/>
              </w:rPr>
              <w:t>.....................</w:t>
            </w:r>
            <w:r w:rsidR="00C52D8A">
              <w:rPr>
                <w:rStyle w:val="Hyperlink"/>
              </w:rPr>
              <w:t>...</w:t>
            </w:r>
            <w:r w:rsidR="00A32B44">
              <w:rPr>
                <w:rStyle w:val="Hyperlink"/>
              </w:rPr>
              <w:t>.</w:t>
            </w:r>
            <w:r w:rsidR="00860AD5">
              <w:rPr>
                <w:rStyle w:val="Hyperlink"/>
              </w:rPr>
              <w:t xml:space="preserve">4 </w:t>
            </w:r>
          </w:hyperlink>
        </w:p>
        <w:p w14:paraId="095EAD97" w14:textId="312FACF2" w:rsidR="00E762F2" w:rsidRPr="00526085" w:rsidRDefault="00E762F2" w:rsidP="00C52D8A">
          <w:pPr>
            <w:pStyle w:val="TOC3"/>
            <w:ind w:left="0"/>
            <w:jc w:val="both"/>
            <w:rPr>
              <w:rStyle w:val="Hyperlink"/>
            </w:rPr>
          </w:pPr>
          <w:r w:rsidRPr="002A393D">
            <w:t>Task 3: Self-Reflection Using Kolb’s Reflective Learning Cycle.</w:t>
          </w:r>
          <w:r w:rsidR="008826D4">
            <w:rPr>
              <w:webHidden/>
            </w:rPr>
            <w:t>...................................</w:t>
          </w:r>
          <w:r w:rsidR="00A32B44">
            <w:rPr>
              <w:webHidden/>
            </w:rPr>
            <w:t>.......</w:t>
          </w:r>
          <w:r w:rsidR="00274F5A">
            <w:rPr>
              <w:webHidden/>
            </w:rPr>
            <w:t>5</w:t>
          </w:r>
        </w:p>
        <w:p w14:paraId="73A772D3" w14:textId="7CB50D6C" w:rsidR="00526085" w:rsidRDefault="00526085" w:rsidP="00526085">
          <w:pPr>
            <w:jc w:val="both"/>
          </w:pPr>
          <w:r>
            <w:t>Concrete Knowledge..............................................................................................................5</w:t>
          </w:r>
        </w:p>
        <w:p w14:paraId="0E55A656" w14:textId="2805EE2E" w:rsidR="00526085" w:rsidRDefault="00526085" w:rsidP="00526085">
          <w:pPr>
            <w:jc w:val="both"/>
          </w:pPr>
          <w:r>
            <w:t>Reflective Observation ..........................................................................................................5</w:t>
          </w:r>
        </w:p>
        <w:p w14:paraId="3DF7015F" w14:textId="66AE8157" w:rsidR="00526085" w:rsidRDefault="00526085" w:rsidP="00526085">
          <w:pPr>
            <w:jc w:val="both"/>
          </w:pPr>
          <w:r>
            <w:t>Abstract Idea Formulation......................................................................................................</w:t>
          </w:r>
          <w:r w:rsidR="00274F5A">
            <w:t>5</w:t>
          </w:r>
        </w:p>
        <w:p w14:paraId="34A59711" w14:textId="007E6063" w:rsidR="00526085" w:rsidRDefault="00526085" w:rsidP="00526085">
          <w:pPr>
            <w:jc w:val="both"/>
          </w:pPr>
          <w:r>
            <w:t>Action Plan............................................................................................................................6</w:t>
          </w:r>
        </w:p>
        <w:p w14:paraId="5A7F865E" w14:textId="2EC44035" w:rsidR="00526085" w:rsidRPr="00526085" w:rsidRDefault="00526085" w:rsidP="00526085">
          <w:pPr>
            <w:jc w:val="both"/>
          </w:pPr>
          <w:r w:rsidRPr="00526085">
            <w:rPr>
              <w:b/>
              <w:bCs/>
            </w:rPr>
            <w:t>Conclusion</w:t>
          </w:r>
          <w:r>
            <w:t>........................................................................................................................</w:t>
          </w:r>
          <w:r w:rsidR="00860AD5">
            <w:t>6-7</w:t>
          </w:r>
        </w:p>
        <w:p w14:paraId="103626E4" w14:textId="136DC446" w:rsidR="00E762F2" w:rsidRDefault="00E762F2" w:rsidP="00526085">
          <w:pPr>
            <w:pStyle w:val="TOC1"/>
            <w:jc w:val="both"/>
          </w:pPr>
          <w:hyperlink w:anchor="_Toc225101243" w:history="1">
            <w:r w:rsidRPr="00D4390C">
              <w:rPr>
                <w:rStyle w:val="Hyperlink"/>
                <w:rFonts w:ascii="Arial" w:hAnsi="Arial" w:cs="Arial"/>
              </w:rPr>
              <w:t>Reference List</w:t>
            </w:r>
            <w:r>
              <w:rPr>
                <w:webHidden/>
              </w:rPr>
              <w:tab/>
            </w:r>
          </w:hyperlink>
          <w:r w:rsidR="00FF6161">
            <w:t>.</w:t>
          </w:r>
          <w:r w:rsidR="00860AD5" w:rsidRPr="00FF6161">
            <w:rPr>
              <w:rStyle w:val="Hyperlink"/>
              <w:color w:val="000000" w:themeColor="text1"/>
              <w:u w:val="none"/>
            </w:rPr>
            <w:t>8</w:t>
          </w:r>
        </w:p>
        <w:p w14:paraId="475B1910" w14:textId="17BE85F4" w:rsidR="00E762F2" w:rsidRDefault="00E762F2" w:rsidP="00526085">
          <w:pPr>
            <w:jc w:val="both"/>
          </w:pPr>
          <w:r>
            <w:rPr>
              <w:b/>
              <w:bCs/>
            </w:rPr>
            <w:fldChar w:fldCharType="end"/>
          </w:r>
        </w:p>
      </w:sdtContent>
    </w:sdt>
    <w:p w14:paraId="33C685B4" w14:textId="77777777" w:rsidR="00CA487E" w:rsidRDefault="00CA487E"/>
    <w:p w14:paraId="5442195B" w14:textId="77777777" w:rsidR="00CA487E" w:rsidRDefault="00CA487E"/>
    <w:p w14:paraId="7CD61EA1" w14:textId="77777777" w:rsidR="00CA487E" w:rsidRDefault="00CA487E"/>
    <w:p w14:paraId="747C67E9" w14:textId="750F6DD2" w:rsidR="00CA487E" w:rsidRDefault="00FF6161" w:rsidP="00FF6161">
      <w:pPr>
        <w:tabs>
          <w:tab w:val="left" w:pos="7137"/>
        </w:tabs>
      </w:pPr>
      <w:r>
        <w:tab/>
      </w:r>
    </w:p>
    <w:p w14:paraId="3CBBF22B" w14:textId="77777777" w:rsidR="00CA487E" w:rsidRDefault="00CA487E"/>
    <w:p w14:paraId="49E30B0D" w14:textId="77777777" w:rsidR="00CA487E" w:rsidRDefault="00CA487E"/>
    <w:p w14:paraId="7BE1E5D0" w14:textId="77777777" w:rsidR="00CA487E" w:rsidRDefault="00CA487E"/>
    <w:p w14:paraId="6E98366D" w14:textId="77777777" w:rsidR="00CA487E" w:rsidRDefault="00CA487E"/>
    <w:p w14:paraId="4E16F9B3" w14:textId="77777777" w:rsidR="00CA487E" w:rsidRDefault="00CA487E"/>
    <w:p w14:paraId="6AE99D34" w14:textId="77777777" w:rsidR="00CA487E" w:rsidRDefault="00CA487E"/>
    <w:p w14:paraId="12E4E79D" w14:textId="77777777" w:rsidR="00CA487E" w:rsidRDefault="00CA487E"/>
    <w:p w14:paraId="04CB0889" w14:textId="77777777" w:rsidR="00CA487E" w:rsidRDefault="00CA487E"/>
    <w:p w14:paraId="028FD858" w14:textId="77777777" w:rsidR="00CA487E" w:rsidRDefault="00CA487E"/>
    <w:p w14:paraId="6CB6552E" w14:textId="77777777" w:rsidR="00E762F2" w:rsidRDefault="00E762F2"/>
    <w:p w14:paraId="62989EF2" w14:textId="33EB0A8F" w:rsidR="00CA487E" w:rsidRPr="00EA69B0" w:rsidRDefault="00CA487E" w:rsidP="00EA69B0">
      <w:pPr>
        <w:pStyle w:val="Heading1"/>
        <w:spacing w:line="360" w:lineRule="auto"/>
        <w:rPr>
          <w:rFonts w:ascii="Arial" w:hAnsi="Arial" w:cs="Arial"/>
          <w:sz w:val="22"/>
          <w:szCs w:val="22"/>
        </w:rPr>
      </w:pPr>
      <w:bookmarkStart w:id="0" w:name="_Toc225101239"/>
      <w:r w:rsidRPr="00EA69B0">
        <w:rPr>
          <w:rFonts w:ascii="Arial" w:hAnsi="Arial" w:cs="Arial"/>
          <w:sz w:val="22"/>
          <w:szCs w:val="22"/>
        </w:rPr>
        <w:lastRenderedPageBreak/>
        <w:t>Introduction</w:t>
      </w:r>
      <w:bookmarkEnd w:id="0"/>
      <w:r w:rsidRPr="00EA69B0">
        <w:rPr>
          <w:rFonts w:ascii="Arial" w:hAnsi="Arial" w:cs="Arial"/>
          <w:sz w:val="22"/>
          <w:szCs w:val="22"/>
        </w:rPr>
        <w:t xml:space="preserve"> </w:t>
      </w:r>
    </w:p>
    <w:p w14:paraId="4F3445A7" w14:textId="5A69ED8D" w:rsidR="00702EE3" w:rsidRPr="00EA69B0" w:rsidRDefault="00702EE3" w:rsidP="00EA69B0">
      <w:pPr>
        <w:spacing w:line="360" w:lineRule="auto"/>
        <w:rPr>
          <w:rFonts w:ascii="Arial" w:hAnsi="Arial" w:cs="Arial"/>
          <w:lang w:eastAsia="en-GB"/>
        </w:rPr>
      </w:pPr>
      <w:r w:rsidRPr="00EA69B0">
        <w:rPr>
          <w:rFonts w:ascii="Arial" w:hAnsi="Arial" w:cs="Arial"/>
          <w:lang w:eastAsia="en-GB"/>
        </w:rPr>
        <w:t xml:space="preserve">The significance of person-centred care, teamwork, and ethical behaviour in UK health and social care is examined in this report. It looks at these ideas' theoretical underpinnings, how they are used in a hospital context, and how they have impacted my growth as a future health and social care professional. Safe, efficient, and compassionate care is supported by the interrelated concepts of person-centred care, partnership functioning, and ethical practice. Professionals may deliver care that respects individuality, fosters wellbeing, and facilitates informed decision-making by having a thorough understanding of these ideas. This report also discusses my personal experiences, such as helping a family member with autism and volunteering in a school, emphasising how theory influences practice and how reflective learning advances one's career. Additionally, it highlights the importance of </w:t>
      </w:r>
      <w:r w:rsidR="00B374BD" w:rsidRPr="00EA69B0">
        <w:rPr>
          <w:rFonts w:ascii="Arial" w:hAnsi="Arial" w:cs="Arial"/>
          <w:lang w:eastAsia="en-GB"/>
        </w:rPr>
        <w:t xml:space="preserve">integrating theory, regulation, and ethical standards into everyday practice to deliver high-quality outcomes for service users, considering both </w:t>
      </w:r>
      <w:r w:rsidRPr="00EA69B0">
        <w:rPr>
          <w:rFonts w:ascii="Arial" w:hAnsi="Arial" w:cs="Arial"/>
          <w:lang w:eastAsia="en-GB"/>
        </w:rPr>
        <w:t>academic evidence and real-world experiences.</w:t>
      </w:r>
    </w:p>
    <w:p w14:paraId="35C480AC" w14:textId="5FDC0549" w:rsidR="00CA487E" w:rsidRPr="00EA69B0" w:rsidRDefault="004058E0" w:rsidP="00EA69B0">
      <w:pPr>
        <w:pStyle w:val="Heading1"/>
        <w:spacing w:line="360" w:lineRule="auto"/>
        <w:rPr>
          <w:rFonts w:ascii="Arial" w:hAnsi="Arial" w:cs="Arial"/>
          <w:sz w:val="22"/>
          <w:szCs w:val="22"/>
        </w:rPr>
      </w:pPr>
      <w:r w:rsidRPr="00EA69B0">
        <w:rPr>
          <w:rFonts w:ascii="Arial" w:hAnsi="Arial" w:cs="Arial"/>
          <w:sz w:val="22"/>
          <w:szCs w:val="22"/>
        </w:rPr>
        <w:t>Task 1: Considering the Significance of Health and Social Care Principles.</w:t>
      </w:r>
    </w:p>
    <w:p w14:paraId="124C7876" w14:textId="6959CF1C" w:rsidR="0076437F" w:rsidRPr="00EA69B0" w:rsidRDefault="00194374" w:rsidP="00EA69B0">
      <w:pPr>
        <w:spacing w:line="360" w:lineRule="auto"/>
        <w:rPr>
          <w:rFonts w:ascii="Arial" w:hAnsi="Arial" w:cs="Arial"/>
        </w:rPr>
      </w:pPr>
      <w:r w:rsidRPr="00EA69B0">
        <w:rPr>
          <w:rFonts w:ascii="Arial" w:hAnsi="Arial" w:cs="Arial"/>
        </w:rPr>
        <w:t xml:space="preserve">A key principle of health and social care is person-centred care (PCC), which promotes treating people as distinct individuals with their own needs, values, and preferences rather than concentrating just on their illness. It entails actively involving service users in decision-making, upholding autonomy, and advancing dignity. Maslow's Hierarchy of Needs, which emphasises that people must have their physiological, psychological, and emotional needs satisfied </w:t>
      </w:r>
      <w:r w:rsidR="001A3185" w:rsidRPr="00EA69B0">
        <w:rPr>
          <w:rFonts w:ascii="Arial" w:hAnsi="Arial" w:cs="Arial"/>
        </w:rPr>
        <w:t>to</w:t>
      </w:r>
      <w:r w:rsidRPr="00EA69B0">
        <w:rPr>
          <w:rFonts w:ascii="Arial" w:hAnsi="Arial" w:cs="Arial"/>
        </w:rPr>
        <w:t xml:space="preserve"> achieve overall wellbeing, supports this idea (Maslow, 1943).</w:t>
      </w:r>
      <w:r w:rsidR="0076437F" w:rsidRPr="00EA69B0">
        <w:rPr>
          <w:rFonts w:ascii="Arial" w:hAnsi="Arial" w:cs="Arial"/>
        </w:rPr>
        <w:t xml:space="preserve"> This theoretical viewpoint emphasises the value of providing comprehensive care </w:t>
      </w:r>
      <w:r w:rsidR="00011593" w:rsidRPr="00EA69B0">
        <w:rPr>
          <w:rFonts w:ascii="Arial" w:hAnsi="Arial" w:cs="Arial"/>
        </w:rPr>
        <w:t>rather than</w:t>
      </w:r>
      <w:r w:rsidR="0076437F" w:rsidRPr="00EA69B0">
        <w:rPr>
          <w:rFonts w:ascii="Arial" w:hAnsi="Arial" w:cs="Arial"/>
        </w:rPr>
        <w:t xml:space="preserve"> task</w:t>
      </w:r>
      <w:r w:rsidR="00783CD0" w:rsidRPr="00EA69B0">
        <w:rPr>
          <w:rFonts w:ascii="Arial" w:hAnsi="Arial" w:cs="Arial"/>
        </w:rPr>
        <w:t>-oriented</w:t>
      </w:r>
      <w:r w:rsidR="0076437F" w:rsidRPr="00EA69B0">
        <w:rPr>
          <w:rFonts w:ascii="Arial" w:hAnsi="Arial" w:cs="Arial"/>
        </w:rPr>
        <w:t xml:space="preserve"> solutions. Research indicates that PCC enhances treatment compliance, patient satisfaction, and mental health (National Institute for Health and Care Excellence, 2021). However, time restrictions, labour shortages, and rising service expectations can make it difficult to apply PCC consistently. This reveals a discrepancy between the aspirations of policy and the realities of practice, necessitating that practitioners strike a balance between organisational demands and providing customised, empathetic care.</w:t>
      </w:r>
    </w:p>
    <w:p w14:paraId="1AB5F1BB" w14:textId="77777777" w:rsidR="0076437F" w:rsidRPr="00EA69B0" w:rsidRDefault="0076437F" w:rsidP="00EA69B0">
      <w:pPr>
        <w:pStyle w:val="Subtitle"/>
        <w:spacing w:line="360" w:lineRule="auto"/>
        <w:rPr>
          <w:rFonts w:ascii="Arial" w:hAnsi="Arial" w:cs="Arial"/>
          <w:sz w:val="22"/>
          <w:szCs w:val="22"/>
        </w:rPr>
      </w:pPr>
      <w:r w:rsidRPr="00EA69B0">
        <w:rPr>
          <w:rFonts w:ascii="Arial" w:hAnsi="Arial" w:cs="Arial"/>
          <w:sz w:val="22"/>
          <w:szCs w:val="22"/>
        </w:rPr>
        <w:t>Partnership Working in Health and Social Care</w:t>
      </w:r>
    </w:p>
    <w:p w14:paraId="108030D3" w14:textId="3D1C57BB" w:rsidR="009757FB" w:rsidRPr="00EA69B0" w:rsidRDefault="0076437F" w:rsidP="00EA69B0">
      <w:pPr>
        <w:spacing w:line="360" w:lineRule="auto"/>
        <w:rPr>
          <w:rFonts w:ascii="Arial" w:hAnsi="Arial" w:cs="Arial"/>
        </w:rPr>
      </w:pPr>
      <w:r w:rsidRPr="00EA69B0">
        <w:rPr>
          <w:rFonts w:ascii="Arial" w:hAnsi="Arial" w:cs="Arial"/>
        </w:rPr>
        <w:t xml:space="preserve">Another essential principle is partnership working, which entails cooperation between organisations, families, service users, and experts to guarantee efficient and well-coordinated care delivery. It is based on shared responsibility, cooperation, and communication. </w:t>
      </w:r>
      <w:r w:rsidR="002C45CA" w:rsidRPr="00EA69B0">
        <w:rPr>
          <w:rFonts w:ascii="Arial" w:hAnsi="Arial" w:cs="Arial"/>
        </w:rPr>
        <w:t>To achieve successful teamwork, theories of interprofessional collaboration highlight the importance of mutual respect, shared power, and effective</w:t>
      </w:r>
      <w:r w:rsidRPr="00EA69B0">
        <w:rPr>
          <w:rFonts w:ascii="Arial" w:hAnsi="Arial" w:cs="Arial"/>
        </w:rPr>
        <w:t xml:space="preserve"> communication </w:t>
      </w:r>
      <w:r w:rsidRPr="00EA69B0">
        <w:rPr>
          <w:rFonts w:ascii="Arial" w:hAnsi="Arial" w:cs="Arial"/>
        </w:rPr>
        <w:lastRenderedPageBreak/>
        <w:t>(Reeves et al., 2017). Partnership working is important because it improves continuity of care, minimises service duplication, and makes it possible to handle complicated problems from a variety of professional viewpoints. It also facilitates collaborative learning and enhances service user results. But obstacles like ambiguous positions, professional hierarchies, and poor communication might make it less effective. This shows that multidisciplinary participation by itself is insufficient; effective teamwork necessitates a clear definition of roles, capable leadership, and an inclusive culture.</w:t>
      </w:r>
    </w:p>
    <w:p w14:paraId="2FA22518" w14:textId="7FF84490" w:rsidR="0076437F" w:rsidRPr="00EA69B0" w:rsidRDefault="0076437F" w:rsidP="00EA69B0">
      <w:pPr>
        <w:pStyle w:val="Subtitle"/>
        <w:spacing w:line="360" w:lineRule="auto"/>
        <w:rPr>
          <w:rFonts w:ascii="Arial" w:hAnsi="Arial" w:cs="Arial"/>
          <w:sz w:val="22"/>
          <w:szCs w:val="22"/>
        </w:rPr>
      </w:pPr>
      <w:r w:rsidRPr="00EA69B0">
        <w:rPr>
          <w:rFonts w:ascii="Arial" w:hAnsi="Arial" w:cs="Arial"/>
          <w:sz w:val="22"/>
          <w:szCs w:val="22"/>
        </w:rPr>
        <w:t>Theoretical and Ethical Frameworks in Care Practice</w:t>
      </w:r>
    </w:p>
    <w:p w14:paraId="227ED61C" w14:textId="69D37EEE" w:rsidR="00431387" w:rsidRPr="00EA69B0" w:rsidRDefault="00431387" w:rsidP="00EA69B0">
      <w:pPr>
        <w:spacing w:line="360" w:lineRule="auto"/>
        <w:rPr>
          <w:rFonts w:ascii="Arial" w:hAnsi="Arial" w:cs="Arial"/>
        </w:rPr>
      </w:pPr>
      <w:r w:rsidRPr="00EA69B0">
        <w:rPr>
          <w:rFonts w:ascii="Arial" w:hAnsi="Arial" w:cs="Arial"/>
        </w:rPr>
        <w:t>Person-centred care and partnership functioning are supported by ethical practice, which helps professionals make just and responsible judgements. Beauchamp and Childress's (2019) framework, which incorporates autonomy, beneficence, non-maleficence, and justice, offers an organised method for making moral decisions in the medical field. These guidelines guarantee that people's rights are upheld while fostering welfare and averting damage. When a service user's autonomy clashes with worries about their safety or best interests, ethical quandaries may occur that call for cautious decision-making and critical analysis.</w:t>
      </w:r>
      <w:r w:rsidR="00025CEE" w:rsidRPr="00EA69B0">
        <w:rPr>
          <w:rFonts w:ascii="Arial" w:hAnsi="Arial" w:cs="Arial"/>
        </w:rPr>
        <w:t xml:space="preserve"> </w:t>
      </w:r>
      <w:r w:rsidRPr="00EA69B0">
        <w:rPr>
          <w:rFonts w:ascii="Arial" w:hAnsi="Arial" w:cs="Arial"/>
        </w:rPr>
        <w:t>Maintaining trust, advancing justice, and protecting those in need all depend on ethical behaviour (Nuffield Council on Bioethics, 2020). However, organisational demands, resource constraints, and emotionally taxing circumstances can make it difficult to put ethical ideas into effect. This emphasises how crucial reflective practice and ongoing professional growth are to promoting moral decision-making.</w:t>
      </w:r>
    </w:p>
    <w:p w14:paraId="17109236" w14:textId="77777777" w:rsidR="00431387" w:rsidRPr="00EA69B0" w:rsidRDefault="00431387" w:rsidP="00EA69B0">
      <w:pPr>
        <w:pStyle w:val="Subtitle"/>
        <w:spacing w:line="360" w:lineRule="auto"/>
        <w:rPr>
          <w:rFonts w:ascii="Arial" w:hAnsi="Arial" w:cs="Arial"/>
          <w:sz w:val="22"/>
          <w:szCs w:val="22"/>
        </w:rPr>
      </w:pPr>
      <w:r w:rsidRPr="00EA69B0">
        <w:rPr>
          <w:rFonts w:ascii="Arial" w:hAnsi="Arial" w:cs="Arial"/>
          <w:sz w:val="22"/>
          <w:szCs w:val="22"/>
        </w:rPr>
        <w:t>Integration of Person-Centred Care, Ethics, and Partnership Working</w:t>
      </w:r>
    </w:p>
    <w:p w14:paraId="6AF218CE" w14:textId="76FCD057" w:rsidR="00950F0A" w:rsidRPr="00EA69B0" w:rsidRDefault="00860AD5" w:rsidP="00EA69B0">
      <w:pPr>
        <w:spacing w:line="360" w:lineRule="auto"/>
        <w:rPr>
          <w:rFonts w:ascii="Arial" w:hAnsi="Arial" w:cs="Arial"/>
        </w:rPr>
      </w:pPr>
      <w:r w:rsidRPr="00EA69B0">
        <w:rPr>
          <w:rFonts w:ascii="Arial" w:hAnsi="Arial" w:cs="Arial"/>
        </w:rPr>
        <w:t>All things considered, providing high-quality health and social care depends on the interconnected ideas of person-centred care, collaborative working, and ethical behaviour. Person-centred care promotes participation, autonomy, and wellbeing by prioritising the unique needs, values, and preferences of service users (McCormack &amp; McCance, 2017). To efficiently coordinate treatment, minimise duplication, and meet complex health and social requirements, partnership working promotes cooperation across multidisciplinary teams, families, and service users (World Health Organization, 2010). Both strategies are based on ethical practice, which directs professionals to behave honourably, respect dignity, and make choices that strike a balance between risk and autonomy (Thompson &amp; Jensen, 2018). Despite obstacles including personnel shortages, organisational pressures, and resource limitations, incorporating these principles improves results, increases professional accountability, and builds public confidence in care services. When combined, these strategies support clinically sound, morally sound, and individual-centered care.</w:t>
      </w:r>
    </w:p>
    <w:p w14:paraId="750FC307" w14:textId="77777777" w:rsidR="00025CEE" w:rsidRPr="00EA69B0" w:rsidRDefault="00025CEE" w:rsidP="00EA69B0">
      <w:pPr>
        <w:spacing w:line="360" w:lineRule="auto"/>
        <w:rPr>
          <w:rFonts w:ascii="Arial" w:hAnsi="Arial" w:cs="Arial"/>
        </w:rPr>
      </w:pPr>
      <w:bookmarkStart w:id="1" w:name="_Toc225101241"/>
      <w:r w:rsidRPr="00EA69B0">
        <w:rPr>
          <w:rStyle w:val="Heading2Char"/>
          <w:rFonts w:ascii="Arial" w:hAnsi="Arial" w:cs="Arial"/>
          <w:sz w:val="22"/>
          <w:szCs w:val="22"/>
        </w:rPr>
        <w:lastRenderedPageBreak/>
        <w:t>Task 2: Putting Important Principles into Practice in a UK Hospital Setting</w:t>
      </w:r>
      <w:bookmarkEnd w:id="1"/>
      <w:r w:rsidRPr="00EA69B0">
        <w:rPr>
          <w:rFonts w:ascii="Arial" w:hAnsi="Arial" w:cs="Arial"/>
          <w:b/>
          <w:bCs/>
        </w:rPr>
        <w:t xml:space="preserve"> </w:t>
      </w:r>
      <w:r w:rsidRPr="00EA69B0">
        <w:rPr>
          <w:rFonts w:ascii="Arial" w:hAnsi="Arial" w:cs="Arial"/>
        </w:rPr>
        <w:br/>
        <w:t xml:space="preserve">This reflection is based on a hospital stay in an acute medical ward run by an NHS trust. An elderly patient with minor cognitive impairment and pneumonia was admitted (pseudonym: Mr. G). Mr. G continuously stated that he wanted to go home, despite worries about his mobility and safety. His care was planned by the multidisciplinary team (MDT), which included nurses, a doctor, physiotherapists, occupational therapists, and a social worker. Important questions about person-centred care, collaborative efforts, and moral judgement were brought up by this circumstance. Involving Mr. G in talks regarding his discharge plan was an example of person-centred care. In accordance with the National Institute for Health and Care Excellence's (2021) guidelines, the medical staff made sure he understood his alternatives by providing comprehensive explanations. Professionals investigated his wishes, especially his wish to maintain his independence, rather than postponing discharge only because of perceived risk. Particularly for older persons with complex requirements, it has been demonstrated that promoting autonomy and involving patients in decision-making enhances well-being and satisfaction (Murphy, McCance, and White, 2025). </w:t>
      </w:r>
    </w:p>
    <w:p w14:paraId="35E62A07" w14:textId="6075DDFA" w:rsidR="00025CEE" w:rsidRPr="00EA69B0" w:rsidRDefault="00025CEE" w:rsidP="00EA69B0">
      <w:pPr>
        <w:spacing w:line="360" w:lineRule="auto"/>
        <w:rPr>
          <w:rFonts w:ascii="Arial" w:hAnsi="Arial" w:cs="Arial"/>
        </w:rPr>
      </w:pPr>
      <w:r w:rsidRPr="00EA69B0">
        <w:rPr>
          <w:rFonts w:ascii="Arial" w:hAnsi="Arial" w:cs="Arial"/>
        </w:rPr>
        <w:t xml:space="preserve">Working in partnership was essential to handling this circumstance. While the MDT did a comprehensive assessment of Mr. G's needs, his daughter was included in conversations with his permission. While the Health and Care Act 2022 </w:t>
      </w:r>
      <w:r w:rsidR="00D31060" w:rsidRPr="00EA69B0">
        <w:rPr>
          <w:rFonts w:ascii="Arial" w:hAnsi="Arial" w:cs="Arial"/>
        </w:rPr>
        <w:t>supports</w:t>
      </w:r>
      <w:r w:rsidRPr="00EA69B0">
        <w:rPr>
          <w:rFonts w:ascii="Arial" w:hAnsi="Arial" w:cs="Arial"/>
        </w:rPr>
        <w:t xml:space="preserve"> integrated care systems that foster coordinated assistance, the Care Act 2014 places a strong emphasis on well-being, preventive, and service collaboration. Before release, the team organised a home safety evaluation and physiotherapy support through cooperative planning. After Mr. G came home, this helped guarantee continuity of care.</w:t>
      </w:r>
    </w:p>
    <w:p w14:paraId="12D736DB" w14:textId="398A7475" w:rsidR="00025CEE" w:rsidRPr="00EA69B0" w:rsidRDefault="00D31060" w:rsidP="00EA69B0">
      <w:pPr>
        <w:spacing w:line="360" w:lineRule="auto"/>
        <w:rPr>
          <w:rFonts w:ascii="Arial" w:hAnsi="Arial" w:cs="Arial"/>
        </w:rPr>
      </w:pPr>
      <w:r w:rsidRPr="00D31060">
        <w:rPr>
          <w:rFonts w:ascii="Arial" w:hAnsi="Arial" w:cs="Arial"/>
        </w:rPr>
        <w:t>Ethics played a significant role in the decision-making process</w:t>
      </w:r>
      <w:r w:rsidR="00025CEE" w:rsidRPr="00EA69B0">
        <w:rPr>
          <w:rFonts w:ascii="Arial" w:hAnsi="Arial" w:cs="Arial"/>
        </w:rPr>
        <w:t>. People must be assumed to have ability unless proven differently, according to the Mental Ability Act of 2005. Despite having slight cognitive impairment, Mr. G was deemed capable of making decisions regarding his discharge after his competence was properly evaluated. According to Beauchamp and Childress (2019), honouring his desires was in line with the ethical concepts of beneficence and autonomy. Additionally, the Nursing and Midwifery Council Code mandates that professionals uphold people's dignity and respect their rights (Nursing and Midwifery Council, 2018). In the end, Mr. G was released with a structured care plan, community physiotherapy referral, and family support. In line with research showing that shared decision-making enhances patient experience and trust, he indicated satisfaction with being included in decisions regarding his treatment (National Institute for Health and Care Excellence, 2021). However, it might be difficult to continuously implement person-centred and ethical practices in hectic healthcare settings due to constraints like time constraints and bed availability (Glasby and Dickinson, 2020).</w:t>
      </w:r>
    </w:p>
    <w:p w14:paraId="405E4D80" w14:textId="6CE7B703" w:rsidR="00025CEE" w:rsidRPr="00EA69B0" w:rsidRDefault="00C97218" w:rsidP="00EA69B0">
      <w:pPr>
        <w:pStyle w:val="Heading3"/>
        <w:spacing w:line="360" w:lineRule="auto"/>
        <w:rPr>
          <w:rFonts w:ascii="Arial" w:hAnsi="Arial" w:cs="Arial"/>
          <w:sz w:val="22"/>
          <w:szCs w:val="22"/>
        </w:rPr>
      </w:pPr>
      <w:bookmarkStart w:id="2" w:name="_Toc225101242"/>
      <w:r w:rsidRPr="00EA69B0">
        <w:rPr>
          <w:rFonts w:ascii="Arial" w:hAnsi="Arial" w:cs="Arial"/>
          <w:sz w:val="22"/>
          <w:szCs w:val="22"/>
        </w:rPr>
        <w:lastRenderedPageBreak/>
        <w:t>Task 3: Self-Reflection Using Kolb’s Reflective Learning Cycle.</w:t>
      </w:r>
      <w:bookmarkEnd w:id="2"/>
      <w:r w:rsidRPr="00EA69B0">
        <w:rPr>
          <w:rFonts w:ascii="Arial" w:hAnsi="Arial" w:cs="Arial"/>
          <w:sz w:val="22"/>
          <w:szCs w:val="22"/>
        </w:rPr>
        <w:t xml:space="preserve"> </w:t>
      </w:r>
    </w:p>
    <w:p w14:paraId="3ABE0CB8" w14:textId="77777777" w:rsidR="00C97218" w:rsidRPr="00EA69B0" w:rsidRDefault="00C97218" w:rsidP="00EA69B0">
      <w:pPr>
        <w:spacing w:line="360" w:lineRule="auto"/>
        <w:rPr>
          <w:rFonts w:ascii="Arial" w:hAnsi="Arial" w:cs="Arial"/>
        </w:rPr>
      </w:pPr>
      <w:r w:rsidRPr="00EA69B0">
        <w:rPr>
          <w:rFonts w:ascii="Arial" w:hAnsi="Arial" w:cs="Arial"/>
        </w:rPr>
        <w:t>In the fields of health and social care, reflection is necessary to develop professional knowledge, skills, and values. My experiences with my autistic nephew and volunteering at my son's school have helped me understand the value of ethical behaviour, collaborative work, and person-centred care. Kolb's Experiential Learning Cycle (1984) has proven to be a helpful framework for evaluating these encounters and pinpointing areas for improvement.</w:t>
      </w:r>
    </w:p>
    <w:p w14:paraId="0AC6326C" w14:textId="2CACABEE" w:rsidR="00D31060" w:rsidRPr="00EA69B0" w:rsidRDefault="00C97218" w:rsidP="00EA69B0">
      <w:pPr>
        <w:spacing w:line="360" w:lineRule="auto"/>
        <w:rPr>
          <w:rFonts w:ascii="Arial" w:hAnsi="Arial" w:cs="Arial"/>
        </w:rPr>
      </w:pPr>
      <w:r w:rsidRPr="00EA69B0">
        <w:rPr>
          <w:rStyle w:val="SubtitleChar"/>
          <w:rFonts w:ascii="Arial" w:hAnsi="Arial" w:cs="Arial"/>
          <w:sz w:val="22"/>
          <w:szCs w:val="22"/>
        </w:rPr>
        <w:t xml:space="preserve">Concrete </w:t>
      </w:r>
      <w:r w:rsidR="000310B7">
        <w:rPr>
          <w:rStyle w:val="SubtitleChar"/>
          <w:rFonts w:ascii="Arial" w:hAnsi="Arial" w:cs="Arial"/>
          <w:sz w:val="22"/>
          <w:szCs w:val="22"/>
        </w:rPr>
        <w:t>Experience</w:t>
      </w:r>
    </w:p>
    <w:p w14:paraId="089B41A7" w14:textId="614E0FEF" w:rsidR="006B0DD6" w:rsidRPr="00EA69B0" w:rsidRDefault="00D31060" w:rsidP="00EA69B0">
      <w:pPr>
        <w:spacing w:line="360" w:lineRule="auto"/>
        <w:rPr>
          <w:rFonts w:ascii="Arial" w:hAnsi="Arial" w:cs="Arial"/>
        </w:rPr>
      </w:pPr>
      <w:r w:rsidRPr="00EA69B0">
        <w:rPr>
          <w:rFonts w:ascii="Arial" w:hAnsi="Arial" w:cs="Arial"/>
        </w:rPr>
        <w:t>One</w:t>
      </w:r>
      <w:r w:rsidR="00C97218" w:rsidRPr="00EA69B0">
        <w:rPr>
          <w:rFonts w:ascii="Arial" w:hAnsi="Arial" w:cs="Arial"/>
        </w:rPr>
        <w:t xml:space="preserve"> of my most memorable experiences has been assisting my nephew with his everyday activities. Because autism has an impact on social interaction, behaviour, and communication, I have had to customise support for him. I created a predictable and encouraging atmosphere by using visual signals, organised routines, and explicit directions. This helped him feel less anxious and be more engaged. </w:t>
      </w:r>
      <w:r w:rsidR="00C97218" w:rsidRPr="00EA69B0">
        <w:rPr>
          <w:rFonts w:ascii="Arial" w:hAnsi="Arial" w:cs="Arial"/>
        </w:rPr>
        <w:br/>
        <w:t>By volunteering at my son's school, I was able to help instructors with classroom activities and promote kids' engagement in the learning process. Everybody has different needs, skills, and preferences, as these experiences confirmed. I discovered that in order to effectively support others and promote inclusivity, tolerance, adaptability, and understanding are crucial.</w:t>
      </w:r>
    </w:p>
    <w:p w14:paraId="0DF4F943" w14:textId="1C9E2910" w:rsidR="00FC5B10" w:rsidRPr="00EA69B0" w:rsidRDefault="00FC5B10" w:rsidP="00EA69B0">
      <w:pPr>
        <w:pStyle w:val="Subtitle"/>
        <w:spacing w:line="360" w:lineRule="auto"/>
        <w:rPr>
          <w:rFonts w:ascii="Arial" w:hAnsi="Arial" w:cs="Arial"/>
          <w:sz w:val="22"/>
          <w:szCs w:val="22"/>
        </w:rPr>
      </w:pPr>
      <w:r w:rsidRPr="00EA69B0">
        <w:rPr>
          <w:rFonts w:ascii="Arial" w:hAnsi="Arial" w:cs="Arial"/>
          <w:sz w:val="22"/>
          <w:szCs w:val="22"/>
        </w:rPr>
        <w:t>Reflective Observation</w:t>
      </w:r>
    </w:p>
    <w:p w14:paraId="4FD346A5" w14:textId="097AC793" w:rsidR="00FC5B10" w:rsidRPr="00EA69B0" w:rsidRDefault="00FC5B10" w:rsidP="00EA69B0">
      <w:pPr>
        <w:spacing w:line="360" w:lineRule="auto"/>
        <w:rPr>
          <w:rFonts w:ascii="Arial" w:hAnsi="Arial" w:cs="Arial"/>
        </w:rPr>
      </w:pPr>
      <w:r w:rsidRPr="00EA69B0">
        <w:rPr>
          <w:rFonts w:ascii="Arial" w:hAnsi="Arial" w:cs="Arial"/>
        </w:rPr>
        <w:t xml:space="preserve">I've been able to better appreciate the significance of person-centred methods by thinking back on these events. People's autonomy, engagement, and wellness are improved when their preferences are acknowledged, and they are actively involved in decisions regarding their care or education (National Institute for Health and Care Excellence, 2021). For example, my nephew's confidence and willingness to engage increased when activities were modified to fit his comfort level. In a similar vein, when I softly encouraged kids at school instead of only giving them instructions, they responded favourably. </w:t>
      </w:r>
      <w:r w:rsidR="00D31060" w:rsidRPr="00EA69B0">
        <w:rPr>
          <w:rFonts w:ascii="Arial" w:hAnsi="Arial" w:cs="Arial"/>
        </w:rPr>
        <w:t>I also became aware of how important teamwork is.</w:t>
      </w:r>
      <w:r w:rsidRPr="00EA69B0">
        <w:rPr>
          <w:rFonts w:ascii="Arial" w:hAnsi="Arial" w:cs="Arial"/>
        </w:rPr>
        <w:t xml:space="preserve"> </w:t>
      </w:r>
      <w:r w:rsidR="00702EE3" w:rsidRPr="00EA69B0">
        <w:rPr>
          <w:rFonts w:ascii="Arial" w:hAnsi="Arial" w:cs="Arial"/>
        </w:rPr>
        <w:t>To</w:t>
      </w:r>
      <w:r w:rsidRPr="00EA69B0">
        <w:rPr>
          <w:rFonts w:ascii="Arial" w:hAnsi="Arial" w:cs="Arial"/>
        </w:rPr>
        <w:t xml:space="preserve"> support my nephew, my family and I had to work together to keep routines and behavioural tactics consistent. Teachers, aides, and volunteers collaborated to create a positive learning environment in the classroom. I came to see that good teamwork improves the standard of treatment and fosters better results for patients.</w:t>
      </w:r>
    </w:p>
    <w:p w14:paraId="3CEC4883" w14:textId="307F1829" w:rsidR="006B0DD6" w:rsidRPr="00EA69B0" w:rsidRDefault="00D53FEC" w:rsidP="00EA69B0">
      <w:pPr>
        <w:spacing w:line="360" w:lineRule="auto"/>
        <w:rPr>
          <w:rFonts w:ascii="Arial" w:hAnsi="Arial" w:cs="Arial"/>
        </w:rPr>
      </w:pPr>
      <w:r w:rsidRPr="00EA69B0">
        <w:rPr>
          <w:rStyle w:val="SubtitleChar"/>
          <w:rFonts w:ascii="Arial" w:hAnsi="Arial" w:cs="Arial"/>
          <w:sz w:val="22"/>
          <w:szCs w:val="22"/>
        </w:rPr>
        <w:t>Abstract Idea Formulation</w:t>
      </w:r>
      <w:r w:rsidRPr="00EA69B0">
        <w:rPr>
          <w:rFonts w:ascii="Arial" w:hAnsi="Arial" w:cs="Arial"/>
        </w:rPr>
        <w:t xml:space="preserve"> </w:t>
      </w:r>
      <w:r w:rsidRPr="00EA69B0">
        <w:rPr>
          <w:rFonts w:ascii="Arial" w:hAnsi="Arial" w:cs="Arial"/>
        </w:rPr>
        <w:br/>
        <w:t xml:space="preserve">I have been able to relate these events to pertinent theories, professional norms, and laws by thinking back on them. </w:t>
      </w:r>
      <w:r w:rsidR="009757FB" w:rsidRPr="00EA69B0">
        <w:rPr>
          <w:rFonts w:ascii="Arial" w:hAnsi="Arial" w:cs="Arial"/>
        </w:rPr>
        <w:t>To</w:t>
      </w:r>
      <w:r w:rsidRPr="00EA69B0">
        <w:rPr>
          <w:rFonts w:ascii="Arial" w:hAnsi="Arial" w:cs="Arial"/>
        </w:rPr>
        <w:t xml:space="preserve"> attain wellbeing, people must have their basic physiological, safety, and emotional needs satisfied, according to Maslow's Hierarchy of Needs (Maslow, 1943). This argument is supported by the fact that my nephew's participation and confidence </w:t>
      </w:r>
      <w:r w:rsidRPr="00EA69B0">
        <w:rPr>
          <w:rFonts w:ascii="Arial" w:hAnsi="Arial" w:cs="Arial"/>
        </w:rPr>
        <w:lastRenderedPageBreak/>
        <w:t>increased in a controlled, predictable, and emotionally supportive setting. The Care Act 2014 and the Health and Care Act 2022 are two pieces of legislation that highlight the value of teamwork and person-centred strategies. These frameworks emphasise how important it is to promote people's autonomy, encourage wellness, and integrate services to produce favourable results. My experiences are also grounded in ethical ideas. According to Beauchamp and Childress (2019), autonomy, beneficence, non-maleficence, and justice are essential components of care. I put these values into practice by honouring my nephew's decisions while guaranteeing his security, well-being, dignity, and privacy. Even in informal care settings, the Nursing and Midwifery Council Code (2018) promotes these values by highlighting accountability, respect, and trust.</w:t>
      </w:r>
    </w:p>
    <w:p w14:paraId="7125A2BA" w14:textId="5D811AC1" w:rsidR="00FC5B10" w:rsidRPr="00EA69B0" w:rsidRDefault="00D53FEC" w:rsidP="00EA69B0">
      <w:pPr>
        <w:pStyle w:val="Subtitle"/>
        <w:spacing w:line="360" w:lineRule="auto"/>
        <w:rPr>
          <w:rFonts w:ascii="Arial" w:hAnsi="Arial" w:cs="Arial"/>
          <w:sz w:val="22"/>
          <w:szCs w:val="22"/>
        </w:rPr>
      </w:pPr>
      <w:r w:rsidRPr="00EA69B0">
        <w:rPr>
          <w:rFonts w:ascii="Arial" w:hAnsi="Arial" w:cs="Arial"/>
          <w:sz w:val="22"/>
          <w:szCs w:val="22"/>
        </w:rPr>
        <w:t>Action plan</w:t>
      </w:r>
    </w:p>
    <w:p w14:paraId="05846302" w14:textId="0CCC2AD5" w:rsidR="00C97218" w:rsidRPr="00EA69B0" w:rsidRDefault="00D53FEC" w:rsidP="00EA69B0">
      <w:pPr>
        <w:spacing w:line="360" w:lineRule="auto"/>
        <w:rPr>
          <w:rFonts w:ascii="Arial" w:hAnsi="Arial" w:cs="Arial"/>
        </w:rPr>
      </w:pPr>
      <w:r w:rsidRPr="00EA69B0">
        <w:rPr>
          <w:rFonts w:ascii="Arial" w:hAnsi="Arial" w:cs="Arial"/>
        </w:rPr>
        <w:t xml:space="preserve">My strengths, such as empathy, patience, and communication skills, which </w:t>
      </w:r>
      <w:r w:rsidR="00BC6537" w:rsidRPr="00EA69B0">
        <w:rPr>
          <w:rFonts w:ascii="Arial" w:hAnsi="Arial" w:cs="Arial"/>
        </w:rPr>
        <w:t>promote</w:t>
      </w:r>
      <w:r w:rsidRPr="00EA69B0">
        <w:rPr>
          <w:rFonts w:ascii="Arial" w:hAnsi="Arial" w:cs="Arial"/>
        </w:rPr>
        <w:t xml:space="preserve"> participation and wellbeing, have come to light as I think back on these experiences. Additionally, volunteering improved my cooperation and organisational skills. I have, nevertheless, noted areas that need improvement. To serve individuals with a variety of health and care requirements, I need to increase my confidence in my ability to communicate complicated information and broaden my knowledge. to deal with these issues. I intend to continue using reflective models like Kolb's cycle (Kolb, 1984) to assess my progress, participate in professional development opportunities, and attend pertinent training and workshops.</w:t>
      </w:r>
      <w:r w:rsidR="006B0DD6" w:rsidRPr="00EA69B0">
        <w:rPr>
          <w:rFonts w:ascii="Arial" w:hAnsi="Arial" w:cs="Arial"/>
        </w:rPr>
        <w:t xml:space="preserve"> Participating in group projects, keeping a reflective journal, and applying techniques learned in training to volunteer and home environments will improve communication and collaboration abilities (NICE, 2021; Nursing and Midwifery Council, 2018). By taking these steps, I will enhance my work, gain self-assurance, and grow into a knowledgeable and caring health and social care professional.</w:t>
      </w:r>
    </w:p>
    <w:p w14:paraId="2207621E" w14:textId="3C668AEA" w:rsidR="0076437F" w:rsidRPr="00EA69B0" w:rsidRDefault="006B0DD6" w:rsidP="00EA69B0">
      <w:pPr>
        <w:pStyle w:val="Heading1"/>
        <w:spacing w:line="360" w:lineRule="auto"/>
        <w:rPr>
          <w:rFonts w:ascii="Arial" w:hAnsi="Arial" w:cs="Arial"/>
          <w:sz w:val="22"/>
          <w:szCs w:val="22"/>
        </w:rPr>
      </w:pPr>
      <w:r w:rsidRPr="00EA69B0">
        <w:rPr>
          <w:rFonts w:ascii="Arial" w:hAnsi="Arial" w:cs="Arial"/>
          <w:sz w:val="22"/>
          <w:szCs w:val="22"/>
        </w:rPr>
        <w:t xml:space="preserve">Conclusion </w:t>
      </w:r>
    </w:p>
    <w:p w14:paraId="0E7D9B46" w14:textId="1922A52D" w:rsidR="00783CD0" w:rsidRPr="00EA69B0" w:rsidRDefault="00783CD0" w:rsidP="00EA69B0">
      <w:pPr>
        <w:spacing w:line="360" w:lineRule="auto"/>
        <w:rPr>
          <w:rFonts w:ascii="Arial" w:hAnsi="Arial" w:cs="Arial"/>
        </w:rPr>
      </w:pPr>
      <w:r w:rsidRPr="00EA69B0">
        <w:rPr>
          <w:rFonts w:ascii="Arial" w:hAnsi="Arial" w:cs="Arial"/>
        </w:rPr>
        <w:t xml:space="preserve">My experiences and thoughtful analysis have amply illustrated the significance of person-centred care, teamwork, and moral behaviour. While partnership working enabled consistency and efficient care coordination, tailoring support to each person's requirements improved confidence, involvement, and general wellness. The need for comprehensive and morally sound approaches to care is emphasised by theoretical frameworks such as Maslow's Hierarchy of Needs (Maslow, 1943) and ethical principles (Beauchamp and Childress, 2019). By using Kolb's Experiential Learning Cycle (1984), I've been able to pinpoint both my areas of strength, such as empathy, patience, and communication skills, and my areas for improvement, such as communicating difficult information and broadening my understanding of various care requirements. This perspective emphasises the </w:t>
      </w:r>
      <w:r w:rsidRPr="00EA69B0">
        <w:rPr>
          <w:rFonts w:ascii="Arial" w:hAnsi="Arial" w:cs="Arial"/>
        </w:rPr>
        <w:lastRenderedPageBreak/>
        <w:t>importance of continual training and evidence-based guidance, reflective practice, and ongoing professional growth. In general, providing high-quality health and social care requires integrating person-centred, ethical, and collaborative approaches, and reflection is crucial to gaining the skill, self-assurance, and compassion needed for professional practice.</w:t>
      </w:r>
    </w:p>
    <w:p w14:paraId="551F59E3" w14:textId="77777777" w:rsidR="00860AD5" w:rsidRPr="00EA69B0" w:rsidRDefault="00860AD5" w:rsidP="00EA69B0">
      <w:pPr>
        <w:spacing w:line="360" w:lineRule="auto"/>
        <w:rPr>
          <w:rFonts w:ascii="Arial" w:hAnsi="Arial" w:cs="Arial"/>
        </w:rPr>
      </w:pPr>
    </w:p>
    <w:p w14:paraId="50A191CD" w14:textId="77777777" w:rsidR="00860AD5" w:rsidRDefault="00860AD5" w:rsidP="00783CD0">
      <w:pPr>
        <w:spacing w:line="360" w:lineRule="auto"/>
        <w:rPr>
          <w:rFonts w:ascii="Arial" w:hAnsi="Arial" w:cs="Arial"/>
        </w:rPr>
      </w:pPr>
    </w:p>
    <w:p w14:paraId="716601D6" w14:textId="77777777" w:rsidR="00860AD5" w:rsidRDefault="00860AD5" w:rsidP="00783CD0">
      <w:pPr>
        <w:spacing w:line="360" w:lineRule="auto"/>
        <w:rPr>
          <w:rFonts w:ascii="Arial" w:hAnsi="Arial" w:cs="Arial"/>
        </w:rPr>
      </w:pPr>
    </w:p>
    <w:p w14:paraId="72BABD3D" w14:textId="77777777" w:rsidR="00860AD5" w:rsidRDefault="00860AD5" w:rsidP="00783CD0">
      <w:pPr>
        <w:spacing w:line="360" w:lineRule="auto"/>
        <w:rPr>
          <w:rFonts w:ascii="Arial" w:hAnsi="Arial" w:cs="Arial"/>
        </w:rPr>
      </w:pPr>
    </w:p>
    <w:p w14:paraId="2FD75D5C" w14:textId="77777777" w:rsidR="00860AD5" w:rsidRDefault="00860AD5" w:rsidP="00783CD0">
      <w:pPr>
        <w:spacing w:line="360" w:lineRule="auto"/>
        <w:rPr>
          <w:rFonts w:ascii="Arial" w:hAnsi="Arial" w:cs="Arial"/>
        </w:rPr>
      </w:pPr>
    </w:p>
    <w:p w14:paraId="5097EEC4" w14:textId="77777777" w:rsidR="00860AD5" w:rsidRDefault="00860AD5" w:rsidP="00783CD0">
      <w:pPr>
        <w:spacing w:line="360" w:lineRule="auto"/>
        <w:rPr>
          <w:rFonts w:ascii="Arial" w:hAnsi="Arial" w:cs="Arial"/>
        </w:rPr>
      </w:pPr>
    </w:p>
    <w:p w14:paraId="64516559" w14:textId="77777777" w:rsidR="00860AD5" w:rsidRDefault="00860AD5" w:rsidP="00783CD0">
      <w:pPr>
        <w:spacing w:line="360" w:lineRule="auto"/>
        <w:rPr>
          <w:rFonts w:ascii="Arial" w:hAnsi="Arial" w:cs="Arial"/>
        </w:rPr>
      </w:pPr>
    </w:p>
    <w:p w14:paraId="49520A05" w14:textId="77777777" w:rsidR="00860AD5" w:rsidRDefault="00860AD5" w:rsidP="00783CD0">
      <w:pPr>
        <w:spacing w:line="360" w:lineRule="auto"/>
        <w:rPr>
          <w:rFonts w:ascii="Arial" w:hAnsi="Arial" w:cs="Arial"/>
        </w:rPr>
      </w:pPr>
    </w:p>
    <w:p w14:paraId="3CDFD5AB" w14:textId="77777777" w:rsidR="00860AD5" w:rsidRDefault="00860AD5" w:rsidP="00783CD0">
      <w:pPr>
        <w:spacing w:line="360" w:lineRule="auto"/>
        <w:rPr>
          <w:rFonts w:ascii="Arial" w:hAnsi="Arial" w:cs="Arial"/>
        </w:rPr>
      </w:pPr>
    </w:p>
    <w:p w14:paraId="4686C716" w14:textId="77777777" w:rsidR="00860AD5" w:rsidRDefault="00860AD5" w:rsidP="00783CD0">
      <w:pPr>
        <w:spacing w:line="360" w:lineRule="auto"/>
        <w:rPr>
          <w:rFonts w:ascii="Arial" w:hAnsi="Arial" w:cs="Arial"/>
        </w:rPr>
      </w:pPr>
    </w:p>
    <w:p w14:paraId="4C15C62F" w14:textId="77777777" w:rsidR="00860AD5" w:rsidRDefault="00860AD5" w:rsidP="00783CD0">
      <w:pPr>
        <w:spacing w:line="360" w:lineRule="auto"/>
        <w:rPr>
          <w:rFonts w:ascii="Arial" w:hAnsi="Arial" w:cs="Arial"/>
        </w:rPr>
      </w:pPr>
    </w:p>
    <w:p w14:paraId="0FE701D2" w14:textId="77777777" w:rsidR="00860AD5" w:rsidRDefault="00860AD5" w:rsidP="00783CD0">
      <w:pPr>
        <w:spacing w:line="360" w:lineRule="auto"/>
        <w:rPr>
          <w:rFonts w:ascii="Arial" w:hAnsi="Arial" w:cs="Arial"/>
        </w:rPr>
      </w:pPr>
    </w:p>
    <w:p w14:paraId="61A96355" w14:textId="77777777" w:rsidR="00860AD5" w:rsidRDefault="00860AD5" w:rsidP="00783CD0">
      <w:pPr>
        <w:spacing w:line="360" w:lineRule="auto"/>
        <w:rPr>
          <w:rFonts w:ascii="Arial" w:hAnsi="Arial" w:cs="Arial"/>
        </w:rPr>
      </w:pPr>
    </w:p>
    <w:p w14:paraId="3F6D3F5B" w14:textId="77777777" w:rsidR="00860AD5" w:rsidRDefault="00860AD5" w:rsidP="00783CD0">
      <w:pPr>
        <w:spacing w:line="360" w:lineRule="auto"/>
        <w:rPr>
          <w:rFonts w:ascii="Arial" w:hAnsi="Arial" w:cs="Arial"/>
        </w:rPr>
      </w:pPr>
    </w:p>
    <w:p w14:paraId="2E6478F7" w14:textId="77777777" w:rsidR="00860AD5" w:rsidRDefault="00860AD5" w:rsidP="00783CD0">
      <w:pPr>
        <w:spacing w:line="360" w:lineRule="auto"/>
        <w:rPr>
          <w:rFonts w:ascii="Arial" w:hAnsi="Arial" w:cs="Arial"/>
        </w:rPr>
      </w:pPr>
    </w:p>
    <w:p w14:paraId="681ECE8D" w14:textId="77777777" w:rsidR="00860AD5" w:rsidRDefault="00860AD5" w:rsidP="00783CD0">
      <w:pPr>
        <w:spacing w:line="360" w:lineRule="auto"/>
        <w:rPr>
          <w:rFonts w:ascii="Arial" w:hAnsi="Arial" w:cs="Arial"/>
        </w:rPr>
      </w:pPr>
    </w:p>
    <w:p w14:paraId="024369BA" w14:textId="77777777" w:rsidR="00860AD5" w:rsidRDefault="00860AD5" w:rsidP="00783CD0">
      <w:pPr>
        <w:spacing w:line="360" w:lineRule="auto"/>
        <w:rPr>
          <w:rFonts w:ascii="Arial" w:hAnsi="Arial" w:cs="Arial"/>
        </w:rPr>
      </w:pPr>
    </w:p>
    <w:p w14:paraId="00B7874B" w14:textId="77777777" w:rsidR="00860AD5" w:rsidRDefault="00860AD5" w:rsidP="00783CD0">
      <w:pPr>
        <w:spacing w:line="360" w:lineRule="auto"/>
        <w:rPr>
          <w:rFonts w:ascii="Arial" w:hAnsi="Arial" w:cs="Arial"/>
        </w:rPr>
      </w:pPr>
    </w:p>
    <w:p w14:paraId="642B0CCB" w14:textId="77777777" w:rsidR="00860AD5" w:rsidRDefault="00860AD5" w:rsidP="00783CD0">
      <w:pPr>
        <w:spacing w:line="360" w:lineRule="auto"/>
        <w:rPr>
          <w:rFonts w:ascii="Arial" w:hAnsi="Arial" w:cs="Arial"/>
        </w:rPr>
      </w:pPr>
    </w:p>
    <w:p w14:paraId="66E476BA" w14:textId="77777777" w:rsidR="00EA69B0" w:rsidRDefault="00EA69B0" w:rsidP="00783CD0">
      <w:pPr>
        <w:spacing w:line="360" w:lineRule="auto"/>
        <w:rPr>
          <w:rFonts w:ascii="Arial" w:hAnsi="Arial" w:cs="Arial"/>
        </w:rPr>
      </w:pPr>
    </w:p>
    <w:p w14:paraId="1611C620" w14:textId="77777777" w:rsidR="000310B7" w:rsidRDefault="000310B7" w:rsidP="00783CD0">
      <w:pPr>
        <w:spacing w:line="360" w:lineRule="auto"/>
        <w:rPr>
          <w:rFonts w:ascii="Arial" w:hAnsi="Arial" w:cs="Arial"/>
        </w:rPr>
      </w:pPr>
    </w:p>
    <w:p w14:paraId="04D37230" w14:textId="77777777" w:rsidR="00EA69B0" w:rsidRPr="00783CD0" w:rsidRDefault="00EA69B0" w:rsidP="00783CD0">
      <w:pPr>
        <w:spacing w:line="360" w:lineRule="auto"/>
        <w:rPr>
          <w:rFonts w:ascii="Arial" w:hAnsi="Arial" w:cs="Arial"/>
        </w:rPr>
      </w:pPr>
    </w:p>
    <w:p w14:paraId="03FD79C1" w14:textId="77777777" w:rsidR="005D1E7E" w:rsidRDefault="005D1E7E" w:rsidP="00CD5D5F">
      <w:pPr>
        <w:pStyle w:val="Heading1"/>
        <w:spacing w:line="360" w:lineRule="auto"/>
        <w:ind w:left="360"/>
        <w:rPr>
          <w:rFonts w:ascii="Arial" w:hAnsi="Arial" w:cs="Arial"/>
          <w:b/>
          <w:bCs/>
          <w:sz w:val="22"/>
          <w:szCs w:val="22"/>
        </w:rPr>
      </w:pPr>
      <w:bookmarkStart w:id="3" w:name="_Toc225101243"/>
      <w:r w:rsidRPr="00E762F2">
        <w:rPr>
          <w:rFonts w:ascii="Arial" w:hAnsi="Arial" w:cs="Arial"/>
          <w:b/>
          <w:bCs/>
          <w:sz w:val="22"/>
          <w:szCs w:val="22"/>
        </w:rPr>
        <w:lastRenderedPageBreak/>
        <w:t>Reference List</w:t>
      </w:r>
      <w:bookmarkEnd w:id="3"/>
    </w:p>
    <w:p w14:paraId="2B9F3212" w14:textId="77777777" w:rsidR="000310B7" w:rsidRPr="000310B7" w:rsidRDefault="000310B7" w:rsidP="000310B7">
      <w:pPr>
        <w:spacing w:line="360" w:lineRule="auto"/>
        <w:rPr>
          <w:rFonts w:ascii="Arial" w:hAnsi="Arial" w:cs="Arial"/>
        </w:rPr>
      </w:pPr>
      <w:r w:rsidRPr="000310B7">
        <w:rPr>
          <w:rFonts w:ascii="Arial" w:hAnsi="Arial" w:cs="Arial"/>
        </w:rPr>
        <w:t xml:space="preserve">Beauchamp, T. and Childress, J., 2019. </w:t>
      </w:r>
      <w:r w:rsidRPr="000310B7">
        <w:rPr>
          <w:rFonts w:ascii="Arial" w:hAnsi="Arial" w:cs="Arial"/>
          <w:i/>
          <w:iCs/>
        </w:rPr>
        <w:t>Principles of biomedical ethics</w:t>
      </w:r>
      <w:r w:rsidRPr="000310B7">
        <w:rPr>
          <w:rFonts w:ascii="Arial" w:hAnsi="Arial" w:cs="Arial"/>
        </w:rPr>
        <w:t>. 8th ed. Oxford: Oxford University Press.</w:t>
      </w:r>
    </w:p>
    <w:p w14:paraId="1550A55F" w14:textId="77777777" w:rsidR="000310B7" w:rsidRPr="000310B7" w:rsidRDefault="000310B7" w:rsidP="000310B7">
      <w:pPr>
        <w:spacing w:line="360" w:lineRule="auto"/>
        <w:rPr>
          <w:rFonts w:ascii="Arial" w:hAnsi="Arial" w:cs="Arial"/>
        </w:rPr>
      </w:pPr>
      <w:r w:rsidRPr="000310B7">
        <w:rPr>
          <w:rFonts w:ascii="Arial" w:hAnsi="Arial" w:cs="Arial"/>
        </w:rPr>
        <w:t>Care Act 2014. London: The Stationery Office.</w:t>
      </w:r>
    </w:p>
    <w:p w14:paraId="51E4F644" w14:textId="77777777" w:rsidR="000310B7" w:rsidRPr="000310B7" w:rsidRDefault="000310B7" w:rsidP="000310B7">
      <w:pPr>
        <w:spacing w:line="360" w:lineRule="auto"/>
        <w:rPr>
          <w:rFonts w:ascii="Arial" w:hAnsi="Arial" w:cs="Arial"/>
        </w:rPr>
      </w:pPr>
      <w:r w:rsidRPr="000310B7">
        <w:rPr>
          <w:rFonts w:ascii="Arial" w:hAnsi="Arial" w:cs="Arial"/>
        </w:rPr>
        <w:t xml:space="preserve">Glasby, J. and Dickinson, H., 2020. </w:t>
      </w:r>
      <w:r w:rsidRPr="000310B7">
        <w:rPr>
          <w:rFonts w:ascii="Arial" w:hAnsi="Arial" w:cs="Arial"/>
          <w:i/>
          <w:iCs/>
        </w:rPr>
        <w:t>Partnership working in health and social care</w:t>
      </w:r>
      <w:r w:rsidRPr="000310B7">
        <w:rPr>
          <w:rFonts w:ascii="Arial" w:hAnsi="Arial" w:cs="Arial"/>
        </w:rPr>
        <w:t>. 2nd ed. Bristol: Policy Press.</w:t>
      </w:r>
    </w:p>
    <w:p w14:paraId="57C876DA" w14:textId="77777777" w:rsidR="000310B7" w:rsidRPr="000310B7" w:rsidRDefault="000310B7" w:rsidP="000310B7">
      <w:pPr>
        <w:spacing w:line="360" w:lineRule="auto"/>
        <w:rPr>
          <w:rFonts w:ascii="Arial" w:hAnsi="Arial" w:cs="Arial"/>
        </w:rPr>
      </w:pPr>
      <w:r w:rsidRPr="000310B7">
        <w:rPr>
          <w:rFonts w:ascii="Arial" w:hAnsi="Arial" w:cs="Arial"/>
        </w:rPr>
        <w:t>Health and Care Act 2022. London: The Stationery Office.</w:t>
      </w:r>
    </w:p>
    <w:p w14:paraId="40847578" w14:textId="77777777" w:rsidR="000310B7" w:rsidRPr="000310B7" w:rsidRDefault="000310B7" w:rsidP="000310B7">
      <w:pPr>
        <w:spacing w:line="360" w:lineRule="auto"/>
        <w:rPr>
          <w:rFonts w:ascii="Arial" w:hAnsi="Arial" w:cs="Arial"/>
        </w:rPr>
      </w:pPr>
      <w:r w:rsidRPr="000310B7">
        <w:rPr>
          <w:rFonts w:ascii="Arial" w:hAnsi="Arial" w:cs="Arial"/>
        </w:rPr>
        <w:t xml:space="preserve">Kolb, D.A., 1984. </w:t>
      </w:r>
      <w:r w:rsidRPr="000310B7">
        <w:rPr>
          <w:rFonts w:ascii="Arial" w:hAnsi="Arial" w:cs="Arial"/>
          <w:i/>
          <w:iCs/>
        </w:rPr>
        <w:t>Experiential learning: Experience as the source of learning and development</w:t>
      </w:r>
      <w:r w:rsidRPr="000310B7">
        <w:rPr>
          <w:rFonts w:ascii="Arial" w:hAnsi="Arial" w:cs="Arial"/>
        </w:rPr>
        <w:t>. Englewood Cliffs, NJ: Prentice Hall.</w:t>
      </w:r>
    </w:p>
    <w:p w14:paraId="349B4221" w14:textId="77777777" w:rsidR="000310B7" w:rsidRPr="000310B7" w:rsidRDefault="000310B7" w:rsidP="000310B7">
      <w:pPr>
        <w:spacing w:line="360" w:lineRule="auto"/>
        <w:rPr>
          <w:rFonts w:ascii="Arial" w:hAnsi="Arial" w:cs="Arial"/>
        </w:rPr>
      </w:pPr>
      <w:r w:rsidRPr="000310B7">
        <w:rPr>
          <w:rFonts w:ascii="Arial" w:hAnsi="Arial" w:cs="Arial"/>
        </w:rPr>
        <w:t xml:space="preserve">Maslow, A.H., 1943. A theory of human motivation. </w:t>
      </w:r>
      <w:r w:rsidRPr="000310B7">
        <w:rPr>
          <w:rFonts w:ascii="Arial" w:hAnsi="Arial" w:cs="Arial"/>
          <w:i/>
          <w:iCs/>
        </w:rPr>
        <w:t>Psychological Review</w:t>
      </w:r>
      <w:r w:rsidRPr="000310B7">
        <w:rPr>
          <w:rFonts w:ascii="Arial" w:hAnsi="Arial" w:cs="Arial"/>
        </w:rPr>
        <w:t>, 50(4), pp.370–396.</w:t>
      </w:r>
    </w:p>
    <w:p w14:paraId="4344B50B" w14:textId="77777777" w:rsidR="000310B7" w:rsidRPr="000310B7" w:rsidRDefault="000310B7" w:rsidP="000310B7">
      <w:pPr>
        <w:spacing w:line="360" w:lineRule="auto"/>
        <w:rPr>
          <w:rFonts w:ascii="Arial" w:hAnsi="Arial" w:cs="Arial"/>
        </w:rPr>
      </w:pPr>
      <w:r w:rsidRPr="000310B7">
        <w:rPr>
          <w:rFonts w:ascii="Arial" w:hAnsi="Arial" w:cs="Arial"/>
        </w:rPr>
        <w:t xml:space="preserve">McCormack, B. and McCance, T., 2017. </w:t>
      </w:r>
      <w:r w:rsidRPr="000310B7">
        <w:rPr>
          <w:rFonts w:ascii="Arial" w:hAnsi="Arial" w:cs="Arial"/>
          <w:i/>
          <w:iCs/>
        </w:rPr>
        <w:t>Person-centred nursing: Theory and practice</w:t>
      </w:r>
      <w:r w:rsidRPr="000310B7">
        <w:rPr>
          <w:rFonts w:ascii="Arial" w:hAnsi="Arial" w:cs="Arial"/>
        </w:rPr>
        <w:t>. 2nd ed. Chichester: John Wiley &amp; Sons.</w:t>
      </w:r>
    </w:p>
    <w:p w14:paraId="3DE244A8" w14:textId="77777777" w:rsidR="000310B7" w:rsidRPr="000310B7" w:rsidRDefault="000310B7" w:rsidP="000310B7">
      <w:pPr>
        <w:spacing w:line="360" w:lineRule="auto"/>
        <w:rPr>
          <w:rFonts w:ascii="Arial" w:hAnsi="Arial" w:cs="Arial"/>
        </w:rPr>
      </w:pPr>
      <w:r w:rsidRPr="000310B7">
        <w:rPr>
          <w:rFonts w:ascii="Arial" w:hAnsi="Arial" w:cs="Arial"/>
        </w:rPr>
        <w:t>Mental Capacity Act 2005. London: The Stationery Office.</w:t>
      </w:r>
    </w:p>
    <w:p w14:paraId="2C70BCD2" w14:textId="77777777" w:rsidR="000310B7" w:rsidRPr="000310B7" w:rsidRDefault="000310B7" w:rsidP="000310B7">
      <w:pPr>
        <w:spacing w:line="360" w:lineRule="auto"/>
        <w:rPr>
          <w:rFonts w:ascii="Arial" w:hAnsi="Arial" w:cs="Arial"/>
        </w:rPr>
      </w:pPr>
      <w:r w:rsidRPr="000310B7">
        <w:rPr>
          <w:rFonts w:ascii="Arial" w:hAnsi="Arial" w:cs="Arial"/>
        </w:rPr>
        <w:t xml:space="preserve">Murphy, G., McCance, T. and White, S., 2025. </w:t>
      </w:r>
      <w:r w:rsidRPr="000310B7">
        <w:rPr>
          <w:rFonts w:ascii="Arial" w:hAnsi="Arial" w:cs="Arial"/>
          <w:i/>
          <w:iCs/>
        </w:rPr>
        <w:t>Person-centred practice in health and social care</w:t>
      </w:r>
      <w:r w:rsidRPr="000310B7">
        <w:rPr>
          <w:rFonts w:ascii="Arial" w:hAnsi="Arial" w:cs="Arial"/>
        </w:rPr>
        <w:t>. London: Routledge.</w:t>
      </w:r>
    </w:p>
    <w:p w14:paraId="7C088B51" w14:textId="77777777" w:rsidR="000310B7" w:rsidRPr="000310B7" w:rsidRDefault="000310B7" w:rsidP="000310B7">
      <w:pPr>
        <w:spacing w:line="360" w:lineRule="auto"/>
        <w:rPr>
          <w:rFonts w:ascii="Arial" w:hAnsi="Arial" w:cs="Arial"/>
        </w:rPr>
      </w:pPr>
      <w:r w:rsidRPr="000310B7">
        <w:rPr>
          <w:rFonts w:ascii="Arial" w:hAnsi="Arial" w:cs="Arial"/>
        </w:rPr>
        <w:t xml:space="preserve">National Institute for Health and Care Excellence, 2021. </w:t>
      </w:r>
      <w:r w:rsidRPr="000310B7">
        <w:rPr>
          <w:rFonts w:ascii="Arial" w:hAnsi="Arial" w:cs="Arial"/>
          <w:i/>
          <w:iCs/>
        </w:rPr>
        <w:t>Patient experience in adult NHS services</w:t>
      </w:r>
      <w:r w:rsidRPr="000310B7">
        <w:rPr>
          <w:rFonts w:ascii="Arial" w:hAnsi="Arial" w:cs="Arial"/>
        </w:rPr>
        <w:t>. London: NICE.</w:t>
      </w:r>
    </w:p>
    <w:p w14:paraId="6ED5AA1E" w14:textId="77777777" w:rsidR="000310B7" w:rsidRPr="000310B7" w:rsidRDefault="000310B7" w:rsidP="000310B7">
      <w:pPr>
        <w:spacing w:line="360" w:lineRule="auto"/>
        <w:rPr>
          <w:rFonts w:ascii="Arial" w:hAnsi="Arial" w:cs="Arial"/>
        </w:rPr>
      </w:pPr>
      <w:r w:rsidRPr="000310B7">
        <w:rPr>
          <w:rFonts w:ascii="Arial" w:hAnsi="Arial" w:cs="Arial"/>
        </w:rPr>
        <w:t xml:space="preserve">Nuffield Council on Bioethics, 2020. </w:t>
      </w:r>
      <w:r w:rsidRPr="000310B7">
        <w:rPr>
          <w:rFonts w:ascii="Arial" w:hAnsi="Arial" w:cs="Arial"/>
          <w:i/>
          <w:iCs/>
        </w:rPr>
        <w:t>Bioethics and health and social care practice</w:t>
      </w:r>
      <w:r w:rsidRPr="000310B7">
        <w:rPr>
          <w:rFonts w:ascii="Arial" w:hAnsi="Arial" w:cs="Arial"/>
        </w:rPr>
        <w:t>. London: Nuffield Council on Bioethics.</w:t>
      </w:r>
    </w:p>
    <w:p w14:paraId="15EC3F4E" w14:textId="77777777" w:rsidR="000310B7" w:rsidRPr="000310B7" w:rsidRDefault="000310B7" w:rsidP="000310B7">
      <w:pPr>
        <w:spacing w:line="360" w:lineRule="auto"/>
        <w:rPr>
          <w:rFonts w:ascii="Arial" w:hAnsi="Arial" w:cs="Arial"/>
        </w:rPr>
      </w:pPr>
      <w:r w:rsidRPr="000310B7">
        <w:rPr>
          <w:rFonts w:ascii="Arial" w:hAnsi="Arial" w:cs="Arial"/>
        </w:rPr>
        <w:t xml:space="preserve">Nursing and Midwifery Council, 2018. </w:t>
      </w:r>
      <w:r w:rsidRPr="000310B7">
        <w:rPr>
          <w:rFonts w:ascii="Arial" w:hAnsi="Arial" w:cs="Arial"/>
          <w:i/>
          <w:iCs/>
        </w:rPr>
        <w:t>The Code: Professional standards of practice and behaviour for nurses, midwives and nursing associates</w:t>
      </w:r>
      <w:r w:rsidRPr="000310B7">
        <w:rPr>
          <w:rFonts w:ascii="Arial" w:hAnsi="Arial" w:cs="Arial"/>
        </w:rPr>
        <w:t>. London: NMC.</w:t>
      </w:r>
    </w:p>
    <w:p w14:paraId="2345574C" w14:textId="77777777" w:rsidR="000310B7" w:rsidRPr="000310B7" w:rsidRDefault="000310B7" w:rsidP="000310B7">
      <w:pPr>
        <w:spacing w:line="360" w:lineRule="auto"/>
        <w:rPr>
          <w:rFonts w:ascii="Arial" w:hAnsi="Arial" w:cs="Arial"/>
        </w:rPr>
      </w:pPr>
      <w:r w:rsidRPr="000310B7">
        <w:rPr>
          <w:rFonts w:ascii="Arial" w:hAnsi="Arial" w:cs="Arial"/>
        </w:rPr>
        <w:t xml:space="preserve">Reeves, S., </w:t>
      </w:r>
      <w:proofErr w:type="spellStart"/>
      <w:r w:rsidRPr="000310B7">
        <w:rPr>
          <w:rFonts w:ascii="Arial" w:hAnsi="Arial" w:cs="Arial"/>
        </w:rPr>
        <w:t>Pelone</w:t>
      </w:r>
      <w:proofErr w:type="spellEnd"/>
      <w:r w:rsidRPr="000310B7">
        <w:rPr>
          <w:rFonts w:ascii="Arial" w:hAnsi="Arial" w:cs="Arial"/>
        </w:rPr>
        <w:t xml:space="preserve">, F., Harrison, R., Goldman, J. and </w:t>
      </w:r>
      <w:proofErr w:type="spellStart"/>
      <w:r w:rsidRPr="000310B7">
        <w:rPr>
          <w:rFonts w:ascii="Arial" w:hAnsi="Arial" w:cs="Arial"/>
        </w:rPr>
        <w:t>Zwarenstein</w:t>
      </w:r>
      <w:proofErr w:type="spellEnd"/>
      <w:r w:rsidRPr="000310B7">
        <w:rPr>
          <w:rFonts w:ascii="Arial" w:hAnsi="Arial" w:cs="Arial"/>
        </w:rPr>
        <w:t xml:space="preserve">, M., 2017. Interprofessional collaboration to improve professional practice and healthcare outcomes. </w:t>
      </w:r>
      <w:r w:rsidRPr="000310B7">
        <w:rPr>
          <w:rFonts w:ascii="Arial" w:hAnsi="Arial" w:cs="Arial"/>
          <w:i/>
          <w:iCs/>
        </w:rPr>
        <w:t>Cochrane Database of Systematic Reviews</w:t>
      </w:r>
      <w:r w:rsidRPr="000310B7">
        <w:rPr>
          <w:rFonts w:ascii="Arial" w:hAnsi="Arial" w:cs="Arial"/>
        </w:rPr>
        <w:t>, Issue 6.</w:t>
      </w:r>
    </w:p>
    <w:p w14:paraId="3632CEC9" w14:textId="77777777" w:rsidR="000310B7" w:rsidRPr="000310B7" w:rsidRDefault="000310B7" w:rsidP="000310B7">
      <w:pPr>
        <w:spacing w:line="360" w:lineRule="auto"/>
        <w:rPr>
          <w:rFonts w:ascii="Arial" w:hAnsi="Arial" w:cs="Arial"/>
        </w:rPr>
      </w:pPr>
      <w:r w:rsidRPr="000310B7">
        <w:rPr>
          <w:rFonts w:ascii="Arial" w:hAnsi="Arial" w:cs="Arial"/>
        </w:rPr>
        <w:t xml:space="preserve">Thompson, N. and Jensen, J., 2018. </w:t>
      </w:r>
      <w:r w:rsidRPr="000310B7">
        <w:rPr>
          <w:rFonts w:ascii="Arial" w:hAnsi="Arial" w:cs="Arial"/>
          <w:i/>
          <w:iCs/>
        </w:rPr>
        <w:t>Ethics in health and social care: Principles and practice</w:t>
      </w:r>
      <w:r w:rsidRPr="000310B7">
        <w:rPr>
          <w:rFonts w:ascii="Arial" w:hAnsi="Arial" w:cs="Arial"/>
        </w:rPr>
        <w:t>. London: SAGE.</w:t>
      </w:r>
    </w:p>
    <w:p w14:paraId="5633B622" w14:textId="77777777" w:rsidR="000310B7" w:rsidRPr="000310B7" w:rsidRDefault="000310B7" w:rsidP="000310B7">
      <w:pPr>
        <w:spacing w:line="360" w:lineRule="auto"/>
      </w:pPr>
      <w:r w:rsidRPr="000310B7">
        <w:rPr>
          <w:rFonts w:ascii="Arial" w:hAnsi="Arial" w:cs="Arial"/>
        </w:rPr>
        <w:t xml:space="preserve">World Health Organization, 2010. </w:t>
      </w:r>
      <w:r w:rsidRPr="000310B7">
        <w:rPr>
          <w:rFonts w:ascii="Arial" w:hAnsi="Arial" w:cs="Arial"/>
          <w:i/>
          <w:iCs/>
        </w:rPr>
        <w:t>Framework for action on interprofessional education and collaborative practice</w:t>
      </w:r>
      <w:r w:rsidRPr="000310B7">
        <w:rPr>
          <w:rFonts w:ascii="Arial" w:hAnsi="Arial" w:cs="Arial"/>
        </w:rPr>
        <w:t>. Geneva: WHO</w:t>
      </w:r>
      <w:r w:rsidRPr="000310B7">
        <w:t>.</w:t>
      </w:r>
    </w:p>
    <w:p w14:paraId="180882B7" w14:textId="77777777" w:rsidR="000310B7" w:rsidRPr="000310B7" w:rsidRDefault="000310B7" w:rsidP="000310B7"/>
    <w:sectPr w:rsidR="000310B7" w:rsidRPr="000310B7" w:rsidSect="005D1E7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69A76" w14:textId="77777777" w:rsidR="00D0372F" w:rsidRDefault="00D0372F" w:rsidP="00E762F2">
      <w:pPr>
        <w:spacing w:after="0" w:line="240" w:lineRule="auto"/>
      </w:pPr>
      <w:r>
        <w:separator/>
      </w:r>
    </w:p>
  </w:endnote>
  <w:endnote w:type="continuationSeparator" w:id="0">
    <w:p w14:paraId="01ECB585" w14:textId="77777777" w:rsidR="00D0372F" w:rsidRDefault="00D0372F" w:rsidP="00E76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5054116"/>
      <w:docPartObj>
        <w:docPartGallery w:val="Page Numbers (Bottom of Page)"/>
        <w:docPartUnique/>
      </w:docPartObj>
    </w:sdtPr>
    <w:sdtContent>
      <w:p w14:paraId="493AD177" w14:textId="5220B44D" w:rsidR="00E762F2" w:rsidRDefault="00E762F2">
        <w:pPr>
          <w:pStyle w:val="Footer"/>
          <w:jc w:val="center"/>
        </w:pPr>
        <w:r>
          <w:fldChar w:fldCharType="begin"/>
        </w:r>
        <w:r>
          <w:instrText>PAGE   \* MERGEFORMAT</w:instrText>
        </w:r>
        <w:r>
          <w:fldChar w:fldCharType="separate"/>
        </w:r>
        <w:r>
          <w:t>2</w:t>
        </w:r>
        <w:r>
          <w:fldChar w:fldCharType="end"/>
        </w:r>
      </w:p>
    </w:sdtContent>
  </w:sdt>
  <w:p w14:paraId="2D169D5C" w14:textId="77777777" w:rsidR="00E762F2" w:rsidRDefault="00E76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3B2F4" w14:textId="77777777" w:rsidR="00D0372F" w:rsidRDefault="00D0372F" w:rsidP="00E762F2">
      <w:pPr>
        <w:spacing w:after="0" w:line="240" w:lineRule="auto"/>
      </w:pPr>
      <w:r>
        <w:separator/>
      </w:r>
    </w:p>
  </w:footnote>
  <w:footnote w:type="continuationSeparator" w:id="0">
    <w:p w14:paraId="0B5E8573" w14:textId="77777777" w:rsidR="00D0372F" w:rsidRDefault="00D0372F" w:rsidP="00E762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D7E83"/>
    <w:multiLevelType w:val="hybridMultilevel"/>
    <w:tmpl w:val="569AE8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451D8C"/>
    <w:multiLevelType w:val="hybridMultilevel"/>
    <w:tmpl w:val="4D8EC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0028B4"/>
    <w:multiLevelType w:val="hybridMultilevel"/>
    <w:tmpl w:val="87D0C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8904945">
    <w:abstractNumId w:val="1"/>
  </w:num>
  <w:num w:numId="2" w16cid:durableId="1414207534">
    <w:abstractNumId w:val="2"/>
  </w:num>
  <w:num w:numId="3" w16cid:durableId="2144615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7E"/>
    <w:rsid w:val="00011593"/>
    <w:rsid w:val="00025CEE"/>
    <w:rsid w:val="000310B7"/>
    <w:rsid w:val="000978BA"/>
    <w:rsid w:val="00194374"/>
    <w:rsid w:val="001A3185"/>
    <w:rsid w:val="00274F5A"/>
    <w:rsid w:val="002835A5"/>
    <w:rsid w:val="002A393D"/>
    <w:rsid w:val="002C45CA"/>
    <w:rsid w:val="002E72F3"/>
    <w:rsid w:val="00380F69"/>
    <w:rsid w:val="004058E0"/>
    <w:rsid w:val="00431387"/>
    <w:rsid w:val="00525550"/>
    <w:rsid w:val="00526085"/>
    <w:rsid w:val="005D1E7E"/>
    <w:rsid w:val="00687DB2"/>
    <w:rsid w:val="006B0DD6"/>
    <w:rsid w:val="006C797F"/>
    <w:rsid w:val="00702EE3"/>
    <w:rsid w:val="00732846"/>
    <w:rsid w:val="00744994"/>
    <w:rsid w:val="00757A58"/>
    <w:rsid w:val="0076437F"/>
    <w:rsid w:val="00783CD0"/>
    <w:rsid w:val="00795455"/>
    <w:rsid w:val="00860AD5"/>
    <w:rsid w:val="008643B5"/>
    <w:rsid w:val="008826D4"/>
    <w:rsid w:val="00950F0A"/>
    <w:rsid w:val="009757FB"/>
    <w:rsid w:val="009B0B92"/>
    <w:rsid w:val="00A32B44"/>
    <w:rsid w:val="00AD28CF"/>
    <w:rsid w:val="00B374BD"/>
    <w:rsid w:val="00B66A76"/>
    <w:rsid w:val="00B84589"/>
    <w:rsid w:val="00BC6537"/>
    <w:rsid w:val="00C52D8A"/>
    <w:rsid w:val="00C97218"/>
    <w:rsid w:val="00CA487E"/>
    <w:rsid w:val="00CB146E"/>
    <w:rsid w:val="00CD5D5F"/>
    <w:rsid w:val="00D0372F"/>
    <w:rsid w:val="00D30C1F"/>
    <w:rsid w:val="00D31060"/>
    <w:rsid w:val="00D53FEC"/>
    <w:rsid w:val="00DF1EC7"/>
    <w:rsid w:val="00E6340D"/>
    <w:rsid w:val="00E762F2"/>
    <w:rsid w:val="00EA69B0"/>
    <w:rsid w:val="00F569CA"/>
    <w:rsid w:val="00F64AA5"/>
    <w:rsid w:val="00FC5B10"/>
    <w:rsid w:val="00FD36C6"/>
    <w:rsid w:val="00FF6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DD00D"/>
  <w15:chartTrackingRefBased/>
  <w15:docId w15:val="{0B451886-AB36-420D-993D-275CE861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8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48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A48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A48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8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8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8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8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8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8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48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A48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A48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8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8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8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8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87E"/>
    <w:rPr>
      <w:rFonts w:eastAsiaTheme="majorEastAsia" w:cstheme="majorBidi"/>
      <w:color w:val="272727" w:themeColor="text1" w:themeTint="D8"/>
    </w:rPr>
  </w:style>
  <w:style w:type="paragraph" w:styleId="Title">
    <w:name w:val="Title"/>
    <w:basedOn w:val="Normal"/>
    <w:next w:val="Normal"/>
    <w:link w:val="TitleChar"/>
    <w:uiPriority w:val="10"/>
    <w:qFormat/>
    <w:rsid w:val="00CA48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8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8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8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87E"/>
    <w:pPr>
      <w:spacing w:before="160"/>
      <w:jc w:val="center"/>
    </w:pPr>
    <w:rPr>
      <w:i/>
      <w:iCs/>
      <w:color w:val="404040" w:themeColor="text1" w:themeTint="BF"/>
    </w:rPr>
  </w:style>
  <w:style w:type="character" w:customStyle="1" w:styleId="QuoteChar">
    <w:name w:val="Quote Char"/>
    <w:basedOn w:val="DefaultParagraphFont"/>
    <w:link w:val="Quote"/>
    <w:uiPriority w:val="29"/>
    <w:rsid w:val="00CA487E"/>
    <w:rPr>
      <w:i/>
      <w:iCs/>
      <w:color w:val="404040" w:themeColor="text1" w:themeTint="BF"/>
    </w:rPr>
  </w:style>
  <w:style w:type="paragraph" w:styleId="ListParagraph">
    <w:name w:val="List Paragraph"/>
    <w:basedOn w:val="Normal"/>
    <w:uiPriority w:val="34"/>
    <w:qFormat/>
    <w:rsid w:val="00CA487E"/>
    <w:pPr>
      <w:ind w:left="720"/>
      <w:contextualSpacing/>
    </w:pPr>
  </w:style>
  <w:style w:type="character" w:styleId="IntenseEmphasis">
    <w:name w:val="Intense Emphasis"/>
    <w:basedOn w:val="DefaultParagraphFont"/>
    <w:uiPriority w:val="21"/>
    <w:qFormat/>
    <w:rsid w:val="00CA487E"/>
    <w:rPr>
      <w:i/>
      <w:iCs/>
      <w:color w:val="0F4761" w:themeColor="accent1" w:themeShade="BF"/>
    </w:rPr>
  </w:style>
  <w:style w:type="paragraph" w:styleId="IntenseQuote">
    <w:name w:val="Intense Quote"/>
    <w:basedOn w:val="Normal"/>
    <w:next w:val="Normal"/>
    <w:link w:val="IntenseQuoteChar"/>
    <w:uiPriority w:val="30"/>
    <w:qFormat/>
    <w:rsid w:val="00CA48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87E"/>
    <w:rPr>
      <w:i/>
      <w:iCs/>
      <w:color w:val="0F4761" w:themeColor="accent1" w:themeShade="BF"/>
    </w:rPr>
  </w:style>
  <w:style w:type="character" w:styleId="IntenseReference">
    <w:name w:val="Intense Reference"/>
    <w:basedOn w:val="DefaultParagraphFont"/>
    <w:uiPriority w:val="32"/>
    <w:qFormat/>
    <w:rsid w:val="00CA487E"/>
    <w:rPr>
      <w:b/>
      <w:bCs/>
      <w:smallCaps/>
      <w:color w:val="0F4761" w:themeColor="accent1" w:themeShade="BF"/>
      <w:spacing w:val="5"/>
    </w:rPr>
  </w:style>
  <w:style w:type="paragraph" w:styleId="NoSpacing">
    <w:name w:val="No Spacing"/>
    <w:link w:val="NoSpacingChar"/>
    <w:uiPriority w:val="1"/>
    <w:qFormat/>
    <w:rsid w:val="005D1E7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D1E7E"/>
    <w:rPr>
      <w:rFonts w:eastAsiaTheme="minorEastAsia"/>
      <w:kern w:val="0"/>
      <w:lang w:eastAsia="en-GB"/>
      <w14:ligatures w14:val="none"/>
    </w:rPr>
  </w:style>
  <w:style w:type="paragraph" w:styleId="Header">
    <w:name w:val="header"/>
    <w:basedOn w:val="Normal"/>
    <w:link w:val="HeaderChar"/>
    <w:uiPriority w:val="99"/>
    <w:unhideWhenUsed/>
    <w:rsid w:val="00E76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2F2"/>
  </w:style>
  <w:style w:type="paragraph" w:styleId="Footer">
    <w:name w:val="footer"/>
    <w:basedOn w:val="Normal"/>
    <w:link w:val="FooterChar"/>
    <w:uiPriority w:val="99"/>
    <w:unhideWhenUsed/>
    <w:rsid w:val="00E76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2F2"/>
  </w:style>
  <w:style w:type="paragraph" w:styleId="TOCHeading">
    <w:name w:val="TOC Heading"/>
    <w:basedOn w:val="Heading1"/>
    <w:next w:val="Normal"/>
    <w:uiPriority w:val="39"/>
    <w:unhideWhenUsed/>
    <w:qFormat/>
    <w:rsid w:val="00E762F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26085"/>
    <w:pPr>
      <w:tabs>
        <w:tab w:val="right" w:leader="dot" w:pos="9016"/>
      </w:tabs>
      <w:spacing w:after="100"/>
    </w:pPr>
    <w:rPr>
      <w:b/>
      <w:bCs/>
      <w:noProof/>
    </w:rPr>
  </w:style>
  <w:style w:type="paragraph" w:styleId="TOC2">
    <w:name w:val="toc 2"/>
    <w:basedOn w:val="Normal"/>
    <w:next w:val="Normal"/>
    <w:autoRedefine/>
    <w:uiPriority w:val="39"/>
    <w:unhideWhenUsed/>
    <w:rsid w:val="00526085"/>
    <w:pPr>
      <w:tabs>
        <w:tab w:val="right" w:leader="dot" w:pos="9016"/>
      </w:tabs>
      <w:spacing w:after="100"/>
      <w:ind w:left="220"/>
    </w:pPr>
    <w:rPr>
      <w:b/>
      <w:bCs/>
      <w:noProof/>
    </w:rPr>
  </w:style>
  <w:style w:type="paragraph" w:styleId="TOC3">
    <w:name w:val="toc 3"/>
    <w:basedOn w:val="Normal"/>
    <w:next w:val="Normal"/>
    <w:autoRedefine/>
    <w:uiPriority w:val="39"/>
    <w:unhideWhenUsed/>
    <w:rsid w:val="00526085"/>
    <w:pPr>
      <w:tabs>
        <w:tab w:val="right" w:leader="dot" w:pos="9016"/>
      </w:tabs>
      <w:spacing w:after="100"/>
      <w:ind w:left="440"/>
    </w:pPr>
    <w:rPr>
      <w:b/>
      <w:bCs/>
      <w:noProof/>
    </w:rPr>
  </w:style>
  <w:style w:type="character" w:styleId="Hyperlink">
    <w:name w:val="Hyperlink"/>
    <w:basedOn w:val="DefaultParagraphFont"/>
    <w:uiPriority w:val="99"/>
    <w:unhideWhenUsed/>
    <w:rsid w:val="00E762F2"/>
    <w:rPr>
      <w:color w:val="467886" w:themeColor="hyperlink"/>
      <w:u w:val="single"/>
    </w:rPr>
  </w:style>
  <w:style w:type="character" w:styleId="UnresolvedMention">
    <w:name w:val="Unresolved Mention"/>
    <w:basedOn w:val="DefaultParagraphFont"/>
    <w:uiPriority w:val="99"/>
    <w:semiHidden/>
    <w:unhideWhenUsed/>
    <w:rsid w:val="00744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8FC8B9-594D-443B-BE78-180AEB1E3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9</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Component 1: Written Assignment (Reflective Report)</vt:lpstr>
    </vt:vector>
  </TitlesOfParts>
  <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Written Assignment (Reflective Report)</dc:title>
  <dc:subject>Student name: Laura Gando Student ID: 2428547               Module name: Principles of Health and Social Care Practice    Module code: BMHP5016   Lecturer name: Dr. Itse Olaoye</dc:subject>
  <dc:creator>Laura Gando (2428547)</dc:creator>
  <cp:keywords/>
  <dc:description/>
  <cp:lastModifiedBy>Laura Gando (2428547)</cp:lastModifiedBy>
  <cp:revision>21</cp:revision>
  <dcterms:created xsi:type="dcterms:W3CDTF">2026-03-22T16:38:00Z</dcterms:created>
  <dcterms:modified xsi:type="dcterms:W3CDTF">2026-04-06T20:15:00Z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e2db8366-1a1f-4bac-a0f3-cbdd9fb7dbf3</vt:lpwstr>
  </property>
</Properties>
</file>