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C6013" w:rsidRPr="006969B8" w:rsidRDefault="00EC6013" w:rsidP="00EC6013">
      <w:proofErr w:type="gramStart"/>
      <w:r>
        <w:t>A History of Magic and Witchcraft in Wales.</w:t>
      </w:r>
      <w:proofErr w:type="gramEnd"/>
      <w:r>
        <w:t xml:space="preserve"> </w:t>
      </w:r>
      <w:proofErr w:type="gramStart"/>
      <w:r>
        <w:t xml:space="preserve">By Richard </w:t>
      </w:r>
      <w:proofErr w:type="spellStart"/>
      <w:r>
        <w:t>Suggett</w:t>
      </w:r>
      <w:proofErr w:type="spellEnd"/>
      <w:r>
        <w:t>.</w:t>
      </w:r>
      <w:proofErr w:type="gramEnd"/>
      <w:r>
        <w:t xml:space="preserve"> The History Press Ltd, Stroud, 2008. </w:t>
      </w:r>
      <w:proofErr w:type="gramStart"/>
      <w:r>
        <w:t>189 pp. 18 illustrations.</w:t>
      </w:r>
      <w:proofErr w:type="gramEnd"/>
      <w:r>
        <w:t xml:space="preserve"> £17.99</w:t>
      </w:r>
    </w:p>
    <w:p w:rsidR="00EC6013" w:rsidRPr="00891B11" w:rsidRDefault="00EC6013" w:rsidP="00EC6013">
      <w:r>
        <w:t xml:space="preserve">The witch trials and their affect in Wales is a subject that may be considered somewhat neglected by the majority of academics in the field of witchcraft studies. Arguably this is because when compared to its larger neighbours England and Scotland, very little actually happened in Wales. A glance at the legal records shows that Wales only prosecuted forty-one people, of </w:t>
      </w:r>
      <w:proofErr w:type="gramStart"/>
      <w:r>
        <w:t>whom</w:t>
      </w:r>
      <w:proofErr w:type="gramEnd"/>
      <w:r>
        <w:t xml:space="preserve"> eight were found guilty, and only five were put to death. However, Richard </w:t>
      </w:r>
      <w:proofErr w:type="spellStart"/>
      <w:r>
        <w:t>Suggett</w:t>
      </w:r>
      <w:proofErr w:type="spellEnd"/>
      <w:r>
        <w:t xml:space="preserve"> in his book </w:t>
      </w:r>
      <w:r w:rsidRPr="01970C7B">
        <w:rPr>
          <w:i/>
          <w:iCs/>
        </w:rPr>
        <w:t xml:space="preserve">A History of Magic and Witchcraft in </w:t>
      </w:r>
      <w:proofErr w:type="gramStart"/>
      <w:r w:rsidRPr="01970C7B">
        <w:rPr>
          <w:i/>
          <w:iCs/>
        </w:rPr>
        <w:t>Wales</w:t>
      </w:r>
      <w:r w:rsidRPr="01970C7B">
        <w:t>,</w:t>
      </w:r>
      <w:proofErr w:type="gramEnd"/>
      <w:r w:rsidRPr="01970C7B">
        <w:rPr>
          <w:i/>
          <w:iCs/>
        </w:rPr>
        <w:t xml:space="preserve"> </w:t>
      </w:r>
      <w:r>
        <w:t xml:space="preserve">makes the case that there are advantages to studying Welsh cases as they allow the witchcraft historian to observe changes to pre witch-craze beliefs in a part of north-western Europe as they begin to encounter more central European ideas of sin and religious reform. Here </w:t>
      </w:r>
      <w:proofErr w:type="spellStart"/>
      <w:r>
        <w:t>Suggett</w:t>
      </w:r>
      <w:proofErr w:type="spellEnd"/>
      <w:r>
        <w:t xml:space="preserve"> addresses this gap in the literature, employing the well preserved legal record and English literary and historical </w:t>
      </w:r>
      <w:proofErr w:type="gramStart"/>
      <w:r>
        <w:t>sources,</w:t>
      </w:r>
      <w:proofErr w:type="gramEnd"/>
      <w:r>
        <w:t xml:space="preserve"> the reader is guided through the cultural climate in Wales from the first execution in the late sixteenth century, through witchcraft’s various transformations, until general disenchantment and rejection of traditional folk beliefs in the nineteenth century. Though not responding directly to previous works, </w:t>
      </w:r>
      <w:proofErr w:type="spellStart"/>
      <w:r>
        <w:t>Suggett</w:t>
      </w:r>
      <w:proofErr w:type="spellEnd"/>
      <w:r>
        <w:t xml:space="preserve"> acknowledges the focus of historians and social anthropologist on the rationality and social relevance of witchcraft beliefs. However, the author claims that there are limitations to seeing witchcraft only through this lens, and how closely- defined relations of domination (gender relations, state building etc.) do not satisfactorily explain conceptual change to witchcraft beliefs over time. </w:t>
      </w:r>
      <w:r w:rsidRPr="01970C7B">
        <w:rPr>
          <w:i/>
          <w:iCs/>
        </w:rPr>
        <w:t>A History of Magic and Witchcraft in Wales</w:t>
      </w:r>
      <w:r>
        <w:t xml:space="preserve">, therefore, aims to accomplish two things. To ‘fill in a blank area on the map’ concerning European witchcraft studies, but also to marry social and conceptual dimensions of belief by looking either side of the traditional periods of study. </w:t>
      </w:r>
    </w:p>
    <w:p w:rsidR="00EC6013" w:rsidRPr="00891B11" w:rsidRDefault="00EC6013" w:rsidP="00EC6013">
      <w:r>
        <w:t xml:space="preserve">The first chapter introduces the reader to the study of witchcraft in early modern Europe. The assertion is made that there are ‘some very instant voices demanding to be hears on the subject of witchcraft in Wales’, and the argument </w:t>
      </w:r>
      <w:proofErr w:type="spellStart"/>
      <w:r w:rsidRPr="01970C7B">
        <w:t>Sugget</w:t>
      </w:r>
      <w:proofErr w:type="spellEnd"/>
      <w:r w:rsidRPr="01970C7B">
        <w:t xml:space="preserve"> makes is convincing. Wales is placed in context and from the beginning; the reader is left in little doubt that the country is a spectator to much of the happening elsewhere in Europe. Certain tropes and stereotypes from the popular culture of the time are provided, drawing attention to the notion of educated Anglophone Protestants that the Welsh have a ‘religious ignorance and superstition’ and practiced ‘residual Catholicism’. The facts pertaining to prosecutions found in the records of the Courts of Great Sessions in Wales are contrasted against trends in England and Europe. The inclusion of ‘</w:t>
      </w:r>
      <w:proofErr w:type="spellStart"/>
      <w:r w:rsidRPr="01970C7B">
        <w:t>Dau</w:t>
      </w:r>
      <w:proofErr w:type="spellEnd"/>
      <w:r w:rsidRPr="01970C7B">
        <w:t xml:space="preserve"> </w:t>
      </w:r>
      <w:proofErr w:type="spellStart"/>
      <w:r w:rsidRPr="01970C7B">
        <w:t>Gymro</w:t>
      </w:r>
      <w:proofErr w:type="spellEnd"/>
      <w:r w:rsidRPr="01970C7B">
        <w:t xml:space="preserve"> </w:t>
      </w:r>
      <w:proofErr w:type="spellStart"/>
      <w:r w:rsidRPr="01970C7B">
        <w:t>yn</w:t>
      </w:r>
      <w:proofErr w:type="spellEnd"/>
      <w:r w:rsidRPr="01970C7B">
        <w:t xml:space="preserve"> Taring’, a popular 16th century anti-witchcraft tract by Robert Holland, adds humour and useful in understanding how Protestant Elizabethan elites sought to discredit popular folk beliefs in Wales that kept the population ’in woeful ignorance and misunderstanding’ by publishing and circulating entertaining dialogs on the subjects of morality and proper religious practice.</w:t>
      </w:r>
    </w:p>
    <w:p w:rsidR="00EC6013" w:rsidRDefault="00EC6013" w:rsidP="00EC6013">
      <w:r w:rsidRPr="01970C7B">
        <w:t xml:space="preserve">After a somewhat technical beginning, </w:t>
      </w:r>
      <w:proofErr w:type="spellStart"/>
      <w:r w:rsidRPr="01970C7B">
        <w:t>Suggett</w:t>
      </w:r>
      <w:proofErr w:type="spellEnd"/>
      <w:r w:rsidRPr="01970C7B">
        <w:t xml:space="preserve"> moves onto a rigorous description of the first execution of a witch in Wales – that of Gwen </w:t>
      </w:r>
      <w:proofErr w:type="spellStart"/>
      <w:r w:rsidRPr="01970C7B">
        <w:t>ferch</w:t>
      </w:r>
      <w:proofErr w:type="spellEnd"/>
      <w:r w:rsidRPr="01970C7B">
        <w:t xml:space="preserve"> Ellis. The author richly conveys the circumstances under which Gwen was tried and eventually executed. The records of the trial and of sentencing have survived well, and their inclusion is a valuable aid to the reader outlining how the top down pressure of Protestant beliefs in witchcraft in society affected Welsh beliefs. The case involved a local noble woman who is alleged to have pressed Gwen for information on Thomas </w:t>
      </w:r>
      <w:proofErr w:type="spellStart"/>
      <w:r w:rsidRPr="01970C7B">
        <w:t>Mostyn</w:t>
      </w:r>
      <w:proofErr w:type="spellEnd"/>
      <w:r w:rsidRPr="01970C7B">
        <w:t xml:space="preserve">, part of the powerful north Walian </w:t>
      </w:r>
      <w:proofErr w:type="spellStart"/>
      <w:r w:rsidRPr="01970C7B">
        <w:t>Mostyn</w:t>
      </w:r>
      <w:proofErr w:type="spellEnd"/>
      <w:r w:rsidRPr="01970C7B">
        <w:t xml:space="preserve"> family. Gwen was accused of working to bewitch Thomas </w:t>
      </w:r>
      <w:proofErr w:type="spellStart"/>
      <w:r w:rsidRPr="01970C7B">
        <w:t>Mostyn</w:t>
      </w:r>
      <w:proofErr w:type="spellEnd"/>
      <w:r w:rsidRPr="01970C7B">
        <w:t xml:space="preserve"> </w:t>
      </w:r>
      <w:r w:rsidRPr="01970C7B">
        <w:lastRenderedPageBreak/>
        <w:t>by leaving a written charm at his residence. Focus on the Landowning families is diverted, perhaps intentionally, to accusations of ‘</w:t>
      </w:r>
      <w:proofErr w:type="spellStart"/>
      <w:r w:rsidRPr="01970C7B">
        <w:t>maleficium</w:t>
      </w:r>
      <w:proofErr w:type="spellEnd"/>
      <w:r w:rsidRPr="01970C7B">
        <w:t>’ by Gwen’s neighbours. Gwen’s reputation as a charmer (</w:t>
      </w:r>
      <w:proofErr w:type="spellStart"/>
      <w:r w:rsidRPr="01970C7B">
        <w:t>swynwraig</w:t>
      </w:r>
      <w:proofErr w:type="spellEnd"/>
      <w:r w:rsidRPr="01970C7B">
        <w:t>) and the belief that she bewitched a man that had struck her, leading to his death resulted in her conviction and sentence - death by hanging. The complexities of the case is examined and expertly detangled by the author drawing attention to the pressure the Welsh court system was under to provide a guilty verdict for witchcraft by the growing Protestant moments in the country.</w:t>
      </w:r>
    </w:p>
    <w:p w:rsidR="00EC6013" w:rsidRDefault="00EC6013" w:rsidP="00EC6013">
      <w:proofErr w:type="gramStart"/>
      <w:r w:rsidRPr="01970C7B">
        <w:t>Chapters</w:t>
      </w:r>
      <w:proofErr w:type="gramEnd"/>
      <w:r w:rsidRPr="01970C7B">
        <w:t xml:space="preserve"> three to six continue chronologically through the reformation and explore the major changes in belief that occurred over this period. </w:t>
      </w:r>
      <w:proofErr w:type="gramStart"/>
      <w:r w:rsidRPr="01970C7B">
        <w:t>Chapter three and four outline how native forms of Witchcraft centred on petitionary charms and saint veneration, even after the reformation, and how the concept of ‘a witch’ was imported from England during this time.</w:t>
      </w:r>
      <w:proofErr w:type="gramEnd"/>
      <w:r w:rsidRPr="01970C7B">
        <w:t xml:space="preserve"> In addition the frequency at which cunning folk existed in the population seems to have remained relatively unchanged despite efforts by Anglo- Protestant reformers. </w:t>
      </w:r>
      <w:proofErr w:type="spellStart"/>
      <w:r w:rsidRPr="01970C7B">
        <w:t>Suggett</w:t>
      </w:r>
      <w:proofErr w:type="spellEnd"/>
      <w:r w:rsidRPr="01970C7B">
        <w:t xml:space="preserve"> argues that these elements provided a practical religion that allowed common Welsh citizens to protect, their families, their property and themselves in an uncertain world through a divine connection, to which Protestantism did not provide an equivalent. This point is further expanded in chapter five where the resilience to relinquish the rituals of the ‘old religion’, and the repeal of the witchcraft statutes in 1736 served to create a boom in the activities of ‘Conjurers’, as the antagonists to witches. Deriving their power from books rather than diabolic means, these individuals (mostly men) filled the gap yet to be satisfied by competent wide spread medical practitioners, and also addressed the anxieties of the population which still believed jealous witches to be a societal threat, as evidenced by the large number of witch protection charms that are still in existence today from the period. </w:t>
      </w:r>
    </w:p>
    <w:p w:rsidR="00EC6013" w:rsidRPr="00B37A8D" w:rsidRDefault="00EC6013" w:rsidP="00EC6013">
      <w:r w:rsidRPr="01970C7B">
        <w:t xml:space="preserve">The chapter on cursing wells is particularly interesting as it establishes that during the eighteenth century, whilst witchcraft cases declined in Europe, in </w:t>
      </w:r>
      <w:proofErr w:type="gramStart"/>
      <w:r w:rsidRPr="01970C7B">
        <w:t>Wales</w:t>
      </w:r>
      <w:proofErr w:type="gramEnd"/>
      <w:r w:rsidRPr="01970C7B">
        <w:t xml:space="preserve"> witchcraft beliefs remained entrenched. </w:t>
      </w:r>
      <w:proofErr w:type="spellStart"/>
      <w:r w:rsidRPr="01970C7B">
        <w:t>Ffynnon</w:t>
      </w:r>
      <w:proofErr w:type="spellEnd"/>
      <w:r w:rsidRPr="01970C7B">
        <w:t xml:space="preserve"> Elian, the most famous cursing well reveals the democratization of witchcraft at this time, as the social location of those who could do you supernatural harm changed from the witch figure, to potentially anyone using the power of the well. This case supports the point made in previous chapters, that the state religion was still inadequate in satisfying the needs of the people for practicality in their religious belief.</w:t>
      </w:r>
    </w:p>
    <w:p w:rsidR="00EC6013" w:rsidRDefault="00EC6013" w:rsidP="00EC6013">
      <w:r w:rsidRPr="01970C7B">
        <w:t>The final chapter summarizes the author’s main arguments.</w:t>
      </w:r>
      <w:r w:rsidRPr="01970C7B">
        <w:rPr>
          <w:color w:val="FF0000"/>
        </w:rPr>
        <w:t xml:space="preserve"> </w:t>
      </w:r>
      <w:proofErr w:type="spellStart"/>
      <w:r w:rsidRPr="01970C7B">
        <w:t>Suggett</w:t>
      </w:r>
      <w:proofErr w:type="spellEnd"/>
      <w:r w:rsidRPr="01970C7B">
        <w:t xml:space="preserve"> makes the assertion that a traditional explanation for witchcraft as social and rational reactions to forms of social domination does not satisfactorily explain the conceptual transformations that witchcraft beliefs go through over time. Simply, the changes in belief can be seen as attempts to answer the question of the social location of evil, first as ‘</w:t>
      </w:r>
      <w:proofErr w:type="spellStart"/>
      <w:r w:rsidRPr="01970C7B">
        <w:t>rhaib</w:t>
      </w:r>
      <w:proofErr w:type="spellEnd"/>
      <w:r w:rsidRPr="01970C7B">
        <w:t xml:space="preserve">’ on the fringes of society, then the imported notion of witchcraft during the early modern period, attributing evil to those living within a community, and finally to the cursing wells, where anyone making an offering to the well may cause or undo harm. </w:t>
      </w:r>
    </w:p>
    <w:p w:rsidR="00EC6013" w:rsidRDefault="00EC6013" w:rsidP="00EC6013">
      <w:r w:rsidRPr="01970C7B">
        <w:rPr>
          <w:i/>
          <w:iCs/>
        </w:rPr>
        <w:t>A History of Magic and Witchcraft in Wales</w:t>
      </w:r>
      <w:r>
        <w:t xml:space="preserve"> is a well written, well researched, and entertaining book. It provides a broad understanding of the history of witchcraft beliefs in Wales during the early modern period. The passion that </w:t>
      </w:r>
      <w:proofErr w:type="spellStart"/>
      <w:r>
        <w:t>Suggett</w:t>
      </w:r>
      <w:proofErr w:type="spellEnd"/>
      <w:r>
        <w:t xml:space="preserve"> has for the subject is clear and his writing style is accessible without losing its scholarly tone and academic rigor. The extensive footnotes will be of benefit to readers and is a significant asset for those seeking to look beyond explanations for belief in </w:t>
      </w:r>
      <w:r>
        <w:lastRenderedPageBreak/>
        <w:t xml:space="preserve">witchcraft in terms of conflict, power and social control. One of issue may be that readers may desire further analysis of the cursing well tradition in relation to social domination </w:t>
      </w:r>
    </w:p>
    <w:p w:rsidR="00EC6013" w:rsidRDefault="00EC6013" w:rsidP="00EC6013">
      <w:proofErr w:type="gramStart"/>
      <w:r>
        <w:t>and</w:t>
      </w:r>
      <w:proofErr w:type="gramEnd"/>
      <w:r>
        <w:t xml:space="preserve"> religious practicality as </w:t>
      </w:r>
      <w:proofErr w:type="spellStart"/>
      <w:r>
        <w:t>Suggett’s</w:t>
      </w:r>
      <w:proofErr w:type="spellEnd"/>
      <w:r>
        <w:t xml:space="preserve"> argument does not seem fully realised in the text. Regardless, this book is an important addition to the fields of Welsh history and witchcraft studies and will no doubt inspire future literature. Written in the author’s characteristic clear and accessible style, </w:t>
      </w:r>
      <w:r w:rsidRPr="01970C7B">
        <w:rPr>
          <w:i/>
          <w:iCs/>
        </w:rPr>
        <w:t>A History of Magic and Witchcraft in Wales</w:t>
      </w:r>
      <w:r>
        <w:t xml:space="preserve"> makes for an engaging read that would be of use to academics, students and the general public alike. </w:t>
      </w:r>
    </w:p>
    <w:p w:rsidR="00EC6013" w:rsidRPr="00EC6013" w:rsidRDefault="00EC6013" w:rsidP="00EC6013">
      <w:r>
        <w:t>__________________________________________________________________________________</w:t>
      </w:r>
    </w:p>
    <w:p w:rsidR="00EC6013" w:rsidRPr="000F1F5B" w:rsidRDefault="00EC6013" w:rsidP="00EC6013">
      <w:pPr>
        <w:rPr>
          <w:i/>
        </w:rPr>
      </w:pPr>
      <w:r w:rsidRPr="000F1F5B">
        <w:rPr>
          <w:i/>
        </w:rPr>
        <w:t>MABINOGION, The</w:t>
      </w:r>
    </w:p>
    <w:p w:rsidR="00EC6013" w:rsidRDefault="00EC6013" w:rsidP="00EC6013">
      <w:r w:rsidRPr="00AD2340">
        <w:rPr>
          <w:i/>
        </w:rPr>
        <w:t xml:space="preserve">The </w:t>
      </w:r>
      <w:proofErr w:type="spellStart"/>
      <w:r w:rsidRPr="00EA51B3">
        <w:rPr>
          <w:i/>
        </w:rPr>
        <w:t>Mabinogion</w:t>
      </w:r>
      <w:proofErr w:type="spellEnd"/>
      <w:r>
        <w:t xml:space="preserve"> is the name given to a collection of eleven medieval tales, written in </w:t>
      </w:r>
      <w:r w:rsidRPr="00AD2340">
        <w:t xml:space="preserve">Middle </w:t>
      </w:r>
      <w:r w:rsidRPr="00AD07CC">
        <w:rPr>
          <w:b/>
        </w:rPr>
        <w:t>Welsh</w:t>
      </w:r>
      <w:r w:rsidRPr="00AD2340">
        <w:t>,</w:t>
      </w:r>
      <w:r>
        <w:t xml:space="preserve"> that deal </w:t>
      </w:r>
      <w:r w:rsidRPr="00BF661A">
        <w:t>with</w:t>
      </w:r>
      <w:r>
        <w:t xml:space="preserve"> themes of </w:t>
      </w:r>
      <w:r w:rsidRPr="00AD2340">
        <w:rPr>
          <w:b/>
        </w:rPr>
        <w:t>Celt</w:t>
      </w:r>
      <w:r>
        <w:t>ic myth, courtly romance, magic and the otherworld’ (</w:t>
      </w:r>
      <w:r>
        <w:rPr>
          <w:i/>
        </w:rPr>
        <w:t>see</w:t>
      </w:r>
      <w:r>
        <w:t xml:space="preserve"> </w:t>
      </w:r>
      <w:proofErr w:type="spellStart"/>
      <w:r w:rsidRPr="00AD07CC">
        <w:rPr>
          <w:b/>
        </w:rPr>
        <w:t>Annwfn</w:t>
      </w:r>
      <w:proofErr w:type="spellEnd"/>
      <w:r>
        <w:t xml:space="preserve">). They are the earliest examples of prose tales in </w:t>
      </w:r>
      <w:r w:rsidRPr="000B3B43">
        <w:rPr>
          <w:b/>
        </w:rPr>
        <w:t>Britain</w:t>
      </w:r>
      <w:r>
        <w:t xml:space="preserve"> and are found primarily in two medieval manuscripts, </w:t>
      </w:r>
      <w:r>
        <w:rPr>
          <w:b/>
        </w:rPr>
        <w:t xml:space="preserve">The White Book of </w:t>
      </w:r>
      <w:proofErr w:type="spellStart"/>
      <w:r>
        <w:rPr>
          <w:b/>
        </w:rPr>
        <w:t>Rhydderch</w:t>
      </w:r>
      <w:proofErr w:type="spellEnd"/>
      <w:r>
        <w:t xml:space="preserve"> and </w:t>
      </w:r>
      <w:r>
        <w:rPr>
          <w:b/>
        </w:rPr>
        <w:t xml:space="preserve">The Red Book of </w:t>
      </w:r>
      <w:proofErr w:type="spellStart"/>
      <w:r>
        <w:rPr>
          <w:b/>
        </w:rPr>
        <w:t>Hergest</w:t>
      </w:r>
      <w:proofErr w:type="spellEnd"/>
      <w:r>
        <w:t>. These two texts are believed to have been published sometime in the 14</w:t>
      </w:r>
      <w:r w:rsidRPr="00872700">
        <w:rPr>
          <w:vertAlign w:val="superscript"/>
        </w:rPr>
        <w:t>th</w:t>
      </w:r>
      <w:r>
        <w:t xml:space="preserve"> century; however the tales themselves draw on a mass of Celtic myth and folklore that would have existed in the oral storytelling traditions of </w:t>
      </w:r>
      <w:r w:rsidRPr="00A35AD2">
        <w:rPr>
          <w:b/>
        </w:rPr>
        <w:t>Wales</w:t>
      </w:r>
      <w:r>
        <w:t xml:space="preserve"> for generations before being written down. Indeed references to some of the tales can be found in manuscripts up to one hundred years earlier. Composition of the tales, therefore, likely reached their current form in the 11</w:t>
      </w:r>
      <w:r w:rsidRPr="007F0493">
        <w:rPr>
          <w:vertAlign w:val="superscript"/>
        </w:rPr>
        <w:t>th</w:t>
      </w:r>
      <w:r>
        <w:t xml:space="preserve"> to 13</w:t>
      </w:r>
      <w:r w:rsidRPr="007F0493">
        <w:rPr>
          <w:vertAlign w:val="superscript"/>
        </w:rPr>
        <w:t>th</w:t>
      </w:r>
      <w:r>
        <w:t xml:space="preserve"> century before being transformed into </w:t>
      </w:r>
      <w:r w:rsidRPr="00F15B30">
        <w:rPr>
          <w:b/>
        </w:rPr>
        <w:t>literary</w:t>
      </w:r>
      <w:r>
        <w:t xml:space="preserve"> works.</w:t>
      </w:r>
    </w:p>
    <w:p w:rsidR="00EC6013" w:rsidRPr="0019794C" w:rsidRDefault="00EC6013" w:rsidP="00EC6013">
      <w:pPr>
        <w:rPr>
          <w:b/>
        </w:rPr>
      </w:pPr>
      <w:r>
        <w:t xml:space="preserve">The word </w:t>
      </w:r>
      <w:proofErr w:type="spellStart"/>
      <w:r>
        <w:rPr>
          <w:i/>
        </w:rPr>
        <w:t>m</w:t>
      </w:r>
      <w:r w:rsidRPr="00ED0679">
        <w:rPr>
          <w:i/>
        </w:rPr>
        <w:t>abinogion</w:t>
      </w:r>
      <w:proofErr w:type="spellEnd"/>
      <w:r>
        <w:t xml:space="preserve"> is a term that was made famous through the work of </w:t>
      </w:r>
      <w:r w:rsidRPr="004545FC">
        <w:t>Charlotte</w:t>
      </w:r>
      <w:r>
        <w:rPr>
          <w:b/>
        </w:rPr>
        <w:t xml:space="preserve"> Guest </w:t>
      </w:r>
      <w:r>
        <w:t xml:space="preserve">who was the first person to translate the tales from their native Welsh between 1838 and 1849. </w:t>
      </w:r>
      <w:proofErr w:type="spellStart"/>
      <w:r>
        <w:rPr>
          <w:i/>
        </w:rPr>
        <w:t>Mabinogion</w:t>
      </w:r>
      <w:proofErr w:type="spellEnd"/>
      <w:r>
        <w:t xml:space="preserve">, however, is considered the result a scribal error and inconsistent spelling of the word </w:t>
      </w:r>
      <w:proofErr w:type="spellStart"/>
      <w:r>
        <w:rPr>
          <w:i/>
        </w:rPr>
        <w:t>m</w:t>
      </w:r>
      <w:r w:rsidRPr="004F3F79">
        <w:rPr>
          <w:i/>
        </w:rPr>
        <w:t>abinogi</w:t>
      </w:r>
      <w:proofErr w:type="spellEnd"/>
      <w:r>
        <w:t xml:space="preserve">, used </w:t>
      </w:r>
      <w:r w:rsidRPr="004F3F79">
        <w:t>in</w:t>
      </w:r>
      <w:r>
        <w:t xml:space="preserve"> the first four narratives of the source material. </w:t>
      </w:r>
      <w:proofErr w:type="spellStart"/>
      <w:r w:rsidRPr="005C33AA">
        <w:rPr>
          <w:i/>
        </w:rPr>
        <w:t>M</w:t>
      </w:r>
      <w:r w:rsidRPr="00BD5ADA">
        <w:rPr>
          <w:i/>
        </w:rPr>
        <w:t>abinogi</w:t>
      </w:r>
      <w:proofErr w:type="spellEnd"/>
      <w:r>
        <w:t xml:space="preserve"> originates from the Welsh word </w:t>
      </w:r>
      <w:proofErr w:type="spellStart"/>
      <w:r>
        <w:rPr>
          <w:i/>
        </w:rPr>
        <w:t>mab</w:t>
      </w:r>
      <w:proofErr w:type="spellEnd"/>
      <w:r>
        <w:t xml:space="preserve"> meaning ‘son’ or ‘boy’, suggesting that the stories may have been pieces reserved for recounting by young male storytellers. However, it is generally agreed by academics that the original meaning was ‘youth’, and thus </w:t>
      </w:r>
      <w:proofErr w:type="spellStart"/>
      <w:r>
        <w:rPr>
          <w:i/>
        </w:rPr>
        <w:t>mabinogi</w:t>
      </w:r>
      <w:proofErr w:type="spellEnd"/>
      <w:r>
        <w:rPr>
          <w:i/>
        </w:rPr>
        <w:t xml:space="preserve"> </w:t>
      </w:r>
      <w:r>
        <w:t xml:space="preserve">means ‘tales of youth’. The term was used in the second English translation published by </w:t>
      </w:r>
      <w:r>
        <w:rPr>
          <w:b/>
        </w:rPr>
        <w:t xml:space="preserve">Gwyn Jones </w:t>
      </w:r>
      <w:r w:rsidRPr="0019794C">
        <w:t xml:space="preserve">and </w:t>
      </w:r>
      <w:r>
        <w:rPr>
          <w:b/>
        </w:rPr>
        <w:t xml:space="preserve">Thomas Jones </w:t>
      </w:r>
      <w:r w:rsidRPr="0019794C">
        <w:t>(1910-72)</w:t>
      </w:r>
      <w:r>
        <w:t xml:space="preserve"> in 1984 and remains a useful term to describe the entire body of work.</w:t>
      </w:r>
    </w:p>
    <w:p w:rsidR="00EC6013" w:rsidRDefault="00EC6013" w:rsidP="00EC6013">
      <w:r>
        <w:t xml:space="preserve">To say that the </w:t>
      </w:r>
      <w:proofErr w:type="spellStart"/>
      <w:r>
        <w:rPr>
          <w:i/>
        </w:rPr>
        <w:t>Mabinogion</w:t>
      </w:r>
      <w:proofErr w:type="spellEnd"/>
      <w:r>
        <w:rPr>
          <w:i/>
        </w:rPr>
        <w:t xml:space="preserve"> </w:t>
      </w:r>
      <w:r>
        <w:t xml:space="preserve">represents a cohesive collection of stories with a common theme, thread or timeline would be false as there is no mutually explored subject matter in the prose themselves, in addition to starkly differing use of literary devices such as rhythm, pace, narrative etc. The suggestion is therefore, that the </w:t>
      </w:r>
      <w:proofErr w:type="spellStart"/>
      <w:r w:rsidRPr="00EA51B3">
        <w:rPr>
          <w:i/>
        </w:rPr>
        <w:t>Mabinogion</w:t>
      </w:r>
      <w:proofErr w:type="spellEnd"/>
      <w:r>
        <w:t xml:space="preserve"> is not the work of a single author, nor was it conceived to be read in a particular order, but should be considered a snapshot of the oral storytelling tradition that existed in Wales in the medieval period.</w:t>
      </w:r>
      <w:r w:rsidRPr="000E4244">
        <w:t xml:space="preserve"> </w:t>
      </w:r>
      <w:r>
        <w:t xml:space="preserve">Despite this, the narratives have been categorised into three groups. </w:t>
      </w:r>
    </w:p>
    <w:p w:rsidR="00EC6013" w:rsidRDefault="00EC6013" w:rsidP="00EC6013">
      <w:r>
        <w:t xml:space="preserve">Most of the mythological material is found in the first four tales, otherwise known as the </w:t>
      </w:r>
      <w:proofErr w:type="spellStart"/>
      <w:r>
        <w:rPr>
          <w:i/>
        </w:rPr>
        <w:t>Pedair</w:t>
      </w:r>
      <w:proofErr w:type="spellEnd"/>
      <w:r>
        <w:rPr>
          <w:i/>
        </w:rPr>
        <w:t xml:space="preserve"> </w:t>
      </w:r>
      <w:proofErr w:type="spellStart"/>
      <w:r>
        <w:rPr>
          <w:i/>
        </w:rPr>
        <w:t>Cainc</w:t>
      </w:r>
      <w:proofErr w:type="spellEnd"/>
      <w:r>
        <w:rPr>
          <w:i/>
        </w:rPr>
        <w:t xml:space="preserve"> y </w:t>
      </w:r>
      <w:proofErr w:type="spellStart"/>
      <w:r>
        <w:rPr>
          <w:i/>
        </w:rPr>
        <w:t>Mabinogi</w:t>
      </w:r>
      <w:proofErr w:type="spellEnd"/>
      <w:r>
        <w:t xml:space="preserve"> (</w:t>
      </w:r>
      <w:r w:rsidRPr="00C74138">
        <w:t>The Four Branches</w:t>
      </w:r>
      <w:r>
        <w:t xml:space="preserve"> of the </w:t>
      </w:r>
      <w:proofErr w:type="spellStart"/>
      <w:r>
        <w:t>Mabinogi</w:t>
      </w:r>
      <w:proofErr w:type="spellEnd"/>
      <w:r>
        <w:t xml:space="preserve">). They are the only tales in the corpus that self-describe as part of the </w:t>
      </w:r>
      <w:proofErr w:type="spellStart"/>
      <w:r>
        <w:rPr>
          <w:i/>
        </w:rPr>
        <w:t>Mabinogi</w:t>
      </w:r>
      <w:proofErr w:type="spellEnd"/>
      <w:r>
        <w:t xml:space="preserve">, as each ends with the colophon “and so ends this branch of the </w:t>
      </w:r>
      <w:proofErr w:type="spellStart"/>
      <w:r>
        <w:rPr>
          <w:i/>
        </w:rPr>
        <w:t>Mabinogi</w:t>
      </w:r>
      <w:proofErr w:type="spellEnd"/>
      <w:r>
        <w:t xml:space="preserve">”. The influence of Celtic mythology is apparent in many of the character’s names and events that transpire. The narratives feature a world filled with magic and the extraordinary, where </w:t>
      </w:r>
      <w:r>
        <w:lastRenderedPageBreak/>
        <w:t>mortals rub shoulders with fantastical characters and cross easily from the real world into that of the otherworld. In the first branch ‘</w:t>
      </w:r>
      <w:proofErr w:type="spellStart"/>
      <w:r w:rsidRPr="00F15B30">
        <w:rPr>
          <w:b/>
        </w:rPr>
        <w:t>Pwll</w:t>
      </w:r>
      <w:proofErr w:type="spellEnd"/>
      <w:r w:rsidRPr="00F15B30">
        <w:t>,</w:t>
      </w:r>
      <w:r>
        <w:t xml:space="preserve"> </w:t>
      </w:r>
      <w:proofErr w:type="spellStart"/>
      <w:r>
        <w:t>Pendefig</w:t>
      </w:r>
      <w:proofErr w:type="spellEnd"/>
      <w:r>
        <w:t xml:space="preserve"> </w:t>
      </w:r>
      <w:r w:rsidRPr="00F15B30">
        <w:rPr>
          <w:b/>
        </w:rPr>
        <w:t>Dyfed</w:t>
      </w:r>
      <w:r>
        <w:t xml:space="preserve">’ </w:t>
      </w:r>
      <w:proofErr w:type="spellStart"/>
      <w:r>
        <w:t>Pwll</w:t>
      </w:r>
      <w:proofErr w:type="spellEnd"/>
      <w:r>
        <w:t xml:space="preserve"> swaps places with </w:t>
      </w:r>
      <w:proofErr w:type="spellStart"/>
      <w:r w:rsidRPr="00F15B30">
        <w:rPr>
          <w:b/>
        </w:rPr>
        <w:t>Arawn</w:t>
      </w:r>
      <w:proofErr w:type="spellEnd"/>
      <w:r>
        <w:t xml:space="preserve"> king of </w:t>
      </w:r>
      <w:proofErr w:type="spellStart"/>
      <w:r>
        <w:t>Annwfn</w:t>
      </w:r>
      <w:proofErr w:type="spellEnd"/>
      <w:r>
        <w:t xml:space="preserve"> and marries </w:t>
      </w:r>
      <w:r w:rsidRPr="00C23E40">
        <w:rPr>
          <w:b/>
        </w:rPr>
        <w:t>Rhiannon</w:t>
      </w:r>
      <w:r>
        <w:t xml:space="preserve"> the beautiful and mysterious woman who rides on a horse that no one can catch. Tragedy of </w:t>
      </w:r>
      <w:proofErr w:type="spellStart"/>
      <w:r w:rsidRPr="00F15B30">
        <w:rPr>
          <w:b/>
        </w:rPr>
        <w:t>Branwen</w:t>
      </w:r>
      <w:proofErr w:type="spellEnd"/>
      <w:r w:rsidRPr="00F15B30">
        <w:t xml:space="preserve"> and her marriage</w:t>
      </w:r>
      <w:r>
        <w:rPr>
          <w:b/>
        </w:rPr>
        <w:t xml:space="preserve"> </w:t>
      </w:r>
      <w:r>
        <w:t>to the Irish king</w:t>
      </w:r>
      <w:r>
        <w:rPr>
          <w:b/>
        </w:rPr>
        <w:t xml:space="preserve"> </w:t>
      </w:r>
      <w:proofErr w:type="spellStart"/>
      <w:r w:rsidRPr="001468F3">
        <w:rPr>
          <w:b/>
        </w:rPr>
        <w:t>Matholwch</w:t>
      </w:r>
      <w:proofErr w:type="spellEnd"/>
      <w:r w:rsidRPr="00F15B30">
        <w:rPr>
          <w:b/>
        </w:rPr>
        <w:t xml:space="preserve"> </w:t>
      </w:r>
      <w:r>
        <w:t>is the subject of ‘</w:t>
      </w:r>
      <w:proofErr w:type="spellStart"/>
      <w:r>
        <w:t>Branwen</w:t>
      </w:r>
      <w:proofErr w:type="spellEnd"/>
      <w:r>
        <w:t xml:space="preserve"> </w:t>
      </w:r>
      <w:proofErr w:type="spellStart"/>
      <w:r>
        <w:t>ferch</w:t>
      </w:r>
      <w:proofErr w:type="spellEnd"/>
      <w:r>
        <w:t xml:space="preserve"> </w:t>
      </w:r>
      <w:proofErr w:type="spellStart"/>
      <w:r>
        <w:t>Ll</w:t>
      </w:r>
      <w:r>
        <w:rPr>
          <w:rFonts w:cstheme="minorHAnsi"/>
        </w:rPr>
        <w:t>ŷ</w:t>
      </w:r>
      <w:r>
        <w:t>r</w:t>
      </w:r>
      <w:proofErr w:type="spellEnd"/>
      <w:r>
        <w:t xml:space="preserve">’ which includes her attempted rescue by her giant king brother </w:t>
      </w:r>
      <w:proofErr w:type="spellStart"/>
      <w:r w:rsidRPr="00F15B30">
        <w:rPr>
          <w:b/>
        </w:rPr>
        <w:t>Bendigeidfran</w:t>
      </w:r>
      <w:proofErr w:type="spellEnd"/>
      <w:r>
        <w:rPr>
          <w:b/>
        </w:rPr>
        <w:t>.</w:t>
      </w:r>
      <w:r>
        <w:t xml:space="preserve"> ‘</w:t>
      </w:r>
      <w:proofErr w:type="spellStart"/>
      <w:r>
        <w:rPr>
          <w:b/>
        </w:rPr>
        <w:t>Mannawy</w:t>
      </w:r>
      <w:r w:rsidRPr="00F15B30">
        <w:rPr>
          <w:b/>
        </w:rPr>
        <w:t>dan</w:t>
      </w:r>
      <w:proofErr w:type="spellEnd"/>
      <w:r>
        <w:t xml:space="preserve"> fab </w:t>
      </w:r>
      <w:proofErr w:type="spellStart"/>
      <w:r>
        <w:t>Ll</w:t>
      </w:r>
      <w:r>
        <w:rPr>
          <w:rFonts w:cstheme="minorHAnsi"/>
        </w:rPr>
        <w:t>ŷ</w:t>
      </w:r>
      <w:r>
        <w:t>r</w:t>
      </w:r>
      <w:proofErr w:type="spellEnd"/>
      <w:r>
        <w:t xml:space="preserve">’ recounts the breaking of a sorcerers curse on Dyfed and the rescue by </w:t>
      </w:r>
      <w:proofErr w:type="spellStart"/>
      <w:r w:rsidRPr="00F15B30">
        <w:t>Manawydan</w:t>
      </w:r>
      <w:proofErr w:type="spellEnd"/>
      <w:r>
        <w:t xml:space="preserve"> of </w:t>
      </w:r>
      <w:r w:rsidRPr="00282F4C">
        <w:t>Rhiannon</w:t>
      </w:r>
      <w:r>
        <w:t xml:space="preserve"> and her son </w:t>
      </w:r>
      <w:proofErr w:type="spellStart"/>
      <w:r w:rsidRPr="00F15B30">
        <w:rPr>
          <w:b/>
        </w:rPr>
        <w:t>Pryderi</w:t>
      </w:r>
      <w:proofErr w:type="spellEnd"/>
      <w:r>
        <w:t xml:space="preserve">. In the final branch ‘Math fab </w:t>
      </w:r>
      <w:proofErr w:type="spellStart"/>
      <w:r>
        <w:t>Mathonwy</w:t>
      </w:r>
      <w:proofErr w:type="spellEnd"/>
      <w:r>
        <w:t xml:space="preserve">’ follow the enchantments of </w:t>
      </w:r>
      <w:r>
        <w:rPr>
          <w:b/>
        </w:rPr>
        <w:t>Gwy</w:t>
      </w:r>
      <w:r w:rsidRPr="00C23E40">
        <w:rPr>
          <w:b/>
        </w:rPr>
        <w:t>dion</w:t>
      </w:r>
      <w:r>
        <w:t xml:space="preserve"> the magician who creates a woman, </w:t>
      </w:r>
      <w:proofErr w:type="spellStart"/>
      <w:r w:rsidRPr="00C23E40">
        <w:rPr>
          <w:b/>
        </w:rPr>
        <w:t>Bloddeuwedd</w:t>
      </w:r>
      <w:proofErr w:type="spellEnd"/>
      <w:r>
        <w:t xml:space="preserve"> out of flowers for his cursed nephew </w:t>
      </w:r>
      <w:proofErr w:type="spellStart"/>
      <w:r w:rsidRPr="00C23E40">
        <w:rPr>
          <w:b/>
        </w:rPr>
        <w:t>Lleu</w:t>
      </w:r>
      <w:proofErr w:type="spellEnd"/>
      <w:r w:rsidRPr="00C23E40">
        <w:rPr>
          <w:b/>
        </w:rPr>
        <w:t xml:space="preserve"> </w:t>
      </w:r>
      <w:proofErr w:type="spellStart"/>
      <w:r w:rsidRPr="00C23E40">
        <w:rPr>
          <w:b/>
        </w:rPr>
        <w:t>Ll</w:t>
      </w:r>
      <w:r>
        <w:rPr>
          <w:b/>
        </w:rPr>
        <w:t>awg</w:t>
      </w:r>
      <w:r w:rsidRPr="00C23E40">
        <w:rPr>
          <w:b/>
        </w:rPr>
        <w:t>yffes</w:t>
      </w:r>
      <w:proofErr w:type="spellEnd"/>
      <w:r>
        <w:t xml:space="preserve">. The four narratives reflect the popular heroic ethos of the time and examine morality via themes such as diplomacy and how to rule justly, how to make strong marriages and social connections, and how the succession of rule should be achieved. </w:t>
      </w:r>
    </w:p>
    <w:p w:rsidR="00EC6013" w:rsidRDefault="00EC6013" w:rsidP="00EC6013">
      <w:r>
        <w:t>‘The three romances’ as they are sometimes referred to centre on the court of</w:t>
      </w:r>
      <w:r w:rsidRPr="00AB0292">
        <w:rPr>
          <w:b/>
        </w:rPr>
        <w:t xml:space="preserve"> </w:t>
      </w:r>
      <w:r w:rsidRPr="00B46D17">
        <w:t>King</w:t>
      </w:r>
      <w:r>
        <w:rPr>
          <w:b/>
        </w:rPr>
        <w:t xml:space="preserve"> </w:t>
      </w:r>
      <w:r w:rsidRPr="00B46D17">
        <w:rPr>
          <w:b/>
        </w:rPr>
        <w:t>Arthur</w:t>
      </w:r>
      <w:r>
        <w:rPr>
          <w:b/>
        </w:rPr>
        <w:t xml:space="preserve"> </w:t>
      </w:r>
      <w:r>
        <w:t xml:space="preserve">in </w:t>
      </w:r>
      <w:proofErr w:type="spellStart"/>
      <w:r w:rsidRPr="0061678C">
        <w:rPr>
          <w:b/>
        </w:rPr>
        <w:t>Caerlion</w:t>
      </w:r>
      <w:proofErr w:type="spellEnd"/>
      <w:r>
        <w:t xml:space="preserve"> upon </w:t>
      </w:r>
      <w:proofErr w:type="spellStart"/>
      <w:r>
        <w:t>Usk</w:t>
      </w:r>
      <w:proofErr w:type="spellEnd"/>
      <w:r>
        <w:t xml:space="preserve">, home of the king and Queen </w:t>
      </w:r>
      <w:proofErr w:type="spellStart"/>
      <w:r>
        <w:t>Gwenhwyfar</w:t>
      </w:r>
      <w:proofErr w:type="spellEnd"/>
      <w:r>
        <w:t>.</w:t>
      </w:r>
      <w:r w:rsidRPr="003A4590">
        <w:t xml:space="preserve"> </w:t>
      </w:r>
      <w:r>
        <w:t>Despite generally following the patterns of the chivalric tradition of literature, the stories themselves differ in emphasis and plot focus within each tale. In ‘</w:t>
      </w:r>
      <w:proofErr w:type="spellStart"/>
      <w:r>
        <w:t>Owain</w:t>
      </w:r>
      <w:proofErr w:type="spellEnd"/>
      <w:r>
        <w:t>’ (‘</w:t>
      </w:r>
      <w:proofErr w:type="spellStart"/>
      <w:r>
        <w:t>Iarlles</w:t>
      </w:r>
      <w:proofErr w:type="spellEnd"/>
      <w:r>
        <w:t xml:space="preserve"> y </w:t>
      </w:r>
      <w:proofErr w:type="spellStart"/>
      <w:r>
        <w:t>Ffynnon</w:t>
      </w:r>
      <w:proofErr w:type="spellEnd"/>
      <w:r>
        <w:t xml:space="preserve">’, The Lady of the Fountain) </w:t>
      </w:r>
      <w:proofErr w:type="spellStart"/>
      <w:r>
        <w:t>Owain</w:t>
      </w:r>
      <w:proofErr w:type="spellEnd"/>
      <w:r>
        <w:t xml:space="preserve"> fab </w:t>
      </w:r>
      <w:proofErr w:type="spellStart"/>
      <w:r>
        <w:rPr>
          <w:b/>
        </w:rPr>
        <w:t>Urien</w:t>
      </w:r>
      <w:proofErr w:type="spellEnd"/>
      <w:r>
        <w:t xml:space="preserve"> goes on a quest to a magic fountain and becomes the husband of the lady it belongs to. ‘Geraint fab </w:t>
      </w:r>
      <w:proofErr w:type="spellStart"/>
      <w:r>
        <w:t>Erbin</w:t>
      </w:r>
      <w:proofErr w:type="spellEnd"/>
      <w:r>
        <w:t xml:space="preserve">’ recounts a tale of marital woes due to a misunderstanding between Geraint and his wife Enid, which are reconciled after a period of strife. The development of young </w:t>
      </w:r>
      <w:proofErr w:type="spellStart"/>
      <w:r>
        <w:t>Peredur</w:t>
      </w:r>
      <w:proofErr w:type="spellEnd"/>
      <w:r>
        <w:t xml:space="preserve"> from naïve country lad to the best knight in Arthur’s court is the subject of ‘</w:t>
      </w:r>
      <w:proofErr w:type="spellStart"/>
      <w:r>
        <w:t>Peredur</w:t>
      </w:r>
      <w:proofErr w:type="spellEnd"/>
      <w:r>
        <w:t xml:space="preserve"> fab </w:t>
      </w:r>
      <w:proofErr w:type="spellStart"/>
      <w:r>
        <w:t>Efrog</w:t>
      </w:r>
      <w:proofErr w:type="spellEnd"/>
      <w:r>
        <w:t>’. These tales roughly correspond to the 12th century romances of Chrétien de Troyes (</w:t>
      </w:r>
      <w:proofErr w:type="spellStart"/>
      <w:r>
        <w:t>fl.</w:t>
      </w:r>
      <w:r w:rsidRPr="00AA5D19">
        <w:t>c</w:t>
      </w:r>
      <w:proofErr w:type="spellEnd"/>
      <w:r>
        <w:t xml:space="preserve">. </w:t>
      </w:r>
      <w:r w:rsidRPr="00AA5D19">
        <w:t>1160</w:t>
      </w:r>
      <w:r>
        <w:t xml:space="preserve">-82) and demonstrate the existence of a dialog between the Welsh courts and the other noble courts of </w:t>
      </w:r>
      <w:r w:rsidRPr="006B5777">
        <w:rPr>
          <w:b/>
        </w:rPr>
        <w:t>Europe</w:t>
      </w:r>
      <w:r>
        <w:t xml:space="preserve">. Questions remain as to who adapted from who, as the stories are of British origin and so de Troyes most likely drew on pre-existing British sources that had entered </w:t>
      </w:r>
      <w:r w:rsidRPr="006B5777">
        <w:rPr>
          <w:b/>
        </w:rPr>
        <w:t>France</w:t>
      </w:r>
      <w:r>
        <w:t xml:space="preserve"> at an earlier date. The narratives are considered examples of cultural adaptions of the tales, perhaps reintroduced to Wales with the </w:t>
      </w:r>
      <w:r w:rsidRPr="006B5777">
        <w:rPr>
          <w:b/>
        </w:rPr>
        <w:t>Norman</w:t>
      </w:r>
      <w:r>
        <w:t xml:space="preserve"> invasion.</w:t>
      </w:r>
    </w:p>
    <w:p w:rsidR="00EC6013" w:rsidRPr="007C79E9" w:rsidRDefault="00EC6013" w:rsidP="00EC6013">
      <w:r>
        <w:t>The last four narratives can be further split into two groupings based on content. ‘</w:t>
      </w:r>
      <w:proofErr w:type="spellStart"/>
      <w:r>
        <w:t>Culhwch</w:t>
      </w:r>
      <w:proofErr w:type="spellEnd"/>
      <w:r>
        <w:t xml:space="preserve"> ac Olwen’ and</w:t>
      </w:r>
      <w:r w:rsidRPr="00871A6B">
        <w:t xml:space="preserve"> </w:t>
      </w:r>
      <w:r>
        <w:t>‘</w:t>
      </w:r>
      <w:proofErr w:type="spellStart"/>
      <w:r>
        <w:t>Breuddwyd</w:t>
      </w:r>
      <w:proofErr w:type="spellEnd"/>
      <w:r>
        <w:t xml:space="preserve"> </w:t>
      </w:r>
      <w:proofErr w:type="spellStart"/>
      <w:r>
        <w:t>Rhonabwy</w:t>
      </w:r>
      <w:proofErr w:type="spellEnd"/>
      <w:r>
        <w:t>’ (</w:t>
      </w:r>
      <w:proofErr w:type="spellStart"/>
      <w:r>
        <w:t>Rhonabwy’s</w:t>
      </w:r>
      <w:proofErr w:type="spellEnd"/>
      <w:r>
        <w:t xml:space="preserve"> Dream) both feature Arthur and his court and the ‘</w:t>
      </w:r>
      <w:proofErr w:type="spellStart"/>
      <w:r>
        <w:t>Cyfranc</w:t>
      </w:r>
      <w:proofErr w:type="spellEnd"/>
      <w:r>
        <w:t xml:space="preserve"> </w:t>
      </w:r>
      <w:proofErr w:type="spellStart"/>
      <w:r>
        <w:t>Lludd</w:t>
      </w:r>
      <w:proofErr w:type="spellEnd"/>
      <w:r>
        <w:t xml:space="preserve"> a </w:t>
      </w:r>
      <w:proofErr w:type="spellStart"/>
      <w:r>
        <w:t>LLeffelys</w:t>
      </w:r>
      <w:proofErr w:type="spellEnd"/>
      <w:r>
        <w:t xml:space="preserve">’ </w:t>
      </w:r>
      <w:r>
        <w:rPr>
          <w:rFonts w:cstheme="minorHAnsi"/>
          <w:color w:val="000000"/>
          <w:shd w:val="clear" w:color="auto" w:fill="FFFFFF"/>
        </w:rPr>
        <w:t xml:space="preserve">(The Tale of </w:t>
      </w:r>
      <w:proofErr w:type="spellStart"/>
      <w:r>
        <w:rPr>
          <w:rFonts w:cstheme="minorHAnsi"/>
          <w:color w:val="000000"/>
          <w:shd w:val="clear" w:color="auto" w:fill="FFFFFF"/>
        </w:rPr>
        <w:t>Lludd</w:t>
      </w:r>
      <w:proofErr w:type="spellEnd"/>
      <w:r>
        <w:rPr>
          <w:rFonts w:cstheme="minorHAnsi"/>
          <w:color w:val="000000"/>
          <w:shd w:val="clear" w:color="auto" w:fill="FFFFFF"/>
        </w:rPr>
        <w:t xml:space="preserve"> and </w:t>
      </w:r>
      <w:proofErr w:type="spellStart"/>
      <w:r>
        <w:rPr>
          <w:rFonts w:cstheme="minorHAnsi"/>
          <w:color w:val="000000"/>
          <w:shd w:val="clear" w:color="auto" w:fill="FFFFFF"/>
        </w:rPr>
        <w:t>Llyfelys</w:t>
      </w:r>
      <w:proofErr w:type="spellEnd"/>
      <w:r>
        <w:rPr>
          <w:rFonts w:cstheme="minorHAnsi"/>
          <w:color w:val="000000"/>
          <w:shd w:val="clear" w:color="auto" w:fill="FFFFFF"/>
        </w:rPr>
        <w:t xml:space="preserve">) </w:t>
      </w:r>
      <w:r>
        <w:t>and ‘</w:t>
      </w:r>
      <w:proofErr w:type="spellStart"/>
      <w:r>
        <w:t>Breuddwydd</w:t>
      </w:r>
      <w:proofErr w:type="spellEnd"/>
      <w:r>
        <w:t xml:space="preserve"> </w:t>
      </w:r>
      <w:proofErr w:type="spellStart"/>
      <w:r>
        <w:t>Macsen</w:t>
      </w:r>
      <w:proofErr w:type="spellEnd"/>
      <w:r>
        <w:t xml:space="preserve"> </w:t>
      </w:r>
      <w:proofErr w:type="spellStart"/>
      <w:r>
        <w:t>Wledig</w:t>
      </w:r>
      <w:proofErr w:type="spellEnd"/>
      <w:r>
        <w:t>’ (</w:t>
      </w:r>
      <w:proofErr w:type="spellStart"/>
      <w:r>
        <w:t>Macsen</w:t>
      </w:r>
      <w:proofErr w:type="spellEnd"/>
      <w:r>
        <w:t xml:space="preserve"> </w:t>
      </w:r>
      <w:proofErr w:type="spellStart"/>
      <w:r>
        <w:t>Wledig’s</w:t>
      </w:r>
      <w:proofErr w:type="spellEnd"/>
      <w:r>
        <w:t xml:space="preserve"> Dream) which are pseudo historical retellings of formative events in British history. ‘</w:t>
      </w:r>
      <w:proofErr w:type="spellStart"/>
      <w:r>
        <w:t>Culhwch</w:t>
      </w:r>
      <w:proofErr w:type="spellEnd"/>
      <w:r>
        <w:t xml:space="preserve"> ac Olwen’ is comparative to the four branches for having a depth to the narrative with rich and vivid imagery. However, it differs in its brisk pace and light-hearted spirit. The plot follows the </w:t>
      </w:r>
      <w:proofErr w:type="spellStart"/>
      <w:r w:rsidRPr="00EF1E65">
        <w:t>Culhwch</w:t>
      </w:r>
      <w:proofErr w:type="spellEnd"/>
      <w:r>
        <w:t xml:space="preserve"> as he labours to win the hand of </w:t>
      </w:r>
      <w:r w:rsidRPr="00EF1E65">
        <w:t xml:space="preserve">Olwen, the daughter of the giant </w:t>
      </w:r>
      <w:proofErr w:type="spellStart"/>
      <w:r w:rsidRPr="00EF1E65">
        <w:t>Ysbaddaden</w:t>
      </w:r>
      <w:proofErr w:type="spellEnd"/>
      <w:r>
        <w:t xml:space="preserve"> </w:t>
      </w:r>
      <w:r w:rsidRPr="005F20FA">
        <w:t>with</w:t>
      </w:r>
      <w:r>
        <w:t xml:space="preserve"> the help of Arthur and a troop of gifted knights from his court In Celli-wig, </w:t>
      </w:r>
      <w:r>
        <w:rPr>
          <w:b/>
        </w:rPr>
        <w:t>Cornwall</w:t>
      </w:r>
      <w:r>
        <w:t xml:space="preserve"> (</w:t>
      </w:r>
      <w:r>
        <w:rPr>
          <w:i/>
        </w:rPr>
        <w:t>see also</w:t>
      </w:r>
      <w:r>
        <w:rPr>
          <w:b/>
        </w:rPr>
        <w:t xml:space="preserve"> Twrch </w:t>
      </w:r>
      <w:proofErr w:type="spellStart"/>
      <w:r>
        <w:rPr>
          <w:b/>
        </w:rPr>
        <w:t>Trwyth</w:t>
      </w:r>
      <w:proofErr w:type="spellEnd"/>
      <w:r>
        <w:t>). The plot has many folkloric motifs common in Europe at the time such as the evil step mother, the giant’s daughter, the setting of tasks etc. and references to traditions and stories which are now lost are made. ‘</w:t>
      </w:r>
      <w:proofErr w:type="spellStart"/>
      <w:r>
        <w:t>Breuddwyd</w:t>
      </w:r>
      <w:proofErr w:type="spellEnd"/>
      <w:r>
        <w:t xml:space="preserve"> </w:t>
      </w:r>
      <w:proofErr w:type="spellStart"/>
      <w:r>
        <w:t>Rhonabwy</w:t>
      </w:r>
      <w:proofErr w:type="spellEnd"/>
      <w:r>
        <w:t xml:space="preserve">’ parodies the traditional Arthurian golden age trope by casting an unflattering light of the unnecessary pomp and circumstance that surrounds the king and his court, as seen in the dream of </w:t>
      </w:r>
      <w:proofErr w:type="spellStart"/>
      <w:r>
        <w:t>Rhonabwy</w:t>
      </w:r>
      <w:proofErr w:type="spellEnd"/>
      <w:r>
        <w:t xml:space="preserve">, a man of </w:t>
      </w:r>
      <w:r>
        <w:rPr>
          <w:b/>
        </w:rPr>
        <w:t>Powys</w:t>
      </w:r>
      <w:r>
        <w:t>. Speculation remains as to whether this was a comic-sartorial take on the politics of the court of Powys at the time. In ‘</w:t>
      </w:r>
      <w:proofErr w:type="spellStart"/>
      <w:r>
        <w:t>Breuddwydd</w:t>
      </w:r>
      <w:proofErr w:type="spellEnd"/>
      <w:r>
        <w:t xml:space="preserve"> </w:t>
      </w:r>
      <w:proofErr w:type="spellStart"/>
      <w:r>
        <w:t>Macsen</w:t>
      </w:r>
      <w:proofErr w:type="spellEnd"/>
      <w:r>
        <w:t xml:space="preserve"> </w:t>
      </w:r>
      <w:proofErr w:type="spellStart"/>
      <w:r>
        <w:t>Wledig</w:t>
      </w:r>
      <w:proofErr w:type="spellEnd"/>
      <w:r>
        <w:t xml:space="preserve">’ </w:t>
      </w:r>
      <w:proofErr w:type="spellStart"/>
      <w:r>
        <w:t>Macsen</w:t>
      </w:r>
      <w:proofErr w:type="spellEnd"/>
      <w:r>
        <w:t xml:space="preserve">, the emperor of </w:t>
      </w:r>
      <w:proofErr w:type="gramStart"/>
      <w:r>
        <w:t>Rome,</w:t>
      </w:r>
      <w:proofErr w:type="gramEnd"/>
      <w:r>
        <w:t xml:space="preserve"> has a vision of a beautiful woman that he becomes so besotted with that he decides he must find her. She is </w:t>
      </w:r>
      <w:proofErr w:type="spellStart"/>
      <w:r>
        <w:t>Elen</w:t>
      </w:r>
      <w:proofErr w:type="spellEnd"/>
      <w:r>
        <w:t xml:space="preserve">, daughter of </w:t>
      </w:r>
      <w:proofErr w:type="spellStart"/>
      <w:r>
        <w:t>Eudaf</w:t>
      </w:r>
      <w:proofErr w:type="spellEnd"/>
      <w:r>
        <w:t xml:space="preserve"> of </w:t>
      </w:r>
      <w:proofErr w:type="spellStart"/>
      <w:r>
        <w:rPr>
          <w:b/>
        </w:rPr>
        <w:t>Arfon</w:t>
      </w:r>
      <w:proofErr w:type="spellEnd"/>
      <w:r>
        <w:t xml:space="preserve">, and in marrying her, </w:t>
      </w:r>
      <w:proofErr w:type="spellStart"/>
      <w:r>
        <w:t>Macsen</w:t>
      </w:r>
      <w:proofErr w:type="spellEnd"/>
      <w:r>
        <w:t xml:space="preserve"> forfeits the crown of </w:t>
      </w:r>
      <w:r w:rsidRPr="008D09D6">
        <w:rPr>
          <w:b/>
        </w:rPr>
        <w:t>Rome</w:t>
      </w:r>
      <w:r>
        <w:t xml:space="preserve"> and has to win it back with the help </w:t>
      </w:r>
      <w:r>
        <w:lastRenderedPageBreak/>
        <w:t xml:space="preserve">of </w:t>
      </w:r>
      <w:proofErr w:type="spellStart"/>
      <w:r>
        <w:t>Elen’s</w:t>
      </w:r>
      <w:proofErr w:type="spellEnd"/>
      <w:r>
        <w:t xml:space="preserve"> brothers.</w:t>
      </w:r>
      <w:r>
        <w:rPr>
          <w:b/>
        </w:rPr>
        <w:t xml:space="preserve"> T</w:t>
      </w:r>
      <w:r>
        <w:t>he 4</w:t>
      </w:r>
      <w:r w:rsidRPr="00B44EEE">
        <w:rPr>
          <w:vertAlign w:val="superscript"/>
        </w:rPr>
        <w:t>th</w:t>
      </w:r>
      <w:r>
        <w:t xml:space="preserve"> century </w:t>
      </w:r>
      <w:r w:rsidRPr="008D09D6">
        <w:t>Roman</w:t>
      </w:r>
      <w:r>
        <w:t xml:space="preserve"> governor of </w:t>
      </w:r>
      <w:r w:rsidRPr="00B44EEE">
        <w:rPr>
          <w:b/>
        </w:rPr>
        <w:t>Britain</w:t>
      </w:r>
      <w:r>
        <w:t>,</w:t>
      </w:r>
      <w:r>
        <w:rPr>
          <w:b/>
        </w:rPr>
        <w:t xml:space="preserve"> Magnus Maximus</w:t>
      </w:r>
      <w:r>
        <w:t xml:space="preserve"> is the </w:t>
      </w:r>
      <w:proofErr w:type="spellStart"/>
      <w:r>
        <w:t>Macsen</w:t>
      </w:r>
      <w:proofErr w:type="spellEnd"/>
      <w:r>
        <w:t xml:space="preserve"> of the tale and highlights the underlying influence of the Roman Empire as a concept in </w:t>
      </w:r>
      <w:r w:rsidRPr="007C79E9">
        <w:rPr>
          <w:rFonts w:cstheme="minorHAnsi"/>
        </w:rPr>
        <w:t>Welsh tradition.</w:t>
      </w:r>
      <w:r w:rsidRPr="007C79E9">
        <w:rPr>
          <w:rFonts w:cstheme="minorHAnsi"/>
          <w:color w:val="000000"/>
          <w:shd w:val="clear" w:color="auto" w:fill="FFFFFF"/>
        </w:rPr>
        <w:t xml:space="preserve"> ‘</w:t>
      </w:r>
      <w:proofErr w:type="spellStart"/>
      <w:r w:rsidRPr="007C79E9">
        <w:rPr>
          <w:rFonts w:cstheme="minorHAnsi"/>
          <w:color w:val="000000"/>
          <w:shd w:val="clear" w:color="auto" w:fill="FFFFFF"/>
        </w:rPr>
        <w:t>Cyfranc</w:t>
      </w:r>
      <w:proofErr w:type="spellEnd"/>
      <w:r w:rsidRPr="007C79E9">
        <w:rPr>
          <w:rFonts w:cstheme="minorHAnsi"/>
          <w:color w:val="000000"/>
          <w:shd w:val="clear" w:color="auto" w:fill="FFFFFF"/>
        </w:rPr>
        <w:t xml:space="preserve"> </w:t>
      </w:r>
      <w:proofErr w:type="spellStart"/>
      <w:r w:rsidRPr="007C79E9">
        <w:rPr>
          <w:rFonts w:cstheme="minorHAnsi"/>
          <w:color w:val="000000"/>
          <w:shd w:val="clear" w:color="auto" w:fill="FFFFFF"/>
        </w:rPr>
        <w:t>LLudd</w:t>
      </w:r>
      <w:proofErr w:type="spellEnd"/>
      <w:r w:rsidRPr="007C79E9">
        <w:rPr>
          <w:rFonts w:cstheme="minorHAnsi"/>
          <w:color w:val="000000"/>
          <w:shd w:val="clear" w:color="auto" w:fill="FFFFFF"/>
        </w:rPr>
        <w:t xml:space="preserve"> a </w:t>
      </w:r>
      <w:proofErr w:type="spellStart"/>
      <w:r w:rsidRPr="007C79E9">
        <w:rPr>
          <w:rFonts w:cstheme="minorHAnsi"/>
          <w:color w:val="000000"/>
          <w:shd w:val="clear" w:color="auto" w:fill="FFFFFF"/>
        </w:rPr>
        <w:t>LLefelys</w:t>
      </w:r>
      <w:proofErr w:type="spellEnd"/>
      <w:r>
        <w:rPr>
          <w:rFonts w:cstheme="minorHAnsi"/>
          <w:color w:val="000000"/>
          <w:shd w:val="clear" w:color="auto" w:fill="FFFFFF"/>
        </w:rPr>
        <w:t xml:space="preserve">’ details the lives of two brothers, </w:t>
      </w:r>
      <w:proofErr w:type="spellStart"/>
      <w:r>
        <w:rPr>
          <w:rFonts w:cstheme="minorHAnsi"/>
          <w:color w:val="000000"/>
          <w:shd w:val="clear" w:color="auto" w:fill="FFFFFF"/>
        </w:rPr>
        <w:t>Lludd</w:t>
      </w:r>
      <w:proofErr w:type="spellEnd"/>
      <w:r>
        <w:rPr>
          <w:rFonts w:cstheme="minorHAnsi"/>
          <w:color w:val="000000"/>
          <w:shd w:val="clear" w:color="auto" w:fill="FFFFFF"/>
        </w:rPr>
        <w:t xml:space="preserve"> king of Britain and </w:t>
      </w:r>
      <w:proofErr w:type="spellStart"/>
      <w:r>
        <w:rPr>
          <w:rFonts w:cstheme="minorHAnsi"/>
          <w:color w:val="000000"/>
          <w:shd w:val="clear" w:color="auto" w:fill="FFFFFF"/>
        </w:rPr>
        <w:t>Llyfelys</w:t>
      </w:r>
      <w:proofErr w:type="spellEnd"/>
      <w:r>
        <w:rPr>
          <w:rFonts w:cstheme="minorHAnsi"/>
          <w:color w:val="000000"/>
          <w:shd w:val="clear" w:color="auto" w:fill="FFFFFF"/>
        </w:rPr>
        <w:t xml:space="preserve"> king of France, and their attempt to rid Britain from three plagues that affect the security, fertility and wellbeing of the island, a version of which was included in the Welsh translation of </w:t>
      </w:r>
      <w:r>
        <w:rPr>
          <w:rFonts w:cstheme="minorHAnsi"/>
          <w:b/>
          <w:color w:val="000000"/>
          <w:shd w:val="clear" w:color="auto" w:fill="FFFFFF"/>
        </w:rPr>
        <w:t xml:space="preserve">Geoffrey of </w:t>
      </w:r>
      <w:r w:rsidRPr="00A74F8E">
        <w:rPr>
          <w:rFonts w:cstheme="minorHAnsi"/>
          <w:b/>
          <w:color w:val="000000"/>
          <w:shd w:val="clear" w:color="auto" w:fill="FFFFFF"/>
        </w:rPr>
        <w:t>Monmouth</w:t>
      </w:r>
      <w:r>
        <w:rPr>
          <w:rFonts w:cstheme="minorHAnsi"/>
          <w:color w:val="000000"/>
          <w:shd w:val="clear" w:color="auto" w:fill="FFFFFF"/>
        </w:rPr>
        <w:t xml:space="preserve">’s </w:t>
      </w:r>
      <w:proofErr w:type="spellStart"/>
      <w:r>
        <w:rPr>
          <w:rFonts w:cstheme="minorHAnsi"/>
          <w:i/>
          <w:color w:val="000000"/>
          <w:shd w:val="clear" w:color="auto" w:fill="FFFFFF"/>
        </w:rPr>
        <w:t>Historia</w:t>
      </w:r>
      <w:proofErr w:type="spellEnd"/>
      <w:r>
        <w:rPr>
          <w:rFonts w:cstheme="minorHAnsi"/>
          <w:i/>
          <w:color w:val="000000"/>
          <w:shd w:val="clear" w:color="auto" w:fill="FFFFFF"/>
        </w:rPr>
        <w:t xml:space="preserve"> </w:t>
      </w:r>
      <w:proofErr w:type="spellStart"/>
      <w:r>
        <w:rPr>
          <w:rFonts w:cstheme="minorHAnsi"/>
          <w:i/>
          <w:color w:val="000000"/>
          <w:shd w:val="clear" w:color="auto" w:fill="FFFFFF"/>
        </w:rPr>
        <w:t>Regum</w:t>
      </w:r>
      <w:proofErr w:type="spellEnd"/>
      <w:r>
        <w:rPr>
          <w:rFonts w:cstheme="minorHAnsi"/>
          <w:i/>
          <w:color w:val="000000"/>
          <w:shd w:val="clear" w:color="auto" w:fill="FFFFFF"/>
        </w:rPr>
        <w:t xml:space="preserve"> </w:t>
      </w:r>
      <w:r w:rsidRPr="00A74F8E">
        <w:rPr>
          <w:rFonts w:cstheme="minorHAnsi"/>
          <w:i/>
          <w:color w:val="000000"/>
          <w:shd w:val="clear" w:color="auto" w:fill="FFFFFF"/>
        </w:rPr>
        <w:t>Britanniae</w:t>
      </w:r>
      <w:r>
        <w:rPr>
          <w:rFonts w:cstheme="minorHAnsi"/>
          <w:color w:val="000000"/>
          <w:shd w:val="clear" w:color="auto" w:fill="FFFFFF"/>
        </w:rPr>
        <w:t xml:space="preserve"> which </w:t>
      </w:r>
      <w:r w:rsidRPr="00A74F8E">
        <w:rPr>
          <w:rFonts w:cstheme="minorHAnsi"/>
          <w:color w:val="000000"/>
          <w:shd w:val="clear" w:color="auto" w:fill="FFFFFF"/>
        </w:rPr>
        <w:t>draws</w:t>
      </w:r>
      <w:r>
        <w:rPr>
          <w:rFonts w:cstheme="minorHAnsi"/>
          <w:color w:val="000000"/>
          <w:shd w:val="clear" w:color="auto" w:fill="FFFFFF"/>
        </w:rPr>
        <w:t xml:space="preserve"> on older sources and serves as a back story to other myths. </w:t>
      </w:r>
    </w:p>
    <w:sectPr w:rsidR="00EC6013" w:rsidRPr="007C79E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A06C1" w:rsidRDefault="00BA06C1" w:rsidP="00EC6013">
      <w:pPr>
        <w:spacing w:after="0" w:line="240" w:lineRule="auto"/>
      </w:pPr>
      <w:r>
        <w:separator/>
      </w:r>
    </w:p>
  </w:endnote>
  <w:endnote w:type="continuationSeparator" w:id="0">
    <w:p w:rsidR="00BA06C1" w:rsidRDefault="00BA06C1" w:rsidP="00EC6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6192" w:rsidRDefault="005561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6192" w:rsidRDefault="0055619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6192" w:rsidRDefault="0055619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A06C1" w:rsidRDefault="00BA06C1" w:rsidP="00EC6013">
      <w:pPr>
        <w:spacing w:after="0" w:line="240" w:lineRule="auto"/>
      </w:pPr>
      <w:r>
        <w:separator/>
      </w:r>
    </w:p>
  </w:footnote>
  <w:footnote w:type="continuationSeparator" w:id="0">
    <w:p w:rsidR="00BA06C1" w:rsidRDefault="00BA06C1" w:rsidP="00EC601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6192" w:rsidRDefault="0055619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C6013" w:rsidRDefault="00EC6013" w:rsidP="00EC6013">
    <w:pPr>
      <w:pStyle w:val="Header"/>
    </w:pPr>
    <w:bookmarkStart w:id="0" w:name="_GoBack"/>
    <w:r>
      <w:t xml:space="preserve">Colin </w:t>
    </w:r>
    <w:proofErr w:type="spellStart"/>
    <w:r>
      <w:t>Audigé-Soutter</w:t>
    </w:r>
    <w:proofErr w:type="spellEnd"/>
  </w:p>
  <w:p w:rsidR="00EC6013" w:rsidRDefault="00EC6013" w:rsidP="00EC6013">
    <w:pPr>
      <w:pStyle w:val="Header"/>
    </w:pPr>
    <w:r>
      <w:t>CYCS7014 Study and Research Methodology</w:t>
    </w:r>
  </w:p>
  <w:bookmarkEnd w:id="0"/>
  <w:p w:rsidR="00EC6013" w:rsidRPr="00E67BBE" w:rsidRDefault="00EC6013" w:rsidP="00EC6013">
    <w:pPr>
      <w:pStyle w:val="Header"/>
    </w:pPr>
    <w:r>
      <w:t xml:space="preserve"> – </w:t>
    </w:r>
    <w:r w:rsidRPr="00565448">
      <w:rPr>
        <w:b/>
      </w:rPr>
      <w:t>Task 1</w:t>
    </w:r>
    <w:r>
      <w:t xml:space="preserve">: Book Review, </w:t>
    </w:r>
    <w:r>
      <w:rPr>
        <w:b/>
      </w:rPr>
      <w:t>Task 2:</w:t>
    </w:r>
    <w:r>
      <w:t xml:space="preserve"> Encyclopaedia Entry</w:t>
    </w:r>
  </w:p>
  <w:p w:rsidR="00EC6013" w:rsidRDefault="00EC6013">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6192" w:rsidRDefault="005561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6013"/>
    <w:rsid w:val="00050E72"/>
    <w:rsid w:val="00056D2A"/>
    <w:rsid w:val="000C32DF"/>
    <w:rsid w:val="00174153"/>
    <w:rsid w:val="00205A41"/>
    <w:rsid w:val="00237ADF"/>
    <w:rsid w:val="002A551A"/>
    <w:rsid w:val="003219FB"/>
    <w:rsid w:val="003A58A4"/>
    <w:rsid w:val="003B54A2"/>
    <w:rsid w:val="003B5E3E"/>
    <w:rsid w:val="00482418"/>
    <w:rsid w:val="004A0B96"/>
    <w:rsid w:val="004D16E7"/>
    <w:rsid w:val="004E36D5"/>
    <w:rsid w:val="00556192"/>
    <w:rsid w:val="005621A0"/>
    <w:rsid w:val="005B1BE3"/>
    <w:rsid w:val="005F484A"/>
    <w:rsid w:val="0066222B"/>
    <w:rsid w:val="006F2214"/>
    <w:rsid w:val="00784F5E"/>
    <w:rsid w:val="007D6346"/>
    <w:rsid w:val="008330F0"/>
    <w:rsid w:val="00885822"/>
    <w:rsid w:val="008F04E1"/>
    <w:rsid w:val="00A814E7"/>
    <w:rsid w:val="00B0104F"/>
    <w:rsid w:val="00B86932"/>
    <w:rsid w:val="00BA06C1"/>
    <w:rsid w:val="00C00B1A"/>
    <w:rsid w:val="00C83C12"/>
    <w:rsid w:val="00CD512C"/>
    <w:rsid w:val="00D41E14"/>
    <w:rsid w:val="00DF40FA"/>
    <w:rsid w:val="00E14458"/>
    <w:rsid w:val="00E30B93"/>
    <w:rsid w:val="00E41BD5"/>
    <w:rsid w:val="00E9169C"/>
    <w:rsid w:val="00EA29C9"/>
    <w:rsid w:val="00EC6013"/>
    <w:rsid w:val="00F052B8"/>
    <w:rsid w:val="00F36539"/>
    <w:rsid w:val="00F56660"/>
    <w:rsid w:val="00F8698F"/>
    <w:rsid w:val="00FE6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60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60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013"/>
  </w:style>
  <w:style w:type="paragraph" w:styleId="Footer">
    <w:name w:val="footer"/>
    <w:basedOn w:val="Normal"/>
    <w:link w:val="FooterChar"/>
    <w:uiPriority w:val="99"/>
    <w:unhideWhenUsed/>
    <w:rsid w:val="00EC6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01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60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60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013"/>
  </w:style>
  <w:style w:type="paragraph" w:styleId="Footer">
    <w:name w:val="footer"/>
    <w:basedOn w:val="Normal"/>
    <w:link w:val="FooterChar"/>
    <w:uiPriority w:val="99"/>
    <w:unhideWhenUsed/>
    <w:rsid w:val="00EC6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0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2378</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Colin Audige-Soutter</dc:creator>
  <cp:lastModifiedBy>Colin Audige-Soutter</cp:lastModifiedBy>
  <cp:revision>2</cp:revision>
  <dcterms:created xsi:type="dcterms:W3CDTF">2019-12-11T23:32:00Z</dcterms:created>
  <dcterms:modified xsi:type="dcterms:W3CDTF">2019-12-11T23:32:00Z</dcterms:modified>
</cp:coreProperties>
</file>