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74487" w14:textId="25F86EBD" w:rsidR="000D4898" w:rsidRDefault="00CA4FE0" w:rsidP="00CA4FE0">
      <w:pPr>
        <w:spacing w:line="360" w:lineRule="auto"/>
        <w:jc w:val="center"/>
        <w:rPr>
          <w:b/>
          <w:bCs/>
          <w:sz w:val="32"/>
          <w:szCs w:val="32"/>
        </w:rPr>
      </w:pPr>
      <w:r w:rsidRPr="00CA4FE0">
        <w:rPr>
          <w:b/>
          <w:bCs/>
          <w:sz w:val="32"/>
          <w:szCs w:val="32"/>
        </w:rPr>
        <w:t>BMSW5101: Developing Workplace Critical Thinking</w:t>
      </w:r>
    </w:p>
    <w:p w14:paraId="76327174" w14:textId="45436725" w:rsidR="00EF2334" w:rsidRDefault="00EF2334" w:rsidP="00CA4FE0">
      <w:pPr>
        <w:spacing w:line="360" w:lineRule="auto"/>
        <w:jc w:val="center"/>
        <w:rPr>
          <w:b/>
          <w:bCs/>
          <w:sz w:val="32"/>
          <w:szCs w:val="32"/>
        </w:rPr>
      </w:pPr>
      <w:r>
        <w:rPr>
          <w:b/>
          <w:bCs/>
          <w:sz w:val="32"/>
          <w:szCs w:val="32"/>
        </w:rPr>
        <w:t xml:space="preserve">Jahangir </w:t>
      </w:r>
      <w:proofErr w:type="spellStart"/>
      <w:r>
        <w:rPr>
          <w:b/>
          <w:bCs/>
          <w:sz w:val="32"/>
          <w:szCs w:val="32"/>
        </w:rPr>
        <w:t>khalaj</w:t>
      </w:r>
      <w:proofErr w:type="spellEnd"/>
      <w:r>
        <w:rPr>
          <w:b/>
          <w:bCs/>
          <w:sz w:val="32"/>
          <w:szCs w:val="32"/>
        </w:rPr>
        <w:t xml:space="preserve"> </w:t>
      </w:r>
      <w:proofErr w:type="spellStart"/>
      <w:r>
        <w:rPr>
          <w:b/>
          <w:bCs/>
          <w:sz w:val="32"/>
          <w:szCs w:val="32"/>
        </w:rPr>
        <w:t>savojbolagh</w:t>
      </w:r>
      <w:proofErr w:type="spellEnd"/>
      <w:r>
        <w:rPr>
          <w:b/>
          <w:bCs/>
          <w:sz w:val="32"/>
          <w:szCs w:val="32"/>
        </w:rPr>
        <w:t xml:space="preserve"> </w:t>
      </w:r>
    </w:p>
    <w:p w14:paraId="28177EB6" w14:textId="072F733A" w:rsidR="00EF2334" w:rsidRPr="00CA4FE0" w:rsidRDefault="00EF2334" w:rsidP="00CA4FE0">
      <w:pPr>
        <w:spacing w:line="360" w:lineRule="auto"/>
        <w:jc w:val="center"/>
        <w:rPr>
          <w:b/>
          <w:bCs/>
          <w:sz w:val="32"/>
          <w:szCs w:val="32"/>
        </w:rPr>
      </w:pPr>
      <w:r>
        <w:rPr>
          <w:b/>
          <w:bCs/>
          <w:sz w:val="32"/>
          <w:szCs w:val="32"/>
        </w:rPr>
        <w:t>2109914</w:t>
      </w:r>
    </w:p>
    <w:p w14:paraId="69A364FC" w14:textId="2C651B73" w:rsidR="0047521D" w:rsidRPr="00965188" w:rsidRDefault="00A4467E" w:rsidP="004D0D50">
      <w:pPr>
        <w:spacing w:line="360" w:lineRule="auto"/>
        <w:jc w:val="center"/>
        <w:rPr>
          <w:b/>
          <w:bCs/>
          <w:sz w:val="24"/>
          <w:szCs w:val="24"/>
        </w:rPr>
      </w:pPr>
      <w:r w:rsidRPr="00965188">
        <w:rPr>
          <w:b/>
          <w:bCs/>
          <w:sz w:val="24"/>
          <w:szCs w:val="24"/>
        </w:rPr>
        <w:t xml:space="preserve">Task 2- Reflective </w:t>
      </w:r>
      <w:r w:rsidR="00F47B1C" w:rsidRPr="00965188">
        <w:rPr>
          <w:b/>
          <w:bCs/>
          <w:sz w:val="24"/>
          <w:szCs w:val="24"/>
        </w:rPr>
        <w:t>Report</w:t>
      </w:r>
    </w:p>
    <w:p w14:paraId="31CA208B" w14:textId="77777777" w:rsidR="00F47F12" w:rsidRDefault="00F47F12" w:rsidP="0047521D">
      <w:pPr>
        <w:spacing w:line="360" w:lineRule="auto"/>
        <w:jc w:val="both"/>
        <w:rPr>
          <w:sz w:val="24"/>
          <w:szCs w:val="24"/>
        </w:rPr>
      </w:pPr>
    </w:p>
    <w:p w14:paraId="1E4DAB12" w14:textId="45EAF4F4" w:rsidR="00F47B1C" w:rsidRDefault="00F47B1C">
      <w:pPr>
        <w:rPr>
          <w:sz w:val="24"/>
          <w:szCs w:val="24"/>
        </w:rPr>
      </w:pPr>
      <w:r>
        <w:rPr>
          <w:sz w:val="24"/>
          <w:szCs w:val="24"/>
        </w:rPr>
        <w:br w:type="page"/>
      </w:r>
    </w:p>
    <w:sdt>
      <w:sdtPr>
        <w:rPr>
          <w:rFonts w:asciiTheme="minorHAnsi" w:eastAsiaTheme="minorHAnsi" w:hAnsiTheme="minorHAnsi" w:cstheme="minorBidi"/>
          <w:color w:val="auto"/>
          <w:kern w:val="2"/>
          <w:sz w:val="26"/>
          <w:szCs w:val="26"/>
          <w:lang w:val="en-GB"/>
          <w14:ligatures w14:val="standardContextual"/>
        </w:rPr>
        <w:id w:val="151653576"/>
        <w:docPartObj>
          <w:docPartGallery w:val="Table of Contents"/>
          <w:docPartUnique/>
        </w:docPartObj>
      </w:sdtPr>
      <w:sdtEndPr>
        <w:rPr>
          <w:b/>
          <w:bCs/>
          <w:noProof/>
        </w:rPr>
      </w:sdtEndPr>
      <w:sdtContent>
        <w:p w14:paraId="3CD1FC8A" w14:textId="6890327E" w:rsidR="00205F24" w:rsidRPr="00176216" w:rsidRDefault="00205F24" w:rsidP="00205F24">
          <w:pPr>
            <w:pStyle w:val="TOCHeading"/>
            <w:jc w:val="center"/>
            <w:rPr>
              <w:b/>
              <w:bCs/>
              <w:color w:val="auto"/>
              <w:sz w:val="40"/>
              <w:szCs w:val="40"/>
            </w:rPr>
          </w:pPr>
          <w:r w:rsidRPr="00176216">
            <w:rPr>
              <w:b/>
              <w:bCs/>
              <w:color w:val="auto"/>
              <w:sz w:val="40"/>
              <w:szCs w:val="40"/>
            </w:rPr>
            <w:t>Table of Contents</w:t>
          </w:r>
        </w:p>
        <w:p w14:paraId="4319355B" w14:textId="47C31B17" w:rsidR="00205F24" w:rsidRPr="00176216" w:rsidRDefault="004D0D50">
          <w:pPr>
            <w:pStyle w:val="TOC1"/>
            <w:tabs>
              <w:tab w:val="right" w:leader="dot" w:pos="9350"/>
            </w:tabs>
            <w:rPr>
              <w:noProof/>
              <w:sz w:val="26"/>
              <w:szCs w:val="26"/>
            </w:rPr>
          </w:pPr>
          <w:hyperlink w:anchor="_Toc149535500" w:history="1">
            <w:r w:rsidR="00205F24" w:rsidRPr="00176216">
              <w:rPr>
                <w:rStyle w:val="Hyperlink"/>
                <w:noProof/>
                <w:color w:val="auto"/>
                <w:sz w:val="26"/>
                <w:szCs w:val="26"/>
                <w:u w:val="none"/>
              </w:rPr>
              <w:t>1.0 Introduction</w:t>
            </w:r>
            <w:r w:rsidR="00205F24" w:rsidRPr="00176216">
              <w:rPr>
                <w:noProof/>
                <w:webHidden/>
                <w:sz w:val="26"/>
                <w:szCs w:val="26"/>
              </w:rPr>
              <w:tab/>
            </w:r>
            <w:r w:rsidR="00205F24" w:rsidRPr="00176216">
              <w:rPr>
                <w:noProof/>
                <w:webHidden/>
                <w:sz w:val="26"/>
                <w:szCs w:val="26"/>
              </w:rPr>
              <w:fldChar w:fldCharType="begin"/>
            </w:r>
            <w:r w:rsidR="00205F24" w:rsidRPr="00176216">
              <w:rPr>
                <w:noProof/>
                <w:webHidden/>
                <w:sz w:val="26"/>
                <w:szCs w:val="26"/>
              </w:rPr>
              <w:instrText xml:space="preserve"> PAGEREF _Toc149535500 \h </w:instrText>
            </w:r>
            <w:r w:rsidR="00205F24" w:rsidRPr="00176216">
              <w:rPr>
                <w:noProof/>
                <w:webHidden/>
                <w:sz w:val="26"/>
                <w:szCs w:val="26"/>
              </w:rPr>
            </w:r>
            <w:r w:rsidR="00205F24" w:rsidRPr="00176216">
              <w:rPr>
                <w:noProof/>
                <w:webHidden/>
                <w:sz w:val="26"/>
                <w:szCs w:val="26"/>
              </w:rPr>
              <w:fldChar w:fldCharType="separate"/>
            </w:r>
            <w:r w:rsidR="00205F24" w:rsidRPr="00176216">
              <w:rPr>
                <w:noProof/>
                <w:webHidden/>
                <w:sz w:val="26"/>
                <w:szCs w:val="26"/>
              </w:rPr>
              <w:t>3</w:t>
            </w:r>
            <w:r w:rsidR="00205F24" w:rsidRPr="00176216">
              <w:rPr>
                <w:noProof/>
                <w:webHidden/>
                <w:sz w:val="26"/>
                <w:szCs w:val="26"/>
              </w:rPr>
              <w:fldChar w:fldCharType="end"/>
            </w:r>
          </w:hyperlink>
        </w:p>
        <w:p w14:paraId="3920C731" w14:textId="4F4164F4" w:rsidR="00205F24" w:rsidRPr="00176216" w:rsidRDefault="004D0D50">
          <w:pPr>
            <w:pStyle w:val="TOC1"/>
            <w:tabs>
              <w:tab w:val="right" w:leader="dot" w:pos="9350"/>
            </w:tabs>
            <w:rPr>
              <w:noProof/>
              <w:sz w:val="26"/>
              <w:szCs w:val="26"/>
            </w:rPr>
          </w:pPr>
          <w:hyperlink w:anchor="_Toc149535501" w:history="1">
            <w:r w:rsidR="00205F24" w:rsidRPr="00176216">
              <w:rPr>
                <w:rStyle w:val="Hyperlink"/>
                <w:noProof/>
                <w:color w:val="auto"/>
                <w:sz w:val="26"/>
                <w:szCs w:val="26"/>
                <w:u w:val="none"/>
              </w:rPr>
              <w:t>2.0 Reflection</w:t>
            </w:r>
            <w:r w:rsidR="00205F24" w:rsidRPr="00176216">
              <w:rPr>
                <w:noProof/>
                <w:webHidden/>
                <w:sz w:val="26"/>
                <w:szCs w:val="26"/>
              </w:rPr>
              <w:tab/>
              <w:t>3</w:t>
            </w:r>
          </w:hyperlink>
        </w:p>
        <w:p w14:paraId="39866231" w14:textId="5544408B" w:rsidR="00205F24" w:rsidRPr="00176216" w:rsidRDefault="004D0D50">
          <w:pPr>
            <w:pStyle w:val="TOC2"/>
            <w:tabs>
              <w:tab w:val="right" w:leader="dot" w:pos="9350"/>
            </w:tabs>
            <w:rPr>
              <w:noProof/>
              <w:sz w:val="26"/>
              <w:szCs w:val="26"/>
            </w:rPr>
          </w:pPr>
          <w:hyperlink w:anchor="_Toc149535502" w:history="1">
            <w:r w:rsidR="00205F24" w:rsidRPr="00176216">
              <w:rPr>
                <w:rStyle w:val="Hyperlink"/>
                <w:noProof/>
                <w:color w:val="auto"/>
                <w:sz w:val="26"/>
                <w:szCs w:val="26"/>
                <w:u w:val="none"/>
              </w:rPr>
              <w:t>2.1 Kolb’s Experiential Learning Cycle</w:t>
            </w:r>
            <w:r w:rsidR="00205F24" w:rsidRPr="00176216">
              <w:rPr>
                <w:noProof/>
                <w:webHidden/>
                <w:sz w:val="26"/>
                <w:szCs w:val="26"/>
              </w:rPr>
              <w:tab/>
              <w:t>3</w:t>
            </w:r>
          </w:hyperlink>
        </w:p>
        <w:p w14:paraId="7371BEE6" w14:textId="756327B6" w:rsidR="00205F24" w:rsidRPr="00176216" w:rsidRDefault="004D0D50">
          <w:pPr>
            <w:pStyle w:val="TOC3"/>
            <w:tabs>
              <w:tab w:val="right" w:leader="dot" w:pos="9350"/>
            </w:tabs>
            <w:rPr>
              <w:noProof/>
              <w:sz w:val="26"/>
              <w:szCs w:val="26"/>
            </w:rPr>
          </w:pPr>
          <w:hyperlink w:anchor="_Toc149535503" w:history="1">
            <w:r w:rsidR="00205F24" w:rsidRPr="00176216">
              <w:rPr>
                <w:rStyle w:val="Hyperlink"/>
                <w:noProof/>
                <w:color w:val="auto"/>
                <w:sz w:val="26"/>
                <w:szCs w:val="26"/>
                <w:u w:val="none"/>
              </w:rPr>
              <w:t>2.1.1 Concrete Experience</w:t>
            </w:r>
            <w:r w:rsidR="00205F24" w:rsidRPr="00176216">
              <w:rPr>
                <w:noProof/>
                <w:webHidden/>
                <w:sz w:val="26"/>
                <w:szCs w:val="26"/>
              </w:rPr>
              <w:tab/>
              <w:t>4</w:t>
            </w:r>
          </w:hyperlink>
        </w:p>
        <w:p w14:paraId="6DB57A3C" w14:textId="620613D8" w:rsidR="00205F24" w:rsidRPr="00176216" w:rsidRDefault="004D0D50">
          <w:pPr>
            <w:pStyle w:val="TOC3"/>
            <w:tabs>
              <w:tab w:val="right" w:leader="dot" w:pos="9350"/>
            </w:tabs>
            <w:rPr>
              <w:noProof/>
              <w:sz w:val="26"/>
              <w:szCs w:val="26"/>
            </w:rPr>
          </w:pPr>
          <w:hyperlink w:anchor="_Toc149535504" w:history="1">
            <w:r w:rsidR="00205F24" w:rsidRPr="00176216">
              <w:rPr>
                <w:rStyle w:val="Hyperlink"/>
                <w:noProof/>
                <w:color w:val="auto"/>
                <w:sz w:val="26"/>
                <w:szCs w:val="26"/>
                <w:u w:val="none"/>
              </w:rPr>
              <w:t>2.1.2 Reflective Observation</w:t>
            </w:r>
            <w:r w:rsidR="00205F24" w:rsidRPr="00176216">
              <w:rPr>
                <w:noProof/>
                <w:webHidden/>
                <w:sz w:val="26"/>
                <w:szCs w:val="26"/>
              </w:rPr>
              <w:tab/>
              <w:t>5</w:t>
            </w:r>
          </w:hyperlink>
        </w:p>
        <w:p w14:paraId="661F333A" w14:textId="64EFA942" w:rsidR="00205F24" w:rsidRPr="00176216" w:rsidRDefault="004D0D50">
          <w:pPr>
            <w:pStyle w:val="TOC3"/>
            <w:tabs>
              <w:tab w:val="right" w:leader="dot" w:pos="9350"/>
            </w:tabs>
            <w:rPr>
              <w:noProof/>
              <w:sz w:val="26"/>
              <w:szCs w:val="26"/>
            </w:rPr>
          </w:pPr>
          <w:hyperlink w:anchor="_Toc149535505" w:history="1">
            <w:r w:rsidR="00205F24" w:rsidRPr="00176216">
              <w:rPr>
                <w:rStyle w:val="Hyperlink"/>
                <w:noProof/>
                <w:color w:val="auto"/>
                <w:sz w:val="26"/>
                <w:szCs w:val="26"/>
                <w:u w:val="none"/>
              </w:rPr>
              <w:t>2.1.3 Abstract Conceptualisation</w:t>
            </w:r>
            <w:r w:rsidR="00205F24" w:rsidRPr="00176216">
              <w:rPr>
                <w:noProof/>
                <w:webHidden/>
                <w:sz w:val="26"/>
                <w:szCs w:val="26"/>
              </w:rPr>
              <w:tab/>
              <w:t>6</w:t>
            </w:r>
          </w:hyperlink>
        </w:p>
        <w:p w14:paraId="55FD1368" w14:textId="2F4AE0BD" w:rsidR="00205F24" w:rsidRPr="00176216" w:rsidRDefault="004D0D50">
          <w:pPr>
            <w:pStyle w:val="TOC3"/>
            <w:tabs>
              <w:tab w:val="right" w:leader="dot" w:pos="9350"/>
            </w:tabs>
            <w:rPr>
              <w:noProof/>
              <w:sz w:val="26"/>
              <w:szCs w:val="26"/>
            </w:rPr>
          </w:pPr>
          <w:hyperlink w:anchor="_Toc149535506" w:history="1">
            <w:r w:rsidR="00205F24" w:rsidRPr="00176216">
              <w:rPr>
                <w:rStyle w:val="Hyperlink"/>
                <w:noProof/>
                <w:color w:val="auto"/>
                <w:sz w:val="26"/>
                <w:szCs w:val="26"/>
                <w:u w:val="none"/>
              </w:rPr>
              <w:t>2.1.4 Active Experimentation</w:t>
            </w:r>
            <w:r w:rsidR="00205F24" w:rsidRPr="00176216">
              <w:rPr>
                <w:noProof/>
                <w:webHidden/>
                <w:sz w:val="26"/>
                <w:szCs w:val="26"/>
              </w:rPr>
              <w:tab/>
              <w:t>8</w:t>
            </w:r>
          </w:hyperlink>
        </w:p>
        <w:p w14:paraId="68DE66BA" w14:textId="48259413" w:rsidR="00205F24" w:rsidRPr="00176216" w:rsidRDefault="004D0D50">
          <w:pPr>
            <w:pStyle w:val="TOC1"/>
            <w:tabs>
              <w:tab w:val="right" w:leader="dot" w:pos="9350"/>
            </w:tabs>
            <w:rPr>
              <w:noProof/>
              <w:sz w:val="26"/>
              <w:szCs w:val="26"/>
            </w:rPr>
          </w:pPr>
          <w:hyperlink w:anchor="_Toc149535507" w:history="1">
            <w:r w:rsidR="00205F24" w:rsidRPr="00176216">
              <w:rPr>
                <w:rStyle w:val="Hyperlink"/>
                <w:noProof/>
                <w:color w:val="auto"/>
                <w:sz w:val="26"/>
                <w:szCs w:val="26"/>
                <w:u w:val="none"/>
              </w:rPr>
              <w:t>3.0 Conclusion</w:t>
            </w:r>
            <w:r w:rsidR="00205F24" w:rsidRPr="00176216">
              <w:rPr>
                <w:noProof/>
                <w:webHidden/>
                <w:sz w:val="26"/>
                <w:szCs w:val="26"/>
              </w:rPr>
              <w:tab/>
              <w:t>9</w:t>
            </w:r>
          </w:hyperlink>
        </w:p>
        <w:p w14:paraId="3717E7A1" w14:textId="294ACA88" w:rsidR="00205F24" w:rsidRPr="00176216" w:rsidRDefault="004D0D50">
          <w:pPr>
            <w:pStyle w:val="TOC1"/>
            <w:tabs>
              <w:tab w:val="right" w:leader="dot" w:pos="9350"/>
            </w:tabs>
            <w:rPr>
              <w:noProof/>
              <w:sz w:val="26"/>
              <w:szCs w:val="26"/>
            </w:rPr>
          </w:pPr>
          <w:hyperlink w:anchor="_Toc149535508" w:history="1">
            <w:r w:rsidR="00205F24" w:rsidRPr="00176216">
              <w:rPr>
                <w:rStyle w:val="Hyperlink"/>
                <w:noProof/>
                <w:color w:val="auto"/>
                <w:sz w:val="26"/>
                <w:szCs w:val="26"/>
                <w:u w:val="none"/>
              </w:rPr>
              <w:t>4.0 References</w:t>
            </w:r>
            <w:r w:rsidR="00205F24" w:rsidRPr="00176216">
              <w:rPr>
                <w:noProof/>
                <w:webHidden/>
                <w:sz w:val="26"/>
                <w:szCs w:val="26"/>
              </w:rPr>
              <w:tab/>
              <w:t>10</w:t>
            </w:r>
          </w:hyperlink>
        </w:p>
        <w:p w14:paraId="5ED21CA9" w14:textId="35487A1B" w:rsidR="00205F24" w:rsidRDefault="004D0D50"/>
      </w:sdtContent>
    </w:sdt>
    <w:p w14:paraId="61C40F61" w14:textId="1A8AF733" w:rsidR="00F52AF1" w:rsidRDefault="00F52AF1" w:rsidP="0047521D">
      <w:pPr>
        <w:spacing w:line="360" w:lineRule="auto"/>
        <w:jc w:val="both"/>
        <w:rPr>
          <w:sz w:val="24"/>
          <w:szCs w:val="24"/>
        </w:rPr>
      </w:pPr>
    </w:p>
    <w:p w14:paraId="6C3C285B" w14:textId="5AE52BEF" w:rsidR="00F47B1C" w:rsidRDefault="00F47B1C">
      <w:pPr>
        <w:rPr>
          <w:sz w:val="24"/>
          <w:szCs w:val="24"/>
        </w:rPr>
      </w:pPr>
      <w:r>
        <w:rPr>
          <w:sz w:val="24"/>
          <w:szCs w:val="24"/>
        </w:rPr>
        <w:br w:type="page"/>
      </w:r>
    </w:p>
    <w:p w14:paraId="24D359DA" w14:textId="218CA5A3" w:rsidR="00F47B1C" w:rsidRPr="004E7C6C" w:rsidRDefault="004E7C6C" w:rsidP="004E7C6C">
      <w:pPr>
        <w:pStyle w:val="Heading1"/>
        <w:rPr>
          <w:b/>
          <w:bCs/>
        </w:rPr>
      </w:pPr>
      <w:bookmarkStart w:id="0" w:name="_Toc149535500"/>
      <w:r>
        <w:rPr>
          <w:b/>
          <w:bCs/>
        </w:rPr>
        <w:lastRenderedPageBreak/>
        <w:t xml:space="preserve">1.0 </w:t>
      </w:r>
      <w:r w:rsidR="00F47B1C" w:rsidRPr="004E7C6C">
        <w:rPr>
          <w:b/>
          <w:bCs/>
        </w:rPr>
        <w:t>Introductio</w:t>
      </w:r>
      <w:r w:rsidR="00E37FAF">
        <w:rPr>
          <w:b/>
          <w:bCs/>
        </w:rPr>
        <w:t>n</w:t>
      </w:r>
      <w:bookmarkEnd w:id="0"/>
    </w:p>
    <w:p w14:paraId="0E1186ED" w14:textId="3BAC770E" w:rsidR="00F47B1C" w:rsidRDefault="00E37FAF" w:rsidP="0047521D">
      <w:pPr>
        <w:spacing w:line="360" w:lineRule="auto"/>
        <w:jc w:val="both"/>
        <w:rPr>
          <w:sz w:val="24"/>
          <w:szCs w:val="24"/>
        </w:rPr>
      </w:pPr>
      <w:r w:rsidRPr="00E37FAF">
        <w:rPr>
          <w:sz w:val="24"/>
          <w:szCs w:val="24"/>
        </w:rPr>
        <w:t>The concept of reflection in academic and professional contexts refers to the cognitive process of actively deliberating on one's actions, decisions, and experiences, subsequently using these insights to develop and grow (Morris, 2020). Reflective practice is a cornerstone in honing professional skills, fostering self-awareness, and enriching understanding of both theory and practice. The intention of reflective practice is to create a cycle of continuous learning where theory informs practice and the evaluation of practice, in turn, informs the evolution of theory. This report aims to delve into the importance of reflective practice in the realm of effective management, addressing both theories of management and my own experiences in conflict resolution. Furthermore, I will explore the relationship between academic theories in management and my lived experiences. To guide this reflective journey, I will employ Kolb's experiential learning cycle (Kolb, 2014) as a framework for assessing and analysing my professional growth and challenges.</w:t>
      </w:r>
      <w:r>
        <w:rPr>
          <w:sz w:val="24"/>
          <w:szCs w:val="24"/>
        </w:rPr>
        <w:t xml:space="preserve"> In the case of using organisational examples, McDonald’s will be used in this report.</w:t>
      </w:r>
    </w:p>
    <w:p w14:paraId="026CD6EF" w14:textId="77777777" w:rsidR="00965188" w:rsidRDefault="00965188" w:rsidP="0047521D">
      <w:pPr>
        <w:spacing w:line="360" w:lineRule="auto"/>
        <w:jc w:val="both"/>
        <w:rPr>
          <w:sz w:val="24"/>
          <w:szCs w:val="24"/>
        </w:rPr>
      </w:pPr>
    </w:p>
    <w:p w14:paraId="05578161" w14:textId="77777777" w:rsidR="00965188" w:rsidRDefault="00965188" w:rsidP="0047521D">
      <w:pPr>
        <w:spacing w:line="360" w:lineRule="auto"/>
        <w:jc w:val="both"/>
        <w:rPr>
          <w:sz w:val="24"/>
          <w:szCs w:val="24"/>
        </w:rPr>
      </w:pPr>
    </w:p>
    <w:p w14:paraId="2351DE5A" w14:textId="77777777" w:rsidR="00965188" w:rsidRDefault="00965188" w:rsidP="0047521D">
      <w:pPr>
        <w:spacing w:line="360" w:lineRule="auto"/>
        <w:jc w:val="both"/>
        <w:rPr>
          <w:sz w:val="24"/>
          <w:szCs w:val="24"/>
        </w:rPr>
      </w:pPr>
    </w:p>
    <w:p w14:paraId="2C05426D" w14:textId="77777777" w:rsidR="00965188" w:rsidRDefault="00965188" w:rsidP="0047521D">
      <w:pPr>
        <w:spacing w:line="360" w:lineRule="auto"/>
        <w:jc w:val="both"/>
        <w:rPr>
          <w:sz w:val="24"/>
          <w:szCs w:val="24"/>
        </w:rPr>
      </w:pPr>
    </w:p>
    <w:p w14:paraId="2EA6C1DE" w14:textId="77777777" w:rsidR="00965188" w:rsidRDefault="00965188" w:rsidP="0047521D">
      <w:pPr>
        <w:spacing w:line="360" w:lineRule="auto"/>
        <w:jc w:val="both"/>
        <w:rPr>
          <w:sz w:val="24"/>
          <w:szCs w:val="24"/>
        </w:rPr>
      </w:pPr>
    </w:p>
    <w:p w14:paraId="468CCEA5" w14:textId="77777777" w:rsidR="00965188" w:rsidRDefault="00965188" w:rsidP="0047521D">
      <w:pPr>
        <w:spacing w:line="360" w:lineRule="auto"/>
        <w:jc w:val="both"/>
        <w:rPr>
          <w:sz w:val="24"/>
          <w:szCs w:val="24"/>
        </w:rPr>
      </w:pPr>
    </w:p>
    <w:p w14:paraId="64FFAC1E" w14:textId="77777777" w:rsidR="00965188" w:rsidRDefault="00965188" w:rsidP="0047521D">
      <w:pPr>
        <w:spacing w:line="360" w:lineRule="auto"/>
        <w:jc w:val="both"/>
        <w:rPr>
          <w:sz w:val="24"/>
          <w:szCs w:val="24"/>
        </w:rPr>
      </w:pPr>
    </w:p>
    <w:p w14:paraId="76B495E3" w14:textId="77777777" w:rsidR="00965188" w:rsidRDefault="00965188" w:rsidP="0047521D">
      <w:pPr>
        <w:spacing w:line="360" w:lineRule="auto"/>
        <w:jc w:val="both"/>
        <w:rPr>
          <w:sz w:val="24"/>
          <w:szCs w:val="24"/>
        </w:rPr>
      </w:pPr>
    </w:p>
    <w:p w14:paraId="56DC2AAF" w14:textId="77777777" w:rsidR="00965188" w:rsidRDefault="00965188" w:rsidP="0047521D">
      <w:pPr>
        <w:spacing w:line="360" w:lineRule="auto"/>
        <w:jc w:val="both"/>
        <w:rPr>
          <w:sz w:val="24"/>
          <w:szCs w:val="24"/>
        </w:rPr>
      </w:pPr>
    </w:p>
    <w:p w14:paraId="1ADFBA4D" w14:textId="7FDCA943" w:rsidR="00F47B1C" w:rsidRPr="004E7C6C" w:rsidRDefault="004E7C6C" w:rsidP="004E7C6C">
      <w:pPr>
        <w:pStyle w:val="Heading1"/>
        <w:rPr>
          <w:b/>
          <w:bCs/>
        </w:rPr>
      </w:pPr>
      <w:bookmarkStart w:id="1" w:name="_Toc149535501"/>
      <w:r>
        <w:rPr>
          <w:b/>
          <w:bCs/>
        </w:rPr>
        <w:lastRenderedPageBreak/>
        <w:t xml:space="preserve">2.0 </w:t>
      </w:r>
      <w:r w:rsidRPr="004E7C6C">
        <w:rPr>
          <w:b/>
          <w:bCs/>
        </w:rPr>
        <w:t>Reflection</w:t>
      </w:r>
      <w:bookmarkEnd w:id="1"/>
    </w:p>
    <w:p w14:paraId="1DDDFBAE" w14:textId="60C5C9C5" w:rsidR="004E7C6C" w:rsidRPr="004E7C6C" w:rsidRDefault="004E7C6C" w:rsidP="004E7C6C">
      <w:pPr>
        <w:pStyle w:val="Heading2"/>
        <w:rPr>
          <w:b/>
          <w:bCs/>
        </w:rPr>
      </w:pPr>
      <w:bookmarkStart w:id="2" w:name="_Toc149535502"/>
      <w:r w:rsidRPr="004E7C6C">
        <w:rPr>
          <w:b/>
          <w:bCs/>
        </w:rPr>
        <w:t xml:space="preserve">2.1 Kolb’s </w:t>
      </w:r>
      <w:r>
        <w:rPr>
          <w:b/>
          <w:bCs/>
        </w:rPr>
        <w:t>Experiential Learning Cycle</w:t>
      </w:r>
      <w:bookmarkEnd w:id="2"/>
    </w:p>
    <w:p w14:paraId="751776DA" w14:textId="482837C9" w:rsidR="004E7C6C" w:rsidRDefault="00FA417B" w:rsidP="0047521D">
      <w:pPr>
        <w:spacing w:line="360" w:lineRule="auto"/>
        <w:jc w:val="both"/>
        <w:rPr>
          <w:sz w:val="24"/>
          <w:szCs w:val="24"/>
        </w:rPr>
      </w:pPr>
      <w:r w:rsidRPr="00FA417B">
        <w:rPr>
          <w:sz w:val="24"/>
          <w:szCs w:val="24"/>
        </w:rPr>
        <w:t>Kolb's Experiential Learning Cycle, developed by David Kolb, is a four-stage model</w:t>
      </w:r>
      <w:r w:rsidR="003F5D80">
        <w:rPr>
          <w:sz w:val="24"/>
          <w:szCs w:val="24"/>
        </w:rPr>
        <w:t xml:space="preserve"> (Figure 1)</w:t>
      </w:r>
      <w:r w:rsidRPr="00FA417B">
        <w:rPr>
          <w:sz w:val="24"/>
          <w:szCs w:val="24"/>
        </w:rPr>
        <w:t xml:space="preserve"> that encompasses concrete experience, reflective observation, abstract </w:t>
      </w:r>
      <w:r>
        <w:rPr>
          <w:sz w:val="24"/>
          <w:szCs w:val="24"/>
        </w:rPr>
        <w:t>conceptualisation</w:t>
      </w:r>
      <w:r w:rsidRPr="00FA417B">
        <w:rPr>
          <w:sz w:val="24"/>
          <w:szCs w:val="24"/>
        </w:rPr>
        <w:t>, and active experimentation (Kolb et al., 2014).</w:t>
      </w:r>
    </w:p>
    <w:p w14:paraId="6B105944" w14:textId="77777777" w:rsidR="00E76396" w:rsidRDefault="00825F34" w:rsidP="00E76396">
      <w:pPr>
        <w:keepNext/>
        <w:spacing w:line="360" w:lineRule="auto"/>
        <w:jc w:val="center"/>
      </w:pPr>
      <w:r>
        <w:rPr>
          <w:noProof/>
          <w:sz w:val="24"/>
          <w:szCs w:val="24"/>
        </w:rPr>
        <w:drawing>
          <wp:inline distT="0" distB="0" distL="0" distR="0" wp14:anchorId="631F9DEC" wp14:editId="44E7A465">
            <wp:extent cx="3219450" cy="1962150"/>
            <wp:effectExtent l="0" t="19050" r="0" b="38100"/>
            <wp:docPr id="77772262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FFF8C3C" w14:textId="6B4E8F7D" w:rsidR="0048103E" w:rsidRPr="00E76396" w:rsidRDefault="00E76396" w:rsidP="00E76396">
      <w:pPr>
        <w:pStyle w:val="Caption"/>
        <w:jc w:val="center"/>
        <w:rPr>
          <w:color w:val="000000" w:themeColor="text1"/>
          <w:sz w:val="22"/>
          <w:szCs w:val="22"/>
        </w:rPr>
      </w:pPr>
      <w:r w:rsidRPr="00E76396">
        <w:rPr>
          <w:color w:val="000000" w:themeColor="text1"/>
          <w:sz w:val="22"/>
          <w:szCs w:val="22"/>
        </w:rPr>
        <w:t xml:space="preserve">Figure </w:t>
      </w:r>
      <w:r w:rsidRPr="00E76396">
        <w:rPr>
          <w:noProof/>
          <w:color w:val="000000" w:themeColor="text1"/>
          <w:sz w:val="22"/>
          <w:szCs w:val="22"/>
        </w:rPr>
        <w:t>1</w:t>
      </w:r>
      <w:r w:rsidRPr="00E76396">
        <w:rPr>
          <w:color w:val="000000" w:themeColor="text1"/>
          <w:sz w:val="22"/>
          <w:szCs w:val="22"/>
        </w:rPr>
        <w:t>: Kolb’s Experiential Learning Cycle</w:t>
      </w:r>
    </w:p>
    <w:p w14:paraId="2674DEC8" w14:textId="23761F27" w:rsidR="0072625A" w:rsidRDefault="00E76396" w:rsidP="00E76396">
      <w:pPr>
        <w:spacing w:line="360" w:lineRule="auto"/>
        <w:jc w:val="center"/>
        <w:rPr>
          <w:sz w:val="24"/>
          <w:szCs w:val="24"/>
        </w:rPr>
      </w:pPr>
      <w:r>
        <w:rPr>
          <w:sz w:val="24"/>
          <w:szCs w:val="24"/>
        </w:rPr>
        <w:t>(</w:t>
      </w:r>
      <w:r w:rsidR="00C25F7E" w:rsidRPr="00C25F7E">
        <w:rPr>
          <w:sz w:val="24"/>
          <w:szCs w:val="24"/>
        </w:rPr>
        <w:t>Kolb et al., 2014</w:t>
      </w:r>
      <w:r>
        <w:rPr>
          <w:sz w:val="24"/>
          <w:szCs w:val="24"/>
        </w:rPr>
        <w:t>)</w:t>
      </w:r>
    </w:p>
    <w:p w14:paraId="39AADCEB" w14:textId="465DAF12" w:rsidR="00E76396" w:rsidRDefault="00FA417B" w:rsidP="0047521D">
      <w:pPr>
        <w:spacing w:line="360" w:lineRule="auto"/>
        <w:jc w:val="both"/>
        <w:rPr>
          <w:sz w:val="24"/>
          <w:szCs w:val="24"/>
        </w:rPr>
      </w:pPr>
      <w:r w:rsidRPr="00FA417B">
        <w:rPr>
          <w:sz w:val="24"/>
          <w:szCs w:val="24"/>
        </w:rPr>
        <w:t>I chose Kolb's cycle over other reflective frameworks because it not only encourages reflection but also promotes learning and action, fostering a dynamic interplay between theory and practice (Kolb and Kolb, 2018). Its cyclical nature aligns well with the continual process of managing, learning, and evolving, making it particularly relevant for understanding how theoretical knowledge in management can be applied and re-evaluated in real-world situations (Poore et al., 2014).</w:t>
      </w:r>
    </w:p>
    <w:p w14:paraId="2C44D65C" w14:textId="77777777" w:rsidR="00965188" w:rsidRDefault="00965188" w:rsidP="0047521D">
      <w:pPr>
        <w:spacing w:line="360" w:lineRule="auto"/>
        <w:jc w:val="both"/>
        <w:rPr>
          <w:sz w:val="24"/>
          <w:szCs w:val="24"/>
        </w:rPr>
      </w:pPr>
    </w:p>
    <w:p w14:paraId="0B195BE2" w14:textId="77777777" w:rsidR="00965188" w:rsidRDefault="00965188" w:rsidP="0047521D">
      <w:pPr>
        <w:spacing w:line="360" w:lineRule="auto"/>
        <w:jc w:val="both"/>
        <w:rPr>
          <w:sz w:val="24"/>
          <w:szCs w:val="24"/>
        </w:rPr>
      </w:pPr>
    </w:p>
    <w:p w14:paraId="6AF57F5B" w14:textId="77777777" w:rsidR="00965188" w:rsidRDefault="00965188" w:rsidP="0047521D">
      <w:pPr>
        <w:spacing w:line="360" w:lineRule="auto"/>
        <w:jc w:val="both"/>
        <w:rPr>
          <w:sz w:val="24"/>
          <w:szCs w:val="24"/>
        </w:rPr>
      </w:pPr>
    </w:p>
    <w:p w14:paraId="1E2AD004" w14:textId="77777777" w:rsidR="00965188" w:rsidRDefault="00965188" w:rsidP="0047521D">
      <w:pPr>
        <w:spacing w:line="360" w:lineRule="auto"/>
        <w:jc w:val="both"/>
        <w:rPr>
          <w:sz w:val="24"/>
          <w:szCs w:val="24"/>
        </w:rPr>
      </w:pPr>
    </w:p>
    <w:p w14:paraId="1E327213" w14:textId="77777777" w:rsidR="00965188" w:rsidRDefault="00965188" w:rsidP="0047521D">
      <w:pPr>
        <w:spacing w:line="360" w:lineRule="auto"/>
        <w:jc w:val="both"/>
        <w:rPr>
          <w:sz w:val="24"/>
          <w:szCs w:val="24"/>
        </w:rPr>
      </w:pPr>
    </w:p>
    <w:p w14:paraId="1AB80C4F" w14:textId="77777777" w:rsidR="00965188" w:rsidRDefault="00965188" w:rsidP="0047521D">
      <w:pPr>
        <w:spacing w:line="360" w:lineRule="auto"/>
        <w:jc w:val="both"/>
        <w:rPr>
          <w:sz w:val="24"/>
          <w:szCs w:val="24"/>
        </w:rPr>
      </w:pPr>
    </w:p>
    <w:p w14:paraId="0C645A5E" w14:textId="40C24067" w:rsidR="004E7C6C" w:rsidRPr="00C57D5E" w:rsidRDefault="004E7C6C" w:rsidP="00C57D5E">
      <w:pPr>
        <w:pStyle w:val="Heading3"/>
        <w:rPr>
          <w:b/>
          <w:bCs/>
        </w:rPr>
      </w:pPr>
      <w:bookmarkStart w:id="3" w:name="_Toc149535503"/>
      <w:r w:rsidRPr="00C57D5E">
        <w:rPr>
          <w:b/>
          <w:bCs/>
        </w:rPr>
        <w:lastRenderedPageBreak/>
        <w:t>2.1</w:t>
      </w:r>
      <w:r w:rsidR="00D81EA7" w:rsidRPr="00C57D5E">
        <w:rPr>
          <w:b/>
          <w:bCs/>
        </w:rPr>
        <w:t>.1 Concrete Experience</w:t>
      </w:r>
      <w:bookmarkEnd w:id="3"/>
    </w:p>
    <w:p w14:paraId="638BDD28" w14:textId="517140BB" w:rsidR="009D7067" w:rsidRPr="009D7067" w:rsidRDefault="009D7067" w:rsidP="009D7067">
      <w:pPr>
        <w:spacing w:line="360" w:lineRule="auto"/>
        <w:jc w:val="both"/>
        <w:rPr>
          <w:sz w:val="24"/>
          <w:szCs w:val="24"/>
        </w:rPr>
      </w:pPr>
      <w:r w:rsidRPr="009D7067">
        <w:rPr>
          <w:sz w:val="24"/>
          <w:szCs w:val="24"/>
        </w:rPr>
        <w:t xml:space="preserve">Navigating Task 1, </w:t>
      </w:r>
      <w:r>
        <w:rPr>
          <w:sz w:val="24"/>
          <w:szCs w:val="24"/>
        </w:rPr>
        <w:t xml:space="preserve">which was </w:t>
      </w:r>
      <w:r w:rsidRPr="009D7067">
        <w:rPr>
          <w:sz w:val="24"/>
          <w:szCs w:val="24"/>
        </w:rPr>
        <w:t xml:space="preserve">a management essay on McDonald's, was a steep learning curve that enriched my understanding of effective management, theories of management, and conflict resolution. Initially, the task was overwhelming as it proved difficult to dissect how McDonald's integrates complex management practices like tailoring strategies for local conditions, using artificial intelligence for decision-making, prioritising home delivery, and leveraging collective staff expertise. Each attempt to understand McDonald's management practices initially resulted in failure, but through continuous reflection, I gradually developed a nuanced understanding. My reflective practice helped me identify that McDonald's management decisions are highly contingent on market conditions (Shields et al., 2015). </w:t>
      </w:r>
      <w:r>
        <w:rPr>
          <w:sz w:val="24"/>
          <w:szCs w:val="24"/>
        </w:rPr>
        <w:t xml:space="preserve">If I relate this experience to my understanding of effective management practices, I will conclude that I have also developed a cohesive understanding of effective management practices through the management actions of McDonald’s. </w:t>
      </w:r>
      <w:r w:rsidRPr="009D7067">
        <w:rPr>
          <w:sz w:val="24"/>
          <w:szCs w:val="24"/>
        </w:rPr>
        <w:t>The numerous iterations and reflections not only honed my research skills but also deepened my grasp of how effective management is practically implemented in a corporate setting (Mostafa and Gould-Williams, 2014).</w:t>
      </w:r>
    </w:p>
    <w:p w14:paraId="07B037ED" w14:textId="30413B14" w:rsidR="009D7067" w:rsidRDefault="009D7067" w:rsidP="009D7067">
      <w:pPr>
        <w:spacing w:line="360" w:lineRule="auto"/>
        <w:jc w:val="both"/>
        <w:rPr>
          <w:sz w:val="24"/>
          <w:szCs w:val="24"/>
        </w:rPr>
      </w:pPr>
      <w:r w:rsidRPr="009D7067">
        <w:rPr>
          <w:sz w:val="24"/>
          <w:szCs w:val="24"/>
        </w:rPr>
        <w:t>Another significant aspect of Task 1 was to align the observed management practices at McDonald's with academic theories. This part was especially challenging because of the vast number of management theories available. After eight days of reviewing around 15 theories, I eventually associated McDonald's practices with contingency management theory (Tien, 2019; Lynch, 2018). My reflective process helped me dissect the management strategies, aiding me in mapping them to this particular theory (Azad et al., 2017). The persistent reflections served as a bridge between academic theories and real-world management practices, thus providing me with a well-rounded understanding</w:t>
      </w:r>
      <w:r w:rsidR="003448FE">
        <w:rPr>
          <w:sz w:val="24"/>
          <w:szCs w:val="24"/>
        </w:rPr>
        <w:t xml:space="preserve"> of the relationship between theories and practices</w:t>
      </w:r>
      <w:r w:rsidRPr="009D7067">
        <w:rPr>
          <w:sz w:val="24"/>
          <w:szCs w:val="24"/>
        </w:rPr>
        <w:t xml:space="preserve"> (Gopee and Galloway, 2017).</w:t>
      </w:r>
    </w:p>
    <w:p w14:paraId="34C42EAF" w14:textId="77777777" w:rsidR="00965188" w:rsidRDefault="00965188" w:rsidP="009D7067">
      <w:pPr>
        <w:spacing w:line="360" w:lineRule="auto"/>
        <w:jc w:val="both"/>
        <w:rPr>
          <w:sz w:val="24"/>
          <w:szCs w:val="24"/>
        </w:rPr>
      </w:pPr>
    </w:p>
    <w:p w14:paraId="20503356" w14:textId="77777777" w:rsidR="00965188" w:rsidRDefault="00965188" w:rsidP="009D7067">
      <w:pPr>
        <w:spacing w:line="360" w:lineRule="auto"/>
        <w:jc w:val="both"/>
        <w:rPr>
          <w:sz w:val="24"/>
          <w:szCs w:val="24"/>
        </w:rPr>
      </w:pPr>
    </w:p>
    <w:p w14:paraId="63E09049" w14:textId="77777777" w:rsidR="00965188" w:rsidRDefault="00965188" w:rsidP="009D7067">
      <w:pPr>
        <w:spacing w:line="360" w:lineRule="auto"/>
        <w:jc w:val="both"/>
        <w:rPr>
          <w:sz w:val="24"/>
          <w:szCs w:val="24"/>
        </w:rPr>
      </w:pPr>
    </w:p>
    <w:p w14:paraId="24725E05" w14:textId="77777777" w:rsidR="00965188" w:rsidRPr="009D7067" w:rsidRDefault="00965188" w:rsidP="009D7067">
      <w:pPr>
        <w:spacing w:line="360" w:lineRule="auto"/>
        <w:jc w:val="both"/>
        <w:rPr>
          <w:sz w:val="24"/>
          <w:szCs w:val="24"/>
        </w:rPr>
      </w:pPr>
    </w:p>
    <w:p w14:paraId="0E5E4443" w14:textId="0455CEA7" w:rsidR="009D7067" w:rsidRPr="009D7067" w:rsidRDefault="009D7067" w:rsidP="009D7067">
      <w:pPr>
        <w:spacing w:line="360" w:lineRule="auto"/>
        <w:jc w:val="both"/>
        <w:rPr>
          <w:sz w:val="24"/>
          <w:szCs w:val="24"/>
        </w:rPr>
      </w:pPr>
      <w:r w:rsidRPr="009D7067">
        <w:rPr>
          <w:sz w:val="24"/>
          <w:szCs w:val="24"/>
        </w:rPr>
        <w:t xml:space="preserve">The final hurdle in Task 1 was to decipher McDonald's conflict resolution strategies, which, given its confidential nature, was not straightforward. Faced with this limitation, I took a hypothetical stance and reflected on general conflict management theories. After significant reflection and research, I stumbled upon the Thomas-Kilmann Model as a plausible conflict resolution approach for McDonald's (Malik et al., 2021). This discovery was an outcome of my continuous reflection that guided me in sifting through various theories to find one that could be realistically applied in an </w:t>
      </w:r>
      <w:r>
        <w:rPr>
          <w:sz w:val="24"/>
          <w:szCs w:val="24"/>
        </w:rPr>
        <w:t>organisational</w:t>
      </w:r>
      <w:r w:rsidRPr="009D7067">
        <w:rPr>
          <w:sz w:val="24"/>
          <w:szCs w:val="24"/>
        </w:rPr>
        <w:t xml:space="preserve"> context (Obiageli et al., 2015).</w:t>
      </w:r>
    </w:p>
    <w:p w14:paraId="516D648D" w14:textId="77777777" w:rsidR="009D7067" w:rsidRPr="009D7067" w:rsidRDefault="009D7067" w:rsidP="009D7067">
      <w:pPr>
        <w:spacing w:line="360" w:lineRule="auto"/>
        <w:jc w:val="both"/>
        <w:rPr>
          <w:sz w:val="24"/>
          <w:szCs w:val="24"/>
        </w:rPr>
      </w:pPr>
      <w:r w:rsidRPr="009D7067">
        <w:rPr>
          <w:sz w:val="24"/>
          <w:szCs w:val="24"/>
        </w:rPr>
        <w:t>Across these different scenarios, one underlying theme became clear: the invaluable role that reflective practice plays in linking academic theory to practical experiences (</w:t>
      </w:r>
      <w:proofErr w:type="spellStart"/>
      <w:r w:rsidRPr="009D7067">
        <w:rPr>
          <w:sz w:val="24"/>
          <w:szCs w:val="24"/>
        </w:rPr>
        <w:t>Cesário</w:t>
      </w:r>
      <w:proofErr w:type="spellEnd"/>
      <w:r w:rsidRPr="009D7067">
        <w:rPr>
          <w:sz w:val="24"/>
          <w:szCs w:val="24"/>
        </w:rPr>
        <w:t xml:space="preserve"> and </w:t>
      </w:r>
      <w:proofErr w:type="spellStart"/>
      <w:r w:rsidRPr="009D7067">
        <w:rPr>
          <w:sz w:val="24"/>
          <w:szCs w:val="24"/>
        </w:rPr>
        <w:t>Chambel</w:t>
      </w:r>
      <w:proofErr w:type="spellEnd"/>
      <w:r w:rsidRPr="009D7067">
        <w:rPr>
          <w:sz w:val="24"/>
          <w:szCs w:val="24"/>
        </w:rPr>
        <w:t>, 2017). Whether it was decoding effective management practices, aligning these with academic theories, or speculating on conflict resolution strategies, my reflections served as a conduit that bridged the gap between academic theories and my experiential learning (Middlehurst, 2012). The cycle of trying, failing, reflecting, and succeeding has been an enlightening process, shedding light on the intricate relationship between theoretical knowledge and practical application.</w:t>
      </w:r>
    </w:p>
    <w:p w14:paraId="6CB7677C" w14:textId="77777777" w:rsidR="009D7067" w:rsidRPr="009D7067" w:rsidRDefault="009D7067" w:rsidP="009D7067">
      <w:pPr>
        <w:spacing w:line="360" w:lineRule="auto"/>
        <w:jc w:val="both"/>
        <w:rPr>
          <w:vanish/>
          <w:sz w:val="24"/>
          <w:szCs w:val="24"/>
        </w:rPr>
      </w:pPr>
      <w:r w:rsidRPr="009D7067">
        <w:rPr>
          <w:vanish/>
          <w:sz w:val="24"/>
          <w:szCs w:val="24"/>
        </w:rPr>
        <w:t>Top of Form</w:t>
      </w:r>
    </w:p>
    <w:p w14:paraId="232183C5" w14:textId="2067A221" w:rsidR="00D81EA7" w:rsidRPr="00C57D5E" w:rsidRDefault="00D81EA7" w:rsidP="00C57D5E">
      <w:pPr>
        <w:pStyle w:val="Heading3"/>
        <w:rPr>
          <w:b/>
          <w:bCs/>
        </w:rPr>
      </w:pPr>
      <w:bookmarkStart w:id="4" w:name="_Toc149535504"/>
      <w:r w:rsidRPr="00C57D5E">
        <w:rPr>
          <w:b/>
          <w:bCs/>
        </w:rPr>
        <w:t>2.</w:t>
      </w:r>
      <w:r w:rsidR="00C57D5E" w:rsidRPr="00C57D5E">
        <w:rPr>
          <w:b/>
          <w:bCs/>
        </w:rPr>
        <w:t>1.2 Reflective Observation</w:t>
      </w:r>
      <w:bookmarkEnd w:id="4"/>
    </w:p>
    <w:p w14:paraId="475C0385" w14:textId="77777777" w:rsidR="00A306D2" w:rsidRPr="00A306D2" w:rsidRDefault="00A306D2" w:rsidP="00A306D2">
      <w:pPr>
        <w:spacing w:line="360" w:lineRule="auto"/>
        <w:jc w:val="both"/>
        <w:rPr>
          <w:sz w:val="24"/>
          <w:szCs w:val="24"/>
        </w:rPr>
      </w:pPr>
      <w:r w:rsidRPr="00A306D2">
        <w:rPr>
          <w:sz w:val="24"/>
          <w:szCs w:val="24"/>
        </w:rPr>
        <w:t>Upon reflection, I have come to appreciate the significant learning outcomes that emerged from grappling with the complexities of management practices at McDonald's. The multiple iterations I had to engage in initially felt like stumbling blocks, but retrospectively, they served as stepping stones to deeper insight. In unpacking McDonald's management strategies, I realised that effective management is not static; it evolves and adapts to various market conditions (Briggs et al., 2012). My multiple failed attempts were not in vain but part of a learning process. These iterations fostered a cognitive restructuring that transformed my understanding of management practices from a fragmented to a coherent view (Armstrong, 2016).</w:t>
      </w:r>
    </w:p>
    <w:p w14:paraId="2FFFDA49" w14:textId="6C0DF2E7" w:rsidR="00A306D2" w:rsidRPr="00A306D2" w:rsidRDefault="00A306D2" w:rsidP="00A306D2">
      <w:pPr>
        <w:spacing w:line="360" w:lineRule="auto"/>
        <w:jc w:val="both"/>
        <w:rPr>
          <w:sz w:val="24"/>
          <w:szCs w:val="24"/>
        </w:rPr>
      </w:pPr>
      <w:r w:rsidRPr="00A306D2">
        <w:rPr>
          <w:sz w:val="24"/>
          <w:szCs w:val="24"/>
        </w:rPr>
        <w:t>Another crucial part of my learning journey was wrestling with the intricacies of aligning real-world management practices with academic theories. The challenge lay in navigating a labyrinth of theories to find the one most applicable to McDonald's. Initially, this exercise felt like a theoretical quagmire. However, upon deeper reflection, I discerned that my experience underscored the importance of context in the application of theory (</w:t>
      </w:r>
      <w:proofErr w:type="spellStart"/>
      <w:r w:rsidRPr="00A306D2">
        <w:rPr>
          <w:sz w:val="24"/>
          <w:szCs w:val="24"/>
        </w:rPr>
        <w:t>Ejimabo</w:t>
      </w:r>
      <w:proofErr w:type="spellEnd"/>
      <w:r w:rsidRPr="00A306D2">
        <w:rPr>
          <w:sz w:val="24"/>
          <w:szCs w:val="24"/>
        </w:rPr>
        <w:t xml:space="preserve">, 2015). Persistent reflection aided me in situating McDonald's practices within the framework of contingency management theory, revealing that theories are not just abstract ideas but can be mapped </w:t>
      </w:r>
      <w:r>
        <w:rPr>
          <w:sz w:val="24"/>
          <w:szCs w:val="24"/>
        </w:rPr>
        <w:t>into</w:t>
      </w:r>
      <w:r w:rsidRPr="00A306D2">
        <w:rPr>
          <w:sz w:val="24"/>
          <w:szCs w:val="24"/>
        </w:rPr>
        <w:t xml:space="preserve"> practical applications (Dike et al., 2015). The learning here was twofold: understanding the theory in-depth and </w:t>
      </w:r>
      <w:r>
        <w:rPr>
          <w:sz w:val="24"/>
          <w:szCs w:val="24"/>
        </w:rPr>
        <w:t>realising</w:t>
      </w:r>
      <w:r w:rsidRPr="00A306D2">
        <w:rPr>
          <w:sz w:val="24"/>
          <w:szCs w:val="24"/>
        </w:rPr>
        <w:t xml:space="preserve"> the value of reflective practice as a conduit between theoretical knowledge and practical application (</w:t>
      </w:r>
      <w:proofErr w:type="spellStart"/>
      <w:r w:rsidRPr="00A306D2">
        <w:rPr>
          <w:sz w:val="24"/>
          <w:szCs w:val="24"/>
        </w:rPr>
        <w:t>Liphadzi</w:t>
      </w:r>
      <w:proofErr w:type="spellEnd"/>
      <w:r w:rsidRPr="00A306D2">
        <w:rPr>
          <w:sz w:val="24"/>
          <w:szCs w:val="24"/>
        </w:rPr>
        <w:t xml:space="preserve"> et al., 2017).</w:t>
      </w:r>
    </w:p>
    <w:p w14:paraId="0565FB9D" w14:textId="2A9883EA" w:rsidR="00A306D2" w:rsidRPr="00A306D2" w:rsidRDefault="00A306D2" w:rsidP="00A306D2">
      <w:pPr>
        <w:spacing w:line="360" w:lineRule="auto"/>
        <w:jc w:val="both"/>
        <w:rPr>
          <w:sz w:val="24"/>
          <w:szCs w:val="24"/>
        </w:rPr>
      </w:pPr>
      <w:r w:rsidRPr="00A306D2">
        <w:rPr>
          <w:sz w:val="24"/>
          <w:szCs w:val="24"/>
        </w:rPr>
        <w:t xml:space="preserve">Confronting the issue of conflict resolution at McDonald's posed a unique challenge. Given that conflict management strategies are often confidential, I was compelled to adopt a hypothetical approach. Through critical reflection, I zeroed in on the Thomas-Kilmann Model as a plausible tool for conflict resolution within </w:t>
      </w:r>
      <w:r>
        <w:rPr>
          <w:sz w:val="24"/>
          <w:szCs w:val="24"/>
        </w:rPr>
        <w:t>organisations</w:t>
      </w:r>
      <w:r w:rsidRPr="00A306D2">
        <w:rPr>
          <w:sz w:val="24"/>
          <w:szCs w:val="24"/>
        </w:rPr>
        <w:t xml:space="preserve"> (</w:t>
      </w:r>
      <w:proofErr w:type="spellStart"/>
      <w:r w:rsidRPr="00A306D2">
        <w:rPr>
          <w:sz w:val="24"/>
          <w:szCs w:val="24"/>
        </w:rPr>
        <w:t>Sabuhari</w:t>
      </w:r>
      <w:proofErr w:type="spellEnd"/>
      <w:r w:rsidRPr="00A306D2">
        <w:rPr>
          <w:sz w:val="24"/>
          <w:szCs w:val="24"/>
        </w:rPr>
        <w:t xml:space="preserve"> et al., 2020). My experience underscored the power of reflection in not only understanding but also applying theories to generate viable solutions to </w:t>
      </w:r>
      <w:r>
        <w:rPr>
          <w:sz w:val="24"/>
          <w:szCs w:val="24"/>
        </w:rPr>
        <w:t>organisational</w:t>
      </w:r>
      <w:r w:rsidRPr="00A306D2">
        <w:rPr>
          <w:sz w:val="24"/>
          <w:szCs w:val="24"/>
        </w:rPr>
        <w:t xml:space="preserve"> conflicts (</w:t>
      </w:r>
      <w:proofErr w:type="spellStart"/>
      <w:r w:rsidRPr="00A306D2">
        <w:rPr>
          <w:sz w:val="24"/>
          <w:szCs w:val="24"/>
        </w:rPr>
        <w:t>Beltrán</w:t>
      </w:r>
      <w:proofErr w:type="spellEnd"/>
      <w:r w:rsidRPr="00A306D2">
        <w:rPr>
          <w:sz w:val="24"/>
          <w:szCs w:val="24"/>
        </w:rPr>
        <w:t xml:space="preserve">-Martín and </w:t>
      </w:r>
      <w:proofErr w:type="spellStart"/>
      <w:r w:rsidRPr="00A306D2">
        <w:rPr>
          <w:sz w:val="24"/>
          <w:szCs w:val="24"/>
        </w:rPr>
        <w:t>Bou-Llusar</w:t>
      </w:r>
      <w:proofErr w:type="spellEnd"/>
      <w:r w:rsidRPr="00A306D2">
        <w:rPr>
          <w:sz w:val="24"/>
          <w:szCs w:val="24"/>
        </w:rPr>
        <w:t xml:space="preserve">, 2018). This affirms the role of reflective practice in creating a "win-win" situation by effectively addressing conflicts in an </w:t>
      </w:r>
      <w:r>
        <w:rPr>
          <w:sz w:val="24"/>
          <w:szCs w:val="24"/>
        </w:rPr>
        <w:t>organisation</w:t>
      </w:r>
      <w:r w:rsidRPr="00A306D2">
        <w:rPr>
          <w:sz w:val="24"/>
          <w:szCs w:val="24"/>
        </w:rPr>
        <w:t xml:space="preserve"> (Afsar et al., 2018).</w:t>
      </w:r>
    </w:p>
    <w:p w14:paraId="34726863" w14:textId="787DB379" w:rsidR="00A306D2" w:rsidRDefault="00A306D2" w:rsidP="00A306D2">
      <w:pPr>
        <w:spacing w:line="360" w:lineRule="auto"/>
        <w:jc w:val="both"/>
        <w:rPr>
          <w:sz w:val="24"/>
          <w:szCs w:val="24"/>
        </w:rPr>
      </w:pPr>
      <w:r w:rsidRPr="00A306D2">
        <w:rPr>
          <w:sz w:val="24"/>
          <w:szCs w:val="24"/>
        </w:rPr>
        <w:t xml:space="preserve">Upon </w:t>
      </w:r>
      <w:r>
        <w:rPr>
          <w:sz w:val="24"/>
          <w:szCs w:val="24"/>
        </w:rPr>
        <w:t>synthesising</w:t>
      </w:r>
      <w:r w:rsidRPr="00A306D2">
        <w:rPr>
          <w:sz w:val="24"/>
          <w:szCs w:val="24"/>
        </w:rPr>
        <w:t xml:space="preserve"> these reflections, what becomes abundantly clear is that reflective practice serves as a linchpin between academic theories and practical experiences (Chandra, 2016). The cyclical process of trying, failing, reflecting, and eventually succeeding has illuminated the complex interplay between theory and practice. Through reflection, academic theories were not just abstractions to be </w:t>
      </w:r>
      <w:r>
        <w:rPr>
          <w:sz w:val="24"/>
          <w:szCs w:val="24"/>
        </w:rPr>
        <w:t>memorised</w:t>
      </w:r>
      <w:r w:rsidRPr="00A306D2">
        <w:rPr>
          <w:sz w:val="24"/>
          <w:szCs w:val="24"/>
        </w:rPr>
        <w:t xml:space="preserve"> but vital frameworks that could be applied to practical scenarios, providing invaluable lessons that could be recycled into my future </w:t>
      </w:r>
      <w:r>
        <w:rPr>
          <w:sz w:val="24"/>
          <w:szCs w:val="24"/>
        </w:rPr>
        <w:t>endeavours</w:t>
      </w:r>
      <w:r w:rsidRPr="00A306D2">
        <w:rPr>
          <w:sz w:val="24"/>
          <w:szCs w:val="24"/>
        </w:rPr>
        <w:t>.</w:t>
      </w:r>
    </w:p>
    <w:p w14:paraId="2257A935" w14:textId="77777777" w:rsidR="00965188" w:rsidRDefault="00965188" w:rsidP="00A306D2">
      <w:pPr>
        <w:spacing w:line="360" w:lineRule="auto"/>
        <w:jc w:val="both"/>
        <w:rPr>
          <w:sz w:val="24"/>
          <w:szCs w:val="24"/>
        </w:rPr>
      </w:pPr>
    </w:p>
    <w:p w14:paraId="48DB0E1F" w14:textId="77777777" w:rsidR="00965188" w:rsidRDefault="00965188" w:rsidP="00A306D2">
      <w:pPr>
        <w:spacing w:line="360" w:lineRule="auto"/>
        <w:jc w:val="both"/>
        <w:rPr>
          <w:sz w:val="24"/>
          <w:szCs w:val="24"/>
        </w:rPr>
      </w:pPr>
    </w:p>
    <w:p w14:paraId="182890A6" w14:textId="77777777" w:rsidR="00965188" w:rsidRDefault="00965188" w:rsidP="00A306D2">
      <w:pPr>
        <w:spacing w:line="360" w:lineRule="auto"/>
        <w:jc w:val="both"/>
        <w:rPr>
          <w:sz w:val="24"/>
          <w:szCs w:val="24"/>
        </w:rPr>
      </w:pPr>
    </w:p>
    <w:p w14:paraId="466C32A3" w14:textId="77777777" w:rsidR="00965188" w:rsidRDefault="00965188" w:rsidP="00A306D2">
      <w:pPr>
        <w:spacing w:line="360" w:lineRule="auto"/>
        <w:jc w:val="both"/>
        <w:rPr>
          <w:sz w:val="24"/>
          <w:szCs w:val="24"/>
        </w:rPr>
      </w:pPr>
    </w:p>
    <w:p w14:paraId="18358B0D" w14:textId="77777777" w:rsidR="00965188" w:rsidRDefault="00965188" w:rsidP="00A306D2">
      <w:pPr>
        <w:spacing w:line="360" w:lineRule="auto"/>
        <w:jc w:val="both"/>
        <w:rPr>
          <w:sz w:val="24"/>
          <w:szCs w:val="24"/>
        </w:rPr>
      </w:pPr>
    </w:p>
    <w:p w14:paraId="2C2BA93B" w14:textId="77777777" w:rsidR="00965188" w:rsidRPr="00A306D2" w:rsidRDefault="00965188" w:rsidP="00A306D2">
      <w:pPr>
        <w:spacing w:line="360" w:lineRule="auto"/>
        <w:jc w:val="both"/>
        <w:rPr>
          <w:sz w:val="24"/>
          <w:szCs w:val="24"/>
        </w:rPr>
      </w:pPr>
    </w:p>
    <w:p w14:paraId="6A9BD645" w14:textId="49B6C212" w:rsidR="00C57D5E" w:rsidRPr="00C57D5E" w:rsidRDefault="00C57D5E" w:rsidP="00C57D5E">
      <w:pPr>
        <w:pStyle w:val="Heading3"/>
        <w:rPr>
          <w:b/>
          <w:bCs/>
        </w:rPr>
      </w:pPr>
      <w:bookmarkStart w:id="5" w:name="_Toc149535505"/>
      <w:r w:rsidRPr="00C57D5E">
        <w:rPr>
          <w:b/>
          <w:bCs/>
        </w:rPr>
        <w:t>2.1.3 Abstract Conceptualisation</w:t>
      </w:r>
      <w:bookmarkEnd w:id="5"/>
    </w:p>
    <w:p w14:paraId="5F7BDF3D" w14:textId="77777777" w:rsidR="000F4197" w:rsidRPr="000F4197" w:rsidRDefault="000F4197" w:rsidP="000F4197">
      <w:pPr>
        <w:spacing w:line="360" w:lineRule="auto"/>
        <w:jc w:val="both"/>
        <w:rPr>
          <w:sz w:val="24"/>
          <w:szCs w:val="24"/>
        </w:rPr>
      </w:pPr>
      <w:r w:rsidRPr="000F4197">
        <w:rPr>
          <w:sz w:val="24"/>
          <w:szCs w:val="24"/>
        </w:rPr>
        <w:t>In the realm of abstract conceptualisation, I now perceive my experiences with McDonald's management practices as a formative journey in understanding effective management. The iterative nature of my approach allowed me to break free from theoretical constraints and appreciate the fluidity of real-world management. The copious iterations and reflections served as educational toolkits that expanded my cognitive abilities, refining my understanding of management from a rudimentary collection of practices to a multifaceted discipline (Finkelman, 2012). This developmental arc elucidates the necessity of failure in fostering a nuanced comprehension of managerial competencies (Brundrett and Rhodes, 2013).</w:t>
      </w:r>
    </w:p>
    <w:p w14:paraId="2E301EF9" w14:textId="77777777" w:rsidR="000F4197" w:rsidRPr="000F4197" w:rsidRDefault="000F4197" w:rsidP="000F4197">
      <w:pPr>
        <w:spacing w:line="360" w:lineRule="auto"/>
        <w:jc w:val="both"/>
        <w:rPr>
          <w:sz w:val="24"/>
          <w:szCs w:val="24"/>
        </w:rPr>
      </w:pPr>
      <w:r w:rsidRPr="000F4197">
        <w:rPr>
          <w:sz w:val="24"/>
          <w:szCs w:val="24"/>
        </w:rPr>
        <w:t>Furthermore, my persistent reflections on integrating academic theories with real-world practices were not merely an intellectual exercise but a crucible for broader comprehension. I realised the critical importance of contextualising theories rather than approaching them as rigid paradigms (Castillo and Hallinger, 2018). The exercise augmented my analytical capabilities and pushed me to deconstruct complex situations, allowing for the customisation of theoretical frameworks to particular organisational conditions. This experience significantly impacted my understanding of the symbiotic relationship between management practices and theories (Renz, 2016).</w:t>
      </w:r>
    </w:p>
    <w:p w14:paraId="0720FAF2" w14:textId="77777777" w:rsidR="000F4197" w:rsidRDefault="000F4197" w:rsidP="000F4197">
      <w:pPr>
        <w:spacing w:line="360" w:lineRule="auto"/>
        <w:jc w:val="both"/>
        <w:rPr>
          <w:sz w:val="24"/>
          <w:szCs w:val="24"/>
        </w:rPr>
      </w:pPr>
      <w:r w:rsidRPr="000F4197">
        <w:rPr>
          <w:sz w:val="24"/>
          <w:szCs w:val="24"/>
        </w:rPr>
        <w:t>Regarding conflict resolution, I can't underestimate the intellectual depth I achieved through my engagement with the Thomas-Kilmann Model. Operating on a hypothetical premise, I grasped that the essence of conflict resolution lies not in the eradication of conflict but in managing it to achieve a "win-win" scenario (Stacey, 2012). This strategic understanding is akin to the real-world utilisation of theory, highlighting that academic knowledge is not merely theoretical but immensely practical (Boyatzis, 2014). This deeper understanding now serves as a vade mecum in approaching conflict-related challenges in organisational settings, emphasising the applicability of theory in achieving optimum outcomes (Armstrong, 2012).</w:t>
      </w:r>
    </w:p>
    <w:p w14:paraId="77053C1B" w14:textId="77777777" w:rsidR="00965188" w:rsidRDefault="00965188" w:rsidP="000F4197">
      <w:pPr>
        <w:spacing w:line="360" w:lineRule="auto"/>
        <w:jc w:val="both"/>
        <w:rPr>
          <w:sz w:val="24"/>
          <w:szCs w:val="24"/>
        </w:rPr>
      </w:pPr>
    </w:p>
    <w:p w14:paraId="0C5D3F49" w14:textId="77777777" w:rsidR="00965188" w:rsidRDefault="00965188" w:rsidP="000F4197">
      <w:pPr>
        <w:spacing w:line="360" w:lineRule="auto"/>
        <w:jc w:val="both"/>
        <w:rPr>
          <w:sz w:val="24"/>
          <w:szCs w:val="24"/>
        </w:rPr>
      </w:pPr>
    </w:p>
    <w:p w14:paraId="041086AA" w14:textId="77777777" w:rsidR="00965188" w:rsidRDefault="00965188" w:rsidP="000F4197">
      <w:pPr>
        <w:spacing w:line="360" w:lineRule="auto"/>
        <w:jc w:val="both"/>
        <w:rPr>
          <w:sz w:val="24"/>
          <w:szCs w:val="24"/>
        </w:rPr>
      </w:pPr>
    </w:p>
    <w:p w14:paraId="1747CA24" w14:textId="10C6380E" w:rsidR="000F4197" w:rsidRPr="000F4197" w:rsidRDefault="000F4197" w:rsidP="000F4197">
      <w:pPr>
        <w:spacing w:line="360" w:lineRule="auto"/>
        <w:jc w:val="both"/>
        <w:rPr>
          <w:sz w:val="24"/>
          <w:szCs w:val="24"/>
        </w:rPr>
      </w:pPr>
      <w:r w:rsidRPr="000F4197">
        <w:rPr>
          <w:sz w:val="24"/>
          <w:szCs w:val="24"/>
        </w:rPr>
        <w:t xml:space="preserve">As I </w:t>
      </w:r>
      <w:r w:rsidR="00D479B7">
        <w:rPr>
          <w:sz w:val="24"/>
          <w:szCs w:val="24"/>
        </w:rPr>
        <w:t>synthesise</w:t>
      </w:r>
      <w:r w:rsidRPr="000F4197">
        <w:rPr>
          <w:sz w:val="24"/>
          <w:szCs w:val="24"/>
        </w:rPr>
        <w:t xml:space="preserve"> these abstract insights, it becomes evident that my reflective practices have been a cornerstone in facilitating a cyclical learning process. My practical engagements were not isolated instances but components of an interconnected web that included theory, practice, failure, and</w:t>
      </w:r>
      <w:r w:rsidR="00D479B7">
        <w:rPr>
          <w:sz w:val="24"/>
          <w:szCs w:val="24"/>
        </w:rPr>
        <w:t>,</w:t>
      </w:r>
      <w:r w:rsidRPr="000F4197">
        <w:rPr>
          <w:sz w:val="24"/>
          <w:szCs w:val="24"/>
        </w:rPr>
        <w:t xml:space="preserve"> ultimately, learning (Royle and Rueckert, 2022). This cyclical process crystallises the concept that theory and practice are interdependent, each enriching and contextualising the other (Chia et al., 2020). The cognitive recalibration induced by my experience empowers me with a comprehensive understanding of the intricate relationship between academic theories and real-world applications, a perspective that I consider indispensable for future scholarly and professional endeavours.</w:t>
      </w:r>
    </w:p>
    <w:p w14:paraId="382291B5" w14:textId="77777777" w:rsidR="000F4197" w:rsidRPr="000F4197" w:rsidRDefault="000F4197" w:rsidP="000F4197">
      <w:pPr>
        <w:spacing w:line="360" w:lineRule="auto"/>
        <w:jc w:val="both"/>
        <w:rPr>
          <w:vanish/>
          <w:sz w:val="24"/>
          <w:szCs w:val="24"/>
        </w:rPr>
      </w:pPr>
      <w:r w:rsidRPr="000F4197">
        <w:rPr>
          <w:vanish/>
          <w:sz w:val="24"/>
          <w:szCs w:val="24"/>
        </w:rPr>
        <w:t>Top of Form</w:t>
      </w:r>
    </w:p>
    <w:p w14:paraId="21059944" w14:textId="179582BA" w:rsidR="00C57D5E" w:rsidRPr="00C57D5E" w:rsidRDefault="00C57D5E" w:rsidP="00C57D5E">
      <w:pPr>
        <w:pStyle w:val="Heading3"/>
        <w:rPr>
          <w:b/>
          <w:bCs/>
        </w:rPr>
      </w:pPr>
      <w:bookmarkStart w:id="6" w:name="_Toc149535506"/>
      <w:r w:rsidRPr="00C57D5E">
        <w:rPr>
          <w:b/>
          <w:bCs/>
        </w:rPr>
        <w:t>2.1.4 Active Experimentation</w:t>
      </w:r>
      <w:bookmarkEnd w:id="6"/>
    </w:p>
    <w:p w14:paraId="2DB5BA28" w14:textId="77777777" w:rsidR="008268B4" w:rsidRPr="008268B4" w:rsidRDefault="008268B4" w:rsidP="008268B4">
      <w:pPr>
        <w:spacing w:line="360" w:lineRule="auto"/>
        <w:jc w:val="both"/>
        <w:rPr>
          <w:sz w:val="24"/>
          <w:szCs w:val="24"/>
        </w:rPr>
      </w:pPr>
      <w:r w:rsidRPr="008268B4">
        <w:rPr>
          <w:sz w:val="24"/>
          <w:szCs w:val="24"/>
        </w:rPr>
        <w:t>As I venture into the stage of active experimentation, I am cognizant of the profound insights gained from my reflective practice on management at McDonald's. Armed with a nuanced understanding of effective management practices gleaned from numerous iterations and reflections, my initial approach will be to employ a similar iterative process in my future professional roles. In a similar vein to McDonald's tailoring of strategies based on market conditions (Shields et al., 2015), I will make it a point to adapt and refine management approaches in response to the evolving demands of the organisation and the market it serves. This iterative process will not only be guided by the foundational theories but also fine-tuned through continuous reflection and subsequent adaptation (Mostafa and Gould-Williams, 2014). Essentially, I will embrace the concept of management as a dynamic, rather than static, discipline.</w:t>
      </w:r>
    </w:p>
    <w:p w14:paraId="2FB3498E" w14:textId="77777777" w:rsidR="008268B4" w:rsidRPr="008268B4" w:rsidRDefault="008268B4" w:rsidP="008268B4">
      <w:pPr>
        <w:spacing w:line="360" w:lineRule="auto"/>
        <w:jc w:val="both"/>
        <w:rPr>
          <w:sz w:val="24"/>
          <w:szCs w:val="24"/>
        </w:rPr>
      </w:pPr>
      <w:r w:rsidRPr="008268B4">
        <w:rPr>
          <w:sz w:val="24"/>
          <w:szCs w:val="24"/>
        </w:rPr>
        <w:t xml:space="preserve">The challenge of bridging academic theories with real-world management practices will also see practical application in my future </w:t>
      </w:r>
      <w:proofErr w:type="spellStart"/>
      <w:r w:rsidRPr="008268B4">
        <w:rPr>
          <w:sz w:val="24"/>
          <w:szCs w:val="24"/>
        </w:rPr>
        <w:t>endeavors</w:t>
      </w:r>
      <w:proofErr w:type="spellEnd"/>
      <w:r w:rsidRPr="008268B4">
        <w:rPr>
          <w:sz w:val="24"/>
          <w:szCs w:val="24"/>
        </w:rPr>
        <w:t>. By leaning into the reflective practices that helped me align McDonald's strategies with contingency management theory, I aim to undertake a similar contextual analysis in new organisational settings. The value of such reflective practice as a conduit between academic knowledge and professional application cannot be overstated (</w:t>
      </w:r>
      <w:proofErr w:type="spellStart"/>
      <w:r w:rsidRPr="008268B4">
        <w:rPr>
          <w:sz w:val="24"/>
          <w:szCs w:val="24"/>
        </w:rPr>
        <w:t>Cesário</w:t>
      </w:r>
      <w:proofErr w:type="spellEnd"/>
      <w:r w:rsidRPr="008268B4">
        <w:rPr>
          <w:sz w:val="24"/>
          <w:szCs w:val="24"/>
        </w:rPr>
        <w:t xml:space="preserve"> and </w:t>
      </w:r>
      <w:proofErr w:type="spellStart"/>
      <w:r w:rsidRPr="008268B4">
        <w:rPr>
          <w:sz w:val="24"/>
          <w:szCs w:val="24"/>
        </w:rPr>
        <w:t>Chambel</w:t>
      </w:r>
      <w:proofErr w:type="spellEnd"/>
      <w:r w:rsidRPr="008268B4">
        <w:rPr>
          <w:sz w:val="24"/>
          <w:szCs w:val="24"/>
        </w:rPr>
        <w:t>, 2017). By employing a diligent reflective process, I aim to continually assess the applicability of various management theories in real-world scenarios, thus ensuring that my approaches are both theoretically sound and practically effective.</w:t>
      </w:r>
    </w:p>
    <w:p w14:paraId="0C1988D5" w14:textId="77777777" w:rsidR="008268B4" w:rsidRPr="008268B4" w:rsidRDefault="008268B4" w:rsidP="008268B4">
      <w:pPr>
        <w:spacing w:line="360" w:lineRule="auto"/>
        <w:jc w:val="both"/>
        <w:rPr>
          <w:sz w:val="24"/>
          <w:szCs w:val="24"/>
        </w:rPr>
      </w:pPr>
      <w:r w:rsidRPr="008268B4">
        <w:rPr>
          <w:sz w:val="24"/>
          <w:szCs w:val="24"/>
        </w:rPr>
        <w:t>Similarly, my newfound understanding of conflict resolution, particularly my speculative yet insightful application of the Thomas-Kilmann Model, will inform my approach to conflict management in future organisational settings. Through critical reflection, I identified this model as a potentially effective tool for achieving "win-win" outcomes (Malik et al., 2021). It is a practical application of theory that underscores the value of reflection in identifying effective solutions to organisational problems (Obiageli et al., 2015). Hence, I plan to leverage the intellectual depth gained from this experience to proactively manage conflicts, ensuring that the strategies employed are informed by both theoretical frameworks and the unique attributes of the organisation.</w:t>
      </w:r>
    </w:p>
    <w:p w14:paraId="4AA3085A" w14:textId="77777777" w:rsidR="008268B4" w:rsidRPr="008268B4" w:rsidRDefault="008268B4" w:rsidP="008268B4">
      <w:pPr>
        <w:spacing w:line="360" w:lineRule="auto"/>
        <w:jc w:val="both"/>
        <w:rPr>
          <w:sz w:val="24"/>
          <w:szCs w:val="24"/>
        </w:rPr>
      </w:pPr>
      <w:r w:rsidRPr="008268B4">
        <w:rPr>
          <w:sz w:val="24"/>
          <w:szCs w:val="24"/>
        </w:rPr>
        <w:t>In summary, the reflective practices that facilitated my understanding of McDonald's management practices and their theoretical underpinnings will serve as a cornerstone in my future professional and academic engagements. Whether it is the dynamic adaptation of management practices, the strategic alignment of theory with practice, or the effective resolution of conflicts, the learnings extracted through cycles of failure, reflection, and success have been invaluable. They have equipped me with a multifaceted understanding of the symbiotic relationship between academic theories and real-world applications, a perspective that will indubitably enrich my future scholarly and professional activities.</w:t>
      </w:r>
    </w:p>
    <w:p w14:paraId="6B844EA4" w14:textId="77777777" w:rsidR="008268B4" w:rsidRPr="008268B4" w:rsidRDefault="008268B4" w:rsidP="008268B4">
      <w:pPr>
        <w:spacing w:line="360" w:lineRule="auto"/>
        <w:jc w:val="both"/>
        <w:rPr>
          <w:vanish/>
          <w:sz w:val="24"/>
          <w:szCs w:val="24"/>
        </w:rPr>
      </w:pPr>
      <w:r w:rsidRPr="008268B4">
        <w:rPr>
          <w:vanish/>
          <w:sz w:val="24"/>
          <w:szCs w:val="24"/>
        </w:rPr>
        <w:t>Top of Form</w:t>
      </w:r>
    </w:p>
    <w:p w14:paraId="57E90830" w14:textId="59CA8E40" w:rsidR="004E7C6C" w:rsidRPr="004E7C6C" w:rsidRDefault="004E7C6C" w:rsidP="004E7C6C">
      <w:pPr>
        <w:pStyle w:val="Heading1"/>
        <w:rPr>
          <w:b/>
          <w:bCs/>
        </w:rPr>
      </w:pPr>
      <w:bookmarkStart w:id="7" w:name="_Toc149535507"/>
      <w:r>
        <w:rPr>
          <w:b/>
          <w:bCs/>
        </w:rPr>
        <w:t xml:space="preserve">3.0 </w:t>
      </w:r>
      <w:r w:rsidRPr="004E7C6C">
        <w:rPr>
          <w:b/>
          <w:bCs/>
        </w:rPr>
        <w:t>Conclusion</w:t>
      </w:r>
      <w:bookmarkEnd w:id="7"/>
    </w:p>
    <w:p w14:paraId="02AAD687" w14:textId="026D94D1" w:rsidR="004E7C6C" w:rsidRDefault="00C14F1B" w:rsidP="0047521D">
      <w:pPr>
        <w:spacing w:line="360" w:lineRule="auto"/>
        <w:jc w:val="both"/>
        <w:rPr>
          <w:sz w:val="24"/>
          <w:szCs w:val="24"/>
        </w:rPr>
      </w:pPr>
      <w:r>
        <w:rPr>
          <w:sz w:val="24"/>
          <w:szCs w:val="24"/>
        </w:rPr>
        <w:t>M</w:t>
      </w:r>
      <w:r w:rsidRPr="00C14F1B">
        <w:rPr>
          <w:sz w:val="24"/>
          <w:szCs w:val="24"/>
        </w:rPr>
        <w:t xml:space="preserve">y journey through concrete experience, reflective observation, abstract conceptualisation, and active experimentation has been instrumental in shaping a nuanced understanding of management practices, particularly in the context of McDonald's. My initial struggles in dissecting McDonald's complex management systems evolved into significant learning milestones through persistent reflection. I unearthed the crucial role of context in applying academic theories to real-world scenarios, a </w:t>
      </w:r>
      <w:r>
        <w:rPr>
          <w:sz w:val="24"/>
          <w:szCs w:val="24"/>
        </w:rPr>
        <w:t>realisation</w:t>
      </w:r>
      <w:r w:rsidRPr="00C14F1B">
        <w:rPr>
          <w:sz w:val="24"/>
          <w:szCs w:val="24"/>
        </w:rPr>
        <w:t xml:space="preserve"> fortified by my reflective practices. My engagement with the Thomas-Kilmann Model also demonstrated the practical applicability of theoretical frameworks in conflict resolution. Moving forward, these insights will serve as cornerstones in my approach to blending academic theories with practical management strategies in diverse organisational settings.</w:t>
      </w:r>
    </w:p>
    <w:p w14:paraId="3BCA7925" w14:textId="0B856B6B" w:rsidR="004E7C6C" w:rsidRPr="004E7C6C" w:rsidRDefault="004E7C6C" w:rsidP="004E7C6C">
      <w:pPr>
        <w:pStyle w:val="Heading1"/>
        <w:rPr>
          <w:b/>
          <w:bCs/>
        </w:rPr>
      </w:pPr>
      <w:bookmarkStart w:id="8" w:name="_Toc149535508"/>
      <w:r>
        <w:rPr>
          <w:b/>
          <w:bCs/>
        </w:rPr>
        <w:t xml:space="preserve">4.0 </w:t>
      </w:r>
      <w:r w:rsidRPr="004E7C6C">
        <w:rPr>
          <w:b/>
          <w:bCs/>
        </w:rPr>
        <w:t>References</w:t>
      </w:r>
      <w:bookmarkEnd w:id="8"/>
    </w:p>
    <w:p w14:paraId="740A886A" w14:textId="77777777" w:rsidR="004F1996" w:rsidRPr="00531890" w:rsidRDefault="004F1996" w:rsidP="00C07D0B">
      <w:pPr>
        <w:spacing w:line="360" w:lineRule="auto"/>
        <w:jc w:val="both"/>
        <w:rPr>
          <w:rFonts w:cstheme="minorHAnsi"/>
          <w:color w:val="000000" w:themeColor="text1"/>
          <w:sz w:val="24"/>
          <w:szCs w:val="24"/>
          <w:shd w:val="clear" w:color="auto" w:fill="FFFFFF"/>
        </w:rPr>
      </w:pPr>
      <w:r w:rsidRPr="00531890">
        <w:rPr>
          <w:rFonts w:cstheme="minorHAnsi"/>
          <w:color w:val="000000" w:themeColor="text1"/>
          <w:sz w:val="24"/>
          <w:szCs w:val="24"/>
          <w:shd w:val="clear" w:color="auto" w:fill="FFFFFF"/>
        </w:rPr>
        <w:t>Afsar, B., Shahjehan, A., and Shah, S. I. (2018). Frontline employees’ high-performance work practices, trust in supervisor, job-embeddedness and turnover intentions in hospitality industry. </w:t>
      </w:r>
      <w:r w:rsidRPr="00531890">
        <w:rPr>
          <w:rFonts w:cstheme="minorHAnsi"/>
          <w:i/>
          <w:iCs/>
          <w:color w:val="000000" w:themeColor="text1"/>
          <w:sz w:val="24"/>
          <w:szCs w:val="24"/>
          <w:shd w:val="clear" w:color="auto" w:fill="FFFFFF"/>
        </w:rPr>
        <w:t>International Journal of Contemporary Hospitality Management</w:t>
      </w:r>
      <w:r w:rsidRPr="00531890">
        <w:rPr>
          <w:rFonts w:cstheme="minorHAnsi"/>
          <w:color w:val="000000" w:themeColor="text1"/>
          <w:sz w:val="24"/>
          <w:szCs w:val="24"/>
          <w:shd w:val="clear" w:color="auto" w:fill="FFFFFF"/>
        </w:rPr>
        <w:t>.</w:t>
      </w:r>
    </w:p>
    <w:p w14:paraId="53204504" w14:textId="77777777" w:rsidR="004F1996" w:rsidRPr="00C07D0B" w:rsidRDefault="004F1996" w:rsidP="0047521D">
      <w:pPr>
        <w:spacing w:line="360" w:lineRule="auto"/>
        <w:jc w:val="both"/>
        <w:rPr>
          <w:rFonts w:cstheme="minorHAnsi"/>
          <w:sz w:val="24"/>
          <w:szCs w:val="24"/>
          <w:shd w:val="clear" w:color="auto" w:fill="FFFFFF"/>
        </w:rPr>
      </w:pPr>
      <w:r w:rsidRPr="00531890">
        <w:rPr>
          <w:rFonts w:cstheme="minorHAnsi"/>
          <w:sz w:val="24"/>
          <w:szCs w:val="24"/>
          <w:shd w:val="clear" w:color="auto" w:fill="FFFFFF"/>
        </w:rPr>
        <w:t>Armstrong, M. (2012). </w:t>
      </w:r>
      <w:r w:rsidRPr="00531890">
        <w:rPr>
          <w:rFonts w:cstheme="minorHAnsi"/>
          <w:i/>
          <w:iCs/>
          <w:sz w:val="24"/>
          <w:szCs w:val="24"/>
          <w:shd w:val="clear" w:color="auto" w:fill="FFFFFF"/>
        </w:rPr>
        <w:t>Armstrong's handbook of management and leadership: developing effective people skills for better leadership and management</w:t>
      </w:r>
      <w:r w:rsidRPr="00531890">
        <w:rPr>
          <w:rFonts w:cstheme="minorHAnsi"/>
          <w:sz w:val="24"/>
          <w:szCs w:val="24"/>
          <w:shd w:val="clear" w:color="auto" w:fill="FFFFFF"/>
        </w:rPr>
        <w:t>. Kogan Page Publishers.</w:t>
      </w:r>
    </w:p>
    <w:p w14:paraId="180483B2"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Armstrong, M. (2016). </w:t>
      </w:r>
      <w:r w:rsidRPr="00531890">
        <w:rPr>
          <w:rFonts w:cstheme="minorHAnsi"/>
          <w:i/>
          <w:iCs/>
          <w:sz w:val="24"/>
          <w:szCs w:val="24"/>
          <w:shd w:val="clear" w:color="auto" w:fill="FFFFFF"/>
        </w:rPr>
        <w:t>Armstrong's handbook of management and leadership for HR: Developing effective people skills for better leadership and management</w:t>
      </w:r>
      <w:r w:rsidRPr="00531890">
        <w:rPr>
          <w:rFonts w:cstheme="minorHAnsi"/>
          <w:sz w:val="24"/>
          <w:szCs w:val="24"/>
          <w:shd w:val="clear" w:color="auto" w:fill="FFFFFF"/>
        </w:rPr>
        <w:t>. Kogan Page Publishers.</w:t>
      </w:r>
    </w:p>
    <w:p w14:paraId="003D03F5"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Azad, N., Anderson, H. G., Brooks, A., Garza, O., O’Neil, C., Stutz, M. M., and Sobotka, J. L. (2017). Leadership and management are one and the same. </w:t>
      </w:r>
      <w:r w:rsidRPr="00531890">
        <w:rPr>
          <w:rFonts w:cstheme="minorHAnsi"/>
          <w:i/>
          <w:iCs/>
          <w:sz w:val="24"/>
          <w:szCs w:val="24"/>
          <w:shd w:val="clear" w:color="auto" w:fill="FFFFFF"/>
        </w:rPr>
        <w:t>American Journal of Pharmaceutical Education</w:t>
      </w:r>
      <w:r w:rsidRPr="00531890">
        <w:rPr>
          <w:rFonts w:cstheme="minorHAnsi"/>
          <w:sz w:val="24"/>
          <w:szCs w:val="24"/>
          <w:shd w:val="clear" w:color="auto" w:fill="FFFFFF"/>
        </w:rPr>
        <w:t>, </w:t>
      </w:r>
      <w:r w:rsidRPr="00531890">
        <w:rPr>
          <w:rFonts w:cstheme="minorHAnsi"/>
          <w:i/>
          <w:iCs/>
          <w:sz w:val="24"/>
          <w:szCs w:val="24"/>
          <w:shd w:val="clear" w:color="auto" w:fill="FFFFFF"/>
        </w:rPr>
        <w:t>81</w:t>
      </w:r>
      <w:r w:rsidRPr="00531890">
        <w:rPr>
          <w:rFonts w:cstheme="minorHAnsi"/>
          <w:sz w:val="24"/>
          <w:szCs w:val="24"/>
          <w:shd w:val="clear" w:color="auto" w:fill="FFFFFF"/>
        </w:rPr>
        <w:t>(6).</w:t>
      </w:r>
    </w:p>
    <w:p w14:paraId="3FCD7BA3" w14:textId="77777777" w:rsidR="004F1996" w:rsidRPr="00531890" w:rsidRDefault="004F1996" w:rsidP="00C07D0B">
      <w:pPr>
        <w:spacing w:line="360" w:lineRule="auto"/>
        <w:jc w:val="both"/>
        <w:rPr>
          <w:rFonts w:cstheme="minorHAnsi"/>
          <w:color w:val="000000" w:themeColor="text1"/>
          <w:sz w:val="24"/>
          <w:szCs w:val="24"/>
          <w:shd w:val="clear" w:color="auto" w:fill="FFFFFF"/>
        </w:rPr>
      </w:pPr>
      <w:r w:rsidRPr="00531890">
        <w:rPr>
          <w:rFonts w:cstheme="minorHAnsi"/>
          <w:color w:val="000000" w:themeColor="text1"/>
          <w:sz w:val="24"/>
          <w:szCs w:val="24"/>
          <w:shd w:val="clear" w:color="auto" w:fill="FFFFFF"/>
        </w:rPr>
        <w:t xml:space="preserve">Beltrán-Martín, I., and </w:t>
      </w:r>
      <w:proofErr w:type="spellStart"/>
      <w:r w:rsidRPr="00531890">
        <w:rPr>
          <w:rFonts w:cstheme="minorHAnsi"/>
          <w:color w:val="000000" w:themeColor="text1"/>
          <w:sz w:val="24"/>
          <w:szCs w:val="24"/>
          <w:shd w:val="clear" w:color="auto" w:fill="FFFFFF"/>
        </w:rPr>
        <w:t>Bou-Llusar</w:t>
      </w:r>
      <w:proofErr w:type="spellEnd"/>
      <w:r w:rsidRPr="00531890">
        <w:rPr>
          <w:rFonts w:cstheme="minorHAnsi"/>
          <w:color w:val="000000" w:themeColor="text1"/>
          <w:sz w:val="24"/>
          <w:szCs w:val="24"/>
          <w:shd w:val="clear" w:color="auto" w:fill="FFFFFF"/>
        </w:rPr>
        <w:t>, J. C. (2018). Examining the intermediate role of employee abilities, motivation and opportunities to participate in the relationship between HR bundles and employee performance. </w:t>
      </w:r>
      <w:r w:rsidRPr="00531890">
        <w:rPr>
          <w:rFonts w:cstheme="minorHAnsi"/>
          <w:i/>
          <w:iCs/>
          <w:color w:val="000000" w:themeColor="text1"/>
          <w:sz w:val="24"/>
          <w:szCs w:val="24"/>
          <w:shd w:val="clear" w:color="auto" w:fill="FFFFFF"/>
        </w:rPr>
        <w:t>BRQ Business Research Quarterly</w:t>
      </w:r>
      <w:r w:rsidRPr="00531890">
        <w:rPr>
          <w:rFonts w:cstheme="minorHAnsi"/>
          <w:color w:val="000000" w:themeColor="text1"/>
          <w:sz w:val="24"/>
          <w:szCs w:val="24"/>
          <w:shd w:val="clear" w:color="auto" w:fill="FFFFFF"/>
        </w:rPr>
        <w:t>, </w:t>
      </w:r>
      <w:r w:rsidRPr="00531890">
        <w:rPr>
          <w:rFonts w:cstheme="minorHAnsi"/>
          <w:i/>
          <w:iCs/>
          <w:color w:val="000000" w:themeColor="text1"/>
          <w:sz w:val="24"/>
          <w:szCs w:val="24"/>
          <w:shd w:val="clear" w:color="auto" w:fill="FFFFFF"/>
        </w:rPr>
        <w:t>21</w:t>
      </w:r>
      <w:r w:rsidRPr="00531890">
        <w:rPr>
          <w:rFonts w:cstheme="minorHAnsi"/>
          <w:color w:val="000000" w:themeColor="text1"/>
          <w:sz w:val="24"/>
          <w:szCs w:val="24"/>
          <w:shd w:val="clear" w:color="auto" w:fill="FFFFFF"/>
        </w:rPr>
        <w:t>(2), 99-110.</w:t>
      </w:r>
    </w:p>
    <w:p w14:paraId="490CE772"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Boyatzis, R. E. (2014). Possible contributions to leadership and management development from neuroscience.</w:t>
      </w:r>
    </w:p>
    <w:p w14:paraId="0F17D05E"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Briggs, A. R., Morrison, M., and Coleman, M. (2012). </w:t>
      </w:r>
      <w:r w:rsidRPr="00531890">
        <w:rPr>
          <w:rFonts w:cstheme="minorHAnsi"/>
          <w:i/>
          <w:iCs/>
          <w:sz w:val="24"/>
          <w:szCs w:val="24"/>
          <w:shd w:val="clear" w:color="auto" w:fill="FFFFFF"/>
        </w:rPr>
        <w:t>Research methods in educational leadership and management</w:t>
      </w:r>
      <w:r w:rsidRPr="00531890">
        <w:rPr>
          <w:rFonts w:cstheme="minorHAnsi"/>
          <w:sz w:val="24"/>
          <w:szCs w:val="24"/>
          <w:shd w:val="clear" w:color="auto" w:fill="FFFFFF"/>
        </w:rPr>
        <w:t>. Sage Publications.</w:t>
      </w:r>
    </w:p>
    <w:p w14:paraId="1FA1525C"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Brundrett, M., and Rhodes, C. (2013). </w:t>
      </w:r>
      <w:r w:rsidRPr="00531890">
        <w:rPr>
          <w:rFonts w:cstheme="minorHAnsi"/>
          <w:i/>
          <w:iCs/>
          <w:sz w:val="24"/>
          <w:szCs w:val="24"/>
          <w:shd w:val="clear" w:color="auto" w:fill="FFFFFF"/>
        </w:rPr>
        <w:t>Researching educational leadership and management: Methods and approaches</w:t>
      </w:r>
      <w:r w:rsidRPr="00531890">
        <w:rPr>
          <w:rFonts w:cstheme="minorHAnsi"/>
          <w:sz w:val="24"/>
          <w:szCs w:val="24"/>
          <w:shd w:val="clear" w:color="auto" w:fill="FFFFFF"/>
        </w:rPr>
        <w:t>. Sage.</w:t>
      </w:r>
    </w:p>
    <w:p w14:paraId="0AE14D58"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Castillo, F. A., and Hallinger, P. (2018). Systematic review of research on educational leadership and management in Latin America, 1991–2017. </w:t>
      </w:r>
      <w:r w:rsidRPr="00531890">
        <w:rPr>
          <w:rFonts w:cstheme="minorHAnsi"/>
          <w:i/>
          <w:iCs/>
          <w:sz w:val="24"/>
          <w:szCs w:val="24"/>
          <w:shd w:val="clear" w:color="auto" w:fill="FFFFFF"/>
        </w:rPr>
        <w:t>Educational Management Administration and Leadership</w:t>
      </w:r>
      <w:r w:rsidRPr="00531890">
        <w:rPr>
          <w:rFonts w:cstheme="minorHAnsi"/>
          <w:sz w:val="24"/>
          <w:szCs w:val="24"/>
          <w:shd w:val="clear" w:color="auto" w:fill="FFFFFF"/>
        </w:rPr>
        <w:t>, </w:t>
      </w:r>
      <w:r w:rsidRPr="00531890">
        <w:rPr>
          <w:rFonts w:cstheme="minorHAnsi"/>
          <w:i/>
          <w:iCs/>
          <w:sz w:val="24"/>
          <w:szCs w:val="24"/>
          <w:shd w:val="clear" w:color="auto" w:fill="FFFFFF"/>
        </w:rPr>
        <w:t>46</w:t>
      </w:r>
      <w:r w:rsidRPr="00531890">
        <w:rPr>
          <w:rFonts w:cstheme="minorHAnsi"/>
          <w:sz w:val="24"/>
          <w:szCs w:val="24"/>
          <w:shd w:val="clear" w:color="auto" w:fill="FFFFFF"/>
        </w:rPr>
        <w:t>(2), 207-225.</w:t>
      </w:r>
    </w:p>
    <w:p w14:paraId="0060EC1C" w14:textId="77777777" w:rsidR="004F1996" w:rsidRPr="00531890" w:rsidRDefault="004F1996" w:rsidP="00C07D0B">
      <w:pPr>
        <w:spacing w:line="360" w:lineRule="auto"/>
        <w:jc w:val="both"/>
        <w:rPr>
          <w:rFonts w:cstheme="minorHAnsi"/>
          <w:color w:val="000000" w:themeColor="text1"/>
          <w:sz w:val="24"/>
          <w:szCs w:val="24"/>
          <w:shd w:val="clear" w:color="auto" w:fill="FFFFFF"/>
        </w:rPr>
      </w:pPr>
      <w:r w:rsidRPr="00531890">
        <w:rPr>
          <w:rFonts w:cstheme="minorHAnsi"/>
          <w:color w:val="000000" w:themeColor="text1"/>
          <w:sz w:val="24"/>
          <w:szCs w:val="24"/>
          <w:shd w:val="clear" w:color="auto" w:fill="FFFFFF"/>
        </w:rPr>
        <w:t xml:space="preserve">Cesário, F., and </w:t>
      </w:r>
      <w:proofErr w:type="spellStart"/>
      <w:r w:rsidRPr="00531890">
        <w:rPr>
          <w:rFonts w:cstheme="minorHAnsi"/>
          <w:color w:val="000000" w:themeColor="text1"/>
          <w:sz w:val="24"/>
          <w:szCs w:val="24"/>
          <w:shd w:val="clear" w:color="auto" w:fill="FFFFFF"/>
        </w:rPr>
        <w:t>Chambel</w:t>
      </w:r>
      <w:proofErr w:type="spellEnd"/>
      <w:r w:rsidRPr="00531890">
        <w:rPr>
          <w:rFonts w:cstheme="minorHAnsi"/>
          <w:color w:val="000000" w:themeColor="text1"/>
          <w:sz w:val="24"/>
          <w:szCs w:val="24"/>
          <w:shd w:val="clear" w:color="auto" w:fill="FFFFFF"/>
        </w:rPr>
        <w:t>, M. J. (2017). Linking organizational commitment and work engagement to employee performance. </w:t>
      </w:r>
      <w:r w:rsidRPr="00531890">
        <w:rPr>
          <w:rFonts w:cstheme="minorHAnsi"/>
          <w:i/>
          <w:iCs/>
          <w:color w:val="000000" w:themeColor="text1"/>
          <w:sz w:val="24"/>
          <w:szCs w:val="24"/>
          <w:shd w:val="clear" w:color="auto" w:fill="FFFFFF"/>
        </w:rPr>
        <w:t>Knowledge and Process Management</w:t>
      </w:r>
      <w:r w:rsidRPr="00531890">
        <w:rPr>
          <w:rFonts w:cstheme="minorHAnsi"/>
          <w:color w:val="000000" w:themeColor="text1"/>
          <w:sz w:val="24"/>
          <w:szCs w:val="24"/>
          <w:shd w:val="clear" w:color="auto" w:fill="FFFFFF"/>
        </w:rPr>
        <w:t>, </w:t>
      </w:r>
      <w:r w:rsidRPr="00531890">
        <w:rPr>
          <w:rFonts w:cstheme="minorHAnsi"/>
          <w:i/>
          <w:iCs/>
          <w:color w:val="000000" w:themeColor="text1"/>
          <w:sz w:val="24"/>
          <w:szCs w:val="24"/>
          <w:shd w:val="clear" w:color="auto" w:fill="FFFFFF"/>
        </w:rPr>
        <w:t>24</w:t>
      </w:r>
      <w:r w:rsidRPr="00531890">
        <w:rPr>
          <w:rFonts w:cstheme="minorHAnsi"/>
          <w:color w:val="000000" w:themeColor="text1"/>
          <w:sz w:val="24"/>
          <w:szCs w:val="24"/>
          <w:shd w:val="clear" w:color="auto" w:fill="FFFFFF"/>
        </w:rPr>
        <w:t>(2), 152-158.</w:t>
      </w:r>
    </w:p>
    <w:p w14:paraId="214E980F" w14:textId="77777777" w:rsidR="004F1996" w:rsidRPr="00531890" w:rsidRDefault="004F1996" w:rsidP="00C07D0B">
      <w:pPr>
        <w:spacing w:line="360" w:lineRule="auto"/>
        <w:jc w:val="both"/>
        <w:rPr>
          <w:rFonts w:cstheme="minorHAnsi"/>
          <w:color w:val="000000" w:themeColor="text1"/>
          <w:sz w:val="24"/>
          <w:szCs w:val="24"/>
          <w:shd w:val="clear" w:color="auto" w:fill="FFFFFF"/>
        </w:rPr>
      </w:pPr>
      <w:r w:rsidRPr="00531890">
        <w:rPr>
          <w:rFonts w:cstheme="minorHAnsi"/>
          <w:color w:val="000000" w:themeColor="text1"/>
          <w:sz w:val="24"/>
          <w:szCs w:val="24"/>
          <w:shd w:val="clear" w:color="auto" w:fill="FFFFFF"/>
        </w:rPr>
        <w:t>Chandra, T. (2016). The Influence of Leadership Styles, Work Environment and Job Satisfaction of Employee Performance--Studies in the School of SMPN 10 Surabaya. </w:t>
      </w:r>
      <w:r w:rsidRPr="00531890">
        <w:rPr>
          <w:rFonts w:cstheme="minorHAnsi"/>
          <w:i/>
          <w:iCs/>
          <w:color w:val="000000" w:themeColor="text1"/>
          <w:sz w:val="24"/>
          <w:szCs w:val="24"/>
          <w:shd w:val="clear" w:color="auto" w:fill="FFFFFF"/>
        </w:rPr>
        <w:t>International Education Studies</w:t>
      </w:r>
      <w:r w:rsidRPr="00531890">
        <w:rPr>
          <w:rFonts w:cstheme="minorHAnsi"/>
          <w:color w:val="000000" w:themeColor="text1"/>
          <w:sz w:val="24"/>
          <w:szCs w:val="24"/>
          <w:shd w:val="clear" w:color="auto" w:fill="FFFFFF"/>
        </w:rPr>
        <w:t>, </w:t>
      </w:r>
      <w:r w:rsidRPr="00531890">
        <w:rPr>
          <w:rFonts w:cstheme="minorHAnsi"/>
          <w:i/>
          <w:iCs/>
          <w:color w:val="000000" w:themeColor="text1"/>
          <w:sz w:val="24"/>
          <w:szCs w:val="24"/>
          <w:shd w:val="clear" w:color="auto" w:fill="FFFFFF"/>
        </w:rPr>
        <w:t>9</w:t>
      </w:r>
      <w:r w:rsidRPr="00531890">
        <w:rPr>
          <w:rFonts w:cstheme="minorHAnsi"/>
          <w:color w:val="000000" w:themeColor="text1"/>
          <w:sz w:val="24"/>
          <w:szCs w:val="24"/>
          <w:shd w:val="clear" w:color="auto" w:fill="FFFFFF"/>
        </w:rPr>
        <w:t>(1), 131-140.</w:t>
      </w:r>
    </w:p>
    <w:p w14:paraId="5F2C3F88"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Chia, X. R., Kee, D. M. H., Khor, S. T., Chin, K. Y., Lok, T. X., Almutairi, H. A., ... and Kulkarni, S. (2020). Contributing Factors to Organizational Success: A Case Study of McDonald’s. </w:t>
      </w:r>
      <w:r w:rsidRPr="00531890">
        <w:rPr>
          <w:rFonts w:cstheme="minorHAnsi"/>
          <w:i/>
          <w:iCs/>
          <w:sz w:val="24"/>
          <w:szCs w:val="24"/>
          <w:shd w:val="clear" w:color="auto" w:fill="FFFFFF"/>
        </w:rPr>
        <w:t>International Journal of Tourism and Hospitality in Asia Pasific (IJTHAP)</w:t>
      </w:r>
      <w:r w:rsidRPr="00531890">
        <w:rPr>
          <w:rFonts w:cstheme="minorHAnsi"/>
          <w:sz w:val="24"/>
          <w:szCs w:val="24"/>
          <w:shd w:val="clear" w:color="auto" w:fill="FFFFFF"/>
        </w:rPr>
        <w:t>, </w:t>
      </w:r>
      <w:r w:rsidRPr="00531890">
        <w:rPr>
          <w:rFonts w:cstheme="minorHAnsi"/>
          <w:i/>
          <w:iCs/>
          <w:sz w:val="24"/>
          <w:szCs w:val="24"/>
          <w:shd w:val="clear" w:color="auto" w:fill="FFFFFF"/>
        </w:rPr>
        <w:t>3</w:t>
      </w:r>
      <w:r w:rsidRPr="00531890">
        <w:rPr>
          <w:rFonts w:cstheme="minorHAnsi"/>
          <w:sz w:val="24"/>
          <w:szCs w:val="24"/>
          <w:shd w:val="clear" w:color="auto" w:fill="FFFFFF"/>
        </w:rPr>
        <w:t>(2), 38-47.</w:t>
      </w:r>
    </w:p>
    <w:p w14:paraId="3F8E2297"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 xml:space="preserve">Dike, V. E., </w:t>
      </w:r>
      <w:proofErr w:type="spellStart"/>
      <w:r w:rsidRPr="00531890">
        <w:rPr>
          <w:rFonts w:cstheme="minorHAnsi"/>
          <w:sz w:val="24"/>
          <w:szCs w:val="24"/>
          <w:shd w:val="clear" w:color="auto" w:fill="FFFFFF"/>
        </w:rPr>
        <w:t>Odiwe</w:t>
      </w:r>
      <w:proofErr w:type="spellEnd"/>
      <w:r w:rsidRPr="00531890">
        <w:rPr>
          <w:rFonts w:cstheme="minorHAnsi"/>
          <w:sz w:val="24"/>
          <w:szCs w:val="24"/>
          <w:shd w:val="clear" w:color="auto" w:fill="FFFFFF"/>
        </w:rPr>
        <w:t xml:space="preserve">, K., </w:t>
      </w:r>
      <w:proofErr w:type="spellStart"/>
      <w:r w:rsidRPr="00531890">
        <w:rPr>
          <w:rFonts w:cstheme="minorHAnsi"/>
          <w:sz w:val="24"/>
          <w:szCs w:val="24"/>
          <w:shd w:val="clear" w:color="auto" w:fill="FFFFFF"/>
        </w:rPr>
        <w:t>Ehujor</w:t>
      </w:r>
      <w:proofErr w:type="spellEnd"/>
      <w:r w:rsidRPr="00531890">
        <w:rPr>
          <w:rFonts w:cstheme="minorHAnsi"/>
          <w:sz w:val="24"/>
          <w:szCs w:val="24"/>
          <w:shd w:val="clear" w:color="auto" w:fill="FFFFFF"/>
        </w:rPr>
        <w:t>, D. M., and Dike, V. E. (2015). Leadership and management in the 21st century organizations: A practical approach. </w:t>
      </w:r>
      <w:r w:rsidRPr="00531890">
        <w:rPr>
          <w:rFonts w:cstheme="minorHAnsi"/>
          <w:i/>
          <w:iCs/>
          <w:sz w:val="24"/>
          <w:szCs w:val="24"/>
          <w:shd w:val="clear" w:color="auto" w:fill="FFFFFF"/>
        </w:rPr>
        <w:t>World Journal of Social Science Research</w:t>
      </w:r>
      <w:r w:rsidRPr="00531890">
        <w:rPr>
          <w:rFonts w:cstheme="minorHAnsi"/>
          <w:sz w:val="24"/>
          <w:szCs w:val="24"/>
          <w:shd w:val="clear" w:color="auto" w:fill="FFFFFF"/>
        </w:rPr>
        <w:t>, </w:t>
      </w:r>
      <w:r w:rsidRPr="00531890">
        <w:rPr>
          <w:rFonts w:cstheme="minorHAnsi"/>
          <w:i/>
          <w:iCs/>
          <w:sz w:val="24"/>
          <w:szCs w:val="24"/>
          <w:shd w:val="clear" w:color="auto" w:fill="FFFFFF"/>
        </w:rPr>
        <w:t>2</w:t>
      </w:r>
      <w:r w:rsidRPr="00531890">
        <w:rPr>
          <w:rFonts w:cstheme="minorHAnsi"/>
          <w:sz w:val="24"/>
          <w:szCs w:val="24"/>
          <w:shd w:val="clear" w:color="auto" w:fill="FFFFFF"/>
        </w:rPr>
        <w:t>(2).</w:t>
      </w:r>
    </w:p>
    <w:p w14:paraId="4AD1E10F" w14:textId="77777777" w:rsidR="004F1996" w:rsidRPr="00531890" w:rsidRDefault="004F1996" w:rsidP="00C07D0B">
      <w:pPr>
        <w:spacing w:line="360" w:lineRule="auto"/>
        <w:jc w:val="both"/>
        <w:rPr>
          <w:rFonts w:cstheme="minorHAnsi"/>
          <w:sz w:val="24"/>
          <w:szCs w:val="24"/>
          <w:shd w:val="clear" w:color="auto" w:fill="FFFFFF"/>
        </w:rPr>
      </w:pPr>
      <w:proofErr w:type="spellStart"/>
      <w:r w:rsidRPr="00531890">
        <w:rPr>
          <w:rFonts w:cstheme="minorHAnsi"/>
          <w:sz w:val="24"/>
          <w:szCs w:val="24"/>
          <w:shd w:val="clear" w:color="auto" w:fill="FFFFFF"/>
        </w:rPr>
        <w:t>Ejimabo</w:t>
      </w:r>
      <w:proofErr w:type="spellEnd"/>
      <w:r w:rsidRPr="00531890">
        <w:rPr>
          <w:rFonts w:cstheme="minorHAnsi"/>
          <w:sz w:val="24"/>
          <w:szCs w:val="24"/>
          <w:shd w:val="clear" w:color="auto" w:fill="FFFFFF"/>
        </w:rPr>
        <w:t>, N. O. (2015). The influence of decision making in organizational leadership and management activities. </w:t>
      </w:r>
      <w:r w:rsidRPr="00531890">
        <w:rPr>
          <w:rFonts w:cstheme="minorHAnsi"/>
          <w:i/>
          <w:iCs/>
          <w:sz w:val="24"/>
          <w:szCs w:val="24"/>
          <w:shd w:val="clear" w:color="auto" w:fill="FFFFFF"/>
        </w:rPr>
        <w:t>Journal of Entrepreneurship and Organization Management</w:t>
      </w:r>
      <w:r w:rsidRPr="00531890">
        <w:rPr>
          <w:rFonts w:cstheme="minorHAnsi"/>
          <w:sz w:val="24"/>
          <w:szCs w:val="24"/>
          <w:shd w:val="clear" w:color="auto" w:fill="FFFFFF"/>
        </w:rPr>
        <w:t>, </w:t>
      </w:r>
      <w:r w:rsidRPr="00531890">
        <w:rPr>
          <w:rFonts w:cstheme="minorHAnsi"/>
          <w:i/>
          <w:iCs/>
          <w:sz w:val="24"/>
          <w:szCs w:val="24"/>
          <w:shd w:val="clear" w:color="auto" w:fill="FFFFFF"/>
        </w:rPr>
        <w:t>4</w:t>
      </w:r>
      <w:r w:rsidRPr="00531890">
        <w:rPr>
          <w:rFonts w:cstheme="minorHAnsi"/>
          <w:sz w:val="24"/>
          <w:szCs w:val="24"/>
          <w:shd w:val="clear" w:color="auto" w:fill="FFFFFF"/>
        </w:rPr>
        <w:t>(2), 2222-2839.</w:t>
      </w:r>
    </w:p>
    <w:p w14:paraId="70B3CCFF"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Finkelman, A. W., and Finkelman, A. W. (2012). </w:t>
      </w:r>
      <w:r w:rsidRPr="00531890">
        <w:rPr>
          <w:rFonts w:cstheme="minorHAnsi"/>
          <w:i/>
          <w:iCs/>
          <w:sz w:val="24"/>
          <w:szCs w:val="24"/>
          <w:shd w:val="clear" w:color="auto" w:fill="FFFFFF"/>
        </w:rPr>
        <w:t>Leadership and management for nurses: Core competencies for quality care</w:t>
      </w:r>
      <w:r w:rsidRPr="00531890">
        <w:rPr>
          <w:rFonts w:cstheme="minorHAnsi"/>
          <w:sz w:val="24"/>
          <w:szCs w:val="24"/>
          <w:shd w:val="clear" w:color="auto" w:fill="FFFFFF"/>
        </w:rPr>
        <w:t> (p. 528). Upper Sadler River, NJ: Pearson.</w:t>
      </w:r>
    </w:p>
    <w:p w14:paraId="3CCC3697"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Gopee, N., and Galloway, J. (2017). </w:t>
      </w:r>
      <w:r w:rsidRPr="00531890">
        <w:rPr>
          <w:rFonts w:cstheme="minorHAnsi"/>
          <w:i/>
          <w:iCs/>
          <w:sz w:val="24"/>
          <w:szCs w:val="24"/>
          <w:shd w:val="clear" w:color="auto" w:fill="FFFFFF"/>
        </w:rPr>
        <w:t>Leadership and management in healthcare</w:t>
      </w:r>
      <w:r w:rsidRPr="00531890">
        <w:rPr>
          <w:rFonts w:cstheme="minorHAnsi"/>
          <w:sz w:val="24"/>
          <w:szCs w:val="24"/>
          <w:shd w:val="clear" w:color="auto" w:fill="FFFFFF"/>
        </w:rPr>
        <w:t>. Sage.</w:t>
      </w:r>
    </w:p>
    <w:p w14:paraId="015724B0" w14:textId="77777777" w:rsidR="004F1996" w:rsidRPr="00531890" w:rsidRDefault="004F1996" w:rsidP="00C07D0B">
      <w:pPr>
        <w:spacing w:line="360" w:lineRule="auto"/>
        <w:jc w:val="both"/>
        <w:rPr>
          <w:rFonts w:cstheme="minorHAnsi"/>
          <w:color w:val="000000" w:themeColor="text1"/>
          <w:sz w:val="24"/>
          <w:szCs w:val="24"/>
        </w:rPr>
      </w:pPr>
      <w:r w:rsidRPr="00531890">
        <w:rPr>
          <w:rFonts w:cstheme="minorHAnsi"/>
          <w:color w:val="000000" w:themeColor="text1"/>
          <w:sz w:val="24"/>
          <w:szCs w:val="24"/>
          <w:shd w:val="clear" w:color="auto" w:fill="FFFFFF"/>
        </w:rPr>
        <w:t xml:space="preserve">Kolb, A., </w:t>
      </w:r>
      <w:r>
        <w:rPr>
          <w:rFonts w:cstheme="minorHAnsi"/>
          <w:color w:val="000000" w:themeColor="text1"/>
          <w:sz w:val="24"/>
          <w:szCs w:val="24"/>
          <w:shd w:val="clear" w:color="auto" w:fill="FFFFFF"/>
        </w:rPr>
        <w:t>and</w:t>
      </w:r>
      <w:r w:rsidRPr="00531890">
        <w:rPr>
          <w:rFonts w:cstheme="minorHAnsi"/>
          <w:color w:val="000000" w:themeColor="text1"/>
          <w:sz w:val="24"/>
          <w:szCs w:val="24"/>
          <w:shd w:val="clear" w:color="auto" w:fill="FFFFFF"/>
        </w:rPr>
        <w:t xml:space="preserve"> Kolb, D. (2018). Eight important things to know about the experiential learning cycle. </w:t>
      </w:r>
      <w:r w:rsidRPr="00531890">
        <w:rPr>
          <w:rFonts w:cstheme="minorHAnsi"/>
          <w:i/>
          <w:iCs/>
          <w:color w:val="000000" w:themeColor="text1"/>
          <w:sz w:val="24"/>
          <w:szCs w:val="24"/>
          <w:shd w:val="clear" w:color="auto" w:fill="FFFFFF"/>
        </w:rPr>
        <w:t>Australian educational leader</w:t>
      </w:r>
      <w:r w:rsidRPr="00531890">
        <w:rPr>
          <w:rFonts w:cstheme="minorHAnsi"/>
          <w:color w:val="000000" w:themeColor="text1"/>
          <w:sz w:val="24"/>
          <w:szCs w:val="24"/>
          <w:shd w:val="clear" w:color="auto" w:fill="FFFFFF"/>
        </w:rPr>
        <w:t>, </w:t>
      </w:r>
      <w:r w:rsidRPr="00531890">
        <w:rPr>
          <w:rFonts w:cstheme="minorHAnsi"/>
          <w:i/>
          <w:iCs/>
          <w:color w:val="000000" w:themeColor="text1"/>
          <w:sz w:val="24"/>
          <w:szCs w:val="24"/>
          <w:shd w:val="clear" w:color="auto" w:fill="FFFFFF"/>
        </w:rPr>
        <w:t>40</w:t>
      </w:r>
      <w:r w:rsidRPr="00531890">
        <w:rPr>
          <w:rFonts w:cstheme="minorHAnsi"/>
          <w:color w:val="000000" w:themeColor="text1"/>
          <w:sz w:val="24"/>
          <w:szCs w:val="24"/>
          <w:shd w:val="clear" w:color="auto" w:fill="FFFFFF"/>
        </w:rPr>
        <w:t>(3), 8-14.</w:t>
      </w:r>
    </w:p>
    <w:p w14:paraId="072721A6" w14:textId="77777777" w:rsidR="004F1996" w:rsidRPr="00531890" w:rsidRDefault="004F1996" w:rsidP="00C07D0B">
      <w:pPr>
        <w:spacing w:line="360" w:lineRule="auto"/>
        <w:jc w:val="both"/>
        <w:rPr>
          <w:rFonts w:cstheme="minorHAnsi"/>
          <w:color w:val="000000" w:themeColor="text1"/>
          <w:sz w:val="24"/>
          <w:szCs w:val="24"/>
          <w:shd w:val="clear" w:color="auto" w:fill="FFFFFF"/>
        </w:rPr>
      </w:pPr>
      <w:r w:rsidRPr="00531890">
        <w:rPr>
          <w:rFonts w:cstheme="minorHAnsi"/>
          <w:color w:val="000000" w:themeColor="text1"/>
          <w:sz w:val="24"/>
          <w:szCs w:val="24"/>
          <w:shd w:val="clear" w:color="auto" w:fill="FFFFFF"/>
        </w:rPr>
        <w:t>Kolb, D. A. (2014). </w:t>
      </w:r>
      <w:r w:rsidRPr="00531890">
        <w:rPr>
          <w:rFonts w:cstheme="minorHAnsi"/>
          <w:i/>
          <w:iCs/>
          <w:color w:val="000000" w:themeColor="text1"/>
          <w:sz w:val="24"/>
          <w:szCs w:val="24"/>
          <w:shd w:val="clear" w:color="auto" w:fill="FFFFFF"/>
        </w:rPr>
        <w:t>Experiential learning: Experience as the source of learning and development</w:t>
      </w:r>
      <w:r w:rsidRPr="00531890">
        <w:rPr>
          <w:rFonts w:cstheme="minorHAnsi"/>
          <w:color w:val="000000" w:themeColor="text1"/>
          <w:sz w:val="24"/>
          <w:szCs w:val="24"/>
          <w:shd w:val="clear" w:color="auto" w:fill="FFFFFF"/>
        </w:rPr>
        <w:t>. FT press.</w:t>
      </w:r>
    </w:p>
    <w:p w14:paraId="03428925" w14:textId="77777777" w:rsidR="004F1996" w:rsidRPr="00531890" w:rsidRDefault="004F1996" w:rsidP="00C07D0B">
      <w:pPr>
        <w:spacing w:line="360" w:lineRule="auto"/>
        <w:jc w:val="both"/>
        <w:rPr>
          <w:rFonts w:cstheme="minorHAnsi"/>
          <w:color w:val="000000" w:themeColor="text1"/>
          <w:sz w:val="24"/>
          <w:szCs w:val="24"/>
          <w:shd w:val="clear" w:color="auto" w:fill="FFFFFF"/>
        </w:rPr>
      </w:pPr>
      <w:bookmarkStart w:id="9" w:name="_Hlk105379810"/>
      <w:r w:rsidRPr="00531890">
        <w:rPr>
          <w:rFonts w:cstheme="minorHAnsi"/>
          <w:color w:val="000000" w:themeColor="text1"/>
          <w:sz w:val="24"/>
          <w:szCs w:val="24"/>
          <w:shd w:val="clear" w:color="auto" w:fill="FFFFFF"/>
        </w:rPr>
        <w:t xml:space="preserve">Kolb, D. A., Boyatzis, R. E., </w:t>
      </w:r>
      <w:r>
        <w:rPr>
          <w:rFonts w:cstheme="minorHAnsi"/>
          <w:color w:val="000000" w:themeColor="text1"/>
          <w:sz w:val="24"/>
          <w:szCs w:val="24"/>
          <w:shd w:val="clear" w:color="auto" w:fill="FFFFFF"/>
        </w:rPr>
        <w:t>and</w:t>
      </w:r>
      <w:r w:rsidRPr="00531890">
        <w:rPr>
          <w:rFonts w:cstheme="minorHAnsi"/>
          <w:color w:val="000000" w:themeColor="text1"/>
          <w:sz w:val="24"/>
          <w:szCs w:val="24"/>
          <w:shd w:val="clear" w:color="auto" w:fill="FFFFFF"/>
        </w:rPr>
        <w:t xml:space="preserve"> </w:t>
      </w:r>
      <w:proofErr w:type="spellStart"/>
      <w:r w:rsidRPr="00531890">
        <w:rPr>
          <w:rFonts w:cstheme="minorHAnsi"/>
          <w:color w:val="000000" w:themeColor="text1"/>
          <w:sz w:val="24"/>
          <w:szCs w:val="24"/>
          <w:shd w:val="clear" w:color="auto" w:fill="FFFFFF"/>
        </w:rPr>
        <w:t>Mainemelis</w:t>
      </w:r>
      <w:proofErr w:type="spellEnd"/>
      <w:r w:rsidRPr="00531890">
        <w:rPr>
          <w:rFonts w:cstheme="minorHAnsi"/>
          <w:color w:val="000000" w:themeColor="text1"/>
          <w:sz w:val="24"/>
          <w:szCs w:val="24"/>
          <w:shd w:val="clear" w:color="auto" w:fill="FFFFFF"/>
        </w:rPr>
        <w:t>, C. (2014). Experiential learning theory: Previous research and new directions. In </w:t>
      </w:r>
      <w:r w:rsidRPr="00531890">
        <w:rPr>
          <w:rFonts w:cstheme="minorHAnsi"/>
          <w:i/>
          <w:iCs/>
          <w:color w:val="000000" w:themeColor="text1"/>
          <w:sz w:val="24"/>
          <w:szCs w:val="24"/>
          <w:shd w:val="clear" w:color="auto" w:fill="FFFFFF"/>
        </w:rPr>
        <w:t>Perspectives on thinking, learning, and cognitive styles</w:t>
      </w:r>
      <w:r w:rsidRPr="00531890">
        <w:rPr>
          <w:rFonts w:cstheme="minorHAnsi"/>
          <w:color w:val="000000" w:themeColor="text1"/>
          <w:sz w:val="24"/>
          <w:szCs w:val="24"/>
          <w:shd w:val="clear" w:color="auto" w:fill="FFFFFF"/>
        </w:rPr>
        <w:t> (pp. 227-247). Routledge.</w:t>
      </w:r>
    </w:p>
    <w:p w14:paraId="2A93F306" w14:textId="77777777" w:rsidR="004F1996" w:rsidRPr="00531890" w:rsidRDefault="004F1996" w:rsidP="00C07D0B">
      <w:pPr>
        <w:spacing w:line="360" w:lineRule="auto"/>
        <w:jc w:val="both"/>
        <w:rPr>
          <w:rFonts w:cstheme="minorHAnsi"/>
          <w:sz w:val="24"/>
          <w:szCs w:val="24"/>
          <w:shd w:val="clear" w:color="auto" w:fill="FFFFFF"/>
        </w:rPr>
      </w:pPr>
      <w:proofErr w:type="spellStart"/>
      <w:r w:rsidRPr="00531890">
        <w:rPr>
          <w:rFonts w:cstheme="minorHAnsi"/>
          <w:sz w:val="24"/>
          <w:szCs w:val="24"/>
          <w:shd w:val="clear" w:color="auto" w:fill="FFFFFF"/>
        </w:rPr>
        <w:t>Liphadzi</w:t>
      </w:r>
      <w:proofErr w:type="spellEnd"/>
      <w:r w:rsidRPr="00531890">
        <w:rPr>
          <w:rFonts w:cstheme="minorHAnsi"/>
          <w:sz w:val="24"/>
          <w:szCs w:val="24"/>
          <w:shd w:val="clear" w:color="auto" w:fill="FFFFFF"/>
        </w:rPr>
        <w:t xml:space="preserve">, M., </w:t>
      </w:r>
      <w:proofErr w:type="spellStart"/>
      <w:r w:rsidRPr="00531890">
        <w:rPr>
          <w:rFonts w:cstheme="minorHAnsi"/>
          <w:sz w:val="24"/>
          <w:szCs w:val="24"/>
          <w:shd w:val="clear" w:color="auto" w:fill="FFFFFF"/>
        </w:rPr>
        <w:t>Aigbavboa</w:t>
      </w:r>
      <w:proofErr w:type="spellEnd"/>
      <w:r w:rsidRPr="00531890">
        <w:rPr>
          <w:rFonts w:cstheme="minorHAnsi"/>
          <w:sz w:val="24"/>
          <w:szCs w:val="24"/>
          <w:shd w:val="clear" w:color="auto" w:fill="FFFFFF"/>
        </w:rPr>
        <w:t>, C. O., and Thwala, W. D. (2017). A theoretical perspective on the difference between leadership and management. </w:t>
      </w:r>
      <w:r w:rsidRPr="00531890">
        <w:rPr>
          <w:rFonts w:cstheme="minorHAnsi"/>
          <w:i/>
          <w:iCs/>
          <w:sz w:val="24"/>
          <w:szCs w:val="24"/>
          <w:shd w:val="clear" w:color="auto" w:fill="FFFFFF"/>
        </w:rPr>
        <w:t>Procedia engineering</w:t>
      </w:r>
      <w:r w:rsidRPr="00531890">
        <w:rPr>
          <w:rFonts w:cstheme="minorHAnsi"/>
          <w:sz w:val="24"/>
          <w:szCs w:val="24"/>
          <w:shd w:val="clear" w:color="auto" w:fill="FFFFFF"/>
        </w:rPr>
        <w:t>, </w:t>
      </w:r>
      <w:r w:rsidRPr="00531890">
        <w:rPr>
          <w:rFonts w:cstheme="minorHAnsi"/>
          <w:i/>
          <w:iCs/>
          <w:sz w:val="24"/>
          <w:szCs w:val="24"/>
          <w:shd w:val="clear" w:color="auto" w:fill="FFFFFF"/>
        </w:rPr>
        <w:t>196</w:t>
      </w:r>
      <w:r w:rsidRPr="00531890">
        <w:rPr>
          <w:rFonts w:cstheme="minorHAnsi"/>
          <w:sz w:val="24"/>
          <w:szCs w:val="24"/>
          <w:shd w:val="clear" w:color="auto" w:fill="FFFFFF"/>
        </w:rPr>
        <w:t>, 478-482.</w:t>
      </w:r>
    </w:p>
    <w:p w14:paraId="08DEED36"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Lynch, C. (2018). Love, leadership and McDonald's. </w:t>
      </w:r>
      <w:r w:rsidRPr="00531890">
        <w:rPr>
          <w:rFonts w:cstheme="minorHAnsi"/>
          <w:i/>
          <w:iCs/>
          <w:sz w:val="24"/>
          <w:szCs w:val="24"/>
          <w:shd w:val="clear" w:color="auto" w:fill="FFFFFF"/>
        </w:rPr>
        <w:t>Journal of the European Pentecostal Theological Association</w:t>
      </w:r>
      <w:r w:rsidRPr="00531890">
        <w:rPr>
          <w:rFonts w:cstheme="minorHAnsi"/>
          <w:sz w:val="24"/>
          <w:szCs w:val="24"/>
          <w:shd w:val="clear" w:color="auto" w:fill="FFFFFF"/>
        </w:rPr>
        <w:t>, </w:t>
      </w:r>
      <w:r w:rsidRPr="00531890">
        <w:rPr>
          <w:rFonts w:cstheme="minorHAnsi"/>
          <w:i/>
          <w:iCs/>
          <w:sz w:val="24"/>
          <w:szCs w:val="24"/>
          <w:shd w:val="clear" w:color="auto" w:fill="FFFFFF"/>
        </w:rPr>
        <w:t>38</w:t>
      </w:r>
      <w:r w:rsidRPr="00531890">
        <w:rPr>
          <w:rFonts w:cstheme="minorHAnsi"/>
          <w:sz w:val="24"/>
          <w:szCs w:val="24"/>
          <w:shd w:val="clear" w:color="auto" w:fill="FFFFFF"/>
        </w:rPr>
        <w:t>(2), 113-125.</w:t>
      </w:r>
    </w:p>
    <w:p w14:paraId="6B3EF00B" w14:textId="77777777" w:rsidR="004F1996" w:rsidRPr="00531890" w:rsidRDefault="004F1996" w:rsidP="00C07D0B">
      <w:pPr>
        <w:spacing w:line="360" w:lineRule="auto"/>
        <w:jc w:val="both"/>
        <w:rPr>
          <w:rFonts w:cstheme="minorHAnsi"/>
          <w:color w:val="000000" w:themeColor="text1"/>
          <w:sz w:val="24"/>
          <w:szCs w:val="24"/>
          <w:shd w:val="clear" w:color="auto" w:fill="FFFFFF"/>
        </w:rPr>
      </w:pPr>
      <w:r w:rsidRPr="00531890">
        <w:rPr>
          <w:rFonts w:cstheme="minorHAnsi"/>
          <w:color w:val="000000" w:themeColor="text1"/>
          <w:sz w:val="24"/>
          <w:szCs w:val="24"/>
          <w:shd w:val="clear" w:color="auto" w:fill="FFFFFF"/>
        </w:rPr>
        <w:t>Malik, M., Sarwar, S., and Orr, S. (2021). Agile practices and performance: Examining the role of psychological empowerment. </w:t>
      </w:r>
      <w:r w:rsidRPr="00531890">
        <w:rPr>
          <w:rFonts w:cstheme="minorHAnsi"/>
          <w:i/>
          <w:iCs/>
          <w:color w:val="000000" w:themeColor="text1"/>
          <w:sz w:val="24"/>
          <w:szCs w:val="24"/>
          <w:shd w:val="clear" w:color="auto" w:fill="FFFFFF"/>
        </w:rPr>
        <w:t>International Journal of Project Management</w:t>
      </w:r>
      <w:r w:rsidRPr="00531890">
        <w:rPr>
          <w:rFonts w:cstheme="minorHAnsi"/>
          <w:color w:val="000000" w:themeColor="text1"/>
          <w:sz w:val="24"/>
          <w:szCs w:val="24"/>
          <w:shd w:val="clear" w:color="auto" w:fill="FFFFFF"/>
        </w:rPr>
        <w:t>, </w:t>
      </w:r>
      <w:r w:rsidRPr="00531890">
        <w:rPr>
          <w:rFonts w:cstheme="minorHAnsi"/>
          <w:i/>
          <w:iCs/>
          <w:color w:val="000000" w:themeColor="text1"/>
          <w:sz w:val="24"/>
          <w:szCs w:val="24"/>
          <w:shd w:val="clear" w:color="auto" w:fill="FFFFFF"/>
        </w:rPr>
        <w:t>39</w:t>
      </w:r>
      <w:r w:rsidRPr="00531890">
        <w:rPr>
          <w:rFonts w:cstheme="minorHAnsi"/>
          <w:color w:val="000000" w:themeColor="text1"/>
          <w:sz w:val="24"/>
          <w:szCs w:val="24"/>
          <w:shd w:val="clear" w:color="auto" w:fill="FFFFFF"/>
        </w:rPr>
        <w:t>(1), 10-20.</w:t>
      </w:r>
    </w:p>
    <w:p w14:paraId="688BB9C3"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Middlehurst, R. (2012). Leadership and management in higher education: A research perspective. </w:t>
      </w:r>
      <w:r w:rsidRPr="00531890">
        <w:rPr>
          <w:rFonts w:cstheme="minorHAnsi"/>
          <w:i/>
          <w:iCs/>
          <w:sz w:val="24"/>
          <w:szCs w:val="24"/>
          <w:shd w:val="clear" w:color="auto" w:fill="FFFFFF"/>
        </w:rPr>
        <w:t>Maastricht School of Management Working Papers</w:t>
      </w:r>
      <w:r w:rsidRPr="00531890">
        <w:rPr>
          <w:rFonts w:cstheme="minorHAnsi"/>
          <w:sz w:val="24"/>
          <w:szCs w:val="24"/>
          <w:shd w:val="clear" w:color="auto" w:fill="FFFFFF"/>
        </w:rPr>
        <w:t>, (2012/47).’</w:t>
      </w:r>
    </w:p>
    <w:p w14:paraId="53625551" w14:textId="77777777" w:rsidR="004F1996" w:rsidRPr="00531890" w:rsidRDefault="004F1996" w:rsidP="00C07D0B">
      <w:pPr>
        <w:spacing w:line="360" w:lineRule="auto"/>
        <w:jc w:val="both"/>
        <w:rPr>
          <w:rFonts w:cstheme="minorHAnsi"/>
          <w:color w:val="000000" w:themeColor="text1"/>
          <w:sz w:val="24"/>
          <w:szCs w:val="24"/>
          <w:shd w:val="clear" w:color="auto" w:fill="FFFFFF"/>
        </w:rPr>
      </w:pPr>
      <w:r w:rsidRPr="00531890">
        <w:rPr>
          <w:rFonts w:cstheme="minorHAnsi"/>
          <w:color w:val="000000" w:themeColor="text1"/>
          <w:sz w:val="24"/>
          <w:szCs w:val="24"/>
          <w:shd w:val="clear" w:color="auto" w:fill="FFFFFF"/>
        </w:rPr>
        <w:t>Morris, T. H. (2020). Experiential learning–a systematic review and revision of Kolb’s model. </w:t>
      </w:r>
      <w:r w:rsidRPr="00531890">
        <w:rPr>
          <w:rFonts w:cstheme="minorHAnsi"/>
          <w:i/>
          <w:iCs/>
          <w:color w:val="000000" w:themeColor="text1"/>
          <w:sz w:val="24"/>
          <w:szCs w:val="24"/>
          <w:shd w:val="clear" w:color="auto" w:fill="FFFFFF"/>
        </w:rPr>
        <w:t>Interactive learning environments</w:t>
      </w:r>
      <w:r w:rsidRPr="00531890">
        <w:rPr>
          <w:rFonts w:cstheme="minorHAnsi"/>
          <w:color w:val="000000" w:themeColor="text1"/>
          <w:sz w:val="24"/>
          <w:szCs w:val="24"/>
          <w:shd w:val="clear" w:color="auto" w:fill="FFFFFF"/>
        </w:rPr>
        <w:t>, </w:t>
      </w:r>
      <w:r w:rsidRPr="00531890">
        <w:rPr>
          <w:rFonts w:cstheme="minorHAnsi"/>
          <w:i/>
          <w:iCs/>
          <w:color w:val="000000" w:themeColor="text1"/>
          <w:sz w:val="24"/>
          <w:szCs w:val="24"/>
          <w:shd w:val="clear" w:color="auto" w:fill="FFFFFF"/>
        </w:rPr>
        <w:t>28</w:t>
      </w:r>
      <w:r w:rsidRPr="00531890">
        <w:rPr>
          <w:rFonts w:cstheme="minorHAnsi"/>
          <w:color w:val="000000" w:themeColor="text1"/>
          <w:sz w:val="24"/>
          <w:szCs w:val="24"/>
          <w:shd w:val="clear" w:color="auto" w:fill="FFFFFF"/>
        </w:rPr>
        <w:t>(8), 1064-1077.</w:t>
      </w:r>
    </w:p>
    <w:p w14:paraId="7E6FD858" w14:textId="77777777" w:rsidR="004F1996" w:rsidRPr="00531890" w:rsidRDefault="004F1996" w:rsidP="00C07D0B">
      <w:pPr>
        <w:spacing w:line="360" w:lineRule="auto"/>
        <w:jc w:val="both"/>
        <w:rPr>
          <w:rFonts w:cstheme="minorHAnsi"/>
          <w:color w:val="000000" w:themeColor="text1"/>
          <w:sz w:val="24"/>
          <w:szCs w:val="24"/>
          <w:shd w:val="clear" w:color="auto" w:fill="FFFFFF"/>
        </w:rPr>
      </w:pPr>
      <w:r w:rsidRPr="00531890">
        <w:rPr>
          <w:rFonts w:cstheme="minorHAnsi"/>
          <w:color w:val="000000" w:themeColor="text1"/>
          <w:sz w:val="24"/>
          <w:szCs w:val="24"/>
          <w:shd w:val="clear" w:color="auto" w:fill="FFFFFF"/>
        </w:rPr>
        <w:t>Mostafa, A. M. S., and Gould-Williams, J. S. (2014). Testing the mediation effect of person–organization fit on the relationship between high performance HR practices and employee outcomes in the Egyptian public sector. </w:t>
      </w:r>
      <w:r w:rsidRPr="00531890">
        <w:rPr>
          <w:rFonts w:cstheme="minorHAnsi"/>
          <w:i/>
          <w:iCs/>
          <w:color w:val="000000" w:themeColor="text1"/>
          <w:sz w:val="24"/>
          <w:szCs w:val="24"/>
          <w:shd w:val="clear" w:color="auto" w:fill="FFFFFF"/>
        </w:rPr>
        <w:t>The International Journal of Human Resource Management</w:t>
      </w:r>
      <w:r w:rsidRPr="00531890">
        <w:rPr>
          <w:rFonts w:cstheme="minorHAnsi"/>
          <w:color w:val="000000" w:themeColor="text1"/>
          <w:sz w:val="24"/>
          <w:szCs w:val="24"/>
          <w:shd w:val="clear" w:color="auto" w:fill="FFFFFF"/>
        </w:rPr>
        <w:t>, </w:t>
      </w:r>
      <w:r w:rsidRPr="00531890">
        <w:rPr>
          <w:rFonts w:cstheme="minorHAnsi"/>
          <w:i/>
          <w:iCs/>
          <w:color w:val="000000" w:themeColor="text1"/>
          <w:sz w:val="24"/>
          <w:szCs w:val="24"/>
          <w:shd w:val="clear" w:color="auto" w:fill="FFFFFF"/>
        </w:rPr>
        <w:t>25</w:t>
      </w:r>
      <w:r w:rsidRPr="00531890">
        <w:rPr>
          <w:rFonts w:cstheme="minorHAnsi"/>
          <w:color w:val="000000" w:themeColor="text1"/>
          <w:sz w:val="24"/>
          <w:szCs w:val="24"/>
          <w:shd w:val="clear" w:color="auto" w:fill="FFFFFF"/>
        </w:rPr>
        <w:t>(2), 276-292.</w:t>
      </w:r>
    </w:p>
    <w:p w14:paraId="23CB9298" w14:textId="77777777" w:rsidR="004F1996" w:rsidRPr="00531890" w:rsidRDefault="004F1996" w:rsidP="00C07D0B">
      <w:pPr>
        <w:spacing w:line="360" w:lineRule="auto"/>
        <w:jc w:val="both"/>
        <w:rPr>
          <w:rFonts w:cstheme="minorHAnsi"/>
          <w:color w:val="000000" w:themeColor="text1"/>
          <w:sz w:val="24"/>
          <w:szCs w:val="24"/>
          <w:shd w:val="clear" w:color="auto" w:fill="FFFFFF"/>
        </w:rPr>
      </w:pPr>
      <w:r w:rsidRPr="00531890">
        <w:rPr>
          <w:rFonts w:cstheme="minorHAnsi"/>
          <w:color w:val="000000" w:themeColor="text1"/>
          <w:sz w:val="24"/>
          <w:szCs w:val="24"/>
          <w:shd w:val="clear" w:color="auto" w:fill="FFFFFF"/>
        </w:rPr>
        <w:t xml:space="preserve">Obiageli, O. L., </w:t>
      </w:r>
      <w:proofErr w:type="spellStart"/>
      <w:r w:rsidRPr="00531890">
        <w:rPr>
          <w:rFonts w:cstheme="minorHAnsi"/>
          <w:color w:val="000000" w:themeColor="text1"/>
          <w:sz w:val="24"/>
          <w:szCs w:val="24"/>
          <w:shd w:val="clear" w:color="auto" w:fill="FFFFFF"/>
        </w:rPr>
        <w:t>Uzochukwu</w:t>
      </w:r>
      <w:proofErr w:type="spellEnd"/>
      <w:r w:rsidRPr="00531890">
        <w:rPr>
          <w:rFonts w:cstheme="minorHAnsi"/>
          <w:color w:val="000000" w:themeColor="text1"/>
          <w:sz w:val="24"/>
          <w:szCs w:val="24"/>
          <w:shd w:val="clear" w:color="auto" w:fill="FFFFFF"/>
        </w:rPr>
        <w:t>, O. C., and Ngozi, C. D. (2015). Work-life balance and employee performance in selected commercial banks in Lagos State. </w:t>
      </w:r>
      <w:r w:rsidRPr="00531890">
        <w:rPr>
          <w:rFonts w:cstheme="minorHAnsi"/>
          <w:i/>
          <w:iCs/>
          <w:color w:val="000000" w:themeColor="text1"/>
          <w:sz w:val="24"/>
          <w:szCs w:val="24"/>
          <w:shd w:val="clear" w:color="auto" w:fill="FFFFFF"/>
        </w:rPr>
        <w:t>European journal of research and reflection in management sciences</w:t>
      </w:r>
      <w:r w:rsidRPr="00531890">
        <w:rPr>
          <w:rFonts w:cstheme="minorHAnsi"/>
          <w:color w:val="000000" w:themeColor="text1"/>
          <w:sz w:val="24"/>
          <w:szCs w:val="24"/>
          <w:shd w:val="clear" w:color="auto" w:fill="FFFFFF"/>
        </w:rPr>
        <w:t>, </w:t>
      </w:r>
      <w:r w:rsidRPr="00531890">
        <w:rPr>
          <w:rFonts w:cstheme="minorHAnsi"/>
          <w:i/>
          <w:iCs/>
          <w:color w:val="000000" w:themeColor="text1"/>
          <w:sz w:val="24"/>
          <w:szCs w:val="24"/>
          <w:shd w:val="clear" w:color="auto" w:fill="FFFFFF"/>
        </w:rPr>
        <w:t>3</w:t>
      </w:r>
      <w:r w:rsidRPr="00531890">
        <w:rPr>
          <w:rFonts w:cstheme="minorHAnsi"/>
          <w:color w:val="000000" w:themeColor="text1"/>
          <w:sz w:val="24"/>
          <w:szCs w:val="24"/>
          <w:shd w:val="clear" w:color="auto" w:fill="FFFFFF"/>
        </w:rPr>
        <w:t>(4).</w:t>
      </w:r>
    </w:p>
    <w:p w14:paraId="53C396FA" w14:textId="77777777" w:rsidR="004F1996" w:rsidRPr="00531890" w:rsidRDefault="004F1996" w:rsidP="00C07D0B">
      <w:pPr>
        <w:spacing w:line="360" w:lineRule="auto"/>
        <w:jc w:val="both"/>
        <w:rPr>
          <w:rFonts w:cstheme="minorHAnsi"/>
          <w:color w:val="000000" w:themeColor="text1"/>
          <w:sz w:val="24"/>
          <w:szCs w:val="24"/>
        </w:rPr>
      </w:pPr>
      <w:r w:rsidRPr="00531890">
        <w:rPr>
          <w:rFonts w:cstheme="minorHAnsi"/>
          <w:color w:val="000000" w:themeColor="text1"/>
          <w:sz w:val="24"/>
          <w:szCs w:val="24"/>
          <w:shd w:val="clear" w:color="auto" w:fill="FFFFFF"/>
        </w:rPr>
        <w:t xml:space="preserve">Poore, J. A., Cullen, D. L., </w:t>
      </w:r>
      <w:r>
        <w:rPr>
          <w:rFonts w:cstheme="minorHAnsi"/>
          <w:color w:val="000000" w:themeColor="text1"/>
          <w:sz w:val="24"/>
          <w:szCs w:val="24"/>
          <w:shd w:val="clear" w:color="auto" w:fill="FFFFFF"/>
        </w:rPr>
        <w:t>and</w:t>
      </w:r>
      <w:r w:rsidRPr="00531890">
        <w:rPr>
          <w:rFonts w:cstheme="minorHAnsi"/>
          <w:color w:val="000000" w:themeColor="text1"/>
          <w:sz w:val="24"/>
          <w:szCs w:val="24"/>
          <w:shd w:val="clear" w:color="auto" w:fill="FFFFFF"/>
        </w:rPr>
        <w:t xml:space="preserve"> Schaar, G. L. (2014). Simulation-based interprofessional education guided by Kolb's experiential learning theory. </w:t>
      </w:r>
      <w:r w:rsidRPr="00531890">
        <w:rPr>
          <w:rFonts w:cstheme="minorHAnsi"/>
          <w:i/>
          <w:iCs/>
          <w:color w:val="000000" w:themeColor="text1"/>
          <w:sz w:val="24"/>
          <w:szCs w:val="24"/>
          <w:shd w:val="clear" w:color="auto" w:fill="FFFFFF"/>
        </w:rPr>
        <w:t>Clinical Simulation in Nursing</w:t>
      </w:r>
      <w:r w:rsidRPr="00531890">
        <w:rPr>
          <w:rFonts w:cstheme="minorHAnsi"/>
          <w:color w:val="000000" w:themeColor="text1"/>
          <w:sz w:val="24"/>
          <w:szCs w:val="24"/>
          <w:shd w:val="clear" w:color="auto" w:fill="FFFFFF"/>
        </w:rPr>
        <w:t>, </w:t>
      </w:r>
      <w:r w:rsidRPr="00531890">
        <w:rPr>
          <w:rFonts w:cstheme="minorHAnsi"/>
          <w:i/>
          <w:iCs/>
          <w:color w:val="000000" w:themeColor="text1"/>
          <w:sz w:val="24"/>
          <w:szCs w:val="24"/>
          <w:shd w:val="clear" w:color="auto" w:fill="FFFFFF"/>
        </w:rPr>
        <w:t>10</w:t>
      </w:r>
      <w:r w:rsidRPr="00531890">
        <w:rPr>
          <w:rFonts w:cstheme="minorHAnsi"/>
          <w:color w:val="000000" w:themeColor="text1"/>
          <w:sz w:val="24"/>
          <w:szCs w:val="24"/>
          <w:shd w:val="clear" w:color="auto" w:fill="FFFFFF"/>
        </w:rPr>
        <w:t>(5), e241-e247.</w:t>
      </w:r>
    </w:p>
    <w:p w14:paraId="1183D2C9"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Renz, D. O. (2016). </w:t>
      </w:r>
      <w:r w:rsidRPr="00531890">
        <w:rPr>
          <w:rFonts w:cstheme="minorHAnsi"/>
          <w:i/>
          <w:iCs/>
          <w:sz w:val="24"/>
          <w:szCs w:val="24"/>
          <w:shd w:val="clear" w:color="auto" w:fill="FFFFFF"/>
        </w:rPr>
        <w:t>The Jossey-Bass handbook of nonprofit leadership and management</w:t>
      </w:r>
      <w:r w:rsidRPr="00531890">
        <w:rPr>
          <w:rFonts w:cstheme="minorHAnsi"/>
          <w:sz w:val="24"/>
          <w:szCs w:val="24"/>
          <w:shd w:val="clear" w:color="auto" w:fill="FFFFFF"/>
        </w:rPr>
        <w:t>. John Wiley and Sons.</w:t>
      </w:r>
    </w:p>
    <w:p w14:paraId="093A13F5"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 xml:space="preserve">Royle, T., and Rueckert, Y. (2022). </w:t>
      </w:r>
      <w:proofErr w:type="spellStart"/>
      <w:r w:rsidRPr="00531890">
        <w:rPr>
          <w:rFonts w:cstheme="minorHAnsi"/>
          <w:sz w:val="24"/>
          <w:szCs w:val="24"/>
          <w:shd w:val="clear" w:color="auto" w:fill="FFFFFF"/>
        </w:rPr>
        <w:t>McStrike</w:t>
      </w:r>
      <w:proofErr w:type="spellEnd"/>
      <w:r w:rsidRPr="00531890">
        <w:rPr>
          <w:rFonts w:cstheme="minorHAnsi"/>
          <w:sz w:val="24"/>
          <w:szCs w:val="24"/>
          <w:shd w:val="clear" w:color="auto" w:fill="FFFFFF"/>
        </w:rPr>
        <w:t>! Framing,(political) opportunity and the development of a collective identity: McDonald’s and the UK Fast-Food Rights Campaign. </w:t>
      </w:r>
      <w:r w:rsidRPr="00531890">
        <w:rPr>
          <w:rFonts w:cstheme="minorHAnsi"/>
          <w:i/>
          <w:iCs/>
          <w:sz w:val="24"/>
          <w:szCs w:val="24"/>
          <w:shd w:val="clear" w:color="auto" w:fill="FFFFFF"/>
        </w:rPr>
        <w:t>Work, Employment and Society</w:t>
      </w:r>
      <w:r w:rsidRPr="00531890">
        <w:rPr>
          <w:rFonts w:cstheme="minorHAnsi"/>
          <w:sz w:val="24"/>
          <w:szCs w:val="24"/>
          <w:shd w:val="clear" w:color="auto" w:fill="FFFFFF"/>
        </w:rPr>
        <w:t>, </w:t>
      </w:r>
      <w:r w:rsidRPr="00531890">
        <w:rPr>
          <w:rFonts w:cstheme="minorHAnsi"/>
          <w:i/>
          <w:iCs/>
          <w:sz w:val="24"/>
          <w:szCs w:val="24"/>
          <w:shd w:val="clear" w:color="auto" w:fill="FFFFFF"/>
        </w:rPr>
        <w:t>36</w:t>
      </w:r>
      <w:r w:rsidRPr="00531890">
        <w:rPr>
          <w:rFonts w:cstheme="minorHAnsi"/>
          <w:sz w:val="24"/>
          <w:szCs w:val="24"/>
          <w:shd w:val="clear" w:color="auto" w:fill="FFFFFF"/>
        </w:rPr>
        <w:t>(3), 407-426.</w:t>
      </w:r>
    </w:p>
    <w:bookmarkEnd w:id="9"/>
    <w:p w14:paraId="141C548E" w14:textId="77777777" w:rsidR="004F1996" w:rsidRPr="00531890" w:rsidRDefault="004F1996" w:rsidP="00C07D0B">
      <w:pPr>
        <w:spacing w:line="360" w:lineRule="auto"/>
        <w:jc w:val="both"/>
        <w:rPr>
          <w:rFonts w:cstheme="minorHAnsi"/>
          <w:color w:val="000000" w:themeColor="text1"/>
          <w:sz w:val="24"/>
          <w:szCs w:val="24"/>
          <w:shd w:val="clear" w:color="auto" w:fill="FFFFFF"/>
        </w:rPr>
      </w:pPr>
      <w:proofErr w:type="spellStart"/>
      <w:r w:rsidRPr="00531890">
        <w:rPr>
          <w:rFonts w:cstheme="minorHAnsi"/>
          <w:color w:val="000000" w:themeColor="text1"/>
          <w:sz w:val="24"/>
          <w:szCs w:val="24"/>
          <w:shd w:val="clear" w:color="auto" w:fill="FFFFFF"/>
        </w:rPr>
        <w:t>Sabuhari</w:t>
      </w:r>
      <w:proofErr w:type="spellEnd"/>
      <w:r w:rsidRPr="00531890">
        <w:rPr>
          <w:rFonts w:cstheme="minorHAnsi"/>
          <w:color w:val="000000" w:themeColor="text1"/>
          <w:sz w:val="24"/>
          <w:szCs w:val="24"/>
          <w:shd w:val="clear" w:color="auto" w:fill="FFFFFF"/>
        </w:rPr>
        <w:t xml:space="preserve">, R., </w:t>
      </w:r>
      <w:proofErr w:type="spellStart"/>
      <w:r w:rsidRPr="00531890">
        <w:rPr>
          <w:rFonts w:cstheme="minorHAnsi"/>
          <w:color w:val="000000" w:themeColor="text1"/>
          <w:sz w:val="24"/>
          <w:szCs w:val="24"/>
          <w:shd w:val="clear" w:color="auto" w:fill="FFFFFF"/>
        </w:rPr>
        <w:t>Sudiro</w:t>
      </w:r>
      <w:proofErr w:type="spellEnd"/>
      <w:r w:rsidRPr="00531890">
        <w:rPr>
          <w:rFonts w:cstheme="minorHAnsi"/>
          <w:color w:val="000000" w:themeColor="text1"/>
          <w:sz w:val="24"/>
          <w:szCs w:val="24"/>
          <w:shd w:val="clear" w:color="auto" w:fill="FFFFFF"/>
        </w:rPr>
        <w:t xml:space="preserve">, A., </w:t>
      </w:r>
      <w:proofErr w:type="spellStart"/>
      <w:r w:rsidRPr="00531890">
        <w:rPr>
          <w:rFonts w:cstheme="minorHAnsi"/>
          <w:color w:val="000000" w:themeColor="text1"/>
          <w:sz w:val="24"/>
          <w:szCs w:val="24"/>
          <w:shd w:val="clear" w:color="auto" w:fill="FFFFFF"/>
        </w:rPr>
        <w:t>Irawanto</w:t>
      </w:r>
      <w:proofErr w:type="spellEnd"/>
      <w:r w:rsidRPr="00531890">
        <w:rPr>
          <w:rFonts w:cstheme="minorHAnsi"/>
          <w:color w:val="000000" w:themeColor="text1"/>
          <w:sz w:val="24"/>
          <w:szCs w:val="24"/>
          <w:shd w:val="clear" w:color="auto" w:fill="FFFFFF"/>
        </w:rPr>
        <w:t>, D., and Rahayu, M. (2020). The effects of human resource flexibility, employee competency, organizational culture adaptation and job satisfaction on employee performance. </w:t>
      </w:r>
      <w:r w:rsidRPr="00531890">
        <w:rPr>
          <w:rFonts w:cstheme="minorHAnsi"/>
          <w:i/>
          <w:iCs/>
          <w:color w:val="000000" w:themeColor="text1"/>
          <w:sz w:val="24"/>
          <w:szCs w:val="24"/>
          <w:shd w:val="clear" w:color="auto" w:fill="FFFFFF"/>
        </w:rPr>
        <w:t>Management Science Letters</w:t>
      </w:r>
      <w:r w:rsidRPr="00531890">
        <w:rPr>
          <w:rFonts w:cstheme="minorHAnsi"/>
          <w:color w:val="000000" w:themeColor="text1"/>
          <w:sz w:val="24"/>
          <w:szCs w:val="24"/>
          <w:shd w:val="clear" w:color="auto" w:fill="FFFFFF"/>
        </w:rPr>
        <w:t>, </w:t>
      </w:r>
      <w:r w:rsidRPr="00531890">
        <w:rPr>
          <w:rFonts w:cstheme="minorHAnsi"/>
          <w:i/>
          <w:iCs/>
          <w:color w:val="000000" w:themeColor="text1"/>
          <w:sz w:val="24"/>
          <w:szCs w:val="24"/>
          <w:shd w:val="clear" w:color="auto" w:fill="FFFFFF"/>
        </w:rPr>
        <w:t>10</w:t>
      </w:r>
      <w:r w:rsidRPr="00531890">
        <w:rPr>
          <w:rFonts w:cstheme="minorHAnsi"/>
          <w:color w:val="000000" w:themeColor="text1"/>
          <w:sz w:val="24"/>
          <w:szCs w:val="24"/>
          <w:shd w:val="clear" w:color="auto" w:fill="FFFFFF"/>
        </w:rPr>
        <w:t>(8), 1775-1786.</w:t>
      </w:r>
    </w:p>
    <w:p w14:paraId="1DE4880E" w14:textId="77777777" w:rsidR="004F1996" w:rsidRPr="00531890" w:rsidRDefault="004F1996" w:rsidP="00C07D0B">
      <w:pPr>
        <w:spacing w:line="360" w:lineRule="auto"/>
        <w:jc w:val="both"/>
        <w:rPr>
          <w:rFonts w:cstheme="minorHAnsi"/>
          <w:color w:val="000000" w:themeColor="text1"/>
          <w:sz w:val="24"/>
          <w:szCs w:val="24"/>
          <w:shd w:val="clear" w:color="auto" w:fill="FFFFFF"/>
        </w:rPr>
      </w:pPr>
      <w:r w:rsidRPr="00531890">
        <w:rPr>
          <w:rFonts w:cstheme="minorHAnsi"/>
          <w:color w:val="000000" w:themeColor="text1"/>
          <w:sz w:val="24"/>
          <w:szCs w:val="24"/>
          <w:shd w:val="clear" w:color="auto" w:fill="FFFFFF"/>
        </w:rPr>
        <w:t>Shields, J., Brown, M., Kaine, S., Dolle-Samuel, C., North-Samardzic, A., McLean, P., ... and Robinson, J. (2015). </w:t>
      </w:r>
      <w:r w:rsidRPr="00531890">
        <w:rPr>
          <w:rFonts w:cstheme="minorHAnsi"/>
          <w:i/>
          <w:iCs/>
          <w:color w:val="000000" w:themeColor="text1"/>
          <w:sz w:val="24"/>
          <w:szCs w:val="24"/>
          <w:shd w:val="clear" w:color="auto" w:fill="FFFFFF"/>
        </w:rPr>
        <w:t>Managing employee performance and reward: Concepts, practices, strategies</w:t>
      </w:r>
      <w:r w:rsidRPr="00531890">
        <w:rPr>
          <w:rFonts w:cstheme="minorHAnsi"/>
          <w:color w:val="000000" w:themeColor="text1"/>
          <w:sz w:val="24"/>
          <w:szCs w:val="24"/>
          <w:shd w:val="clear" w:color="auto" w:fill="FFFFFF"/>
        </w:rPr>
        <w:t>. Cambridge University Press.</w:t>
      </w:r>
    </w:p>
    <w:p w14:paraId="63444AF7"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Stacey, R. (2012). </w:t>
      </w:r>
      <w:r w:rsidRPr="00531890">
        <w:rPr>
          <w:rFonts w:cstheme="minorHAnsi"/>
          <w:i/>
          <w:iCs/>
          <w:sz w:val="24"/>
          <w:szCs w:val="24"/>
          <w:shd w:val="clear" w:color="auto" w:fill="FFFFFF"/>
        </w:rPr>
        <w:t>Tools and techniques of leadership and management: Meeting the challenge of complexity</w:t>
      </w:r>
      <w:r w:rsidRPr="00531890">
        <w:rPr>
          <w:rFonts w:cstheme="minorHAnsi"/>
          <w:sz w:val="24"/>
          <w:szCs w:val="24"/>
          <w:shd w:val="clear" w:color="auto" w:fill="FFFFFF"/>
        </w:rPr>
        <w:t>. Routledge.</w:t>
      </w:r>
    </w:p>
    <w:p w14:paraId="4DFCC351" w14:textId="77777777" w:rsidR="004F1996" w:rsidRPr="00531890" w:rsidRDefault="004F1996" w:rsidP="00C07D0B">
      <w:pPr>
        <w:spacing w:line="360" w:lineRule="auto"/>
        <w:jc w:val="both"/>
        <w:rPr>
          <w:rFonts w:cstheme="minorHAnsi"/>
          <w:sz w:val="24"/>
          <w:szCs w:val="24"/>
          <w:shd w:val="clear" w:color="auto" w:fill="FFFFFF"/>
        </w:rPr>
      </w:pPr>
      <w:r w:rsidRPr="00531890">
        <w:rPr>
          <w:rFonts w:cstheme="minorHAnsi"/>
          <w:sz w:val="24"/>
          <w:szCs w:val="24"/>
          <w:shd w:val="clear" w:color="auto" w:fill="FFFFFF"/>
        </w:rPr>
        <w:t>Tien, N. H. (2019). Customization and Standardization of the Business Strategy of Foreign Enterprises in Vietnam: The McDonald’s case and the fast-food sector. </w:t>
      </w:r>
      <w:r w:rsidRPr="00531890">
        <w:rPr>
          <w:rFonts w:cstheme="minorHAnsi"/>
          <w:i/>
          <w:iCs/>
          <w:sz w:val="24"/>
          <w:szCs w:val="24"/>
          <w:shd w:val="clear" w:color="auto" w:fill="FFFFFF"/>
        </w:rPr>
        <w:t>International journal of research in marketing management and sales</w:t>
      </w:r>
      <w:r w:rsidRPr="00531890">
        <w:rPr>
          <w:rFonts w:cstheme="minorHAnsi"/>
          <w:sz w:val="24"/>
          <w:szCs w:val="24"/>
          <w:shd w:val="clear" w:color="auto" w:fill="FFFFFF"/>
        </w:rPr>
        <w:t>, </w:t>
      </w:r>
      <w:r w:rsidRPr="00531890">
        <w:rPr>
          <w:rFonts w:cstheme="minorHAnsi"/>
          <w:i/>
          <w:iCs/>
          <w:sz w:val="24"/>
          <w:szCs w:val="24"/>
          <w:shd w:val="clear" w:color="auto" w:fill="FFFFFF"/>
        </w:rPr>
        <w:t>1</w:t>
      </w:r>
      <w:r w:rsidRPr="00531890">
        <w:rPr>
          <w:rFonts w:cstheme="minorHAnsi"/>
          <w:sz w:val="24"/>
          <w:szCs w:val="24"/>
          <w:shd w:val="clear" w:color="auto" w:fill="FFFFFF"/>
        </w:rPr>
        <w:t>(2), 44-50.</w:t>
      </w:r>
    </w:p>
    <w:sectPr w:rsidR="004F1996" w:rsidRPr="00531890" w:rsidSect="00CD19E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23636" w14:textId="77777777" w:rsidR="00D37C1E" w:rsidRDefault="00D37C1E" w:rsidP="00B5021B">
      <w:pPr>
        <w:spacing w:after="0" w:line="240" w:lineRule="auto"/>
      </w:pPr>
      <w:r>
        <w:separator/>
      </w:r>
    </w:p>
  </w:endnote>
  <w:endnote w:type="continuationSeparator" w:id="0">
    <w:p w14:paraId="1E12493A" w14:textId="77777777" w:rsidR="00D37C1E" w:rsidRDefault="00D37C1E" w:rsidP="00B50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348620"/>
      <w:docPartObj>
        <w:docPartGallery w:val="Page Numbers (Bottom of Page)"/>
        <w:docPartUnique/>
      </w:docPartObj>
    </w:sdtPr>
    <w:sdtEndPr>
      <w:rPr>
        <w:noProof/>
      </w:rPr>
    </w:sdtEndPr>
    <w:sdtContent>
      <w:p w14:paraId="737C427E" w14:textId="54972442" w:rsidR="00B5021B" w:rsidRDefault="00B502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4BEDC8" w14:textId="77777777" w:rsidR="00B5021B" w:rsidRDefault="00B50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ADE52" w14:textId="77777777" w:rsidR="00D37C1E" w:rsidRDefault="00D37C1E" w:rsidP="00B5021B">
      <w:pPr>
        <w:spacing w:after="0" w:line="240" w:lineRule="auto"/>
      </w:pPr>
      <w:r>
        <w:separator/>
      </w:r>
    </w:p>
  </w:footnote>
  <w:footnote w:type="continuationSeparator" w:id="0">
    <w:p w14:paraId="154FA12D" w14:textId="77777777" w:rsidR="00D37C1E" w:rsidRDefault="00D37C1E" w:rsidP="00B502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14E"/>
    <w:rsid w:val="000114B7"/>
    <w:rsid w:val="0004336C"/>
    <w:rsid w:val="000B016D"/>
    <w:rsid w:val="000D4898"/>
    <w:rsid w:val="000F4197"/>
    <w:rsid w:val="00176216"/>
    <w:rsid w:val="001B683E"/>
    <w:rsid w:val="00205F24"/>
    <w:rsid w:val="002A51BC"/>
    <w:rsid w:val="002B11C2"/>
    <w:rsid w:val="002D3021"/>
    <w:rsid w:val="00320EBB"/>
    <w:rsid w:val="003448FE"/>
    <w:rsid w:val="003A1152"/>
    <w:rsid w:val="003C514E"/>
    <w:rsid w:val="003F5D80"/>
    <w:rsid w:val="00445743"/>
    <w:rsid w:val="0047521D"/>
    <w:rsid w:val="00476340"/>
    <w:rsid w:val="0048103E"/>
    <w:rsid w:val="004D0D50"/>
    <w:rsid w:val="004D44D2"/>
    <w:rsid w:val="004E7C6C"/>
    <w:rsid w:val="004F1996"/>
    <w:rsid w:val="006F4FF6"/>
    <w:rsid w:val="0072625A"/>
    <w:rsid w:val="007F59D2"/>
    <w:rsid w:val="00825F34"/>
    <w:rsid w:val="008268B4"/>
    <w:rsid w:val="00843AB9"/>
    <w:rsid w:val="008F156F"/>
    <w:rsid w:val="00914E3A"/>
    <w:rsid w:val="00915BF6"/>
    <w:rsid w:val="009301EB"/>
    <w:rsid w:val="00965188"/>
    <w:rsid w:val="009D7067"/>
    <w:rsid w:val="00A233EA"/>
    <w:rsid w:val="00A306D2"/>
    <w:rsid w:val="00A4467E"/>
    <w:rsid w:val="00A63A03"/>
    <w:rsid w:val="00B23ECB"/>
    <w:rsid w:val="00B5021B"/>
    <w:rsid w:val="00BA2A58"/>
    <w:rsid w:val="00BD0BF9"/>
    <w:rsid w:val="00C07D0B"/>
    <w:rsid w:val="00C14F1B"/>
    <w:rsid w:val="00C25F7E"/>
    <w:rsid w:val="00C57D5E"/>
    <w:rsid w:val="00CA4FE0"/>
    <w:rsid w:val="00CD19EB"/>
    <w:rsid w:val="00D37C1E"/>
    <w:rsid w:val="00D44017"/>
    <w:rsid w:val="00D479B7"/>
    <w:rsid w:val="00D81EA7"/>
    <w:rsid w:val="00D844BF"/>
    <w:rsid w:val="00DE4AFA"/>
    <w:rsid w:val="00E01A67"/>
    <w:rsid w:val="00E37FAF"/>
    <w:rsid w:val="00E76396"/>
    <w:rsid w:val="00EF2334"/>
    <w:rsid w:val="00F47B1C"/>
    <w:rsid w:val="00F47F12"/>
    <w:rsid w:val="00F52AF1"/>
    <w:rsid w:val="00FA417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3B401E"/>
  <w15:chartTrackingRefBased/>
  <w15:docId w15:val="{747F21F9-43F7-40AC-ABF8-7D2744FA5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C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7C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7D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C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7C6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57D5E"/>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7639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05F24"/>
    <w:pPr>
      <w:outlineLvl w:val="9"/>
    </w:pPr>
    <w:rPr>
      <w:kern w:val="0"/>
      <w:lang w:val="en-US"/>
      <w14:ligatures w14:val="none"/>
    </w:rPr>
  </w:style>
  <w:style w:type="paragraph" w:styleId="TOC1">
    <w:name w:val="toc 1"/>
    <w:basedOn w:val="Normal"/>
    <w:next w:val="Normal"/>
    <w:autoRedefine/>
    <w:uiPriority w:val="39"/>
    <w:unhideWhenUsed/>
    <w:rsid w:val="00205F24"/>
    <w:pPr>
      <w:spacing w:after="100"/>
    </w:pPr>
  </w:style>
  <w:style w:type="paragraph" w:styleId="TOC2">
    <w:name w:val="toc 2"/>
    <w:basedOn w:val="Normal"/>
    <w:next w:val="Normal"/>
    <w:autoRedefine/>
    <w:uiPriority w:val="39"/>
    <w:unhideWhenUsed/>
    <w:rsid w:val="00205F24"/>
    <w:pPr>
      <w:spacing w:after="100"/>
      <w:ind w:left="220"/>
    </w:pPr>
  </w:style>
  <w:style w:type="paragraph" w:styleId="TOC3">
    <w:name w:val="toc 3"/>
    <w:basedOn w:val="Normal"/>
    <w:next w:val="Normal"/>
    <w:autoRedefine/>
    <w:uiPriority w:val="39"/>
    <w:unhideWhenUsed/>
    <w:rsid w:val="00205F24"/>
    <w:pPr>
      <w:spacing w:after="100"/>
      <w:ind w:left="440"/>
    </w:pPr>
  </w:style>
  <w:style w:type="character" w:styleId="Hyperlink">
    <w:name w:val="Hyperlink"/>
    <w:basedOn w:val="DefaultParagraphFont"/>
    <w:uiPriority w:val="99"/>
    <w:unhideWhenUsed/>
    <w:rsid w:val="00205F24"/>
    <w:rPr>
      <w:color w:val="0563C1" w:themeColor="hyperlink"/>
      <w:u w:val="single"/>
    </w:rPr>
  </w:style>
  <w:style w:type="paragraph" w:styleId="Header">
    <w:name w:val="header"/>
    <w:basedOn w:val="Normal"/>
    <w:link w:val="HeaderChar"/>
    <w:uiPriority w:val="99"/>
    <w:unhideWhenUsed/>
    <w:rsid w:val="00B50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21B"/>
  </w:style>
  <w:style w:type="paragraph" w:styleId="Footer">
    <w:name w:val="footer"/>
    <w:basedOn w:val="Normal"/>
    <w:link w:val="FooterChar"/>
    <w:uiPriority w:val="99"/>
    <w:unhideWhenUsed/>
    <w:rsid w:val="00B50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2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699283">
      <w:bodyDiv w:val="1"/>
      <w:marLeft w:val="0"/>
      <w:marRight w:val="0"/>
      <w:marTop w:val="0"/>
      <w:marBottom w:val="0"/>
      <w:divBdr>
        <w:top w:val="none" w:sz="0" w:space="0" w:color="auto"/>
        <w:left w:val="none" w:sz="0" w:space="0" w:color="auto"/>
        <w:bottom w:val="none" w:sz="0" w:space="0" w:color="auto"/>
        <w:right w:val="none" w:sz="0" w:space="0" w:color="auto"/>
      </w:divBdr>
      <w:divsChild>
        <w:div w:id="1710298207">
          <w:marLeft w:val="0"/>
          <w:marRight w:val="0"/>
          <w:marTop w:val="0"/>
          <w:marBottom w:val="0"/>
          <w:divBdr>
            <w:top w:val="single" w:sz="2" w:space="0" w:color="D9D9E3"/>
            <w:left w:val="single" w:sz="2" w:space="0" w:color="D9D9E3"/>
            <w:bottom w:val="single" w:sz="2" w:space="0" w:color="D9D9E3"/>
            <w:right w:val="single" w:sz="2" w:space="0" w:color="D9D9E3"/>
          </w:divBdr>
          <w:divsChild>
            <w:div w:id="162673727">
              <w:marLeft w:val="0"/>
              <w:marRight w:val="0"/>
              <w:marTop w:val="0"/>
              <w:marBottom w:val="0"/>
              <w:divBdr>
                <w:top w:val="single" w:sz="2" w:space="0" w:color="D9D9E3"/>
                <w:left w:val="single" w:sz="2" w:space="0" w:color="D9D9E3"/>
                <w:bottom w:val="single" w:sz="2" w:space="0" w:color="D9D9E3"/>
                <w:right w:val="single" w:sz="2" w:space="0" w:color="D9D9E3"/>
              </w:divBdr>
              <w:divsChild>
                <w:div w:id="246154731">
                  <w:marLeft w:val="0"/>
                  <w:marRight w:val="0"/>
                  <w:marTop w:val="0"/>
                  <w:marBottom w:val="0"/>
                  <w:divBdr>
                    <w:top w:val="single" w:sz="2" w:space="0" w:color="D9D9E3"/>
                    <w:left w:val="single" w:sz="2" w:space="0" w:color="D9D9E3"/>
                    <w:bottom w:val="single" w:sz="2" w:space="0" w:color="D9D9E3"/>
                    <w:right w:val="single" w:sz="2" w:space="0" w:color="D9D9E3"/>
                  </w:divBdr>
                  <w:divsChild>
                    <w:div w:id="1658074556">
                      <w:marLeft w:val="0"/>
                      <w:marRight w:val="0"/>
                      <w:marTop w:val="0"/>
                      <w:marBottom w:val="0"/>
                      <w:divBdr>
                        <w:top w:val="single" w:sz="2" w:space="0" w:color="D9D9E3"/>
                        <w:left w:val="single" w:sz="2" w:space="0" w:color="D9D9E3"/>
                        <w:bottom w:val="single" w:sz="2" w:space="0" w:color="D9D9E3"/>
                        <w:right w:val="single" w:sz="2" w:space="0" w:color="D9D9E3"/>
                      </w:divBdr>
                      <w:divsChild>
                        <w:div w:id="1193806214">
                          <w:marLeft w:val="0"/>
                          <w:marRight w:val="0"/>
                          <w:marTop w:val="0"/>
                          <w:marBottom w:val="0"/>
                          <w:divBdr>
                            <w:top w:val="single" w:sz="2" w:space="0" w:color="auto"/>
                            <w:left w:val="single" w:sz="2" w:space="0" w:color="auto"/>
                            <w:bottom w:val="single" w:sz="6" w:space="0" w:color="auto"/>
                            <w:right w:val="single" w:sz="2" w:space="0" w:color="auto"/>
                          </w:divBdr>
                          <w:divsChild>
                            <w:div w:id="12501130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432780">
                                  <w:marLeft w:val="0"/>
                                  <w:marRight w:val="0"/>
                                  <w:marTop w:val="0"/>
                                  <w:marBottom w:val="0"/>
                                  <w:divBdr>
                                    <w:top w:val="single" w:sz="2" w:space="0" w:color="D9D9E3"/>
                                    <w:left w:val="single" w:sz="2" w:space="0" w:color="D9D9E3"/>
                                    <w:bottom w:val="single" w:sz="2" w:space="0" w:color="D9D9E3"/>
                                    <w:right w:val="single" w:sz="2" w:space="0" w:color="D9D9E3"/>
                                  </w:divBdr>
                                  <w:divsChild>
                                    <w:div w:id="266617620">
                                      <w:marLeft w:val="0"/>
                                      <w:marRight w:val="0"/>
                                      <w:marTop w:val="0"/>
                                      <w:marBottom w:val="0"/>
                                      <w:divBdr>
                                        <w:top w:val="single" w:sz="2" w:space="0" w:color="D9D9E3"/>
                                        <w:left w:val="single" w:sz="2" w:space="0" w:color="D9D9E3"/>
                                        <w:bottom w:val="single" w:sz="2" w:space="0" w:color="D9D9E3"/>
                                        <w:right w:val="single" w:sz="2" w:space="0" w:color="D9D9E3"/>
                                      </w:divBdr>
                                      <w:divsChild>
                                        <w:div w:id="437219246">
                                          <w:marLeft w:val="0"/>
                                          <w:marRight w:val="0"/>
                                          <w:marTop w:val="0"/>
                                          <w:marBottom w:val="0"/>
                                          <w:divBdr>
                                            <w:top w:val="single" w:sz="2" w:space="0" w:color="D9D9E3"/>
                                            <w:left w:val="single" w:sz="2" w:space="0" w:color="D9D9E3"/>
                                            <w:bottom w:val="single" w:sz="2" w:space="0" w:color="D9D9E3"/>
                                            <w:right w:val="single" w:sz="2" w:space="0" w:color="D9D9E3"/>
                                          </w:divBdr>
                                          <w:divsChild>
                                            <w:div w:id="1898324244">
                                              <w:marLeft w:val="0"/>
                                              <w:marRight w:val="0"/>
                                              <w:marTop w:val="0"/>
                                              <w:marBottom w:val="0"/>
                                              <w:divBdr>
                                                <w:top w:val="single" w:sz="2" w:space="0" w:color="D9D9E3"/>
                                                <w:left w:val="single" w:sz="2" w:space="0" w:color="D9D9E3"/>
                                                <w:bottom w:val="single" w:sz="2" w:space="0" w:color="D9D9E3"/>
                                                <w:right w:val="single" w:sz="2" w:space="0" w:color="D9D9E3"/>
                                              </w:divBdr>
                                              <w:divsChild>
                                                <w:div w:id="254439041">
                                                  <w:marLeft w:val="0"/>
                                                  <w:marRight w:val="0"/>
                                                  <w:marTop w:val="0"/>
                                                  <w:marBottom w:val="0"/>
                                                  <w:divBdr>
                                                    <w:top w:val="single" w:sz="2" w:space="0" w:color="D9D9E3"/>
                                                    <w:left w:val="single" w:sz="2" w:space="0" w:color="D9D9E3"/>
                                                    <w:bottom w:val="single" w:sz="2" w:space="0" w:color="D9D9E3"/>
                                                    <w:right w:val="single" w:sz="2" w:space="0" w:color="D9D9E3"/>
                                                  </w:divBdr>
                                                  <w:divsChild>
                                                    <w:div w:id="13308688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40212207">
          <w:marLeft w:val="0"/>
          <w:marRight w:val="0"/>
          <w:marTop w:val="0"/>
          <w:marBottom w:val="0"/>
          <w:divBdr>
            <w:top w:val="none" w:sz="0" w:space="0" w:color="auto"/>
            <w:left w:val="none" w:sz="0" w:space="0" w:color="auto"/>
            <w:bottom w:val="none" w:sz="0" w:space="0" w:color="auto"/>
            <w:right w:val="none" w:sz="0" w:space="0" w:color="auto"/>
          </w:divBdr>
        </w:div>
      </w:divsChild>
    </w:div>
    <w:div w:id="1492715006">
      <w:bodyDiv w:val="1"/>
      <w:marLeft w:val="0"/>
      <w:marRight w:val="0"/>
      <w:marTop w:val="0"/>
      <w:marBottom w:val="0"/>
      <w:divBdr>
        <w:top w:val="none" w:sz="0" w:space="0" w:color="auto"/>
        <w:left w:val="none" w:sz="0" w:space="0" w:color="auto"/>
        <w:bottom w:val="none" w:sz="0" w:space="0" w:color="auto"/>
        <w:right w:val="none" w:sz="0" w:space="0" w:color="auto"/>
      </w:divBdr>
      <w:divsChild>
        <w:div w:id="1107236315">
          <w:marLeft w:val="0"/>
          <w:marRight w:val="0"/>
          <w:marTop w:val="0"/>
          <w:marBottom w:val="0"/>
          <w:divBdr>
            <w:top w:val="single" w:sz="2" w:space="0" w:color="D9D9E3"/>
            <w:left w:val="single" w:sz="2" w:space="0" w:color="D9D9E3"/>
            <w:bottom w:val="single" w:sz="2" w:space="0" w:color="D9D9E3"/>
            <w:right w:val="single" w:sz="2" w:space="0" w:color="D9D9E3"/>
          </w:divBdr>
          <w:divsChild>
            <w:div w:id="241108984">
              <w:marLeft w:val="0"/>
              <w:marRight w:val="0"/>
              <w:marTop w:val="0"/>
              <w:marBottom w:val="0"/>
              <w:divBdr>
                <w:top w:val="single" w:sz="2" w:space="0" w:color="D9D9E3"/>
                <w:left w:val="single" w:sz="2" w:space="0" w:color="D9D9E3"/>
                <w:bottom w:val="single" w:sz="2" w:space="0" w:color="D9D9E3"/>
                <w:right w:val="single" w:sz="2" w:space="0" w:color="D9D9E3"/>
              </w:divBdr>
              <w:divsChild>
                <w:div w:id="134613276">
                  <w:marLeft w:val="0"/>
                  <w:marRight w:val="0"/>
                  <w:marTop w:val="0"/>
                  <w:marBottom w:val="0"/>
                  <w:divBdr>
                    <w:top w:val="single" w:sz="2" w:space="0" w:color="D9D9E3"/>
                    <w:left w:val="single" w:sz="2" w:space="0" w:color="D9D9E3"/>
                    <w:bottom w:val="single" w:sz="2" w:space="0" w:color="D9D9E3"/>
                    <w:right w:val="single" w:sz="2" w:space="0" w:color="D9D9E3"/>
                  </w:divBdr>
                  <w:divsChild>
                    <w:div w:id="515845030">
                      <w:marLeft w:val="0"/>
                      <w:marRight w:val="0"/>
                      <w:marTop w:val="0"/>
                      <w:marBottom w:val="0"/>
                      <w:divBdr>
                        <w:top w:val="single" w:sz="2" w:space="0" w:color="D9D9E3"/>
                        <w:left w:val="single" w:sz="2" w:space="0" w:color="D9D9E3"/>
                        <w:bottom w:val="single" w:sz="2" w:space="0" w:color="D9D9E3"/>
                        <w:right w:val="single" w:sz="2" w:space="0" w:color="D9D9E3"/>
                      </w:divBdr>
                      <w:divsChild>
                        <w:div w:id="1100641886">
                          <w:marLeft w:val="0"/>
                          <w:marRight w:val="0"/>
                          <w:marTop w:val="0"/>
                          <w:marBottom w:val="0"/>
                          <w:divBdr>
                            <w:top w:val="single" w:sz="2" w:space="0" w:color="auto"/>
                            <w:left w:val="single" w:sz="2" w:space="0" w:color="auto"/>
                            <w:bottom w:val="single" w:sz="6" w:space="0" w:color="auto"/>
                            <w:right w:val="single" w:sz="2" w:space="0" w:color="auto"/>
                          </w:divBdr>
                          <w:divsChild>
                            <w:div w:id="1474181946">
                              <w:marLeft w:val="0"/>
                              <w:marRight w:val="0"/>
                              <w:marTop w:val="100"/>
                              <w:marBottom w:val="100"/>
                              <w:divBdr>
                                <w:top w:val="single" w:sz="2" w:space="0" w:color="D9D9E3"/>
                                <w:left w:val="single" w:sz="2" w:space="0" w:color="D9D9E3"/>
                                <w:bottom w:val="single" w:sz="2" w:space="0" w:color="D9D9E3"/>
                                <w:right w:val="single" w:sz="2" w:space="0" w:color="D9D9E3"/>
                              </w:divBdr>
                              <w:divsChild>
                                <w:div w:id="141042963">
                                  <w:marLeft w:val="0"/>
                                  <w:marRight w:val="0"/>
                                  <w:marTop w:val="0"/>
                                  <w:marBottom w:val="0"/>
                                  <w:divBdr>
                                    <w:top w:val="single" w:sz="2" w:space="0" w:color="D9D9E3"/>
                                    <w:left w:val="single" w:sz="2" w:space="0" w:color="D9D9E3"/>
                                    <w:bottom w:val="single" w:sz="2" w:space="0" w:color="D9D9E3"/>
                                    <w:right w:val="single" w:sz="2" w:space="0" w:color="D9D9E3"/>
                                  </w:divBdr>
                                  <w:divsChild>
                                    <w:div w:id="214588119">
                                      <w:marLeft w:val="0"/>
                                      <w:marRight w:val="0"/>
                                      <w:marTop w:val="0"/>
                                      <w:marBottom w:val="0"/>
                                      <w:divBdr>
                                        <w:top w:val="single" w:sz="2" w:space="0" w:color="D9D9E3"/>
                                        <w:left w:val="single" w:sz="2" w:space="0" w:color="D9D9E3"/>
                                        <w:bottom w:val="single" w:sz="2" w:space="0" w:color="D9D9E3"/>
                                        <w:right w:val="single" w:sz="2" w:space="0" w:color="D9D9E3"/>
                                      </w:divBdr>
                                      <w:divsChild>
                                        <w:div w:id="65108107">
                                          <w:marLeft w:val="0"/>
                                          <w:marRight w:val="0"/>
                                          <w:marTop w:val="0"/>
                                          <w:marBottom w:val="0"/>
                                          <w:divBdr>
                                            <w:top w:val="single" w:sz="2" w:space="0" w:color="D9D9E3"/>
                                            <w:left w:val="single" w:sz="2" w:space="0" w:color="D9D9E3"/>
                                            <w:bottom w:val="single" w:sz="2" w:space="0" w:color="D9D9E3"/>
                                            <w:right w:val="single" w:sz="2" w:space="0" w:color="D9D9E3"/>
                                          </w:divBdr>
                                          <w:divsChild>
                                            <w:div w:id="168326042">
                                              <w:marLeft w:val="0"/>
                                              <w:marRight w:val="0"/>
                                              <w:marTop w:val="0"/>
                                              <w:marBottom w:val="0"/>
                                              <w:divBdr>
                                                <w:top w:val="single" w:sz="2" w:space="0" w:color="D9D9E3"/>
                                                <w:left w:val="single" w:sz="2" w:space="0" w:color="D9D9E3"/>
                                                <w:bottom w:val="single" w:sz="2" w:space="0" w:color="D9D9E3"/>
                                                <w:right w:val="single" w:sz="2" w:space="0" w:color="D9D9E3"/>
                                              </w:divBdr>
                                              <w:divsChild>
                                                <w:div w:id="1248421752">
                                                  <w:marLeft w:val="0"/>
                                                  <w:marRight w:val="0"/>
                                                  <w:marTop w:val="0"/>
                                                  <w:marBottom w:val="0"/>
                                                  <w:divBdr>
                                                    <w:top w:val="single" w:sz="2" w:space="0" w:color="D9D9E3"/>
                                                    <w:left w:val="single" w:sz="2" w:space="0" w:color="D9D9E3"/>
                                                    <w:bottom w:val="single" w:sz="2" w:space="0" w:color="D9D9E3"/>
                                                    <w:right w:val="single" w:sz="2" w:space="0" w:color="D9D9E3"/>
                                                  </w:divBdr>
                                                  <w:divsChild>
                                                    <w:div w:id="15324489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39228235">
          <w:marLeft w:val="0"/>
          <w:marRight w:val="0"/>
          <w:marTop w:val="0"/>
          <w:marBottom w:val="0"/>
          <w:divBdr>
            <w:top w:val="none" w:sz="0" w:space="0" w:color="auto"/>
            <w:left w:val="none" w:sz="0" w:space="0" w:color="auto"/>
            <w:bottom w:val="none" w:sz="0" w:space="0" w:color="auto"/>
            <w:right w:val="none" w:sz="0" w:space="0" w:color="auto"/>
          </w:divBdr>
        </w:div>
      </w:divsChild>
    </w:div>
    <w:div w:id="1599026705">
      <w:bodyDiv w:val="1"/>
      <w:marLeft w:val="0"/>
      <w:marRight w:val="0"/>
      <w:marTop w:val="0"/>
      <w:marBottom w:val="0"/>
      <w:divBdr>
        <w:top w:val="none" w:sz="0" w:space="0" w:color="auto"/>
        <w:left w:val="none" w:sz="0" w:space="0" w:color="auto"/>
        <w:bottom w:val="none" w:sz="0" w:space="0" w:color="auto"/>
        <w:right w:val="none" w:sz="0" w:space="0" w:color="auto"/>
      </w:divBdr>
    </w:div>
    <w:div w:id="1799833004">
      <w:bodyDiv w:val="1"/>
      <w:marLeft w:val="0"/>
      <w:marRight w:val="0"/>
      <w:marTop w:val="0"/>
      <w:marBottom w:val="0"/>
      <w:divBdr>
        <w:top w:val="none" w:sz="0" w:space="0" w:color="auto"/>
        <w:left w:val="none" w:sz="0" w:space="0" w:color="auto"/>
        <w:bottom w:val="none" w:sz="0" w:space="0" w:color="auto"/>
        <w:right w:val="none" w:sz="0" w:space="0" w:color="auto"/>
      </w:divBdr>
      <w:divsChild>
        <w:div w:id="488599206">
          <w:marLeft w:val="0"/>
          <w:marRight w:val="0"/>
          <w:marTop w:val="0"/>
          <w:marBottom w:val="0"/>
          <w:divBdr>
            <w:top w:val="single" w:sz="2" w:space="0" w:color="D9D9E3"/>
            <w:left w:val="single" w:sz="2" w:space="0" w:color="D9D9E3"/>
            <w:bottom w:val="single" w:sz="2" w:space="0" w:color="D9D9E3"/>
            <w:right w:val="single" w:sz="2" w:space="0" w:color="D9D9E3"/>
          </w:divBdr>
          <w:divsChild>
            <w:div w:id="221723172">
              <w:marLeft w:val="0"/>
              <w:marRight w:val="0"/>
              <w:marTop w:val="0"/>
              <w:marBottom w:val="0"/>
              <w:divBdr>
                <w:top w:val="single" w:sz="2" w:space="0" w:color="D9D9E3"/>
                <w:left w:val="single" w:sz="2" w:space="0" w:color="D9D9E3"/>
                <w:bottom w:val="single" w:sz="2" w:space="0" w:color="D9D9E3"/>
                <w:right w:val="single" w:sz="2" w:space="0" w:color="D9D9E3"/>
              </w:divBdr>
              <w:divsChild>
                <w:div w:id="1507742849">
                  <w:marLeft w:val="0"/>
                  <w:marRight w:val="0"/>
                  <w:marTop w:val="0"/>
                  <w:marBottom w:val="0"/>
                  <w:divBdr>
                    <w:top w:val="single" w:sz="2" w:space="0" w:color="D9D9E3"/>
                    <w:left w:val="single" w:sz="2" w:space="0" w:color="D9D9E3"/>
                    <w:bottom w:val="single" w:sz="2" w:space="0" w:color="D9D9E3"/>
                    <w:right w:val="single" w:sz="2" w:space="0" w:color="D9D9E3"/>
                  </w:divBdr>
                  <w:divsChild>
                    <w:div w:id="1533372539">
                      <w:marLeft w:val="0"/>
                      <w:marRight w:val="0"/>
                      <w:marTop w:val="0"/>
                      <w:marBottom w:val="0"/>
                      <w:divBdr>
                        <w:top w:val="single" w:sz="2" w:space="0" w:color="D9D9E3"/>
                        <w:left w:val="single" w:sz="2" w:space="0" w:color="D9D9E3"/>
                        <w:bottom w:val="single" w:sz="2" w:space="0" w:color="D9D9E3"/>
                        <w:right w:val="single" w:sz="2" w:space="0" w:color="D9D9E3"/>
                      </w:divBdr>
                      <w:divsChild>
                        <w:div w:id="1025981663">
                          <w:marLeft w:val="0"/>
                          <w:marRight w:val="0"/>
                          <w:marTop w:val="0"/>
                          <w:marBottom w:val="0"/>
                          <w:divBdr>
                            <w:top w:val="single" w:sz="2" w:space="0" w:color="auto"/>
                            <w:left w:val="single" w:sz="2" w:space="0" w:color="auto"/>
                            <w:bottom w:val="single" w:sz="6" w:space="0" w:color="auto"/>
                            <w:right w:val="single" w:sz="2" w:space="0" w:color="auto"/>
                          </w:divBdr>
                          <w:divsChild>
                            <w:div w:id="1179658034">
                              <w:marLeft w:val="0"/>
                              <w:marRight w:val="0"/>
                              <w:marTop w:val="100"/>
                              <w:marBottom w:val="100"/>
                              <w:divBdr>
                                <w:top w:val="single" w:sz="2" w:space="0" w:color="D9D9E3"/>
                                <w:left w:val="single" w:sz="2" w:space="0" w:color="D9D9E3"/>
                                <w:bottom w:val="single" w:sz="2" w:space="0" w:color="D9D9E3"/>
                                <w:right w:val="single" w:sz="2" w:space="0" w:color="D9D9E3"/>
                              </w:divBdr>
                              <w:divsChild>
                                <w:div w:id="1696612298">
                                  <w:marLeft w:val="0"/>
                                  <w:marRight w:val="0"/>
                                  <w:marTop w:val="0"/>
                                  <w:marBottom w:val="0"/>
                                  <w:divBdr>
                                    <w:top w:val="single" w:sz="2" w:space="0" w:color="D9D9E3"/>
                                    <w:left w:val="single" w:sz="2" w:space="0" w:color="D9D9E3"/>
                                    <w:bottom w:val="single" w:sz="2" w:space="0" w:color="D9D9E3"/>
                                    <w:right w:val="single" w:sz="2" w:space="0" w:color="D9D9E3"/>
                                  </w:divBdr>
                                  <w:divsChild>
                                    <w:div w:id="1520510684">
                                      <w:marLeft w:val="0"/>
                                      <w:marRight w:val="0"/>
                                      <w:marTop w:val="0"/>
                                      <w:marBottom w:val="0"/>
                                      <w:divBdr>
                                        <w:top w:val="single" w:sz="2" w:space="0" w:color="D9D9E3"/>
                                        <w:left w:val="single" w:sz="2" w:space="0" w:color="D9D9E3"/>
                                        <w:bottom w:val="single" w:sz="2" w:space="0" w:color="D9D9E3"/>
                                        <w:right w:val="single" w:sz="2" w:space="0" w:color="D9D9E3"/>
                                      </w:divBdr>
                                      <w:divsChild>
                                        <w:div w:id="944925182">
                                          <w:marLeft w:val="0"/>
                                          <w:marRight w:val="0"/>
                                          <w:marTop w:val="0"/>
                                          <w:marBottom w:val="0"/>
                                          <w:divBdr>
                                            <w:top w:val="single" w:sz="2" w:space="0" w:color="D9D9E3"/>
                                            <w:left w:val="single" w:sz="2" w:space="0" w:color="D9D9E3"/>
                                            <w:bottom w:val="single" w:sz="2" w:space="0" w:color="D9D9E3"/>
                                            <w:right w:val="single" w:sz="2" w:space="0" w:color="D9D9E3"/>
                                          </w:divBdr>
                                          <w:divsChild>
                                            <w:div w:id="2112167496">
                                              <w:marLeft w:val="0"/>
                                              <w:marRight w:val="0"/>
                                              <w:marTop w:val="0"/>
                                              <w:marBottom w:val="0"/>
                                              <w:divBdr>
                                                <w:top w:val="single" w:sz="2" w:space="0" w:color="D9D9E3"/>
                                                <w:left w:val="single" w:sz="2" w:space="0" w:color="D9D9E3"/>
                                                <w:bottom w:val="single" w:sz="2" w:space="0" w:color="D9D9E3"/>
                                                <w:right w:val="single" w:sz="2" w:space="0" w:color="D9D9E3"/>
                                              </w:divBdr>
                                              <w:divsChild>
                                                <w:div w:id="2060396046">
                                                  <w:marLeft w:val="0"/>
                                                  <w:marRight w:val="0"/>
                                                  <w:marTop w:val="0"/>
                                                  <w:marBottom w:val="0"/>
                                                  <w:divBdr>
                                                    <w:top w:val="single" w:sz="2" w:space="0" w:color="D9D9E3"/>
                                                    <w:left w:val="single" w:sz="2" w:space="0" w:color="D9D9E3"/>
                                                    <w:bottom w:val="single" w:sz="2" w:space="0" w:color="D9D9E3"/>
                                                    <w:right w:val="single" w:sz="2" w:space="0" w:color="D9D9E3"/>
                                                  </w:divBdr>
                                                  <w:divsChild>
                                                    <w:div w:id="1646616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910504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diagramData" Target="diagrams/data1.xm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microsoft.com/office/2007/relationships/diagramDrawing" Target="diagrams/drawing1.xml" /><Relationship Id="rId5" Type="http://schemas.openxmlformats.org/officeDocument/2006/relationships/footnotes" Target="footnotes.xml" /><Relationship Id="rId10" Type="http://schemas.openxmlformats.org/officeDocument/2006/relationships/diagramColors" Target="diagrams/colors1.xm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29D367-D469-4B35-B40F-7605AA5464BD}"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A87B333E-1864-4C79-9EDB-32F5E49CA343}">
      <dgm:prSet phldrT="[Text]"/>
      <dgm:spPr/>
      <dgm:t>
        <a:bodyPr/>
        <a:lstStyle/>
        <a:p>
          <a:r>
            <a:rPr lang="en-GB" b="1"/>
            <a:t>Concrete Experience </a:t>
          </a:r>
          <a:endParaRPr lang="en-GB"/>
        </a:p>
      </dgm:t>
    </dgm:pt>
    <dgm:pt modelId="{D3284383-88EE-4656-822B-22A966A2A327}" type="parTrans" cxnId="{CFC3E3B7-843A-4E2E-8821-9072EECD4943}">
      <dgm:prSet/>
      <dgm:spPr/>
      <dgm:t>
        <a:bodyPr/>
        <a:lstStyle/>
        <a:p>
          <a:endParaRPr lang="en-GB"/>
        </a:p>
      </dgm:t>
    </dgm:pt>
    <dgm:pt modelId="{D8DA96E5-E19E-4B22-9E8B-708509CA4364}" type="sibTrans" cxnId="{CFC3E3B7-843A-4E2E-8821-9072EECD4943}">
      <dgm:prSet/>
      <dgm:spPr/>
      <dgm:t>
        <a:bodyPr/>
        <a:lstStyle/>
        <a:p>
          <a:endParaRPr lang="en-GB"/>
        </a:p>
      </dgm:t>
    </dgm:pt>
    <dgm:pt modelId="{C9FB99B8-2159-489C-998D-7991495A454E}">
      <dgm:prSet/>
      <dgm:spPr/>
      <dgm:t>
        <a:bodyPr/>
        <a:lstStyle/>
        <a:p>
          <a:r>
            <a:rPr lang="en-GB" b="1"/>
            <a:t>Reflective Observation</a:t>
          </a:r>
          <a:endParaRPr lang="en-GB"/>
        </a:p>
      </dgm:t>
    </dgm:pt>
    <dgm:pt modelId="{AF9A2E4E-D9A1-4F13-9E6D-D62FADFDE0C5}" type="parTrans" cxnId="{0CCFACA4-9775-45C1-B306-82A4D98FFC78}">
      <dgm:prSet/>
      <dgm:spPr/>
      <dgm:t>
        <a:bodyPr/>
        <a:lstStyle/>
        <a:p>
          <a:endParaRPr lang="en-GB"/>
        </a:p>
      </dgm:t>
    </dgm:pt>
    <dgm:pt modelId="{805BA58C-184E-455B-92D5-FA978D96A9B6}" type="sibTrans" cxnId="{0CCFACA4-9775-45C1-B306-82A4D98FFC78}">
      <dgm:prSet/>
      <dgm:spPr/>
      <dgm:t>
        <a:bodyPr/>
        <a:lstStyle/>
        <a:p>
          <a:endParaRPr lang="en-GB"/>
        </a:p>
      </dgm:t>
    </dgm:pt>
    <dgm:pt modelId="{CB0A8E0C-1360-47CA-91B9-31758434D99E}">
      <dgm:prSet/>
      <dgm:spPr/>
      <dgm:t>
        <a:bodyPr/>
        <a:lstStyle/>
        <a:p>
          <a:r>
            <a:rPr lang="en-GB" b="1"/>
            <a:t>Abstract Conceptualisation</a:t>
          </a:r>
          <a:endParaRPr lang="en-GB"/>
        </a:p>
      </dgm:t>
    </dgm:pt>
    <dgm:pt modelId="{EEF7E074-109B-44B7-BA44-2724AF0BE9D0}" type="parTrans" cxnId="{13207ABD-FFDB-4949-AA70-107E12EE2D93}">
      <dgm:prSet/>
      <dgm:spPr/>
      <dgm:t>
        <a:bodyPr/>
        <a:lstStyle/>
        <a:p>
          <a:endParaRPr lang="en-GB"/>
        </a:p>
      </dgm:t>
    </dgm:pt>
    <dgm:pt modelId="{280A0946-F6AC-4895-B76A-2D10AD30E4D3}" type="sibTrans" cxnId="{13207ABD-FFDB-4949-AA70-107E12EE2D93}">
      <dgm:prSet/>
      <dgm:spPr/>
      <dgm:t>
        <a:bodyPr/>
        <a:lstStyle/>
        <a:p>
          <a:endParaRPr lang="en-GB"/>
        </a:p>
      </dgm:t>
    </dgm:pt>
    <dgm:pt modelId="{D64C1590-EA0C-454B-8B30-DB04A1F6F629}">
      <dgm:prSet/>
      <dgm:spPr/>
      <dgm:t>
        <a:bodyPr/>
        <a:lstStyle/>
        <a:p>
          <a:r>
            <a:rPr lang="en-GB" b="1"/>
            <a:t>Active Experimentation</a:t>
          </a:r>
          <a:endParaRPr lang="en-GB"/>
        </a:p>
      </dgm:t>
    </dgm:pt>
    <dgm:pt modelId="{0F183178-6CB9-4544-8858-C006877BD750}" type="parTrans" cxnId="{2B51AA6D-39E6-43E6-BF7B-69F97FC896AB}">
      <dgm:prSet/>
      <dgm:spPr/>
      <dgm:t>
        <a:bodyPr/>
        <a:lstStyle/>
        <a:p>
          <a:endParaRPr lang="en-GB"/>
        </a:p>
      </dgm:t>
    </dgm:pt>
    <dgm:pt modelId="{8B59BD57-0C67-4E79-97C9-B708D0F65887}" type="sibTrans" cxnId="{2B51AA6D-39E6-43E6-BF7B-69F97FC896AB}">
      <dgm:prSet/>
      <dgm:spPr/>
      <dgm:t>
        <a:bodyPr/>
        <a:lstStyle/>
        <a:p>
          <a:endParaRPr lang="en-GB"/>
        </a:p>
      </dgm:t>
    </dgm:pt>
    <dgm:pt modelId="{F0C70FA9-F94C-4860-B1A2-5D2242D522A9}" type="pres">
      <dgm:prSet presAssocID="{3229D367-D469-4B35-B40F-7605AA5464BD}" presName="Name0" presStyleCnt="0">
        <dgm:presLayoutVars>
          <dgm:dir/>
          <dgm:resizeHandles val="exact"/>
        </dgm:presLayoutVars>
      </dgm:prSet>
      <dgm:spPr/>
    </dgm:pt>
    <dgm:pt modelId="{059B0A6A-C905-4C95-AED6-A23F97040BEB}" type="pres">
      <dgm:prSet presAssocID="{3229D367-D469-4B35-B40F-7605AA5464BD}" presName="cycle" presStyleCnt="0"/>
      <dgm:spPr/>
    </dgm:pt>
    <dgm:pt modelId="{B513C3BF-8BDE-4801-B76E-9C988702679B}" type="pres">
      <dgm:prSet presAssocID="{A87B333E-1864-4C79-9EDB-32F5E49CA343}" presName="nodeFirstNode" presStyleLbl="node1" presStyleIdx="0" presStyleCnt="4" custScaleX="104868" custScaleY="104868">
        <dgm:presLayoutVars>
          <dgm:bulletEnabled val="1"/>
        </dgm:presLayoutVars>
      </dgm:prSet>
      <dgm:spPr/>
    </dgm:pt>
    <dgm:pt modelId="{D63D5DF3-2703-478C-9510-43C5935335DD}" type="pres">
      <dgm:prSet presAssocID="{D8DA96E5-E19E-4B22-9E8B-708509CA4364}" presName="sibTransFirstNode" presStyleLbl="bgShp" presStyleIdx="0" presStyleCnt="1"/>
      <dgm:spPr/>
    </dgm:pt>
    <dgm:pt modelId="{F26B7DF6-9330-462B-9475-EB9347E65895}" type="pres">
      <dgm:prSet presAssocID="{C9FB99B8-2159-489C-998D-7991495A454E}" presName="nodeFollowingNodes" presStyleLbl="node1" presStyleIdx="1" presStyleCnt="4" custScaleX="104868" custScaleY="104868" custRadScaleRad="139581" custRadScaleInc="-1555">
        <dgm:presLayoutVars>
          <dgm:bulletEnabled val="1"/>
        </dgm:presLayoutVars>
      </dgm:prSet>
      <dgm:spPr/>
    </dgm:pt>
    <dgm:pt modelId="{0D5807F2-FEA1-4D61-B74E-19697582463F}" type="pres">
      <dgm:prSet presAssocID="{CB0A8E0C-1360-47CA-91B9-31758434D99E}" presName="nodeFollowingNodes" presStyleLbl="node1" presStyleIdx="2" presStyleCnt="4" custScaleX="104868" custScaleY="104868" custRadScaleRad="113095" custRadScaleInc="-603">
        <dgm:presLayoutVars>
          <dgm:bulletEnabled val="1"/>
        </dgm:presLayoutVars>
      </dgm:prSet>
      <dgm:spPr/>
    </dgm:pt>
    <dgm:pt modelId="{E9DDB7F2-0C3D-4B1C-97E8-A5E81D822A71}" type="pres">
      <dgm:prSet presAssocID="{D64C1590-EA0C-454B-8B30-DB04A1F6F629}" presName="nodeFollowingNodes" presStyleLbl="node1" presStyleIdx="3" presStyleCnt="4" custScaleX="104868" custScaleY="104868" custRadScaleRad="132742" custRadScaleInc="819">
        <dgm:presLayoutVars>
          <dgm:bulletEnabled val="1"/>
        </dgm:presLayoutVars>
      </dgm:prSet>
      <dgm:spPr/>
    </dgm:pt>
  </dgm:ptLst>
  <dgm:cxnLst>
    <dgm:cxn modelId="{D893B607-802B-4CCC-B982-8F88AE487CB5}" type="presOf" srcId="{A87B333E-1864-4C79-9EDB-32F5E49CA343}" destId="{B513C3BF-8BDE-4801-B76E-9C988702679B}" srcOrd="0" destOrd="0" presId="urn:microsoft.com/office/officeart/2005/8/layout/cycle3"/>
    <dgm:cxn modelId="{3770ED0F-E3A0-4AEE-A0BD-E380F74B1319}" type="presOf" srcId="{3229D367-D469-4B35-B40F-7605AA5464BD}" destId="{F0C70FA9-F94C-4860-B1A2-5D2242D522A9}" srcOrd="0" destOrd="0" presId="urn:microsoft.com/office/officeart/2005/8/layout/cycle3"/>
    <dgm:cxn modelId="{D675B13B-F014-488A-8748-5AF93D4FFB02}" type="presOf" srcId="{C9FB99B8-2159-489C-998D-7991495A454E}" destId="{F26B7DF6-9330-462B-9475-EB9347E65895}" srcOrd="0" destOrd="0" presId="urn:microsoft.com/office/officeart/2005/8/layout/cycle3"/>
    <dgm:cxn modelId="{9F2C0368-77D3-4B40-939B-99EACC64E060}" type="presOf" srcId="{D64C1590-EA0C-454B-8B30-DB04A1F6F629}" destId="{E9DDB7F2-0C3D-4B1C-97E8-A5E81D822A71}" srcOrd="0" destOrd="0" presId="urn:microsoft.com/office/officeart/2005/8/layout/cycle3"/>
    <dgm:cxn modelId="{2B51AA6D-39E6-43E6-BF7B-69F97FC896AB}" srcId="{3229D367-D469-4B35-B40F-7605AA5464BD}" destId="{D64C1590-EA0C-454B-8B30-DB04A1F6F629}" srcOrd="3" destOrd="0" parTransId="{0F183178-6CB9-4544-8858-C006877BD750}" sibTransId="{8B59BD57-0C67-4E79-97C9-B708D0F65887}"/>
    <dgm:cxn modelId="{0CCFACA4-9775-45C1-B306-82A4D98FFC78}" srcId="{3229D367-D469-4B35-B40F-7605AA5464BD}" destId="{C9FB99B8-2159-489C-998D-7991495A454E}" srcOrd="1" destOrd="0" parTransId="{AF9A2E4E-D9A1-4F13-9E6D-D62FADFDE0C5}" sibTransId="{805BA58C-184E-455B-92D5-FA978D96A9B6}"/>
    <dgm:cxn modelId="{CFC3E3B7-843A-4E2E-8821-9072EECD4943}" srcId="{3229D367-D469-4B35-B40F-7605AA5464BD}" destId="{A87B333E-1864-4C79-9EDB-32F5E49CA343}" srcOrd="0" destOrd="0" parTransId="{D3284383-88EE-4656-822B-22A966A2A327}" sibTransId="{D8DA96E5-E19E-4B22-9E8B-708509CA4364}"/>
    <dgm:cxn modelId="{13207ABD-FFDB-4949-AA70-107E12EE2D93}" srcId="{3229D367-D469-4B35-B40F-7605AA5464BD}" destId="{CB0A8E0C-1360-47CA-91B9-31758434D99E}" srcOrd="2" destOrd="0" parTransId="{EEF7E074-109B-44B7-BA44-2724AF0BE9D0}" sibTransId="{280A0946-F6AC-4895-B76A-2D10AD30E4D3}"/>
    <dgm:cxn modelId="{3D5EA5C7-E367-4BA3-B7B4-78A65C1510CD}" type="presOf" srcId="{D8DA96E5-E19E-4B22-9E8B-708509CA4364}" destId="{D63D5DF3-2703-478C-9510-43C5935335DD}" srcOrd="0" destOrd="0" presId="urn:microsoft.com/office/officeart/2005/8/layout/cycle3"/>
    <dgm:cxn modelId="{E7F4A8EB-6F0C-4B51-B077-58F36E3844C6}" type="presOf" srcId="{CB0A8E0C-1360-47CA-91B9-31758434D99E}" destId="{0D5807F2-FEA1-4D61-B74E-19697582463F}" srcOrd="0" destOrd="0" presId="urn:microsoft.com/office/officeart/2005/8/layout/cycle3"/>
    <dgm:cxn modelId="{2340FFE6-EFAB-45FF-8284-0F26A261EABE}" type="presParOf" srcId="{F0C70FA9-F94C-4860-B1A2-5D2242D522A9}" destId="{059B0A6A-C905-4C95-AED6-A23F97040BEB}" srcOrd="0" destOrd="0" presId="urn:microsoft.com/office/officeart/2005/8/layout/cycle3"/>
    <dgm:cxn modelId="{218F1E91-E4EB-423F-8DF0-434C1EC34BDB}" type="presParOf" srcId="{059B0A6A-C905-4C95-AED6-A23F97040BEB}" destId="{B513C3BF-8BDE-4801-B76E-9C988702679B}" srcOrd="0" destOrd="0" presId="urn:microsoft.com/office/officeart/2005/8/layout/cycle3"/>
    <dgm:cxn modelId="{A7A78A39-323C-48EE-BF84-EF8201D423B2}" type="presParOf" srcId="{059B0A6A-C905-4C95-AED6-A23F97040BEB}" destId="{D63D5DF3-2703-478C-9510-43C5935335DD}" srcOrd="1" destOrd="0" presId="urn:microsoft.com/office/officeart/2005/8/layout/cycle3"/>
    <dgm:cxn modelId="{0F0DD7A9-2E14-4859-8D55-FAEF60FC1572}" type="presParOf" srcId="{059B0A6A-C905-4C95-AED6-A23F97040BEB}" destId="{F26B7DF6-9330-462B-9475-EB9347E65895}" srcOrd="2" destOrd="0" presId="urn:microsoft.com/office/officeart/2005/8/layout/cycle3"/>
    <dgm:cxn modelId="{5424E584-3A95-4945-811A-21772D4D4FE8}" type="presParOf" srcId="{059B0A6A-C905-4C95-AED6-A23F97040BEB}" destId="{0D5807F2-FEA1-4D61-B74E-19697582463F}" srcOrd="3" destOrd="0" presId="urn:microsoft.com/office/officeart/2005/8/layout/cycle3"/>
    <dgm:cxn modelId="{D930C608-1F32-40B9-A57C-9537CAB66501}" type="presParOf" srcId="{059B0A6A-C905-4C95-AED6-A23F97040BEB}" destId="{E9DDB7F2-0C3D-4B1C-97E8-A5E81D822A71}" srcOrd="4" destOrd="0" presId="urn:microsoft.com/office/officeart/2005/8/layout/cycle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3D5DF3-2703-478C-9510-43C5935335DD}">
      <dsp:nvSpPr>
        <dsp:cNvPr id="0" name=""/>
        <dsp:cNvSpPr/>
      </dsp:nvSpPr>
      <dsp:spPr>
        <a:xfrm>
          <a:off x="637279" y="-38562"/>
          <a:ext cx="1944891" cy="1944891"/>
        </a:xfrm>
        <a:prstGeom prst="circularArrow">
          <a:avLst>
            <a:gd name="adj1" fmla="val 4668"/>
            <a:gd name="adj2" fmla="val 272909"/>
            <a:gd name="adj3" fmla="val 13159850"/>
            <a:gd name="adj4" fmla="val 17811149"/>
            <a:gd name="adj5" fmla="val 484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513C3BF-8BDE-4801-B76E-9C988702679B}">
      <dsp:nvSpPr>
        <dsp:cNvPr id="0" name=""/>
        <dsp:cNvSpPr/>
      </dsp:nvSpPr>
      <dsp:spPr>
        <a:xfrm>
          <a:off x="1017905" y="-13179"/>
          <a:ext cx="1183638" cy="59181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Concrete Experience </a:t>
          </a:r>
          <a:endParaRPr lang="en-GB" sz="1000" kern="1200"/>
        </a:p>
      </dsp:txBody>
      <dsp:txXfrm>
        <a:off x="1046795" y="15711"/>
        <a:ext cx="1125858" cy="534039"/>
      </dsp:txXfrm>
    </dsp:sp>
    <dsp:sp modelId="{F26B7DF6-9330-462B-9475-EB9347E65895}">
      <dsp:nvSpPr>
        <dsp:cNvPr id="0" name=""/>
        <dsp:cNvSpPr/>
      </dsp:nvSpPr>
      <dsp:spPr>
        <a:xfrm>
          <a:off x="1992476" y="666119"/>
          <a:ext cx="1183638" cy="59181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Reflective Observation</a:t>
          </a:r>
          <a:endParaRPr lang="en-GB" sz="1000" kern="1200"/>
        </a:p>
      </dsp:txBody>
      <dsp:txXfrm>
        <a:off x="2021366" y="695009"/>
        <a:ext cx="1125858" cy="534039"/>
      </dsp:txXfrm>
    </dsp:sp>
    <dsp:sp modelId="{0D5807F2-FEA1-4D61-B74E-19697582463F}">
      <dsp:nvSpPr>
        <dsp:cNvPr id="0" name=""/>
        <dsp:cNvSpPr/>
      </dsp:nvSpPr>
      <dsp:spPr>
        <a:xfrm>
          <a:off x="1023890" y="1383510"/>
          <a:ext cx="1183638" cy="59181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Abstract Conceptualisation</a:t>
          </a:r>
          <a:endParaRPr lang="en-GB" sz="1000" kern="1200"/>
        </a:p>
      </dsp:txBody>
      <dsp:txXfrm>
        <a:off x="1052780" y="1412400"/>
        <a:ext cx="1125858" cy="534039"/>
      </dsp:txXfrm>
    </dsp:sp>
    <dsp:sp modelId="{E9DDB7F2-0C3D-4B1C-97E8-A5E81D822A71}">
      <dsp:nvSpPr>
        <dsp:cNvPr id="0" name=""/>
        <dsp:cNvSpPr/>
      </dsp:nvSpPr>
      <dsp:spPr>
        <a:xfrm>
          <a:off x="90957" y="675624"/>
          <a:ext cx="1183638" cy="59181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Active Experimentation</a:t>
          </a:r>
          <a:endParaRPr lang="en-GB" sz="1000" kern="1200"/>
        </a:p>
      </dsp:txBody>
      <dsp:txXfrm>
        <a:off x="119847" y="704514"/>
        <a:ext cx="1125858" cy="53403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530B4E-BDAB-4FBA-B114-D4FE3DBD3D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2975</Words>
  <Characters>19057</Characters>
  <Application>Microsoft Office Word</Application>
  <DocSecurity>0</DocSecurity>
  <Lines>158</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Jahangir Khalaj Savojbolagh</dc:creator>
  <cp:keywords/>
  <dc:description/>
  <cp:lastModifiedBy>jahan khalaj</cp:lastModifiedBy>
  <cp:revision>2</cp:revision>
  <dcterms:created xsi:type="dcterms:W3CDTF">2023-11-27T16:46:00Z</dcterms:created>
  <dcterms:modified xsi:type="dcterms:W3CDTF">2023-11-27T16:46:00Z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576f2e4265edf5fcbfdd5618db050f354d5464c92611108242b0a9f808572080</vt:lpwstr>
  </property>
</Properties>
</file>