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3576D" w:rsidRDefault="00413113" w:rsidP="00413113">
      <w:r>
        <w:rPr>
          <w:noProof/>
        </w:rPr>
        <w:drawing>
          <wp:inline distT="0" distB="0" distL="0" distR="0" wp14:anchorId="2E2431D6" wp14:editId="3D98B61C">
            <wp:extent cx="1628775" cy="2216149"/>
            <wp:effectExtent l="0" t="0" r="0" b="0"/>
            <wp:docPr id="3" name="Grafi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56219904_2310418389037651_755458891663278080_n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9527" cy="2244384"/>
                    </a:xfrm>
                    <a:prstGeom prst="rect">
                      <a:avLst/>
                    </a:prstGeom>
                    <a:ln>
                      <a:noFill/>
                    </a:ln>
                    <a:effectLst/>
                  </pic:spPr>
                </pic:pic>
              </a:graphicData>
            </a:graphic>
          </wp:inline>
        </w:drawing>
      </w:r>
      <w:r>
        <w:rPr>
          <w:noProof/>
        </w:rPr>
        <w:t xml:space="preserve">  </w:t>
      </w:r>
      <w:r>
        <w:rPr>
          <w:noProof/>
        </w:rPr>
        <w:drawing>
          <wp:inline distT="0" distB="0" distL="0" distR="0">
            <wp:extent cx="2228512" cy="1477605"/>
            <wp:effectExtent l="0" t="5397" r="0" b="0"/>
            <wp:docPr id="5" name="Grafi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0190325_122450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228512" cy="1477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 xml:space="preserve">  </w:t>
      </w:r>
      <w:r>
        <w:rPr>
          <w:noProof/>
        </w:rPr>
        <w:drawing>
          <wp:inline distT="0" distB="0" distL="0" distR="0">
            <wp:extent cx="2209057" cy="1656792"/>
            <wp:effectExtent l="9207" t="0" r="0" b="0"/>
            <wp:docPr id="6" name="Grafik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56375685_636830003436892_3327585243254226944_n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215760" cy="1661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094BB06" wp14:editId="54D7A31B">
            <wp:extent cx="1416050" cy="2137135"/>
            <wp:effectExtent l="0" t="0" r="0" b="0"/>
            <wp:docPr id="4" name="Grafi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56312056_985317821678396_6341978696735260672_n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0435" cy="2204121"/>
                    </a:xfrm>
                    <a:prstGeom prst="rect">
                      <a:avLst/>
                    </a:prstGeom>
                    <a:ln>
                      <a:noFill/>
                    </a:ln>
                    <a:effectLst/>
                  </pic:spPr>
                </pic:pic>
              </a:graphicData>
            </a:graphic>
          </wp:inline>
        </w:drawing>
      </w:r>
      <w:r w:rsidR="00FF0B10">
        <w:rPr>
          <w:noProof/>
        </w:rPr>
        <w:t xml:space="preserve">  </w:t>
      </w:r>
      <w:r w:rsidR="00FF0B10">
        <w:rPr>
          <w:noProof/>
        </w:rPr>
        <w:drawing>
          <wp:inline distT="0" distB="0" distL="0" distR="0" wp14:anchorId="7CC6CA09" wp14:editId="7141AB82">
            <wp:extent cx="1620128" cy="2191811"/>
            <wp:effectExtent l="0" t="0" r="0" b="0"/>
            <wp:docPr id="7" name="Grafik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0190318_155209.jpg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421"/>
                    <a:stretch/>
                  </pic:blipFill>
                  <pic:spPr bwMode="auto">
                    <a:xfrm>
                      <a:off x="0" y="0"/>
                      <a:ext cx="1635499" cy="22126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br w:type="textWrapping" w:clear="all"/>
      </w:r>
    </w:p>
    <w:p w:rsidR="00B73E6E" w:rsidRDefault="00B73E6E" w:rsidP="00480521"/>
    <w:p w:rsidR="00B73E6E" w:rsidRPr="00DA1D3A" w:rsidRDefault="00B73E6E" w:rsidP="00B73E6E">
      <w:pPr>
        <w:rPr>
          <w:rFonts w:ascii="Arial" w:hAnsi="Arial" w:cs="Arial"/>
          <w:b/>
          <w:sz w:val="28"/>
          <w:szCs w:val="28"/>
          <w:lang w:val="de-CH" w:eastAsia="en-GB"/>
        </w:rPr>
      </w:pPr>
      <w:r w:rsidRPr="00DA1D3A">
        <w:rPr>
          <w:rFonts w:ascii="Arial" w:hAnsi="Arial" w:cs="Arial"/>
          <w:b/>
          <w:sz w:val="28"/>
          <w:szCs w:val="28"/>
        </w:rPr>
        <w:t>B</w:t>
      </w:r>
      <w:r w:rsidRPr="00DA1D3A">
        <w:rPr>
          <w:rFonts w:ascii="Arial" w:hAnsi="Arial" w:cs="Arial"/>
          <w:b/>
          <w:sz w:val="28"/>
          <w:szCs w:val="28"/>
          <w:lang w:val="de-CH"/>
        </w:rPr>
        <w:t xml:space="preserve">eer </w:t>
      </w:r>
      <w:r w:rsidRPr="00DA1D3A">
        <w:rPr>
          <w:rFonts w:ascii="Arial" w:hAnsi="Arial" w:cs="Arial"/>
          <w:b/>
          <w:sz w:val="28"/>
          <w:szCs w:val="28"/>
        </w:rPr>
        <w:t>J</w:t>
      </w:r>
      <w:r w:rsidRPr="00DA1D3A">
        <w:rPr>
          <w:rFonts w:ascii="Arial" w:hAnsi="Arial" w:cs="Arial"/>
          <w:b/>
          <w:sz w:val="28"/>
          <w:szCs w:val="28"/>
          <w:lang w:val="de-CH"/>
        </w:rPr>
        <w:t xml:space="preserve">ar </w:t>
      </w:r>
    </w:p>
    <w:p w:rsidR="00B73E6E" w:rsidRPr="00DA1D3A" w:rsidRDefault="00B73E6E" w:rsidP="00B43CB6">
      <w:pPr>
        <w:spacing w:line="480" w:lineRule="auto"/>
        <w:rPr>
          <w:rFonts w:ascii="Arial" w:hAnsi="Arial" w:cs="Arial"/>
          <w:b/>
        </w:rPr>
      </w:pPr>
      <w:r w:rsidRPr="00DA1D3A">
        <w:rPr>
          <w:rFonts w:ascii="Arial" w:hAnsi="Arial" w:cs="Arial"/>
          <w:b/>
        </w:rPr>
        <w:t>Cyfarthfa Castle, Merthyr Tydfil CC</w:t>
      </w:r>
      <w:r w:rsidRPr="00DA1D3A">
        <w:rPr>
          <w:rFonts w:ascii="Arial" w:hAnsi="Arial" w:cs="Arial"/>
          <w:b/>
        </w:rPr>
        <w:t>M.326.004</w:t>
      </w:r>
    </w:p>
    <w:p w:rsidR="00B73E6E" w:rsidRPr="00DA1D3A" w:rsidRDefault="00B73E6E" w:rsidP="00B43CB6">
      <w:pPr>
        <w:spacing w:line="480" w:lineRule="auto"/>
        <w:rPr>
          <w:rFonts w:ascii="Arial" w:hAnsi="Arial" w:cs="Arial"/>
          <w:b/>
          <w:bCs/>
          <w:lang w:val="da-DK"/>
        </w:rPr>
      </w:pPr>
      <w:r w:rsidRPr="00DA1D3A">
        <w:rPr>
          <w:rFonts w:ascii="Arial" w:hAnsi="Arial" w:cs="Arial"/>
          <w:b/>
          <w:bCs/>
          <w:lang w:val="da-DK"/>
        </w:rPr>
        <w:t>Object type:</w:t>
      </w:r>
      <w:r w:rsidR="00414FFF" w:rsidRPr="00DA1D3A">
        <w:rPr>
          <w:rFonts w:ascii="Arial" w:hAnsi="Arial" w:cs="Arial"/>
          <w:bCs/>
          <w:lang w:val="da-DK"/>
        </w:rPr>
        <w:t xml:space="preserve"> beer jar, jar, storage jar</w:t>
      </w:r>
    </w:p>
    <w:p w:rsidR="00B73E6E" w:rsidRPr="00DA1D3A" w:rsidRDefault="00B73E6E" w:rsidP="00B43CB6">
      <w:pPr>
        <w:spacing w:line="480" w:lineRule="auto"/>
        <w:rPr>
          <w:rFonts w:ascii="Arial" w:hAnsi="Arial" w:cs="Arial"/>
          <w:b/>
          <w:bCs/>
        </w:rPr>
      </w:pPr>
      <w:r w:rsidRPr="00DA1D3A">
        <w:rPr>
          <w:rFonts w:ascii="Arial" w:hAnsi="Arial" w:cs="Arial"/>
          <w:b/>
          <w:bCs/>
        </w:rPr>
        <w:t xml:space="preserve">Material: </w:t>
      </w:r>
      <w:r w:rsidRPr="00DA1D3A">
        <w:rPr>
          <w:rFonts w:ascii="Arial" w:hAnsi="Arial" w:cs="Arial"/>
          <w:bCs/>
        </w:rPr>
        <w:t>marl clay</w:t>
      </w:r>
      <w:r w:rsidRPr="00DA1D3A">
        <w:rPr>
          <w:rFonts w:ascii="Arial" w:hAnsi="Arial" w:cs="Arial"/>
          <w:b/>
          <w:bCs/>
        </w:rPr>
        <w:t xml:space="preserve"> </w:t>
      </w:r>
    </w:p>
    <w:p w:rsidR="00B73E6E" w:rsidRPr="00DA1D3A" w:rsidRDefault="00B73E6E" w:rsidP="00B43CB6">
      <w:pPr>
        <w:spacing w:line="480" w:lineRule="auto"/>
        <w:rPr>
          <w:rFonts w:ascii="Arial" w:hAnsi="Arial" w:cs="Arial"/>
          <w:b/>
          <w:bCs/>
        </w:rPr>
      </w:pPr>
      <w:r w:rsidRPr="00DA1D3A">
        <w:rPr>
          <w:rFonts w:ascii="Arial" w:hAnsi="Arial" w:cs="Arial"/>
          <w:b/>
          <w:bCs/>
        </w:rPr>
        <w:t xml:space="preserve">Period: </w:t>
      </w:r>
      <w:r w:rsidR="00480521" w:rsidRPr="00DA1D3A">
        <w:rPr>
          <w:rFonts w:ascii="Arial" w:hAnsi="Arial" w:cs="Arial"/>
          <w:bCs/>
        </w:rPr>
        <w:t>predynastic- late period</w:t>
      </w:r>
    </w:p>
    <w:p w:rsidR="00B73E6E" w:rsidRPr="00DA1D3A" w:rsidRDefault="00B73E6E" w:rsidP="00B43CB6">
      <w:pPr>
        <w:spacing w:line="480" w:lineRule="auto"/>
        <w:rPr>
          <w:rFonts w:ascii="Arial" w:hAnsi="Arial" w:cs="Arial"/>
          <w:b/>
          <w:bCs/>
        </w:rPr>
      </w:pPr>
      <w:r w:rsidRPr="00DA1D3A">
        <w:rPr>
          <w:rFonts w:ascii="Arial" w:hAnsi="Arial" w:cs="Arial"/>
          <w:b/>
          <w:bCs/>
        </w:rPr>
        <w:t xml:space="preserve">Provenance: </w:t>
      </w:r>
      <w:r w:rsidRPr="00DA1D3A">
        <w:rPr>
          <w:rFonts w:ascii="Arial" w:hAnsi="Arial" w:cs="Arial"/>
          <w:bCs/>
        </w:rPr>
        <w:t>Egypt</w:t>
      </w:r>
    </w:p>
    <w:p w:rsidR="00B73E6E" w:rsidRPr="00DA1D3A" w:rsidRDefault="00B73E6E" w:rsidP="00414FFF">
      <w:pPr>
        <w:spacing w:line="240" w:lineRule="auto"/>
        <w:rPr>
          <w:rFonts w:ascii="Arial" w:hAnsi="Arial" w:cs="Arial"/>
          <w:bCs/>
        </w:rPr>
      </w:pPr>
      <w:r w:rsidRPr="00DA1D3A">
        <w:rPr>
          <w:rFonts w:ascii="Arial" w:hAnsi="Arial" w:cs="Arial"/>
          <w:b/>
          <w:bCs/>
        </w:rPr>
        <w:t xml:space="preserve">Dimensions: </w:t>
      </w:r>
      <w:r w:rsidR="00414FFF" w:rsidRPr="00DA1D3A">
        <w:rPr>
          <w:rFonts w:ascii="Arial" w:hAnsi="Arial" w:cs="Arial"/>
          <w:bCs/>
        </w:rPr>
        <w:t xml:space="preserve">Height: </w:t>
      </w:r>
      <w:r w:rsidR="004A44DF" w:rsidRPr="00DA1D3A">
        <w:rPr>
          <w:rFonts w:ascii="Arial" w:hAnsi="Arial" w:cs="Arial"/>
          <w:bCs/>
        </w:rPr>
        <w:t xml:space="preserve">                  </w:t>
      </w:r>
      <w:r w:rsidR="00414FFF" w:rsidRPr="00DA1D3A">
        <w:rPr>
          <w:rFonts w:ascii="Arial" w:hAnsi="Arial" w:cs="Arial"/>
          <w:bCs/>
        </w:rPr>
        <w:t xml:space="preserve">ca. 48 </w:t>
      </w:r>
      <w:r w:rsidR="004F1141" w:rsidRPr="00DA1D3A">
        <w:rPr>
          <w:rFonts w:ascii="Arial" w:hAnsi="Arial" w:cs="Arial"/>
          <w:bCs/>
        </w:rPr>
        <w:t xml:space="preserve">   </w:t>
      </w:r>
      <w:r w:rsidR="00414FFF" w:rsidRPr="00DA1D3A">
        <w:rPr>
          <w:rFonts w:ascii="Arial" w:hAnsi="Arial" w:cs="Arial"/>
          <w:bCs/>
        </w:rPr>
        <w:t>centimetres</w:t>
      </w:r>
    </w:p>
    <w:p w:rsidR="00414FFF" w:rsidRPr="00DA1D3A" w:rsidRDefault="00414FFF" w:rsidP="00414FFF">
      <w:pPr>
        <w:spacing w:line="240" w:lineRule="auto"/>
        <w:rPr>
          <w:rFonts w:ascii="Arial" w:hAnsi="Arial" w:cs="Arial"/>
          <w:bCs/>
        </w:rPr>
      </w:pPr>
      <w:r w:rsidRPr="00DA1D3A">
        <w:rPr>
          <w:rFonts w:ascii="Arial" w:hAnsi="Arial" w:cs="Arial"/>
          <w:bCs/>
        </w:rPr>
        <w:t xml:space="preserve">                       Width </w:t>
      </w:r>
      <w:r w:rsidR="004A44DF" w:rsidRPr="00DA1D3A">
        <w:rPr>
          <w:rFonts w:ascii="Arial" w:hAnsi="Arial" w:cs="Arial"/>
          <w:bCs/>
        </w:rPr>
        <w:t>(shoulder)</w:t>
      </w:r>
      <w:r w:rsidRPr="00DA1D3A">
        <w:rPr>
          <w:rFonts w:ascii="Arial" w:hAnsi="Arial" w:cs="Arial"/>
          <w:bCs/>
        </w:rPr>
        <w:t xml:space="preserve">: </w:t>
      </w:r>
      <w:r w:rsidR="00CC69FA" w:rsidRPr="00DA1D3A">
        <w:rPr>
          <w:rFonts w:ascii="Arial" w:hAnsi="Arial" w:cs="Arial"/>
          <w:bCs/>
        </w:rPr>
        <w:t xml:space="preserve"> </w:t>
      </w:r>
      <w:r w:rsidRPr="00DA1D3A">
        <w:rPr>
          <w:rFonts w:ascii="Arial" w:hAnsi="Arial" w:cs="Arial"/>
          <w:bCs/>
        </w:rPr>
        <w:t xml:space="preserve">ca. </w:t>
      </w:r>
      <w:r w:rsidR="004F1141" w:rsidRPr="00DA1D3A">
        <w:rPr>
          <w:rFonts w:ascii="Arial" w:hAnsi="Arial" w:cs="Arial"/>
          <w:bCs/>
        </w:rPr>
        <w:t>16</w:t>
      </w:r>
      <w:r w:rsidRPr="00DA1D3A">
        <w:rPr>
          <w:rFonts w:ascii="Arial" w:hAnsi="Arial" w:cs="Arial"/>
          <w:bCs/>
        </w:rPr>
        <w:t xml:space="preserve">     centimetres</w:t>
      </w:r>
    </w:p>
    <w:p w:rsidR="00414FFF" w:rsidRPr="00DA1D3A" w:rsidRDefault="00414FFF" w:rsidP="00414FFF">
      <w:pPr>
        <w:spacing w:line="240" w:lineRule="auto"/>
        <w:rPr>
          <w:rFonts w:ascii="Arial" w:hAnsi="Arial" w:cs="Arial"/>
          <w:bCs/>
        </w:rPr>
      </w:pPr>
      <w:r w:rsidRPr="00DA1D3A">
        <w:rPr>
          <w:rFonts w:ascii="Arial" w:hAnsi="Arial" w:cs="Arial"/>
          <w:bCs/>
        </w:rPr>
        <w:t xml:space="preserve">                       Width</w:t>
      </w:r>
      <w:r w:rsidR="004A44DF" w:rsidRPr="00DA1D3A">
        <w:rPr>
          <w:rFonts w:ascii="Arial" w:hAnsi="Arial" w:cs="Arial"/>
          <w:bCs/>
        </w:rPr>
        <w:t xml:space="preserve"> (base)</w:t>
      </w:r>
      <w:r w:rsidRPr="00DA1D3A">
        <w:rPr>
          <w:rFonts w:ascii="Arial" w:hAnsi="Arial" w:cs="Arial"/>
          <w:bCs/>
        </w:rPr>
        <w:t xml:space="preserve">: </w:t>
      </w:r>
      <w:r w:rsidR="004A44DF" w:rsidRPr="00DA1D3A">
        <w:rPr>
          <w:rFonts w:ascii="Arial" w:hAnsi="Arial" w:cs="Arial"/>
          <w:bCs/>
        </w:rPr>
        <w:t xml:space="preserve">      </w:t>
      </w:r>
      <w:r w:rsidR="00CC69FA" w:rsidRPr="00DA1D3A">
        <w:rPr>
          <w:rFonts w:ascii="Arial" w:hAnsi="Arial" w:cs="Arial"/>
          <w:bCs/>
        </w:rPr>
        <w:t xml:space="preserve"> </w:t>
      </w:r>
      <w:r w:rsidRPr="00DA1D3A">
        <w:rPr>
          <w:rFonts w:ascii="Arial" w:hAnsi="Arial" w:cs="Arial"/>
          <w:bCs/>
        </w:rPr>
        <w:t>ca.</w:t>
      </w:r>
      <w:r w:rsidR="004F1141" w:rsidRPr="00DA1D3A">
        <w:rPr>
          <w:rFonts w:ascii="Arial" w:hAnsi="Arial" w:cs="Arial"/>
          <w:bCs/>
        </w:rPr>
        <w:t xml:space="preserve"> 7</w:t>
      </w:r>
      <w:r w:rsidR="004A44DF" w:rsidRPr="00DA1D3A">
        <w:rPr>
          <w:rFonts w:ascii="Arial" w:hAnsi="Arial" w:cs="Arial"/>
          <w:bCs/>
        </w:rPr>
        <w:t xml:space="preserve">     </w:t>
      </w:r>
      <w:r w:rsidR="004F1141" w:rsidRPr="00DA1D3A">
        <w:rPr>
          <w:rFonts w:ascii="Arial" w:hAnsi="Arial" w:cs="Arial"/>
          <w:bCs/>
        </w:rPr>
        <w:t xml:space="preserve"> </w:t>
      </w:r>
      <w:r w:rsidR="004A44DF" w:rsidRPr="00DA1D3A">
        <w:rPr>
          <w:rFonts w:ascii="Arial" w:hAnsi="Arial" w:cs="Arial"/>
          <w:bCs/>
        </w:rPr>
        <w:t xml:space="preserve"> centimetres</w:t>
      </w:r>
    </w:p>
    <w:p w:rsidR="00413113" w:rsidRPr="00DA1D3A" w:rsidRDefault="00413113" w:rsidP="00414FFF">
      <w:pPr>
        <w:spacing w:line="240" w:lineRule="auto"/>
        <w:rPr>
          <w:rFonts w:ascii="Arial" w:hAnsi="Arial" w:cs="Arial"/>
          <w:bCs/>
        </w:rPr>
      </w:pPr>
    </w:p>
    <w:p w:rsidR="00413113" w:rsidRPr="00DA1D3A" w:rsidRDefault="00413113" w:rsidP="00414FFF">
      <w:pPr>
        <w:spacing w:line="240" w:lineRule="auto"/>
        <w:rPr>
          <w:rFonts w:ascii="Arial" w:hAnsi="Arial" w:cs="Arial"/>
          <w:bCs/>
        </w:rPr>
      </w:pPr>
    </w:p>
    <w:p w:rsidR="00DC4869" w:rsidRPr="00DA1D3A" w:rsidRDefault="00DC4869" w:rsidP="00DC4869">
      <w:pPr>
        <w:spacing w:line="240" w:lineRule="auto"/>
        <w:rPr>
          <w:rFonts w:ascii="Arial" w:hAnsi="Arial" w:cs="Arial"/>
          <w:bCs/>
        </w:rPr>
      </w:pPr>
    </w:p>
    <w:p w:rsidR="00B73E6E" w:rsidRPr="00DA1D3A" w:rsidRDefault="00B43CB6" w:rsidP="00DC4869">
      <w:pPr>
        <w:spacing w:line="240" w:lineRule="auto"/>
        <w:rPr>
          <w:rFonts w:ascii="Arial" w:hAnsi="Arial" w:cs="Arial"/>
          <w:b/>
          <w:u w:val="single"/>
        </w:rPr>
      </w:pPr>
      <w:r w:rsidRPr="00DA1D3A">
        <w:rPr>
          <w:rFonts w:ascii="Arial" w:hAnsi="Arial" w:cs="Arial"/>
          <w:b/>
          <w:u w:val="single"/>
        </w:rPr>
        <w:lastRenderedPageBreak/>
        <w:t>Description</w:t>
      </w:r>
    </w:p>
    <w:p w:rsidR="00DC4869" w:rsidRPr="00DA1D3A" w:rsidRDefault="00DC4869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>This</w:t>
      </w:r>
      <w:r w:rsidR="00EC45C2" w:rsidRPr="00DA1D3A">
        <w:rPr>
          <w:rFonts w:ascii="Arial" w:hAnsi="Arial" w:cs="Arial"/>
        </w:rPr>
        <w:t xml:space="preserve"> is an</w:t>
      </w:r>
      <w:r w:rsidRPr="00DA1D3A">
        <w:rPr>
          <w:rFonts w:ascii="Arial" w:hAnsi="Arial" w:cs="Arial"/>
        </w:rPr>
        <w:t xml:space="preserve"> ovaloid in shape,</w:t>
      </w:r>
      <w:r w:rsidR="007E177D" w:rsidRPr="00DA1D3A">
        <w:rPr>
          <w:rFonts w:ascii="Arial" w:hAnsi="Arial" w:cs="Arial"/>
        </w:rPr>
        <w:t xml:space="preserve"> </w:t>
      </w:r>
      <w:r w:rsidRPr="00DA1D3A">
        <w:rPr>
          <w:rFonts w:ascii="Arial" w:hAnsi="Arial" w:cs="Arial"/>
        </w:rPr>
        <w:t>round based</w:t>
      </w:r>
      <w:r w:rsidR="00ED746A" w:rsidRPr="00DA1D3A">
        <w:rPr>
          <w:rStyle w:val="Funotenzeichen"/>
          <w:rFonts w:ascii="Arial" w:hAnsi="Arial" w:cs="Arial"/>
        </w:rPr>
        <w:footnoteReference w:id="1"/>
      </w:r>
      <w:r w:rsidRPr="00DA1D3A">
        <w:rPr>
          <w:rFonts w:ascii="Arial" w:hAnsi="Arial" w:cs="Arial"/>
        </w:rPr>
        <w:t xml:space="preserve"> Egyptian storage jar</w:t>
      </w:r>
      <w:r w:rsidR="00EC45C2" w:rsidRPr="00DA1D3A">
        <w:rPr>
          <w:rFonts w:ascii="Arial" w:hAnsi="Arial" w:cs="Arial"/>
        </w:rPr>
        <w:t>.</w:t>
      </w:r>
      <w:r w:rsidR="009A5ECC" w:rsidRPr="00DA1D3A">
        <w:rPr>
          <w:rFonts w:ascii="Arial" w:hAnsi="Arial" w:cs="Arial"/>
        </w:rPr>
        <w:t xml:space="preserve"> </w:t>
      </w:r>
      <w:r w:rsidR="00EC45C2" w:rsidRPr="00DA1D3A">
        <w:rPr>
          <w:rFonts w:ascii="Arial" w:hAnsi="Arial" w:cs="Arial"/>
        </w:rPr>
        <w:t xml:space="preserve">It cannot stand </w:t>
      </w:r>
      <w:r w:rsidR="009A5ECC" w:rsidRPr="00DA1D3A">
        <w:rPr>
          <w:rFonts w:ascii="Arial" w:hAnsi="Arial" w:cs="Arial"/>
        </w:rPr>
        <w:t>on its own</w:t>
      </w:r>
      <w:r w:rsidR="007E177D" w:rsidRPr="00DA1D3A">
        <w:rPr>
          <w:rFonts w:ascii="Arial" w:hAnsi="Arial" w:cs="Arial"/>
        </w:rPr>
        <w:t xml:space="preserve"> and </w:t>
      </w:r>
      <w:r w:rsidR="009A5ECC" w:rsidRPr="00DA1D3A">
        <w:rPr>
          <w:rFonts w:ascii="Arial" w:hAnsi="Arial" w:cs="Arial"/>
        </w:rPr>
        <w:t>mystifies with its interesting surface structure</w:t>
      </w:r>
      <w:r w:rsidR="00ED746A" w:rsidRPr="00DA1D3A">
        <w:rPr>
          <w:rFonts w:ascii="Arial" w:hAnsi="Arial" w:cs="Arial"/>
        </w:rPr>
        <w:t xml:space="preserve"> due to </w:t>
      </w:r>
      <w:r w:rsidR="00CC69FA" w:rsidRPr="00DA1D3A">
        <w:rPr>
          <w:rFonts w:ascii="Arial" w:hAnsi="Arial" w:cs="Arial"/>
        </w:rPr>
        <w:t>a beige</w:t>
      </w:r>
      <w:r w:rsidR="00ED746A" w:rsidRPr="00DA1D3A">
        <w:rPr>
          <w:rFonts w:ascii="Arial" w:hAnsi="Arial" w:cs="Arial"/>
        </w:rPr>
        <w:t xml:space="preserve"> residue of unknown origin</w:t>
      </w:r>
      <w:r w:rsidR="00EC45C2" w:rsidRPr="00DA1D3A">
        <w:rPr>
          <w:rFonts w:ascii="Arial" w:hAnsi="Arial" w:cs="Arial"/>
        </w:rPr>
        <w:t>,</w:t>
      </w:r>
      <w:r w:rsidR="00ED746A" w:rsidRPr="00DA1D3A">
        <w:rPr>
          <w:rFonts w:ascii="Arial" w:hAnsi="Arial" w:cs="Arial"/>
        </w:rPr>
        <w:t xml:space="preserve"> </w:t>
      </w:r>
      <w:r w:rsidR="009A5ECC" w:rsidRPr="00DA1D3A">
        <w:rPr>
          <w:rFonts w:ascii="Arial" w:hAnsi="Arial" w:cs="Arial"/>
        </w:rPr>
        <w:t>spotting</w:t>
      </w:r>
      <w:r w:rsidR="00ED746A" w:rsidRPr="00DA1D3A">
        <w:rPr>
          <w:rFonts w:ascii="Arial" w:hAnsi="Arial" w:cs="Arial"/>
        </w:rPr>
        <w:t xml:space="preserve"> the surface and especially the base of the jar. </w:t>
      </w:r>
      <w:r w:rsidR="00697C7F" w:rsidRPr="00DA1D3A">
        <w:rPr>
          <w:rFonts w:ascii="Arial" w:hAnsi="Arial" w:cs="Arial"/>
        </w:rPr>
        <w:t>T</w:t>
      </w:r>
      <w:r w:rsidR="00095617" w:rsidRPr="00DA1D3A">
        <w:rPr>
          <w:rFonts w:ascii="Arial" w:hAnsi="Arial" w:cs="Arial"/>
        </w:rPr>
        <w:t>he</w:t>
      </w:r>
      <w:r w:rsidR="00697C7F" w:rsidRPr="00DA1D3A">
        <w:rPr>
          <w:rFonts w:ascii="Arial" w:hAnsi="Arial" w:cs="Arial"/>
        </w:rPr>
        <w:t xml:space="preserve"> base</w:t>
      </w:r>
      <w:r w:rsidR="00095617" w:rsidRPr="00DA1D3A">
        <w:rPr>
          <w:rFonts w:ascii="Arial" w:hAnsi="Arial" w:cs="Arial"/>
        </w:rPr>
        <w:t xml:space="preserve"> clay appear</w:t>
      </w:r>
      <w:r w:rsidR="00697C7F" w:rsidRPr="00DA1D3A">
        <w:rPr>
          <w:rFonts w:ascii="Arial" w:hAnsi="Arial" w:cs="Arial"/>
        </w:rPr>
        <w:t>s</w:t>
      </w:r>
      <w:r w:rsidR="00095617" w:rsidRPr="00DA1D3A">
        <w:rPr>
          <w:rFonts w:ascii="Arial" w:hAnsi="Arial" w:cs="Arial"/>
        </w:rPr>
        <w:t xml:space="preserve"> in a </w:t>
      </w:r>
      <w:r w:rsidR="00060520" w:rsidRPr="00DA1D3A">
        <w:rPr>
          <w:rFonts w:ascii="Arial" w:hAnsi="Arial" w:cs="Arial"/>
        </w:rPr>
        <w:t>terracotta like brown-orange</w:t>
      </w:r>
      <w:r w:rsidR="00095617" w:rsidRPr="00DA1D3A">
        <w:rPr>
          <w:rFonts w:ascii="Arial" w:hAnsi="Arial" w:cs="Arial"/>
        </w:rPr>
        <w:t xml:space="preserve"> </w:t>
      </w:r>
      <w:r w:rsidR="009A5ECC" w:rsidRPr="00DA1D3A">
        <w:rPr>
          <w:rFonts w:ascii="Arial" w:hAnsi="Arial" w:cs="Arial"/>
        </w:rPr>
        <w:t>colour</w:t>
      </w:r>
      <w:r w:rsidR="00060520" w:rsidRPr="00DA1D3A">
        <w:rPr>
          <w:rFonts w:ascii="Arial" w:hAnsi="Arial" w:cs="Arial"/>
        </w:rPr>
        <w:t>.</w:t>
      </w:r>
      <w:r w:rsidR="00ED746A" w:rsidRPr="00DA1D3A">
        <w:rPr>
          <w:rFonts w:ascii="Arial" w:hAnsi="Arial" w:cs="Arial"/>
        </w:rPr>
        <w:t xml:space="preserve"> </w:t>
      </w:r>
      <w:r w:rsidR="00060520" w:rsidRPr="00DA1D3A">
        <w:rPr>
          <w:rFonts w:ascii="Arial" w:hAnsi="Arial" w:cs="Arial"/>
        </w:rPr>
        <w:t>W</w:t>
      </w:r>
      <w:r w:rsidR="00ED746A" w:rsidRPr="00DA1D3A">
        <w:rPr>
          <w:rFonts w:ascii="Arial" w:hAnsi="Arial" w:cs="Arial"/>
        </w:rPr>
        <w:t>hat appears to be a white slip</w:t>
      </w:r>
      <w:r w:rsidR="00060520" w:rsidRPr="00DA1D3A">
        <w:rPr>
          <w:rFonts w:ascii="Arial" w:hAnsi="Arial" w:cs="Arial"/>
        </w:rPr>
        <w:t xml:space="preserve"> or pigment</w:t>
      </w:r>
      <w:r w:rsidR="00ED746A" w:rsidRPr="00DA1D3A">
        <w:rPr>
          <w:rFonts w:ascii="Arial" w:hAnsi="Arial" w:cs="Arial"/>
        </w:rPr>
        <w:t xml:space="preserve"> is also detectable, only </w:t>
      </w:r>
      <w:r w:rsidR="00697C7F" w:rsidRPr="00DA1D3A">
        <w:rPr>
          <w:rFonts w:ascii="Arial" w:hAnsi="Arial" w:cs="Arial"/>
        </w:rPr>
        <w:t>ceasing for</w:t>
      </w:r>
      <w:r w:rsidR="00ED746A" w:rsidRPr="00DA1D3A">
        <w:rPr>
          <w:rFonts w:ascii="Arial" w:hAnsi="Arial" w:cs="Arial"/>
        </w:rPr>
        <w:t xml:space="preserve"> a </w:t>
      </w:r>
      <w:r w:rsidR="00060520" w:rsidRPr="00DA1D3A">
        <w:rPr>
          <w:rFonts w:ascii="Arial" w:hAnsi="Arial" w:cs="Arial"/>
        </w:rPr>
        <w:t>palms</w:t>
      </w:r>
      <w:r w:rsidR="00EC45C2" w:rsidRPr="00DA1D3A">
        <w:rPr>
          <w:rFonts w:ascii="Arial" w:hAnsi="Arial" w:cs="Arial"/>
        </w:rPr>
        <w:t>-</w:t>
      </w:r>
      <w:r w:rsidR="00060520" w:rsidRPr="00DA1D3A">
        <w:rPr>
          <w:rFonts w:ascii="Arial" w:hAnsi="Arial" w:cs="Arial"/>
        </w:rPr>
        <w:t>leng</w:t>
      </w:r>
      <w:bookmarkStart w:id="0" w:name="_GoBack"/>
      <w:bookmarkEnd w:id="0"/>
      <w:r w:rsidR="00060520" w:rsidRPr="00DA1D3A">
        <w:rPr>
          <w:rFonts w:ascii="Arial" w:hAnsi="Arial" w:cs="Arial"/>
        </w:rPr>
        <w:t>th underneath the shoulder</w:t>
      </w:r>
      <w:r w:rsidR="009A5ECC" w:rsidRPr="00DA1D3A">
        <w:rPr>
          <w:rFonts w:ascii="Arial" w:hAnsi="Arial" w:cs="Arial"/>
        </w:rPr>
        <w:t xml:space="preserve">, a space also untouched by the residue. </w:t>
      </w:r>
      <w:r w:rsidR="00EC45C2" w:rsidRPr="00DA1D3A">
        <w:rPr>
          <w:rFonts w:ascii="Arial" w:hAnsi="Arial" w:cs="Arial"/>
        </w:rPr>
        <w:t>On one side of the neck, just underneath the</w:t>
      </w:r>
      <w:r w:rsidR="00697C7F" w:rsidRPr="00DA1D3A">
        <w:rPr>
          <w:rFonts w:ascii="Arial" w:hAnsi="Arial" w:cs="Arial"/>
        </w:rPr>
        <w:t xml:space="preserve"> rim</w:t>
      </w:r>
      <w:r w:rsidR="00EC45C2" w:rsidRPr="00DA1D3A">
        <w:rPr>
          <w:rFonts w:ascii="Arial" w:hAnsi="Arial" w:cs="Arial"/>
        </w:rPr>
        <w:t xml:space="preserve">, a dark brown patch is visible. </w:t>
      </w:r>
      <w:r w:rsidR="00AC5B4A" w:rsidRPr="00DA1D3A">
        <w:rPr>
          <w:rFonts w:ascii="Arial" w:hAnsi="Arial" w:cs="Arial"/>
        </w:rPr>
        <w:t>Halfway to the other side of the neck, the numbers 4/5 are written.</w:t>
      </w:r>
    </w:p>
    <w:p w:rsidR="00480521" w:rsidRPr="00DA1D3A" w:rsidRDefault="00480521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 xml:space="preserve">The shoulder of the jar shows </w:t>
      </w:r>
      <w:r w:rsidR="007E013B" w:rsidRPr="00DA1D3A">
        <w:rPr>
          <w:rFonts w:ascii="Arial" w:hAnsi="Arial" w:cs="Arial"/>
        </w:rPr>
        <w:t>crude decorative incised lines.</w:t>
      </w:r>
      <w:r w:rsidR="005763F5" w:rsidRPr="00DA1D3A">
        <w:rPr>
          <w:rFonts w:ascii="Arial" w:hAnsi="Arial" w:cs="Arial"/>
        </w:rPr>
        <w:t xml:space="preserve"> T</w:t>
      </w:r>
      <w:r w:rsidR="00CC69FA" w:rsidRPr="00DA1D3A">
        <w:rPr>
          <w:rFonts w:ascii="Arial" w:hAnsi="Arial" w:cs="Arial"/>
        </w:rPr>
        <w:t>he whole of the object shows</w:t>
      </w:r>
      <w:r w:rsidR="009A5ECC" w:rsidRPr="00DA1D3A">
        <w:rPr>
          <w:rFonts w:ascii="Arial" w:hAnsi="Arial" w:cs="Arial"/>
        </w:rPr>
        <w:t xml:space="preserve"> some</w:t>
      </w:r>
      <w:r w:rsidR="00CC69FA" w:rsidRPr="00DA1D3A">
        <w:rPr>
          <w:rFonts w:ascii="Arial" w:hAnsi="Arial" w:cs="Arial"/>
        </w:rPr>
        <w:t xml:space="preserve"> incisions</w:t>
      </w:r>
      <w:r w:rsidR="009A5ECC" w:rsidRPr="00DA1D3A">
        <w:rPr>
          <w:rFonts w:ascii="Arial" w:hAnsi="Arial" w:cs="Arial"/>
        </w:rPr>
        <w:t>, possible finger</w:t>
      </w:r>
      <w:r w:rsidR="00CC69FA" w:rsidRPr="00DA1D3A">
        <w:rPr>
          <w:rFonts w:ascii="Arial" w:hAnsi="Arial" w:cs="Arial"/>
        </w:rPr>
        <w:t xml:space="preserve"> and scratch marks </w:t>
      </w:r>
      <w:r w:rsidR="009A5ECC" w:rsidRPr="00DA1D3A">
        <w:rPr>
          <w:rFonts w:ascii="Arial" w:hAnsi="Arial" w:cs="Arial"/>
        </w:rPr>
        <w:t xml:space="preserve">likely </w:t>
      </w:r>
      <w:r w:rsidR="00CC69FA" w:rsidRPr="00DA1D3A">
        <w:rPr>
          <w:rFonts w:ascii="Arial" w:hAnsi="Arial" w:cs="Arial"/>
        </w:rPr>
        <w:t>due to</w:t>
      </w:r>
      <w:r w:rsidR="009A5ECC" w:rsidRPr="00DA1D3A">
        <w:rPr>
          <w:rFonts w:ascii="Arial" w:hAnsi="Arial" w:cs="Arial"/>
        </w:rPr>
        <w:t xml:space="preserve"> its making,</w:t>
      </w:r>
      <w:r w:rsidR="00CC69FA" w:rsidRPr="00DA1D3A">
        <w:rPr>
          <w:rFonts w:ascii="Arial" w:hAnsi="Arial" w:cs="Arial"/>
        </w:rPr>
        <w:t xml:space="preserve"> usage and age</w:t>
      </w:r>
      <w:r w:rsidR="005763F5" w:rsidRPr="00DA1D3A">
        <w:rPr>
          <w:rFonts w:ascii="Arial" w:hAnsi="Arial" w:cs="Arial"/>
        </w:rPr>
        <w:t xml:space="preserve">.   </w:t>
      </w:r>
      <w:r w:rsidR="00CC69FA" w:rsidRPr="00DA1D3A">
        <w:rPr>
          <w:rFonts w:ascii="Arial" w:hAnsi="Arial" w:cs="Arial"/>
        </w:rPr>
        <w:t xml:space="preserve"> </w:t>
      </w:r>
      <w:r w:rsidR="005763F5" w:rsidRPr="00DA1D3A">
        <w:rPr>
          <w:rFonts w:ascii="Arial" w:hAnsi="Arial" w:cs="Arial"/>
        </w:rPr>
        <w:t>A</w:t>
      </w:r>
      <w:r w:rsidR="00CC69FA" w:rsidRPr="00DA1D3A">
        <w:rPr>
          <w:rFonts w:ascii="Arial" w:hAnsi="Arial" w:cs="Arial"/>
        </w:rPr>
        <w:t xml:space="preserve"> pot mark can be observed just underneath the shoulder of the jar. </w:t>
      </w:r>
    </w:p>
    <w:p w:rsidR="003F487F" w:rsidRPr="00DA1D3A" w:rsidRDefault="003F487F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 xml:space="preserve">Although residue partially covers part of the right side of the mark, it is mostly visible and thus comparable to other pot marks found on similarly shaped jars. </w:t>
      </w:r>
    </w:p>
    <w:p w:rsidR="00A31A4A" w:rsidRPr="00DA1D3A" w:rsidRDefault="00712FDC" w:rsidP="00DC4869">
      <w:pPr>
        <w:spacing w:line="240" w:lineRule="auto"/>
        <w:rPr>
          <w:rFonts w:ascii="Arial" w:hAnsi="Arial" w:cs="Arial"/>
          <w:b/>
          <w:u w:val="single"/>
        </w:rPr>
      </w:pPr>
      <w:r w:rsidRPr="00DA1D3A">
        <w:rPr>
          <w:rFonts w:ascii="Arial" w:hAnsi="Arial" w:cs="Arial"/>
          <w:b/>
          <w:u w:val="single"/>
        </w:rPr>
        <w:t>Interpretation</w:t>
      </w:r>
    </w:p>
    <w:p w:rsidR="00F55257" w:rsidRPr="00DA1D3A" w:rsidRDefault="00611F34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 xml:space="preserve">While beer jars make up some of the most excavated pottery types in ancient Egypt, especially </w:t>
      </w:r>
      <w:r w:rsidR="00A119FF" w:rsidRPr="00DA1D3A">
        <w:rPr>
          <w:rFonts w:ascii="Arial" w:hAnsi="Arial" w:cs="Arial"/>
        </w:rPr>
        <w:t>from</w:t>
      </w:r>
      <w:r w:rsidRPr="00DA1D3A">
        <w:rPr>
          <w:rFonts w:ascii="Arial" w:hAnsi="Arial" w:cs="Arial"/>
        </w:rPr>
        <w:t xml:space="preserve"> the Old Kingdom,</w:t>
      </w:r>
      <w:r w:rsidRPr="00DA1D3A">
        <w:rPr>
          <w:rStyle w:val="Funotenzeichen"/>
          <w:rFonts w:ascii="Arial" w:hAnsi="Arial" w:cs="Arial"/>
        </w:rPr>
        <w:footnoteReference w:id="2"/>
      </w:r>
      <w:r w:rsidR="00A119FF" w:rsidRPr="00DA1D3A">
        <w:rPr>
          <w:rFonts w:ascii="Arial" w:hAnsi="Arial" w:cs="Arial"/>
        </w:rPr>
        <w:t xml:space="preserve"> </w:t>
      </w:r>
      <w:r w:rsidRPr="00DA1D3A">
        <w:rPr>
          <w:rFonts w:ascii="Arial" w:hAnsi="Arial" w:cs="Arial"/>
        </w:rPr>
        <w:t>only a small body of them are inscribed with pottery marks.</w:t>
      </w:r>
      <w:r w:rsidRPr="00DA1D3A">
        <w:rPr>
          <w:rStyle w:val="Funotenzeichen"/>
          <w:rFonts w:ascii="Arial" w:hAnsi="Arial" w:cs="Arial"/>
        </w:rPr>
        <w:footnoteReference w:id="3"/>
      </w:r>
      <w:r w:rsidR="00A71C4C" w:rsidRPr="00DA1D3A">
        <w:rPr>
          <w:rFonts w:ascii="Arial" w:hAnsi="Arial" w:cs="Arial"/>
        </w:rPr>
        <w:t xml:space="preserve"> </w:t>
      </w:r>
      <w:r w:rsidR="00D83EB8" w:rsidRPr="00DA1D3A">
        <w:rPr>
          <w:rFonts w:ascii="Arial" w:hAnsi="Arial" w:cs="Arial"/>
        </w:rPr>
        <w:t>Even fewer vessels were incised, as this one appears to have been, with most marked vessels having been impressed.</w:t>
      </w:r>
      <w:r w:rsidR="00D83EB8" w:rsidRPr="00DA1D3A">
        <w:rPr>
          <w:rStyle w:val="Funotenzeichen"/>
          <w:rFonts w:ascii="Arial" w:hAnsi="Arial" w:cs="Arial"/>
        </w:rPr>
        <w:footnoteReference w:id="4"/>
      </w:r>
      <w:r w:rsidR="00A119FF" w:rsidRPr="00DA1D3A">
        <w:rPr>
          <w:rFonts w:ascii="Arial" w:hAnsi="Arial" w:cs="Arial"/>
        </w:rPr>
        <w:t xml:space="preserve"> </w:t>
      </w:r>
      <w:r w:rsidR="00587562" w:rsidRPr="00DA1D3A">
        <w:rPr>
          <w:rFonts w:ascii="Arial" w:hAnsi="Arial" w:cs="Arial"/>
        </w:rPr>
        <w:t>In West Saqqara, only three percent of beer jars recovered bore pottery marks,</w:t>
      </w:r>
      <w:r w:rsidR="00587562" w:rsidRPr="00DA1D3A">
        <w:rPr>
          <w:rStyle w:val="Funotenzeichen"/>
          <w:rFonts w:ascii="Arial" w:hAnsi="Arial" w:cs="Arial"/>
        </w:rPr>
        <w:footnoteReference w:id="5"/>
      </w:r>
      <w:r w:rsidR="00A119FF" w:rsidRPr="00DA1D3A">
        <w:rPr>
          <w:rFonts w:ascii="Arial" w:hAnsi="Arial" w:cs="Arial"/>
        </w:rPr>
        <w:t xml:space="preserve"> </w:t>
      </w:r>
      <w:r w:rsidR="00A71C4C" w:rsidRPr="00DA1D3A">
        <w:rPr>
          <w:rFonts w:ascii="Arial" w:hAnsi="Arial" w:cs="Arial"/>
        </w:rPr>
        <w:t>while beer jars from Giza have been inscribed even more rarely.</w:t>
      </w:r>
      <w:r w:rsidR="00A71C4C" w:rsidRPr="00DA1D3A">
        <w:rPr>
          <w:rStyle w:val="Funotenzeichen"/>
          <w:rFonts w:ascii="Arial" w:hAnsi="Arial" w:cs="Arial"/>
        </w:rPr>
        <w:footnoteReference w:id="6"/>
      </w:r>
      <w:r w:rsidR="00A71C4C" w:rsidRPr="00DA1D3A">
        <w:rPr>
          <w:rFonts w:ascii="Arial" w:hAnsi="Arial" w:cs="Arial"/>
        </w:rPr>
        <w:t xml:space="preserve"> </w:t>
      </w:r>
      <w:r w:rsidR="00F55257" w:rsidRPr="00DA1D3A">
        <w:rPr>
          <w:rFonts w:ascii="Arial" w:hAnsi="Arial" w:cs="Arial"/>
        </w:rPr>
        <w:t>Around 8% of found vesse</w:t>
      </w:r>
      <w:r w:rsidR="00F55257" w:rsidRPr="00DA1D3A">
        <w:rPr>
          <w:rFonts w:ascii="Arial" w:hAnsi="Arial" w:cs="Arial"/>
        </w:rPr>
        <w:t>l</w:t>
      </w:r>
      <w:r w:rsidR="00F55257" w:rsidRPr="00DA1D3A">
        <w:rPr>
          <w:rFonts w:ascii="Arial" w:hAnsi="Arial" w:cs="Arial"/>
        </w:rPr>
        <w:t xml:space="preserve">s at </w:t>
      </w:r>
      <w:proofErr w:type="spellStart"/>
      <w:r w:rsidR="00F55257" w:rsidRPr="00DA1D3A">
        <w:rPr>
          <w:rFonts w:ascii="Arial" w:hAnsi="Arial" w:cs="Arial"/>
        </w:rPr>
        <w:t>Tarkham</w:t>
      </w:r>
      <w:proofErr w:type="spellEnd"/>
      <w:r w:rsidR="00F55257" w:rsidRPr="00DA1D3A">
        <w:rPr>
          <w:rFonts w:ascii="Arial" w:hAnsi="Arial" w:cs="Arial"/>
        </w:rPr>
        <w:t xml:space="preserve"> and 14% of vessels at </w:t>
      </w:r>
      <w:proofErr w:type="spellStart"/>
      <w:r w:rsidR="00F55257" w:rsidRPr="00DA1D3A">
        <w:rPr>
          <w:rFonts w:ascii="Arial" w:hAnsi="Arial" w:cs="Arial"/>
        </w:rPr>
        <w:t>Minshat</w:t>
      </w:r>
      <w:proofErr w:type="spellEnd"/>
      <w:r w:rsidR="00F55257" w:rsidRPr="00DA1D3A">
        <w:rPr>
          <w:rFonts w:ascii="Arial" w:hAnsi="Arial" w:cs="Arial"/>
        </w:rPr>
        <w:t xml:space="preserve"> Abu Omar were marked</w:t>
      </w:r>
      <w:r w:rsidR="00F55257" w:rsidRPr="00DA1D3A">
        <w:rPr>
          <w:rFonts w:ascii="Arial" w:hAnsi="Arial" w:cs="Arial"/>
        </w:rPr>
        <w:t>.</w:t>
      </w:r>
      <w:r w:rsidR="00F55257" w:rsidRPr="00DA1D3A">
        <w:rPr>
          <w:rStyle w:val="Funotenzeichen"/>
          <w:rFonts w:ascii="Arial" w:hAnsi="Arial" w:cs="Arial"/>
        </w:rPr>
        <w:footnoteReference w:id="7"/>
      </w:r>
      <w:r w:rsidR="00F55257" w:rsidRPr="00DA1D3A">
        <w:rPr>
          <w:rFonts w:ascii="Arial" w:hAnsi="Arial" w:cs="Arial"/>
        </w:rPr>
        <w:t xml:space="preserve"> </w:t>
      </w:r>
      <w:r w:rsidR="00D83EB8" w:rsidRPr="00DA1D3A">
        <w:rPr>
          <w:rFonts w:ascii="Arial" w:hAnsi="Arial" w:cs="Arial"/>
        </w:rPr>
        <w:t>Already proving the rarity and value of this object.</w:t>
      </w:r>
    </w:p>
    <w:p w:rsidR="00F55257" w:rsidRPr="00DA1D3A" w:rsidRDefault="00A71C4C" w:rsidP="00F55257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>From the corpus of overall marked pottery, only</w:t>
      </w:r>
      <w:r w:rsidR="00D46DF9" w:rsidRPr="00DA1D3A">
        <w:rPr>
          <w:rFonts w:ascii="Arial" w:hAnsi="Arial" w:cs="Arial"/>
        </w:rPr>
        <w:t xml:space="preserve"> wine jars</w:t>
      </w:r>
      <w:r w:rsidR="00D46DF9" w:rsidRPr="00DA1D3A">
        <w:rPr>
          <w:rStyle w:val="Funotenzeichen"/>
          <w:rFonts w:ascii="Arial" w:hAnsi="Arial" w:cs="Arial"/>
        </w:rPr>
        <w:footnoteReference w:id="8"/>
      </w:r>
      <w:r w:rsidRPr="00DA1D3A">
        <w:rPr>
          <w:rFonts w:ascii="Arial" w:hAnsi="Arial" w:cs="Arial"/>
        </w:rPr>
        <w:t xml:space="preserve"> bread moulds rival the beer jar in quantity.</w:t>
      </w:r>
      <w:r w:rsidRPr="00DA1D3A">
        <w:rPr>
          <w:rStyle w:val="Funotenzeichen"/>
          <w:rFonts w:ascii="Arial" w:hAnsi="Arial" w:cs="Arial"/>
        </w:rPr>
        <w:footnoteReference w:id="9"/>
      </w:r>
      <w:r w:rsidRPr="00DA1D3A">
        <w:rPr>
          <w:rFonts w:ascii="Arial" w:hAnsi="Arial" w:cs="Arial"/>
        </w:rPr>
        <w:t xml:space="preserve"> </w:t>
      </w:r>
      <w:r w:rsidR="00472975" w:rsidRPr="00DA1D3A">
        <w:rPr>
          <w:rFonts w:ascii="Arial" w:hAnsi="Arial" w:cs="Arial"/>
        </w:rPr>
        <w:t xml:space="preserve">As </w:t>
      </w:r>
      <w:r w:rsidR="00F55257" w:rsidRPr="00DA1D3A">
        <w:rPr>
          <w:rFonts w:ascii="Arial" w:hAnsi="Arial" w:cs="Arial"/>
        </w:rPr>
        <w:t>the finds from Saqqara show however, most markings stay unclassified,</w:t>
      </w:r>
      <w:r w:rsidR="00F55257" w:rsidRPr="00DA1D3A">
        <w:rPr>
          <w:rStyle w:val="Funotenzeichen"/>
          <w:rFonts w:ascii="Arial" w:hAnsi="Arial" w:cs="Arial"/>
        </w:rPr>
        <w:footnoteReference w:id="10"/>
      </w:r>
      <w:r w:rsidR="00F55257" w:rsidRPr="00DA1D3A">
        <w:rPr>
          <w:rFonts w:ascii="Arial" w:hAnsi="Arial" w:cs="Arial"/>
        </w:rPr>
        <w:t>and to this date remain undeciphered for the most part.</w:t>
      </w:r>
      <w:r w:rsidR="00F55257" w:rsidRPr="00DA1D3A">
        <w:rPr>
          <w:rStyle w:val="Funotenzeichen"/>
          <w:rFonts w:ascii="Arial" w:hAnsi="Arial" w:cs="Arial"/>
        </w:rPr>
        <w:footnoteReference w:id="11"/>
      </w:r>
      <w:r w:rsidR="00F55257" w:rsidRPr="00DA1D3A">
        <w:rPr>
          <w:rFonts w:ascii="Arial" w:hAnsi="Arial" w:cs="Arial"/>
        </w:rPr>
        <w:t xml:space="preserve"> </w:t>
      </w:r>
      <w:r w:rsidR="00933A72" w:rsidRPr="00DA1D3A">
        <w:rPr>
          <w:rFonts w:ascii="Arial" w:hAnsi="Arial" w:cs="Arial"/>
        </w:rPr>
        <w:t xml:space="preserve">Additionally, no published pot mark completely </w:t>
      </w:r>
      <w:r w:rsidR="00A119FF" w:rsidRPr="00DA1D3A">
        <w:rPr>
          <w:rFonts w:ascii="Arial" w:hAnsi="Arial" w:cs="Arial"/>
        </w:rPr>
        <w:t>matches</w:t>
      </w:r>
      <w:r w:rsidR="00933A72" w:rsidRPr="00DA1D3A">
        <w:rPr>
          <w:rFonts w:ascii="Arial" w:hAnsi="Arial" w:cs="Arial"/>
        </w:rPr>
        <w:t xml:space="preserve"> with </w:t>
      </w:r>
      <w:r w:rsidR="007E177D" w:rsidRPr="00DA1D3A">
        <w:rPr>
          <w:rFonts w:ascii="Arial" w:hAnsi="Arial" w:cs="Arial"/>
        </w:rPr>
        <w:t>this specific example,</w:t>
      </w:r>
      <w:r w:rsidR="00933A72" w:rsidRPr="00DA1D3A">
        <w:rPr>
          <w:rFonts w:ascii="Arial" w:hAnsi="Arial" w:cs="Arial"/>
        </w:rPr>
        <w:t xml:space="preserve"> stil</w:t>
      </w:r>
      <w:r w:rsidR="00F55257" w:rsidRPr="00DA1D3A">
        <w:rPr>
          <w:rFonts w:ascii="Arial" w:hAnsi="Arial" w:cs="Arial"/>
        </w:rPr>
        <w:t>l the mark can give information about potential origins,</w:t>
      </w:r>
      <w:r w:rsidR="00933A72" w:rsidRPr="00DA1D3A">
        <w:rPr>
          <w:rFonts w:ascii="Arial" w:hAnsi="Arial" w:cs="Arial"/>
        </w:rPr>
        <w:t xml:space="preserve"> a funerary</w:t>
      </w:r>
      <w:r w:rsidR="00F55257" w:rsidRPr="00DA1D3A">
        <w:rPr>
          <w:rFonts w:ascii="Arial" w:hAnsi="Arial" w:cs="Arial"/>
        </w:rPr>
        <w:t xml:space="preserve"> context and a </w:t>
      </w:r>
      <w:r w:rsidR="00933A72" w:rsidRPr="00DA1D3A">
        <w:rPr>
          <w:rFonts w:ascii="Arial" w:hAnsi="Arial" w:cs="Arial"/>
        </w:rPr>
        <w:t>time period in which the</w:t>
      </w:r>
      <w:r w:rsidR="00F55257" w:rsidRPr="00DA1D3A">
        <w:rPr>
          <w:rFonts w:ascii="Arial" w:hAnsi="Arial" w:cs="Arial"/>
        </w:rPr>
        <w:t xml:space="preserve"> jar</w:t>
      </w:r>
      <w:r w:rsidR="00933A72" w:rsidRPr="00DA1D3A">
        <w:rPr>
          <w:rFonts w:ascii="Arial" w:hAnsi="Arial" w:cs="Arial"/>
        </w:rPr>
        <w:t xml:space="preserve"> could have been deposited</w:t>
      </w:r>
      <w:r w:rsidR="00F55257" w:rsidRPr="00DA1D3A">
        <w:rPr>
          <w:rFonts w:ascii="Arial" w:hAnsi="Arial" w:cs="Arial"/>
        </w:rPr>
        <w:t>.</w:t>
      </w:r>
    </w:p>
    <w:p w:rsidR="00611F34" w:rsidRPr="00DA1D3A" w:rsidRDefault="00A119FF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 xml:space="preserve">It is </w:t>
      </w:r>
      <w:r w:rsidR="000146C6" w:rsidRPr="00DA1D3A">
        <w:rPr>
          <w:rFonts w:ascii="Arial" w:hAnsi="Arial" w:cs="Arial"/>
        </w:rPr>
        <w:t>know from excavations such as the ones undertaken by Flinders P</w:t>
      </w:r>
      <w:r w:rsidR="00DD288E" w:rsidRPr="00DA1D3A">
        <w:rPr>
          <w:rFonts w:ascii="Arial" w:hAnsi="Arial" w:cs="Arial"/>
        </w:rPr>
        <w:t xml:space="preserve">etrie between 1911 and 1913 in </w:t>
      </w:r>
      <w:proofErr w:type="spellStart"/>
      <w:r w:rsidR="00DD288E" w:rsidRPr="00DA1D3A">
        <w:rPr>
          <w:rFonts w:ascii="Arial" w:hAnsi="Arial" w:cs="Arial"/>
        </w:rPr>
        <w:t>Tarkhan</w:t>
      </w:r>
      <w:proofErr w:type="spellEnd"/>
      <w:r w:rsidR="00DD288E" w:rsidRPr="00DA1D3A">
        <w:rPr>
          <w:rFonts w:ascii="Arial" w:hAnsi="Arial" w:cs="Arial"/>
        </w:rPr>
        <w:t>, Egypt, that marked storage jars s</w:t>
      </w:r>
      <w:r w:rsidR="004E2B5F" w:rsidRPr="00DA1D3A">
        <w:rPr>
          <w:rFonts w:ascii="Arial" w:hAnsi="Arial" w:cs="Arial"/>
        </w:rPr>
        <w:t>imilar to</w:t>
      </w:r>
      <w:r w:rsidR="00DD288E" w:rsidRPr="00DA1D3A">
        <w:rPr>
          <w:rFonts w:ascii="Arial" w:hAnsi="Arial" w:cs="Arial"/>
        </w:rPr>
        <w:t xml:space="preserve"> this made up part of the pottery corpus found in ancient </w:t>
      </w:r>
      <w:proofErr w:type="spellStart"/>
      <w:r w:rsidR="00DD288E" w:rsidRPr="00DA1D3A">
        <w:rPr>
          <w:rFonts w:ascii="Arial" w:hAnsi="Arial" w:cs="Arial"/>
        </w:rPr>
        <w:t>necropoleis</w:t>
      </w:r>
      <w:proofErr w:type="spellEnd"/>
      <w:r w:rsidR="00DD288E" w:rsidRPr="00DA1D3A">
        <w:rPr>
          <w:rFonts w:ascii="Arial" w:hAnsi="Arial" w:cs="Arial"/>
        </w:rPr>
        <w:t>.</w:t>
      </w:r>
      <w:r w:rsidR="00DD288E" w:rsidRPr="00DA1D3A">
        <w:rPr>
          <w:rStyle w:val="Funotenzeichen"/>
          <w:rFonts w:ascii="Arial" w:hAnsi="Arial" w:cs="Arial"/>
        </w:rPr>
        <w:footnoteReference w:id="12"/>
      </w:r>
      <w:r w:rsidRPr="00DA1D3A">
        <w:rPr>
          <w:rFonts w:ascii="Arial" w:hAnsi="Arial" w:cs="Arial"/>
        </w:rPr>
        <w:t xml:space="preserve"> </w:t>
      </w:r>
      <w:r w:rsidR="004E2B5F" w:rsidRPr="00DA1D3A">
        <w:rPr>
          <w:rFonts w:ascii="Arial" w:hAnsi="Arial" w:cs="Arial"/>
        </w:rPr>
        <w:t>Together with</w:t>
      </w:r>
      <w:r w:rsidR="00432941" w:rsidRPr="00DA1D3A">
        <w:rPr>
          <w:rFonts w:ascii="Arial" w:hAnsi="Arial" w:cs="Arial"/>
        </w:rPr>
        <w:t xml:space="preserve"> pot marks from </w:t>
      </w:r>
      <w:r w:rsidR="006D69E3" w:rsidRPr="00DA1D3A">
        <w:rPr>
          <w:rFonts w:ascii="Arial" w:hAnsi="Arial" w:cs="Arial"/>
        </w:rPr>
        <w:t>funerary sites in the east Delta,</w:t>
      </w:r>
      <w:r w:rsidR="006D69E3" w:rsidRPr="00DA1D3A">
        <w:rPr>
          <w:rStyle w:val="Funotenzeichen"/>
          <w:rFonts w:ascii="Arial" w:hAnsi="Arial" w:cs="Arial"/>
        </w:rPr>
        <w:footnoteReference w:id="13"/>
      </w:r>
      <w:r w:rsidR="006D69E3" w:rsidRPr="00DA1D3A">
        <w:rPr>
          <w:rFonts w:ascii="Arial" w:hAnsi="Arial" w:cs="Arial"/>
        </w:rPr>
        <w:t xml:space="preserve"> </w:t>
      </w:r>
      <w:r w:rsidR="00432941" w:rsidRPr="00DA1D3A">
        <w:rPr>
          <w:rFonts w:ascii="Arial" w:hAnsi="Arial" w:cs="Arial"/>
        </w:rPr>
        <w:t xml:space="preserve">Saqqara, Abydos and </w:t>
      </w:r>
      <w:proofErr w:type="spellStart"/>
      <w:r w:rsidR="00432941" w:rsidRPr="00DA1D3A">
        <w:rPr>
          <w:rFonts w:ascii="Arial" w:hAnsi="Arial" w:cs="Arial"/>
        </w:rPr>
        <w:t>Minshat</w:t>
      </w:r>
      <w:proofErr w:type="spellEnd"/>
      <w:r w:rsidR="00432941" w:rsidRPr="00DA1D3A">
        <w:rPr>
          <w:rFonts w:ascii="Arial" w:hAnsi="Arial" w:cs="Arial"/>
        </w:rPr>
        <w:t xml:space="preserve"> Abu Omar, the mark</w:t>
      </w:r>
      <w:r w:rsidR="00F55257" w:rsidRPr="00DA1D3A">
        <w:rPr>
          <w:rFonts w:ascii="Arial" w:hAnsi="Arial" w:cs="Arial"/>
        </w:rPr>
        <w:t>ed vessels</w:t>
      </w:r>
      <w:r w:rsidR="00432941" w:rsidRPr="00DA1D3A">
        <w:rPr>
          <w:rFonts w:ascii="Arial" w:hAnsi="Arial" w:cs="Arial"/>
        </w:rPr>
        <w:t xml:space="preserve"> from </w:t>
      </w:r>
      <w:proofErr w:type="spellStart"/>
      <w:r w:rsidR="00432941" w:rsidRPr="00DA1D3A">
        <w:rPr>
          <w:rFonts w:ascii="Arial" w:hAnsi="Arial" w:cs="Arial"/>
        </w:rPr>
        <w:t>Tarkhan</w:t>
      </w:r>
      <w:proofErr w:type="spellEnd"/>
      <w:r w:rsidR="00F55257" w:rsidRPr="00DA1D3A">
        <w:rPr>
          <w:rFonts w:ascii="Arial" w:hAnsi="Arial" w:cs="Arial"/>
        </w:rPr>
        <w:t xml:space="preserve"> </w:t>
      </w:r>
      <w:r w:rsidR="00C00638" w:rsidRPr="00DA1D3A">
        <w:rPr>
          <w:rFonts w:ascii="Arial" w:hAnsi="Arial" w:cs="Arial"/>
        </w:rPr>
        <w:t>direct to a potential</w:t>
      </w:r>
      <w:r w:rsidR="00531BFF" w:rsidRPr="00DA1D3A">
        <w:rPr>
          <w:rFonts w:ascii="Arial" w:hAnsi="Arial" w:cs="Arial"/>
        </w:rPr>
        <w:t xml:space="preserve"> original location</w:t>
      </w:r>
      <w:r w:rsidR="00C00638" w:rsidRPr="00DA1D3A">
        <w:rPr>
          <w:rFonts w:ascii="Arial" w:hAnsi="Arial" w:cs="Arial"/>
        </w:rPr>
        <w:t xml:space="preserve"> for this jar</w:t>
      </w:r>
      <w:r w:rsidR="00432941" w:rsidRPr="00DA1D3A">
        <w:rPr>
          <w:rFonts w:ascii="Arial" w:hAnsi="Arial" w:cs="Arial"/>
        </w:rPr>
        <w:t>.</w:t>
      </w:r>
      <w:r w:rsidR="00432941" w:rsidRPr="00DA1D3A">
        <w:rPr>
          <w:rStyle w:val="Funotenzeichen"/>
          <w:rFonts w:ascii="Arial" w:hAnsi="Arial" w:cs="Arial"/>
        </w:rPr>
        <w:footnoteReference w:id="14"/>
      </w:r>
      <w:r w:rsidRPr="00DA1D3A">
        <w:rPr>
          <w:rFonts w:ascii="Arial" w:hAnsi="Arial" w:cs="Arial"/>
        </w:rPr>
        <w:t xml:space="preserve"> </w:t>
      </w:r>
    </w:p>
    <w:p w:rsidR="002D6448" w:rsidRPr="00DA1D3A" w:rsidRDefault="009334EF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 xml:space="preserve">Petrie mentions in his reports that most of the marked vessels have been found associated with large hill graves or </w:t>
      </w:r>
      <w:proofErr w:type="spellStart"/>
      <w:r w:rsidRPr="00DA1D3A">
        <w:rPr>
          <w:rFonts w:ascii="Arial" w:hAnsi="Arial" w:cs="Arial"/>
        </w:rPr>
        <w:t>mastabas</w:t>
      </w:r>
      <w:proofErr w:type="spellEnd"/>
      <w:r w:rsidRPr="00DA1D3A">
        <w:rPr>
          <w:rFonts w:ascii="Arial" w:hAnsi="Arial" w:cs="Arial"/>
        </w:rPr>
        <w:t>,</w:t>
      </w:r>
      <w:r w:rsidRPr="00DA1D3A">
        <w:rPr>
          <w:rStyle w:val="Funotenzeichen"/>
          <w:rFonts w:ascii="Arial" w:hAnsi="Arial" w:cs="Arial"/>
        </w:rPr>
        <w:footnoteReference w:id="15"/>
      </w:r>
      <w:r w:rsidR="00531BFF" w:rsidRPr="00DA1D3A">
        <w:rPr>
          <w:rFonts w:ascii="Arial" w:hAnsi="Arial" w:cs="Arial"/>
        </w:rPr>
        <w:t xml:space="preserve"> </w:t>
      </w:r>
      <w:r w:rsidRPr="00DA1D3A">
        <w:rPr>
          <w:rFonts w:ascii="Arial" w:hAnsi="Arial" w:cs="Arial"/>
        </w:rPr>
        <w:t xml:space="preserve">with most pot bearing vessels </w:t>
      </w:r>
      <w:r w:rsidR="00413113" w:rsidRPr="00DA1D3A">
        <w:rPr>
          <w:rFonts w:ascii="Arial" w:hAnsi="Arial" w:cs="Arial"/>
        </w:rPr>
        <w:t>excavated</w:t>
      </w:r>
      <w:r w:rsidRPr="00DA1D3A">
        <w:rPr>
          <w:rFonts w:ascii="Arial" w:hAnsi="Arial" w:cs="Arial"/>
        </w:rPr>
        <w:t xml:space="preserve"> from two types </w:t>
      </w:r>
      <w:r w:rsidRPr="00DA1D3A">
        <w:rPr>
          <w:rFonts w:ascii="Arial" w:hAnsi="Arial" w:cs="Arial"/>
        </w:rPr>
        <w:lastRenderedPageBreak/>
        <w:t xml:space="preserve">of contexts associated with the dead; either funerary </w:t>
      </w:r>
      <w:r w:rsidR="00413113" w:rsidRPr="00DA1D3A">
        <w:rPr>
          <w:rFonts w:ascii="Arial" w:hAnsi="Arial" w:cs="Arial"/>
        </w:rPr>
        <w:t>or mortuary.</w:t>
      </w:r>
      <w:r w:rsidR="00413113" w:rsidRPr="00DA1D3A">
        <w:rPr>
          <w:rStyle w:val="Funotenzeichen"/>
          <w:rFonts w:ascii="Arial" w:hAnsi="Arial" w:cs="Arial"/>
        </w:rPr>
        <w:footnoteReference w:id="16"/>
      </w:r>
      <w:r w:rsidR="00413113" w:rsidRPr="00DA1D3A">
        <w:rPr>
          <w:rFonts w:ascii="Arial" w:hAnsi="Arial" w:cs="Arial"/>
        </w:rPr>
        <w:t xml:space="preserve"> </w:t>
      </w:r>
      <w:r w:rsidR="00531BFF" w:rsidRPr="00DA1D3A">
        <w:rPr>
          <w:rFonts w:ascii="Arial" w:hAnsi="Arial" w:cs="Arial"/>
        </w:rPr>
        <w:t>As a</w:t>
      </w:r>
      <w:r w:rsidR="00D83EB8" w:rsidRPr="00DA1D3A">
        <w:rPr>
          <w:rFonts w:ascii="Arial" w:hAnsi="Arial" w:cs="Arial"/>
        </w:rPr>
        <w:t xml:space="preserve"> funerary offering, marked beer jars were often found deposited inside funerary shafts and less often within burial chambers, making up part of the grave goods.</w:t>
      </w:r>
      <w:r w:rsidR="00D83EB8" w:rsidRPr="00DA1D3A">
        <w:rPr>
          <w:rStyle w:val="Funotenzeichen"/>
          <w:rFonts w:ascii="Arial" w:hAnsi="Arial" w:cs="Arial"/>
        </w:rPr>
        <w:footnoteReference w:id="17"/>
      </w:r>
      <w:r w:rsidR="00D83EB8" w:rsidRPr="00DA1D3A">
        <w:rPr>
          <w:rFonts w:ascii="Arial" w:hAnsi="Arial" w:cs="Arial"/>
        </w:rPr>
        <w:t xml:space="preserve"> As part of a mortuary context, these vessels were excavated near or in chapels and in association with false doors, pointing to </w:t>
      </w:r>
      <w:r w:rsidR="002D6448" w:rsidRPr="00DA1D3A">
        <w:rPr>
          <w:rFonts w:ascii="Arial" w:hAnsi="Arial" w:cs="Arial"/>
        </w:rPr>
        <w:t>the</w:t>
      </w:r>
      <w:r w:rsidR="00D83EB8" w:rsidRPr="00DA1D3A">
        <w:rPr>
          <w:rFonts w:ascii="Arial" w:hAnsi="Arial" w:cs="Arial"/>
        </w:rPr>
        <w:t xml:space="preserve"> use as offering</w:t>
      </w:r>
      <w:r w:rsidR="000E13E9" w:rsidRPr="00DA1D3A">
        <w:rPr>
          <w:rFonts w:ascii="Arial" w:hAnsi="Arial" w:cs="Arial"/>
        </w:rPr>
        <w:t>,</w:t>
      </w:r>
      <w:r w:rsidR="000E13E9" w:rsidRPr="00DA1D3A">
        <w:rPr>
          <w:rStyle w:val="Funotenzeichen"/>
          <w:rFonts w:ascii="Arial" w:hAnsi="Arial" w:cs="Arial"/>
        </w:rPr>
        <w:footnoteReference w:id="18"/>
      </w:r>
      <w:r w:rsidR="000E13E9" w:rsidRPr="00DA1D3A">
        <w:rPr>
          <w:rFonts w:ascii="Arial" w:hAnsi="Arial" w:cs="Arial"/>
        </w:rPr>
        <w:t xml:space="preserve"> as in the case of beer vessels found at Umm el-</w:t>
      </w:r>
      <w:proofErr w:type="spellStart"/>
      <w:r w:rsidR="000E13E9" w:rsidRPr="00DA1D3A">
        <w:rPr>
          <w:rFonts w:ascii="Arial" w:hAnsi="Arial" w:cs="Arial"/>
        </w:rPr>
        <w:t>Qaab</w:t>
      </w:r>
      <w:proofErr w:type="spellEnd"/>
      <w:r w:rsidR="000E13E9" w:rsidRPr="00DA1D3A">
        <w:rPr>
          <w:rFonts w:ascii="Arial" w:hAnsi="Arial" w:cs="Arial"/>
        </w:rPr>
        <w:t xml:space="preserve"> in Abydos, </w:t>
      </w:r>
      <w:r w:rsidR="002D6448" w:rsidRPr="00DA1D3A">
        <w:rPr>
          <w:rFonts w:ascii="Arial" w:hAnsi="Arial" w:cs="Arial"/>
        </w:rPr>
        <w:t xml:space="preserve">offered </w:t>
      </w:r>
      <w:r w:rsidR="000E13E9" w:rsidRPr="00DA1D3A">
        <w:rPr>
          <w:rFonts w:ascii="Arial" w:hAnsi="Arial" w:cs="Arial"/>
        </w:rPr>
        <w:t>to Osiris.</w:t>
      </w:r>
      <w:r w:rsidR="000E13E9" w:rsidRPr="00DA1D3A">
        <w:rPr>
          <w:rStyle w:val="Funotenzeichen"/>
          <w:rFonts w:ascii="Arial" w:hAnsi="Arial" w:cs="Arial"/>
        </w:rPr>
        <w:footnoteReference w:id="19"/>
      </w:r>
      <w:r w:rsidR="000E13E9" w:rsidRPr="00DA1D3A">
        <w:rPr>
          <w:rFonts w:ascii="Arial" w:hAnsi="Arial" w:cs="Arial"/>
        </w:rPr>
        <w:t xml:space="preserve"> </w:t>
      </w:r>
    </w:p>
    <w:p w:rsidR="002D6448" w:rsidRPr="00DA1D3A" w:rsidRDefault="000E13E9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 xml:space="preserve">Most often, incised beer jars are found in burial shafts, with the smaller quantity recovered from so called </w:t>
      </w:r>
      <w:proofErr w:type="spellStart"/>
      <w:r w:rsidRPr="00DA1D3A">
        <w:rPr>
          <w:rFonts w:ascii="Arial" w:hAnsi="Arial" w:cs="Arial"/>
          <w:i/>
        </w:rPr>
        <w:t>dakka</w:t>
      </w:r>
      <w:proofErr w:type="spellEnd"/>
      <w:r w:rsidR="002D6448" w:rsidRPr="00DA1D3A">
        <w:rPr>
          <w:rFonts w:ascii="Arial" w:hAnsi="Arial" w:cs="Arial"/>
        </w:rPr>
        <w:t xml:space="preserve">; </w:t>
      </w:r>
      <w:r w:rsidRPr="00DA1D3A">
        <w:rPr>
          <w:rFonts w:ascii="Arial" w:hAnsi="Arial" w:cs="Arial"/>
        </w:rPr>
        <w:t>deposits formed by the cutting of tombs into rock, often used to backfill the finished tombs.</w:t>
      </w:r>
      <w:r w:rsidRPr="00DA1D3A">
        <w:rPr>
          <w:rStyle w:val="Funotenzeichen"/>
          <w:rFonts w:ascii="Arial" w:hAnsi="Arial" w:cs="Arial"/>
        </w:rPr>
        <w:footnoteReference w:id="20"/>
      </w:r>
      <w:r w:rsidRPr="00DA1D3A">
        <w:rPr>
          <w:rFonts w:ascii="Arial" w:hAnsi="Arial" w:cs="Arial"/>
        </w:rPr>
        <w:t xml:space="preserve"> Through the robbing of tombs, </w:t>
      </w:r>
      <w:r w:rsidR="002D6448" w:rsidRPr="00DA1D3A">
        <w:rPr>
          <w:rFonts w:ascii="Arial" w:hAnsi="Arial" w:cs="Arial"/>
        </w:rPr>
        <w:t>many vessels</w:t>
      </w:r>
      <w:r w:rsidRPr="00DA1D3A">
        <w:rPr>
          <w:rFonts w:ascii="Arial" w:hAnsi="Arial" w:cs="Arial"/>
        </w:rPr>
        <w:t xml:space="preserve"> have been found outside tombs.</w:t>
      </w:r>
      <w:r w:rsidRPr="00DA1D3A">
        <w:rPr>
          <w:rStyle w:val="Funotenzeichen"/>
          <w:rFonts w:ascii="Arial" w:hAnsi="Arial" w:cs="Arial"/>
        </w:rPr>
        <w:footnoteReference w:id="21"/>
      </w:r>
      <w:r w:rsidR="007E177D" w:rsidRPr="00DA1D3A">
        <w:rPr>
          <w:rFonts w:ascii="Arial" w:hAnsi="Arial" w:cs="Arial"/>
        </w:rPr>
        <w:t xml:space="preserve"> </w:t>
      </w:r>
      <w:proofErr w:type="spellStart"/>
      <w:r w:rsidR="00A613C1" w:rsidRPr="00DA1D3A">
        <w:rPr>
          <w:rFonts w:ascii="Arial" w:hAnsi="Arial" w:cs="Arial"/>
        </w:rPr>
        <w:t>Budka</w:t>
      </w:r>
      <w:proofErr w:type="spellEnd"/>
      <w:r w:rsidR="00A613C1" w:rsidRPr="00DA1D3A">
        <w:rPr>
          <w:rFonts w:ascii="Arial" w:hAnsi="Arial" w:cs="Arial"/>
        </w:rPr>
        <w:t xml:space="preserve"> 2015</w:t>
      </w:r>
      <w:r w:rsidR="00A613C1" w:rsidRPr="00DA1D3A">
        <w:rPr>
          <w:rStyle w:val="Funotenzeichen"/>
          <w:rFonts w:ascii="Arial" w:hAnsi="Arial" w:cs="Arial"/>
        </w:rPr>
        <w:footnoteReference w:id="22"/>
      </w:r>
      <w:r w:rsidR="007E177D" w:rsidRPr="00DA1D3A">
        <w:rPr>
          <w:rFonts w:ascii="Arial" w:hAnsi="Arial" w:cs="Arial"/>
        </w:rPr>
        <w:t xml:space="preserve"> </w:t>
      </w:r>
      <w:r w:rsidR="00A613C1" w:rsidRPr="00DA1D3A">
        <w:rPr>
          <w:rFonts w:ascii="Arial" w:hAnsi="Arial" w:cs="Arial"/>
        </w:rPr>
        <w:t>notices</w:t>
      </w:r>
      <w:r w:rsidR="002D6448" w:rsidRPr="00DA1D3A">
        <w:rPr>
          <w:rFonts w:ascii="Arial" w:hAnsi="Arial" w:cs="Arial"/>
        </w:rPr>
        <w:t xml:space="preserve"> </w:t>
      </w:r>
      <w:r w:rsidR="00A613C1" w:rsidRPr="00DA1D3A">
        <w:rPr>
          <w:rFonts w:ascii="Arial" w:hAnsi="Arial" w:cs="Arial"/>
        </w:rPr>
        <w:t>that many beer jars would find equivalents in proximity of temple complexes</w:t>
      </w:r>
      <w:r w:rsidR="007D0E50" w:rsidRPr="00DA1D3A">
        <w:rPr>
          <w:rFonts w:ascii="Arial" w:hAnsi="Arial" w:cs="Arial"/>
        </w:rPr>
        <w:t xml:space="preserve"> such as in the one of </w:t>
      </w:r>
      <w:proofErr w:type="spellStart"/>
      <w:r w:rsidR="007D0E50" w:rsidRPr="00DA1D3A">
        <w:rPr>
          <w:rFonts w:ascii="Arial" w:hAnsi="Arial" w:cs="Arial"/>
        </w:rPr>
        <w:t>Mykerinos</w:t>
      </w:r>
      <w:proofErr w:type="spellEnd"/>
      <w:r w:rsidR="00A613C1" w:rsidRPr="00DA1D3A">
        <w:rPr>
          <w:rFonts w:ascii="Arial" w:hAnsi="Arial" w:cs="Arial"/>
        </w:rPr>
        <w:t>,</w:t>
      </w:r>
      <w:r w:rsidR="007D0E50" w:rsidRPr="00DA1D3A">
        <w:rPr>
          <w:rStyle w:val="Funotenzeichen"/>
          <w:rFonts w:ascii="Arial" w:hAnsi="Arial" w:cs="Arial"/>
        </w:rPr>
        <w:footnoteReference w:id="23"/>
      </w:r>
      <w:r w:rsidR="00A613C1" w:rsidRPr="00DA1D3A">
        <w:rPr>
          <w:rFonts w:ascii="Arial" w:hAnsi="Arial" w:cs="Arial"/>
        </w:rPr>
        <w:t xml:space="preserve"> while about 300 intact beer vessels have been found in </w:t>
      </w:r>
      <w:proofErr w:type="spellStart"/>
      <w:r w:rsidR="00A613C1" w:rsidRPr="00DA1D3A">
        <w:rPr>
          <w:rFonts w:ascii="Arial" w:hAnsi="Arial" w:cs="Arial"/>
        </w:rPr>
        <w:t>Djosers</w:t>
      </w:r>
      <w:proofErr w:type="spellEnd"/>
      <w:r w:rsidR="00A613C1" w:rsidRPr="00DA1D3A">
        <w:rPr>
          <w:rFonts w:ascii="Arial" w:hAnsi="Arial" w:cs="Arial"/>
        </w:rPr>
        <w:t xml:space="preserve"> pyramid.</w:t>
      </w:r>
      <w:r w:rsidR="00A613C1" w:rsidRPr="00DA1D3A">
        <w:rPr>
          <w:rStyle w:val="Funotenzeichen"/>
          <w:rFonts w:ascii="Arial" w:hAnsi="Arial" w:cs="Arial"/>
        </w:rPr>
        <w:footnoteReference w:id="24"/>
      </w:r>
    </w:p>
    <w:p w:rsidR="000034FF" w:rsidRPr="00DA1D3A" w:rsidRDefault="00933A72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>Given that it is testified that it was practice to mark beer vessels prior to and after the Old Kingdom period, dating the vessel proves to be difficult.</w:t>
      </w:r>
      <w:r w:rsidRPr="00DA1D3A">
        <w:rPr>
          <w:rStyle w:val="Funotenzeichen"/>
          <w:rFonts w:ascii="Arial" w:hAnsi="Arial" w:cs="Arial"/>
        </w:rPr>
        <w:footnoteReference w:id="25"/>
      </w:r>
      <w:r w:rsidR="007A4C9F" w:rsidRPr="00DA1D3A">
        <w:rPr>
          <w:rFonts w:ascii="Arial" w:hAnsi="Arial" w:cs="Arial"/>
        </w:rPr>
        <w:t xml:space="preserve"> </w:t>
      </w:r>
      <w:r w:rsidR="00DA6C9E" w:rsidRPr="00DA1D3A">
        <w:rPr>
          <w:rFonts w:ascii="Arial" w:hAnsi="Arial" w:cs="Arial"/>
        </w:rPr>
        <w:t>It should be mentioned</w:t>
      </w:r>
      <w:r w:rsidR="007E177D" w:rsidRPr="00DA1D3A">
        <w:rPr>
          <w:rFonts w:ascii="Arial" w:hAnsi="Arial" w:cs="Arial"/>
        </w:rPr>
        <w:t>,</w:t>
      </w:r>
      <w:r w:rsidR="00DA6C9E" w:rsidRPr="00DA1D3A">
        <w:rPr>
          <w:rFonts w:ascii="Arial" w:hAnsi="Arial" w:cs="Arial"/>
        </w:rPr>
        <w:t xml:space="preserve"> however</w:t>
      </w:r>
      <w:r w:rsidR="007E177D" w:rsidRPr="00DA1D3A">
        <w:rPr>
          <w:rFonts w:ascii="Arial" w:hAnsi="Arial" w:cs="Arial"/>
        </w:rPr>
        <w:t>,</w:t>
      </w:r>
      <w:r w:rsidR="00DA6C9E" w:rsidRPr="00DA1D3A">
        <w:rPr>
          <w:rFonts w:ascii="Arial" w:hAnsi="Arial" w:cs="Arial"/>
        </w:rPr>
        <w:t xml:space="preserve"> that most marked beer jars found in the west Saqqara excavations have been dated to the Old Kingdom</w:t>
      </w:r>
      <w:r w:rsidR="002D6448" w:rsidRPr="00DA1D3A">
        <w:rPr>
          <w:rFonts w:ascii="Arial" w:hAnsi="Arial" w:cs="Arial"/>
        </w:rPr>
        <w:t>.</w:t>
      </w:r>
      <w:r w:rsidR="00DA6C9E" w:rsidRPr="00DA1D3A">
        <w:rPr>
          <w:rStyle w:val="Funotenzeichen"/>
          <w:rFonts w:ascii="Arial" w:hAnsi="Arial" w:cs="Arial"/>
        </w:rPr>
        <w:footnoteReference w:id="26"/>
      </w:r>
      <w:r w:rsidR="00DA6C9E" w:rsidRPr="00DA1D3A">
        <w:rPr>
          <w:rFonts w:ascii="Arial" w:hAnsi="Arial" w:cs="Arial"/>
        </w:rPr>
        <w:t xml:space="preserve"> </w:t>
      </w:r>
      <w:r w:rsidR="002D6448" w:rsidRPr="00DA1D3A">
        <w:rPr>
          <w:rFonts w:ascii="Arial" w:hAnsi="Arial" w:cs="Arial"/>
        </w:rPr>
        <w:t>On the other side, m</w:t>
      </w:r>
      <w:r w:rsidR="00DA6C9E" w:rsidRPr="00DA1D3A">
        <w:rPr>
          <w:rFonts w:ascii="Arial" w:hAnsi="Arial" w:cs="Arial"/>
        </w:rPr>
        <w:t xml:space="preserve">ost ovoid shaped jars from the </w:t>
      </w:r>
      <w:proofErr w:type="spellStart"/>
      <w:r w:rsidR="00DA6C9E" w:rsidRPr="00DA1D3A">
        <w:rPr>
          <w:rFonts w:ascii="Arial" w:hAnsi="Arial" w:cs="Arial"/>
        </w:rPr>
        <w:t>Tarkham</w:t>
      </w:r>
      <w:proofErr w:type="spellEnd"/>
      <w:r w:rsidR="00DA6C9E" w:rsidRPr="00DA1D3A">
        <w:rPr>
          <w:rFonts w:ascii="Arial" w:hAnsi="Arial" w:cs="Arial"/>
        </w:rPr>
        <w:t xml:space="preserve"> excavations can be dated to the </w:t>
      </w:r>
      <w:proofErr w:type="spellStart"/>
      <w:r w:rsidR="00DA6C9E" w:rsidRPr="00DA1D3A">
        <w:rPr>
          <w:rFonts w:ascii="Arial" w:hAnsi="Arial" w:cs="Arial"/>
        </w:rPr>
        <w:t>Naqada</w:t>
      </w:r>
      <w:proofErr w:type="spellEnd"/>
      <w:r w:rsidR="00DA6C9E" w:rsidRPr="00DA1D3A">
        <w:rPr>
          <w:rFonts w:ascii="Arial" w:hAnsi="Arial" w:cs="Arial"/>
        </w:rPr>
        <w:t xml:space="preserve"> IIIA2-Naqada IIIC2 period.</w:t>
      </w:r>
      <w:r w:rsidR="00DA6C9E" w:rsidRPr="00DA1D3A">
        <w:rPr>
          <w:rStyle w:val="Funotenzeichen"/>
          <w:rFonts w:ascii="Arial" w:hAnsi="Arial" w:cs="Arial"/>
        </w:rPr>
        <w:footnoteReference w:id="27"/>
      </w:r>
      <w:r w:rsidR="00DA6C9E" w:rsidRPr="00DA1D3A">
        <w:rPr>
          <w:rFonts w:ascii="Arial" w:hAnsi="Arial" w:cs="Arial"/>
        </w:rPr>
        <w:t xml:space="preserve"> Van den Brink 1992</w:t>
      </w:r>
      <w:r w:rsidR="00DA6C9E" w:rsidRPr="00DA1D3A">
        <w:rPr>
          <w:rStyle w:val="Funotenzeichen"/>
          <w:rFonts w:ascii="Arial" w:hAnsi="Arial" w:cs="Arial"/>
        </w:rPr>
        <w:footnoteReference w:id="28"/>
      </w:r>
      <w:r w:rsidR="00DA6C9E" w:rsidRPr="00DA1D3A">
        <w:rPr>
          <w:rFonts w:ascii="Arial" w:hAnsi="Arial" w:cs="Arial"/>
        </w:rPr>
        <w:t xml:space="preserve"> notice</w:t>
      </w:r>
      <w:r w:rsidR="002D6448" w:rsidRPr="00DA1D3A">
        <w:rPr>
          <w:rFonts w:ascii="Arial" w:hAnsi="Arial" w:cs="Arial"/>
        </w:rPr>
        <w:t>d</w:t>
      </w:r>
      <w:r w:rsidR="00DA6C9E" w:rsidRPr="00DA1D3A">
        <w:rPr>
          <w:rFonts w:ascii="Arial" w:hAnsi="Arial" w:cs="Arial"/>
        </w:rPr>
        <w:t xml:space="preserve"> an increase in pot mark use under </w:t>
      </w:r>
      <w:proofErr w:type="spellStart"/>
      <w:r w:rsidR="00DA6C9E" w:rsidRPr="00DA1D3A">
        <w:rPr>
          <w:rFonts w:ascii="Arial" w:hAnsi="Arial" w:cs="Arial"/>
        </w:rPr>
        <w:t>Djer</w:t>
      </w:r>
      <w:proofErr w:type="spellEnd"/>
      <w:r w:rsidR="00DA6C9E" w:rsidRPr="00DA1D3A">
        <w:rPr>
          <w:rFonts w:ascii="Arial" w:hAnsi="Arial" w:cs="Arial"/>
        </w:rPr>
        <w:t xml:space="preserve">, </w:t>
      </w:r>
      <w:proofErr w:type="spellStart"/>
      <w:r w:rsidR="00DA6C9E" w:rsidRPr="00DA1D3A">
        <w:rPr>
          <w:rFonts w:ascii="Arial" w:hAnsi="Arial" w:cs="Arial"/>
        </w:rPr>
        <w:t>Djet</w:t>
      </w:r>
      <w:proofErr w:type="spellEnd"/>
      <w:r w:rsidR="00DA6C9E" w:rsidRPr="00DA1D3A">
        <w:rPr>
          <w:rFonts w:ascii="Arial" w:hAnsi="Arial" w:cs="Arial"/>
        </w:rPr>
        <w:t xml:space="preserve">, </w:t>
      </w:r>
      <w:proofErr w:type="spellStart"/>
      <w:r w:rsidR="00DA6C9E" w:rsidRPr="00DA1D3A">
        <w:rPr>
          <w:rFonts w:ascii="Arial" w:hAnsi="Arial" w:cs="Arial"/>
        </w:rPr>
        <w:t>Merneith</w:t>
      </w:r>
      <w:proofErr w:type="spellEnd"/>
      <w:r w:rsidR="00DA6C9E" w:rsidRPr="00DA1D3A">
        <w:rPr>
          <w:rFonts w:ascii="Arial" w:hAnsi="Arial" w:cs="Arial"/>
        </w:rPr>
        <w:t xml:space="preserve"> and Den.</w:t>
      </w:r>
      <w:r w:rsidR="00B02F0C" w:rsidRPr="00DA1D3A">
        <w:rPr>
          <w:rFonts w:ascii="Arial" w:hAnsi="Arial" w:cs="Arial"/>
        </w:rPr>
        <w:t xml:space="preserve"> </w:t>
      </w:r>
      <w:r w:rsidR="005763F5" w:rsidRPr="00DA1D3A">
        <w:rPr>
          <w:rFonts w:ascii="Arial" w:hAnsi="Arial" w:cs="Arial"/>
        </w:rPr>
        <w:t xml:space="preserve">The </w:t>
      </w:r>
      <w:r w:rsidR="005763F5" w:rsidRPr="00DA1D3A">
        <w:rPr>
          <w:rFonts w:ascii="Arial" w:hAnsi="Arial" w:cs="Arial"/>
        </w:rPr>
        <w:t>possible attempts at a floral decoration</w:t>
      </w:r>
      <w:r w:rsidR="005763F5" w:rsidRPr="00DA1D3A">
        <w:rPr>
          <w:rFonts w:ascii="Arial" w:hAnsi="Arial" w:cs="Arial"/>
        </w:rPr>
        <w:t xml:space="preserve"> could be dated to</w:t>
      </w:r>
      <w:r w:rsidR="000034FF" w:rsidRPr="00DA1D3A">
        <w:rPr>
          <w:rFonts w:ascii="Arial" w:hAnsi="Arial" w:cs="Arial"/>
        </w:rPr>
        <w:t xml:space="preserve"> the 19</w:t>
      </w:r>
      <w:r w:rsidR="000034FF" w:rsidRPr="00DA1D3A">
        <w:rPr>
          <w:rFonts w:ascii="Arial" w:hAnsi="Arial" w:cs="Arial"/>
          <w:vertAlign w:val="superscript"/>
        </w:rPr>
        <w:t>th</w:t>
      </w:r>
      <w:r w:rsidR="000034FF" w:rsidRPr="00DA1D3A">
        <w:rPr>
          <w:rFonts w:ascii="Arial" w:hAnsi="Arial" w:cs="Arial"/>
        </w:rPr>
        <w:t xml:space="preserve"> dynasty, however, R</w:t>
      </w:r>
      <w:r w:rsidR="002D6448" w:rsidRPr="00DA1D3A">
        <w:rPr>
          <w:rFonts w:ascii="Arial" w:hAnsi="Arial" w:cs="Arial"/>
        </w:rPr>
        <w:t>a</w:t>
      </w:r>
      <w:r w:rsidR="000034FF" w:rsidRPr="00DA1D3A">
        <w:rPr>
          <w:rFonts w:ascii="Arial" w:hAnsi="Arial" w:cs="Arial"/>
        </w:rPr>
        <w:t>messide beer jars</w:t>
      </w:r>
      <w:r w:rsidR="005763F5" w:rsidRPr="00DA1D3A">
        <w:rPr>
          <w:rFonts w:ascii="Arial" w:hAnsi="Arial" w:cs="Arial"/>
        </w:rPr>
        <w:t>, then in use,</w:t>
      </w:r>
      <w:r w:rsidR="000034FF" w:rsidRPr="00DA1D3A">
        <w:rPr>
          <w:rFonts w:ascii="Arial" w:hAnsi="Arial" w:cs="Arial"/>
        </w:rPr>
        <w:t xml:space="preserve"> </w:t>
      </w:r>
      <w:r w:rsidR="002D6448" w:rsidRPr="00DA1D3A">
        <w:rPr>
          <w:rFonts w:ascii="Arial" w:hAnsi="Arial" w:cs="Arial"/>
        </w:rPr>
        <w:t>had</w:t>
      </w:r>
      <w:r w:rsidR="000034FF" w:rsidRPr="00DA1D3A">
        <w:rPr>
          <w:rFonts w:ascii="Arial" w:hAnsi="Arial" w:cs="Arial"/>
        </w:rPr>
        <w:t xml:space="preserve"> a flat base.</w:t>
      </w:r>
      <w:r w:rsidR="000034FF" w:rsidRPr="00DA1D3A">
        <w:rPr>
          <w:rStyle w:val="Funotenzeichen"/>
          <w:rFonts w:ascii="Arial" w:hAnsi="Arial" w:cs="Arial"/>
        </w:rPr>
        <w:footnoteReference w:id="29"/>
      </w:r>
    </w:p>
    <w:p w:rsidR="002D6448" w:rsidRPr="00DA1D3A" w:rsidRDefault="00B02F0C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>In regards to the</w:t>
      </w:r>
      <w:r w:rsidR="00FF0B10" w:rsidRPr="00DA1D3A">
        <w:rPr>
          <w:rFonts w:ascii="Arial" w:hAnsi="Arial" w:cs="Arial"/>
        </w:rPr>
        <w:t xml:space="preserve"> wealth of the</w:t>
      </w:r>
      <w:r w:rsidRPr="00DA1D3A">
        <w:rPr>
          <w:rFonts w:ascii="Arial" w:hAnsi="Arial" w:cs="Arial"/>
        </w:rPr>
        <w:t xml:space="preserve"> deceased</w:t>
      </w:r>
      <w:r w:rsidR="00FF0B10" w:rsidRPr="00DA1D3A">
        <w:rPr>
          <w:rFonts w:ascii="Arial" w:hAnsi="Arial" w:cs="Arial"/>
        </w:rPr>
        <w:t xml:space="preserve"> or family</w:t>
      </w:r>
      <w:r w:rsidRPr="00DA1D3A">
        <w:rPr>
          <w:rFonts w:ascii="Arial" w:hAnsi="Arial" w:cs="Arial"/>
        </w:rPr>
        <w:t xml:space="preserve"> associated with a marked beer jar, many tombs that included marked </w:t>
      </w:r>
      <w:r w:rsidR="002D6448" w:rsidRPr="00DA1D3A">
        <w:rPr>
          <w:rFonts w:ascii="Arial" w:hAnsi="Arial" w:cs="Arial"/>
        </w:rPr>
        <w:t>vessels</w:t>
      </w:r>
      <w:r w:rsidRPr="00DA1D3A">
        <w:rPr>
          <w:rFonts w:ascii="Arial" w:hAnsi="Arial" w:cs="Arial"/>
        </w:rPr>
        <w:t xml:space="preserve"> at least contain eight or more funerary goods</w:t>
      </w:r>
      <w:r w:rsidR="00D46DF9" w:rsidRPr="00DA1D3A">
        <w:rPr>
          <w:rFonts w:ascii="Arial" w:hAnsi="Arial" w:cs="Arial"/>
        </w:rPr>
        <w:t>.</w:t>
      </w:r>
      <w:r w:rsidRPr="00DA1D3A">
        <w:rPr>
          <w:rStyle w:val="Funotenzeichen"/>
          <w:rFonts w:ascii="Arial" w:hAnsi="Arial" w:cs="Arial"/>
        </w:rPr>
        <w:footnoteReference w:id="30"/>
      </w:r>
      <w:r w:rsidR="00D46DF9" w:rsidRPr="00DA1D3A">
        <w:rPr>
          <w:rFonts w:ascii="Arial" w:hAnsi="Arial" w:cs="Arial"/>
        </w:rPr>
        <w:t xml:space="preserve"> </w:t>
      </w:r>
      <w:r w:rsidR="00EC45C2" w:rsidRPr="00DA1D3A">
        <w:rPr>
          <w:rFonts w:ascii="Arial" w:hAnsi="Arial" w:cs="Arial"/>
        </w:rPr>
        <w:t>I</w:t>
      </w:r>
      <w:r w:rsidR="00D46DF9" w:rsidRPr="00DA1D3A">
        <w:rPr>
          <w:rFonts w:ascii="Arial" w:hAnsi="Arial" w:cs="Arial"/>
        </w:rPr>
        <w:t xml:space="preserve">f </w:t>
      </w:r>
      <w:r w:rsidR="007E177D" w:rsidRPr="00DA1D3A">
        <w:rPr>
          <w:rFonts w:ascii="Arial" w:hAnsi="Arial" w:cs="Arial"/>
        </w:rPr>
        <w:t>a tomb</w:t>
      </w:r>
      <w:r w:rsidR="00D46DF9" w:rsidRPr="00DA1D3A">
        <w:rPr>
          <w:rFonts w:ascii="Arial" w:hAnsi="Arial" w:cs="Arial"/>
        </w:rPr>
        <w:t xml:space="preserve"> contain</w:t>
      </w:r>
      <w:r w:rsidR="002D6448" w:rsidRPr="00DA1D3A">
        <w:rPr>
          <w:rFonts w:ascii="Arial" w:hAnsi="Arial" w:cs="Arial"/>
        </w:rPr>
        <w:t>ed</w:t>
      </w:r>
      <w:r w:rsidR="00D46DF9" w:rsidRPr="00DA1D3A">
        <w:rPr>
          <w:rFonts w:ascii="Arial" w:hAnsi="Arial" w:cs="Arial"/>
        </w:rPr>
        <w:t xml:space="preserve"> more than 17 vessels</w:t>
      </w:r>
      <w:r w:rsidR="007E177D" w:rsidRPr="00DA1D3A">
        <w:rPr>
          <w:rFonts w:ascii="Arial" w:hAnsi="Arial" w:cs="Arial"/>
        </w:rPr>
        <w:t xml:space="preserve"> in form of grave goo</w:t>
      </w:r>
      <w:r w:rsidR="002D6448" w:rsidRPr="00DA1D3A">
        <w:rPr>
          <w:rFonts w:ascii="Arial" w:hAnsi="Arial" w:cs="Arial"/>
        </w:rPr>
        <w:t>ds</w:t>
      </w:r>
      <w:r w:rsidR="007E177D" w:rsidRPr="00DA1D3A">
        <w:rPr>
          <w:rFonts w:ascii="Arial" w:hAnsi="Arial" w:cs="Arial"/>
        </w:rPr>
        <w:t xml:space="preserve">, the chances increase </w:t>
      </w:r>
      <w:r w:rsidR="00EC45C2" w:rsidRPr="00DA1D3A">
        <w:rPr>
          <w:rFonts w:ascii="Arial" w:hAnsi="Arial" w:cs="Arial"/>
        </w:rPr>
        <w:t>exponentially for it to include a marked vessel</w:t>
      </w:r>
      <w:r w:rsidR="002D6448" w:rsidRPr="00DA1D3A">
        <w:rPr>
          <w:rFonts w:ascii="Arial" w:hAnsi="Arial" w:cs="Arial"/>
        </w:rPr>
        <w:t>,</w:t>
      </w:r>
      <w:r w:rsidR="00D46DF9" w:rsidRPr="00DA1D3A">
        <w:rPr>
          <w:rStyle w:val="Funotenzeichen"/>
          <w:rFonts w:ascii="Arial" w:hAnsi="Arial" w:cs="Arial"/>
        </w:rPr>
        <w:footnoteReference w:id="31"/>
      </w:r>
      <w:r w:rsidR="002D6448" w:rsidRPr="00DA1D3A">
        <w:rPr>
          <w:rFonts w:ascii="Arial" w:hAnsi="Arial" w:cs="Arial"/>
        </w:rPr>
        <w:t xml:space="preserve"> making it possible that this example came from a tomb containing quite a few vessels.</w:t>
      </w:r>
    </w:p>
    <w:p w:rsidR="009334EF" w:rsidRPr="00DA1D3A" w:rsidRDefault="00FF0B10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>Additionally, white washing or coating has been reported as very rare among beer jars</w:t>
      </w:r>
      <w:r w:rsidR="00EC45C2" w:rsidRPr="00DA1D3A">
        <w:rPr>
          <w:rFonts w:ascii="Arial" w:hAnsi="Arial" w:cs="Arial"/>
        </w:rPr>
        <w:t>.</w:t>
      </w:r>
      <w:r w:rsidR="002D6448" w:rsidRPr="00DA1D3A">
        <w:rPr>
          <w:rStyle w:val="Funotenzeichen"/>
          <w:rFonts w:ascii="Arial" w:hAnsi="Arial" w:cs="Arial"/>
        </w:rPr>
        <w:footnoteReference w:id="32"/>
      </w:r>
      <w:r w:rsidR="00EC45C2" w:rsidRPr="00DA1D3A">
        <w:rPr>
          <w:rFonts w:ascii="Arial" w:hAnsi="Arial" w:cs="Arial"/>
        </w:rPr>
        <w:t xml:space="preserve"> </w:t>
      </w:r>
      <w:r w:rsidR="005D1A47" w:rsidRPr="00DA1D3A">
        <w:rPr>
          <w:rFonts w:ascii="Arial" w:hAnsi="Arial" w:cs="Arial"/>
        </w:rPr>
        <w:t xml:space="preserve">      </w:t>
      </w:r>
      <w:r w:rsidR="00EC45C2" w:rsidRPr="00DA1D3A">
        <w:rPr>
          <w:rFonts w:ascii="Arial" w:hAnsi="Arial" w:cs="Arial"/>
        </w:rPr>
        <w:t>It</w:t>
      </w:r>
      <w:r w:rsidRPr="00DA1D3A">
        <w:rPr>
          <w:rFonts w:ascii="Arial" w:hAnsi="Arial" w:cs="Arial"/>
        </w:rPr>
        <w:t xml:space="preserve"> could be associated with a funerary rite involving white pigment, possibly a quite elaborate process.</w:t>
      </w:r>
      <w:r w:rsidRPr="00DA1D3A">
        <w:rPr>
          <w:rStyle w:val="Funotenzeichen"/>
          <w:rFonts w:ascii="Arial" w:hAnsi="Arial" w:cs="Arial"/>
        </w:rPr>
        <w:footnoteReference w:id="33"/>
      </w:r>
      <w:r w:rsidRPr="00DA1D3A">
        <w:rPr>
          <w:rFonts w:ascii="Arial" w:hAnsi="Arial" w:cs="Arial"/>
        </w:rPr>
        <w:t xml:space="preserve"> Regarding the mark itself, linear marks make up most of the incised vessels, </w:t>
      </w:r>
      <w:r w:rsidR="00D67535" w:rsidRPr="00DA1D3A">
        <w:rPr>
          <w:rFonts w:ascii="Arial" w:hAnsi="Arial" w:cs="Arial"/>
        </w:rPr>
        <w:t xml:space="preserve">perhaps functioning as a </w:t>
      </w:r>
      <w:proofErr w:type="gramStart"/>
      <w:r w:rsidR="00D67535" w:rsidRPr="00DA1D3A">
        <w:rPr>
          <w:rFonts w:ascii="Arial" w:hAnsi="Arial" w:cs="Arial"/>
        </w:rPr>
        <w:t>potters</w:t>
      </w:r>
      <w:proofErr w:type="gramEnd"/>
      <w:r w:rsidR="00D67535" w:rsidRPr="00DA1D3A">
        <w:rPr>
          <w:rFonts w:ascii="Arial" w:hAnsi="Arial" w:cs="Arial"/>
        </w:rPr>
        <w:t xml:space="preserve">` or workshops signature. </w:t>
      </w:r>
      <w:r w:rsidRPr="00DA1D3A">
        <w:rPr>
          <w:rStyle w:val="Funotenzeichen"/>
          <w:rFonts w:ascii="Arial" w:hAnsi="Arial" w:cs="Arial"/>
        </w:rPr>
        <w:footnoteReference w:id="34"/>
      </w:r>
      <w:r w:rsidR="00887AAE" w:rsidRPr="00DA1D3A">
        <w:rPr>
          <w:rFonts w:ascii="Arial" w:hAnsi="Arial" w:cs="Arial"/>
        </w:rPr>
        <w:t xml:space="preserve"> Alternatively, marks visible on the shoulder of large storage jars were also thought to indicate their contents.</w:t>
      </w:r>
      <w:r w:rsidR="00887AAE" w:rsidRPr="00DA1D3A">
        <w:rPr>
          <w:rStyle w:val="Funotenzeichen"/>
          <w:rFonts w:ascii="Arial" w:hAnsi="Arial" w:cs="Arial"/>
        </w:rPr>
        <w:footnoteReference w:id="35"/>
      </w:r>
      <w:r w:rsidR="00887AAE" w:rsidRPr="00DA1D3A">
        <w:rPr>
          <w:rFonts w:ascii="Arial" w:hAnsi="Arial" w:cs="Arial"/>
        </w:rPr>
        <w:t xml:space="preserve"> </w:t>
      </w:r>
      <w:r w:rsidR="00763BCA" w:rsidRPr="00DA1D3A">
        <w:rPr>
          <w:rFonts w:ascii="Arial" w:hAnsi="Arial" w:cs="Arial"/>
        </w:rPr>
        <w:t xml:space="preserve"> Only one pot mark</w:t>
      </w:r>
      <w:r w:rsidR="00A81134" w:rsidRPr="00DA1D3A">
        <w:rPr>
          <w:rFonts w:ascii="Arial" w:hAnsi="Arial" w:cs="Arial"/>
        </w:rPr>
        <w:t xml:space="preserve"> (fig.1)</w:t>
      </w:r>
      <w:r w:rsidR="00763BCA" w:rsidRPr="00DA1D3A">
        <w:rPr>
          <w:rFonts w:ascii="Arial" w:hAnsi="Arial" w:cs="Arial"/>
        </w:rPr>
        <w:t>, although vertical instead of horizontal, matches</w:t>
      </w:r>
      <w:r w:rsidR="003053EC" w:rsidRPr="00DA1D3A">
        <w:rPr>
          <w:rFonts w:ascii="Arial" w:hAnsi="Arial" w:cs="Arial"/>
        </w:rPr>
        <w:t xml:space="preserve"> this</w:t>
      </w:r>
      <w:r w:rsidR="00763BCA" w:rsidRPr="00DA1D3A">
        <w:rPr>
          <w:rFonts w:ascii="Arial" w:hAnsi="Arial" w:cs="Arial"/>
        </w:rPr>
        <w:t xml:space="preserve"> mark vaguely</w:t>
      </w:r>
      <w:r w:rsidR="004B22C0" w:rsidRPr="00DA1D3A">
        <w:rPr>
          <w:rFonts w:ascii="Arial" w:hAnsi="Arial" w:cs="Arial"/>
        </w:rPr>
        <w:t>.</w:t>
      </w:r>
      <w:r w:rsidR="004B22C0" w:rsidRPr="00DA1D3A">
        <w:rPr>
          <w:rStyle w:val="Funotenzeichen"/>
          <w:rFonts w:ascii="Arial" w:hAnsi="Arial" w:cs="Arial"/>
        </w:rPr>
        <w:footnoteReference w:id="36"/>
      </w:r>
      <w:r w:rsidR="00763BCA" w:rsidRPr="00DA1D3A">
        <w:rPr>
          <w:rFonts w:ascii="Arial" w:hAnsi="Arial" w:cs="Arial"/>
        </w:rPr>
        <w:t xml:space="preserve"> </w:t>
      </w:r>
      <w:r w:rsidR="003053EC" w:rsidRPr="00DA1D3A">
        <w:rPr>
          <w:rFonts w:ascii="Arial" w:hAnsi="Arial" w:cs="Arial"/>
        </w:rPr>
        <w:t>Fig.1 bears</w:t>
      </w:r>
      <w:r w:rsidR="00777069" w:rsidRPr="00DA1D3A">
        <w:rPr>
          <w:rFonts w:ascii="Arial" w:hAnsi="Arial" w:cs="Arial"/>
        </w:rPr>
        <w:t xml:space="preserve"> the context number SQ 1816,</w:t>
      </w:r>
      <w:r w:rsidR="00763BCA" w:rsidRPr="00DA1D3A">
        <w:rPr>
          <w:rFonts w:ascii="Arial" w:hAnsi="Arial" w:cs="Arial"/>
        </w:rPr>
        <w:t xml:space="preserve"> found at </w:t>
      </w:r>
      <w:proofErr w:type="spellStart"/>
      <w:r w:rsidR="00763BCA" w:rsidRPr="00DA1D3A">
        <w:rPr>
          <w:rFonts w:ascii="Arial" w:hAnsi="Arial" w:cs="Arial"/>
        </w:rPr>
        <w:t>Tarkham</w:t>
      </w:r>
      <w:proofErr w:type="spellEnd"/>
      <w:r w:rsidR="004B22C0" w:rsidRPr="00DA1D3A">
        <w:rPr>
          <w:rFonts w:ascii="Arial" w:hAnsi="Arial" w:cs="Arial"/>
        </w:rPr>
        <w:t xml:space="preserve"> </w:t>
      </w:r>
      <w:r w:rsidR="00777069" w:rsidRPr="00DA1D3A">
        <w:rPr>
          <w:rFonts w:ascii="Arial" w:hAnsi="Arial" w:cs="Arial"/>
        </w:rPr>
        <w:t xml:space="preserve">in a burial shaft in the lower necropolis and </w:t>
      </w:r>
      <w:r w:rsidR="00777069" w:rsidRPr="00DA1D3A">
        <w:rPr>
          <w:rFonts w:ascii="Arial" w:hAnsi="Arial" w:cs="Arial"/>
        </w:rPr>
        <w:lastRenderedPageBreak/>
        <w:t>date</w:t>
      </w:r>
      <w:r w:rsidR="004B22C0" w:rsidRPr="00DA1D3A">
        <w:rPr>
          <w:rFonts w:ascii="Arial" w:hAnsi="Arial" w:cs="Arial"/>
        </w:rPr>
        <w:t>s</w:t>
      </w:r>
      <w:r w:rsidR="00777069" w:rsidRPr="00DA1D3A">
        <w:rPr>
          <w:rFonts w:ascii="Arial" w:hAnsi="Arial" w:cs="Arial"/>
        </w:rPr>
        <w:t xml:space="preserve"> back to </w:t>
      </w:r>
      <w:proofErr w:type="spellStart"/>
      <w:r w:rsidR="00777069" w:rsidRPr="00DA1D3A">
        <w:rPr>
          <w:rFonts w:ascii="Arial" w:hAnsi="Arial" w:cs="Arial"/>
        </w:rPr>
        <w:t>Pepy</w:t>
      </w:r>
      <w:proofErr w:type="spellEnd"/>
      <w:r w:rsidR="00777069" w:rsidRPr="00DA1D3A">
        <w:rPr>
          <w:rFonts w:ascii="Arial" w:hAnsi="Arial" w:cs="Arial"/>
        </w:rPr>
        <w:t xml:space="preserve"> II.</w:t>
      </w:r>
      <w:r w:rsidR="00777069" w:rsidRPr="00DA1D3A">
        <w:rPr>
          <w:rStyle w:val="Funotenzeichen"/>
          <w:rFonts w:ascii="Arial" w:hAnsi="Arial" w:cs="Arial"/>
        </w:rPr>
        <w:footnoteReference w:id="37"/>
      </w:r>
      <w:r w:rsidR="00A81134" w:rsidRPr="00DA1D3A">
        <w:rPr>
          <w:rFonts w:ascii="Arial" w:hAnsi="Arial" w:cs="Arial"/>
        </w:rPr>
        <w:t xml:space="preserve"> </w:t>
      </w:r>
      <w:r w:rsidR="00806A85" w:rsidRPr="00DA1D3A">
        <w:rPr>
          <w:rFonts w:ascii="Arial" w:hAnsi="Arial" w:cs="Arial"/>
        </w:rPr>
        <w:t>Appearance wise, the jar most authentically compares to a large late ware storage jar from ca. 3300-3100 B.C., now on display in The Met museum (fig.2.).</w:t>
      </w:r>
      <w:r w:rsidR="00806A85" w:rsidRPr="00DA1D3A">
        <w:rPr>
          <w:rStyle w:val="Funotenzeichen"/>
          <w:rFonts w:ascii="Arial" w:hAnsi="Arial" w:cs="Arial"/>
        </w:rPr>
        <w:footnoteReference w:id="38"/>
      </w:r>
      <w:r w:rsidR="003053EC" w:rsidRPr="00DA1D3A">
        <w:rPr>
          <w:rFonts w:ascii="Arial" w:hAnsi="Arial" w:cs="Arial"/>
        </w:rPr>
        <w:t xml:space="preserve"> </w:t>
      </w:r>
    </w:p>
    <w:p w:rsidR="003053EC" w:rsidRPr="00DA1D3A" w:rsidRDefault="003053EC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  <w:noProof/>
        </w:rPr>
        <w:drawing>
          <wp:inline distT="0" distB="0" distL="0" distR="0">
            <wp:extent cx="2095608" cy="1568531"/>
            <wp:effectExtent l="0" t="0" r="0" b="0"/>
            <wp:docPr id="8" name="Grafik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Budka and Kammerzell, 271, most fitting mark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5608" cy="1568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53EC" w:rsidRPr="00DA1D3A" w:rsidRDefault="00917455" w:rsidP="00DC4869">
      <w:pPr>
        <w:spacing w:line="240" w:lineRule="auto"/>
        <w:rPr>
          <w:rFonts w:ascii="Arial" w:eastAsiaTheme="minorEastAsia" w:hAnsi="Arial" w:cs="Arial"/>
          <w:color w:val="000000" w:themeColor="text1"/>
          <w:kern w:val="24"/>
        </w:rPr>
      </w:pPr>
      <w:r w:rsidRPr="00DA1D3A">
        <w:rPr>
          <w:rFonts w:ascii="Arial" w:hAnsi="Arial" w:cs="Arial"/>
        </w:rPr>
        <w:t>Fig.1</w:t>
      </w:r>
      <w:r w:rsidR="00712FDC" w:rsidRPr="00DA1D3A">
        <w:rPr>
          <w:rFonts w:ascii="Arial" w:hAnsi="Arial" w:cs="Arial"/>
        </w:rPr>
        <w:t xml:space="preserve">(top) </w:t>
      </w:r>
      <w:r w:rsidRPr="00DA1D3A">
        <w:rPr>
          <w:rFonts w:ascii="Arial" w:hAnsi="Arial" w:cs="Arial"/>
        </w:rPr>
        <w:t xml:space="preserve">marked pottery sherd </w:t>
      </w:r>
      <w:r w:rsidR="00712FDC" w:rsidRPr="00DA1D3A">
        <w:rPr>
          <w:rFonts w:ascii="Arial" w:hAnsi="Arial" w:cs="Arial"/>
        </w:rPr>
        <w:t>(</w:t>
      </w:r>
      <w:proofErr w:type="spellStart"/>
      <w:r w:rsidR="00712FDC" w:rsidRPr="00DA1D3A">
        <w:rPr>
          <w:rFonts w:ascii="Arial" w:eastAsiaTheme="minorEastAsia" w:hAnsi="Arial" w:cs="Arial"/>
          <w:color w:val="000000" w:themeColor="text1"/>
          <w:kern w:val="24"/>
        </w:rPr>
        <w:t>Budka</w:t>
      </w:r>
      <w:proofErr w:type="spellEnd"/>
      <w:r w:rsidR="00712FDC" w:rsidRPr="00DA1D3A">
        <w:rPr>
          <w:rFonts w:ascii="Arial" w:eastAsiaTheme="minorEastAsia" w:hAnsi="Arial" w:cs="Arial"/>
          <w:color w:val="000000" w:themeColor="text1"/>
          <w:kern w:val="24"/>
        </w:rPr>
        <w:t xml:space="preserve"> and </w:t>
      </w:r>
      <w:proofErr w:type="spellStart"/>
      <w:r w:rsidR="00712FDC" w:rsidRPr="00DA1D3A">
        <w:rPr>
          <w:rFonts w:ascii="Arial" w:eastAsiaTheme="minorEastAsia" w:hAnsi="Arial" w:cs="Arial"/>
          <w:color w:val="000000" w:themeColor="text1"/>
          <w:kern w:val="24"/>
        </w:rPr>
        <w:t>Kammerzell</w:t>
      </w:r>
      <w:proofErr w:type="spellEnd"/>
      <w:r w:rsidR="00712FDC" w:rsidRPr="00DA1D3A">
        <w:rPr>
          <w:rFonts w:ascii="Arial" w:eastAsiaTheme="minorEastAsia" w:hAnsi="Arial" w:cs="Arial"/>
          <w:color w:val="000000" w:themeColor="text1"/>
          <w:kern w:val="24"/>
        </w:rPr>
        <w:t xml:space="preserve"> 2015:270</w:t>
      </w:r>
      <w:r w:rsidR="00712FDC" w:rsidRPr="00DA1D3A">
        <w:rPr>
          <w:rFonts w:ascii="Arial" w:eastAsiaTheme="minorEastAsia" w:hAnsi="Arial" w:cs="Arial"/>
          <w:color w:val="000000" w:themeColor="text1"/>
          <w:kern w:val="24"/>
        </w:rPr>
        <w:t>).</w:t>
      </w:r>
    </w:p>
    <w:p w:rsidR="00712FDC" w:rsidRPr="00DA1D3A" w:rsidRDefault="00712FDC" w:rsidP="00DC4869">
      <w:pPr>
        <w:spacing w:line="240" w:lineRule="auto"/>
        <w:rPr>
          <w:rFonts w:ascii="Arial" w:eastAsiaTheme="minorEastAsia" w:hAnsi="Arial" w:cs="Arial"/>
          <w:color w:val="000000" w:themeColor="text1"/>
          <w:kern w:val="24"/>
        </w:rPr>
      </w:pPr>
    </w:p>
    <w:p w:rsidR="00712FDC" w:rsidRPr="00DA1D3A" w:rsidRDefault="00712FDC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  <w:noProof/>
        </w:rPr>
        <w:drawing>
          <wp:inline distT="0" distB="0" distL="0" distR="0">
            <wp:extent cx="1816100" cy="3143050"/>
            <wp:effectExtent l="0" t="0" r="0" b="635"/>
            <wp:docPr id="9" name="Grafik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the met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0056" cy="3149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12FDC" w:rsidRPr="00DA1D3A" w:rsidRDefault="00712FDC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>Fig.2 unmarked large late ware storage jar (The Met, 2019).</w:t>
      </w:r>
    </w:p>
    <w:p w:rsidR="00ED003A" w:rsidRPr="00DA1D3A" w:rsidRDefault="00ED003A" w:rsidP="00DC4869">
      <w:pPr>
        <w:spacing w:line="240" w:lineRule="auto"/>
        <w:rPr>
          <w:rFonts w:ascii="Arial" w:hAnsi="Arial" w:cs="Arial"/>
        </w:rPr>
      </w:pPr>
    </w:p>
    <w:p w:rsidR="00ED003A" w:rsidRPr="00DA1D3A" w:rsidRDefault="00ED003A" w:rsidP="00DC4869">
      <w:pPr>
        <w:spacing w:line="240" w:lineRule="auto"/>
        <w:rPr>
          <w:rFonts w:ascii="Arial" w:hAnsi="Arial" w:cs="Arial"/>
        </w:rPr>
      </w:pPr>
    </w:p>
    <w:p w:rsidR="00ED003A" w:rsidRPr="00DA1D3A" w:rsidRDefault="00ED003A" w:rsidP="00DC4869">
      <w:pPr>
        <w:spacing w:line="240" w:lineRule="auto"/>
        <w:rPr>
          <w:rFonts w:ascii="Arial" w:hAnsi="Arial" w:cs="Arial"/>
        </w:rPr>
      </w:pPr>
    </w:p>
    <w:p w:rsidR="00ED003A" w:rsidRPr="00DA1D3A" w:rsidRDefault="00ED003A" w:rsidP="00DC4869">
      <w:pPr>
        <w:spacing w:line="240" w:lineRule="auto"/>
        <w:rPr>
          <w:rFonts w:ascii="Arial" w:hAnsi="Arial" w:cs="Arial"/>
        </w:rPr>
      </w:pPr>
    </w:p>
    <w:p w:rsidR="00ED003A" w:rsidRPr="00DA1D3A" w:rsidRDefault="00ED003A" w:rsidP="00DC4869">
      <w:pPr>
        <w:spacing w:line="240" w:lineRule="auto"/>
        <w:rPr>
          <w:rFonts w:ascii="Arial" w:hAnsi="Arial" w:cs="Arial"/>
        </w:rPr>
      </w:pPr>
    </w:p>
    <w:p w:rsidR="00ED003A" w:rsidRPr="00DA1D3A" w:rsidRDefault="00ED003A" w:rsidP="00DC4869">
      <w:pPr>
        <w:spacing w:line="240" w:lineRule="auto"/>
        <w:rPr>
          <w:rFonts w:ascii="Arial" w:hAnsi="Arial" w:cs="Arial"/>
        </w:rPr>
      </w:pPr>
    </w:p>
    <w:p w:rsidR="00ED003A" w:rsidRPr="00DA1D3A" w:rsidRDefault="00ED003A" w:rsidP="00DC4869">
      <w:pPr>
        <w:spacing w:line="240" w:lineRule="auto"/>
        <w:rPr>
          <w:rFonts w:ascii="Arial" w:hAnsi="Arial" w:cs="Arial"/>
        </w:rPr>
      </w:pPr>
    </w:p>
    <w:p w:rsidR="00A35BCD" w:rsidRPr="00DA1D3A" w:rsidRDefault="00A35BCD" w:rsidP="00ED003A">
      <w:pPr>
        <w:spacing w:line="240" w:lineRule="auto"/>
        <w:jc w:val="center"/>
        <w:rPr>
          <w:rFonts w:ascii="Arial" w:hAnsi="Arial" w:cs="Arial"/>
        </w:rPr>
      </w:pPr>
    </w:p>
    <w:p w:rsidR="00ED003A" w:rsidRPr="00DA1D3A" w:rsidRDefault="00ED003A" w:rsidP="00ED003A">
      <w:pPr>
        <w:spacing w:line="240" w:lineRule="auto"/>
        <w:jc w:val="center"/>
        <w:rPr>
          <w:rFonts w:ascii="Arial" w:hAnsi="Arial" w:cs="Arial"/>
        </w:rPr>
      </w:pPr>
      <w:r w:rsidRPr="00DA1D3A">
        <w:rPr>
          <w:rFonts w:ascii="Arial" w:hAnsi="Arial" w:cs="Arial"/>
        </w:rPr>
        <w:lastRenderedPageBreak/>
        <w:t>Bibliography</w:t>
      </w:r>
    </w:p>
    <w:p w:rsidR="00A31A4A" w:rsidRPr="00DA1D3A" w:rsidRDefault="00A31A4A" w:rsidP="00DC4869">
      <w:pPr>
        <w:spacing w:line="240" w:lineRule="auto"/>
        <w:rPr>
          <w:rFonts w:ascii="Arial" w:hAnsi="Arial" w:cs="Arial"/>
        </w:rPr>
      </w:pPr>
    </w:p>
    <w:p w:rsidR="00DC4869" w:rsidRPr="00DA1D3A" w:rsidRDefault="00B375E6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 xml:space="preserve">Bader, B. and </w:t>
      </w:r>
      <w:proofErr w:type="spellStart"/>
      <w:r w:rsidRPr="00DA1D3A">
        <w:rPr>
          <w:rFonts w:ascii="Arial" w:hAnsi="Arial" w:cs="Arial"/>
        </w:rPr>
        <w:t>Ownby</w:t>
      </w:r>
      <w:proofErr w:type="spellEnd"/>
      <w:r w:rsidRPr="00DA1D3A">
        <w:rPr>
          <w:rFonts w:ascii="Arial" w:hAnsi="Arial" w:cs="Arial"/>
        </w:rPr>
        <w:t>, M. F. (2013) ‘Functional Aspects of Egyptian ceramics in their archaeological context: Proceedings of a Conference held at the McDonald Institute for Archaeological Research, Cambridge, July 24th-July 25th, 2009’, in El-Senussi (ed.). Leuven:</w:t>
      </w:r>
      <w:r w:rsidRPr="00DA1D3A">
        <w:rPr>
          <w:rFonts w:ascii="Arial" w:hAnsi="Arial" w:cs="Arial"/>
          <w:bCs/>
        </w:rPr>
        <w:t xml:space="preserve"> </w:t>
      </w:r>
      <w:proofErr w:type="spellStart"/>
      <w:r w:rsidRPr="00DA1D3A">
        <w:rPr>
          <w:rFonts w:ascii="Arial" w:hAnsi="Arial" w:cs="Arial"/>
          <w:bCs/>
        </w:rPr>
        <w:t>Uitgeverij</w:t>
      </w:r>
      <w:proofErr w:type="spellEnd"/>
      <w:r w:rsidRPr="00DA1D3A">
        <w:rPr>
          <w:rFonts w:ascii="Arial" w:hAnsi="Arial" w:cs="Arial"/>
          <w:bCs/>
        </w:rPr>
        <w:t xml:space="preserve"> </w:t>
      </w:r>
      <w:proofErr w:type="spellStart"/>
      <w:r w:rsidRPr="00DA1D3A">
        <w:rPr>
          <w:rFonts w:ascii="Arial" w:hAnsi="Arial" w:cs="Arial"/>
          <w:bCs/>
        </w:rPr>
        <w:t>Peeters</w:t>
      </w:r>
      <w:proofErr w:type="spellEnd"/>
      <w:r w:rsidRPr="00DA1D3A">
        <w:rPr>
          <w:rFonts w:ascii="Arial" w:hAnsi="Arial" w:cs="Arial"/>
          <w:bCs/>
        </w:rPr>
        <w:t xml:space="preserve"> </w:t>
      </w:r>
      <w:proofErr w:type="spellStart"/>
      <w:r w:rsidRPr="00DA1D3A">
        <w:rPr>
          <w:rFonts w:ascii="Arial" w:hAnsi="Arial" w:cs="Arial"/>
          <w:bCs/>
        </w:rPr>
        <w:t>en</w:t>
      </w:r>
      <w:proofErr w:type="spellEnd"/>
      <w:r w:rsidRPr="00DA1D3A">
        <w:rPr>
          <w:rFonts w:ascii="Arial" w:hAnsi="Arial" w:cs="Arial"/>
          <w:bCs/>
        </w:rPr>
        <w:t xml:space="preserve"> </w:t>
      </w:r>
      <w:proofErr w:type="spellStart"/>
      <w:r w:rsidRPr="00DA1D3A">
        <w:rPr>
          <w:rFonts w:ascii="Arial" w:hAnsi="Arial" w:cs="Arial"/>
          <w:bCs/>
        </w:rPr>
        <w:t>Departement</w:t>
      </w:r>
      <w:proofErr w:type="spellEnd"/>
      <w:r w:rsidRPr="00DA1D3A">
        <w:rPr>
          <w:rFonts w:ascii="Arial" w:hAnsi="Arial" w:cs="Arial"/>
          <w:bCs/>
        </w:rPr>
        <w:t xml:space="preserve"> </w:t>
      </w:r>
      <w:proofErr w:type="spellStart"/>
      <w:r w:rsidRPr="00DA1D3A">
        <w:rPr>
          <w:rFonts w:ascii="Arial" w:hAnsi="Arial" w:cs="Arial"/>
          <w:bCs/>
        </w:rPr>
        <w:t>Oosterse</w:t>
      </w:r>
      <w:proofErr w:type="spellEnd"/>
      <w:r w:rsidRPr="00DA1D3A">
        <w:rPr>
          <w:rFonts w:ascii="Arial" w:hAnsi="Arial" w:cs="Arial"/>
          <w:bCs/>
        </w:rPr>
        <w:t xml:space="preserve"> Studies</w:t>
      </w:r>
      <w:r w:rsidRPr="00DA1D3A">
        <w:rPr>
          <w:rFonts w:ascii="Arial" w:hAnsi="Arial" w:cs="Arial"/>
        </w:rPr>
        <w:t>, pp. 31–52.</w:t>
      </w:r>
    </w:p>
    <w:p w:rsidR="00B375E6" w:rsidRPr="00DA1D3A" w:rsidRDefault="00B375E6" w:rsidP="00DC4869">
      <w:pPr>
        <w:spacing w:line="240" w:lineRule="auto"/>
        <w:rPr>
          <w:rFonts w:ascii="Arial" w:hAnsi="Arial" w:cs="Arial"/>
        </w:rPr>
      </w:pPr>
      <w:proofErr w:type="spellStart"/>
      <w:r w:rsidRPr="00DA1D3A">
        <w:rPr>
          <w:rFonts w:ascii="Arial" w:hAnsi="Arial" w:cs="Arial"/>
        </w:rPr>
        <w:t>Budka</w:t>
      </w:r>
      <w:proofErr w:type="spellEnd"/>
      <w:r w:rsidRPr="00DA1D3A">
        <w:rPr>
          <w:rFonts w:ascii="Arial" w:hAnsi="Arial" w:cs="Arial"/>
        </w:rPr>
        <w:t xml:space="preserve">, J. (2015) ‘Marks on Egyptian Festival Pottery: The use of pot marks in the context of Osirian rituals’, </w:t>
      </w:r>
      <w:r w:rsidRPr="00DA1D3A">
        <w:rPr>
          <w:rFonts w:ascii="Arial" w:hAnsi="Arial" w:cs="Arial"/>
          <w:i/>
          <w:iCs/>
        </w:rPr>
        <w:t xml:space="preserve">Lingua </w:t>
      </w:r>
      <w:proofErr w:type="spellStart"/>
      <w:r w:rsidRPr="00DA1D3A">
        <w:rPr>
          <w:rFonts w:ascii="Arial" w:hAnsi="Arial" w:cs="Arial"/>
          <w:i/>
          <w:iCs/>
        </w:rPr>
        <w:t>Aegyptia-Studia</w:t>
      </w:r>
      <w:proofErr w:type="spellEnd"/>
      <w:r w:rsidRPr="00DA1D3A">
        <w:rPr>
          <w:rFonts w:ascii="Arial" w:hAnsi="Arial" w:cs="Arial"/>
          <w:i/>
          <w:iCs/>
        </w:rPr>
        <w:t xml:space="preserve"> </w:t>
      </w:r>
      <w:proofErr w:type="spellStart"/>
      <w:r w:rsidRPr="00DA1D3A">
        <w:rPr>
          <w:rFonts w:ascii="Arial" w:hAnsi="Arial" w:cs="Arial"/>
          <w:i/>
          <w:iCs/>
        </w:rPr>
        <w:t>monographica</w:t>
      </w:r>
      <w:proofErr w:type="spellEnd"/>
      <w:r w:rsidRPr="00DA1D3A">
        <w:rPr>
          <w:rFonts w:ascii="Arial" w:hAnsi="Arial" w:cs="Arial"/>
        </w:rPr>
        <w:t>, 16(1899), pp. 283–297.</w:t>
      </w:r>
    </w:p>
    <w:p w:rsidR="00B375E6" w:rsidRPr="00DA1D3A" w:rsidRDefault="00B375E6" w:rsidP="00DC4869">
      <w:pPr>
        <w:spacing w:line="240" w:lineRule="auto"/>
        <w:rPr>
          <w:rFonts w:ascii="Arial" w:hAnsi="Arial" w:cs="Arial"/>
        </w:rPr>
      </w:pPr>
      <w:proofErr w:type="spellStart"/>
      <w:r w:rsidRPr="00DA1D3A">
        <w:rPr>
          <w:rFonts w:ascii="Arial" w:hAnsi="Arial" w:cs="Arial"/>
        </w:rPr>
        <w:t>Budka</w:t>
      </w:r>
      <w:proofErr w:type="spellEnd"/>
      <w:r w:rsidRPr="00DA1D3A">
        <w:rPr>
          <w:rFonts w:ascii="Arial" w:hAnsi="Arial" w:cs="Arial"/>
        </w:rPr>
        <w:t xml:space="preserve">, J. and </w:t>
      </w:r>
      <w:proofErr w:type="spellStart"/>
      <w:r w:rsidRPr="00DA1D3A">
        <w:rPr>
          <w:rFonts w:ascii="Arial" w:hAnsi="Arial" w:cs="Arial"/>
        </w:rPr>
        <w:t>Kammerzell</w:t>
      </w:r>
      <w:proofErr w:type="spellEnd"/>
      <w:r w:rsidRPr="00DA1D3A">
        <w:rPr>
          <w:rFonts w:ascii="Arial" w:hAnsi="Arial" w:cs="Arial"/>
        </w:rPr>
        <w:t xml:space="preserve">, F. (2015) </w:t>
      </w:r>
      <w:r w:rsidRPr="00DA1D3A">
        <w:rPr>
          <w:rFonts w:ascii="Arial" w:hAnsi="Arial" w:cs="Arial"/>
          <w:i/>
          <w:iCs/>
        </w:rPr>
        <w:t xml:space="preserve">Lingua </w:t>
      </w:r>
      <w:proofErr w:type="spellStart"/>
      <w:r w:rsidRPr="00DA1D3A">
        <w:rPr>
          <w:rFonts w:ascii="Arial" w:hAnsi="Arial" w:cs="Arial"/>
          <w:i/>
          <w:iCs/>
        </w:rPr>
        <w:t>Aegyptia</w:t>
      </w:r>
      <w:proofErr w:type="spellEnd"/>
      <w:r w:rsidRPr="00DA1D3A">
        <w:rPr>
          <w:rFonts w:ascii="Arial" w:hAnsi="Arial" w:cs="Arial"/>
          <w:i/>
          <w:iCs/>
        </w:rPr>
        <w:t xml:space="preserve"> </w:t>
      </w:r>
      <w:proofErr w:type="spellStart"/>
      <w:r w:rsidRPr="00DA1D3A">
        <w:rPr>
          <w:rFonts w:ascii="Arial" w:hAnsi="Arial" w:cs="Arial"/>
          <w:i/>
          <w:iCs/>
        </w:rPr>
        <w:t>Studia</w:t>
      </w:r>
      <w:proofErr w:type="spellEnd"/>
      <w:r w:rsidRPr="00DA1D3A">
        <w:rPr>
          <w:rFonts w:ascii="Arial" w:hAnsi="Arial" w:cs="Arial"/>
          <w:i/>
          <w:iCs/>
        </w:rPr>
        <w:t xml:space="preserve"> </w:t>
      </w:r>
      <w:proofErr w:type="spellStart"/>
      <w:r w:rsidRPr="00DA1D3A">
        <w:rPr>
          <w:rFonts w:ascii="Arial" w:hAnsi="Arial" w:cs="Arial"/>
          <w:i/>
          <w:iCs/>
        </w:rPr>
        <w:t>Monographica</w:t>
      </w:r>
      <w:proofErr w:type="spellEnd"/>
      <w:r w:rsidRPr="00DA1D3A">
        <w:rPr>
          <w:rFonts w:ascii="Arial" w:hAnsi="Arial" w:cs="Arial"/>
          <w:i/>
          <w:iCs/>
        </w:rPr>
        <w:t xml:space="preserve">: Non-textual Marking Systems in Ancient Egypt (and </w:t>
      </w:r>
      <w:proofErr w:type="spellStart"/>
      <w:r w:rsidRPr="00DA1D3A">
        <w:rPr>
          <w:rFonts w:ascii="Arial" w:hAnsi="Arial" w:cs="Arial"/>
          <w:i/>
          <w:iCs/>
        </w:rPr>
        <w:t>Elswhere</w:t>
      </w:r>
      <w:proofErr w:type="spellEnd"/>
      <w:r w:rsidRPr="00DA1D3A">
        <w:rPr>
          <w:rFonts w:ascii="Arial" w:hAnsi="Arial" w:cs="Arial"/>
          <w:i/>
          <w:iCs/>
        </w:rPr>
        <w:t>)</w:t>
      </w:r>
      <w:r w:rsidRPr="00DA1D3A">
        <w:rPr>
          <w:rFonts w:ascii="Arial" w:hAnsi="Arial" w:cs="Arial"/>
        </w:rPr>
        <w:t xml:space="preserve">. Hamburg: </w:t>
      </w:r>
      <w:proofErr w:type="spellStart"/>
      <w:r w:rsidRPr="00DA1D3A">
        <w:rPr>
          <w:rFonts w:ascii="Arial" w:hAnsi="Arial" w:cs="Arial"/>
        </w:rPr>
        <w:t>Widmaier</w:t>
      </w:r>
      <w:proofErr w:type="spellEnd"/>
      <w:r w:rsidRPr="00DA1D3A">
        <w:rPr>
          <w:rFonts w:ascii="Arial" w:hAnsi="Arial" w:cs="Arial"/>
        </w:rPr>
        <w:t xml:space="preserve"> Verlag.</w:t>
      </w:r>
    </w:p>
    <w:p w:rsidR="00B375E6" w:rsidRPr="00DA1D3A" w:rsidRDefault="00B375E6" w:rsidP="00DC4869">
      <w:pPr>
        <w:spacing w:line="240" w:lineRule="auto"/>
        <w:rPr>
          <w:rFonts w:ascii="Arial" w:hAnsi="Arial" w:cs="Arial"/>
        </w:rPr>
      </w:pPr>
      <w:proofErr w:type="spellStart"/>
      <w:r w:rsidRPr="00DA1D3A">
        <w:rPr>
          <w:rFonts w:ascii="Arial" w:hAnsi="Arial" w:cs="Arial"/>
        </w:rPr>
        <w:t>Mawdsley</w:t>
      </w:r>
      <w:proofErr w:type="spellEnd"/>
      <w:r w:rsidRPr="00DA1D3A">
        <w:rPr>
          <w:rFonts w:ascii="Arial" w:hAnsi="Arial" w:cs="Arial"/>
        </w:rPr>
        <w:t xml:space="preserve">, L. (2009) ‘The corpus of </w:t>
      </w:r>
      <w:proofErr w:type="spellStart"/>
      <w:r w:rsidRPr="00DA1D3A">
        <w:rPr>
          <w:rFonts w:ascii="Arial" w:hAnsi="Arial" w:cs="Arial"/>
        </w:rPr>
        <w:t>potmarks</w:t>
      </w:r>
      <w:proofErr w:type="spellEnd"/>
      <w:r w:rsidRPr="00DA1D3A">
        <w:rPr>
          <w:rFonts w:ascii="Arial" w:hAnsi="Arial" w:cs="Arial"/>
        </w:rPr>
        <w:t xml:space="preserve"> from </w:t>
      </w:r>
      <w:proofErr w:type="spellStart"/>
      <w:r w:rsidRPr="00DA1D3A">
        <w:rPr>
          <w:rFonts w:ascii="Arial" w:hAnsi="Arial" w:cs="Arial"/>
        </w:rPr>
        <w:t>Tarkhan</w:t>
      </w:r>
      <w:proofErr w:type="spellEnd"/>
      <w:r w:rsidRPr="00DA1D3A">
        <w:rPr>
          <w:rFonts w:ascii="Arial" w:hAnsi="Arial" w:cs="Arial"/>
        </w:rPr>
        <w:t xml:space="preserve">’, </w:t>
      </w:r>
      <w:r w:rsidRPr="00DA1D3A">
        <w:rPr>
          <w:rFonts w:ascii="Arial" w:hAnsi="Arial" w:cs="Arial"/>
          <w:i/>
          <w:iCs/>
        </w:rPr>
        <w:t>British Museum Studies in Ancient Egypt and Sudan</w:t>
      </w:r>
      <w:r w:rsidRPr="00DA1D3A">
        <w:rPr>
          <w:rFonts w:ascii="Arial" w:hAnsi="Arial" w:cs="Arial"/>
        </w:rPr>
        <w:t>, 13, pp. 197–219.</w:t>
      </w:r>
    </w:p>
    <w:p w:rsidR="00B375E6" w:rsidRPr="00DA1D3A" w:rsidRDefault="00B375E6" w:rsidP="00DC4869">
      <w:pPr>
        <w:spacing w:line="240" w:lineRule="auto"/>
        <w:rPr>
          <w:rFonts w:ascii="Arial" w:hAnsi="Arial" w:cs="Arial"/>
        </w:rPr>
      </w:pPr>
      <w:proofErr w:type="spellStart"/>
      <w:r w:rsidRPr="00DA1D3A">
        <w:rPr>
          <w:rFonts w:ascii="Arial" w:hAnsi="Arial" w:cs="Arial"/>
        </w:rPr>
        <w:t>Tassie</w:t>
      </w:r>
      <w:proofErr w:type="spellEnd"/>
      <w:r w:rsidRPr="00DA1D3A">
        <w:rPr>
          <w:rFonts w:ascii="Arial" w:hAnsi="Arial" w:cs="Arial"/>
        </w:rPr>
        <w:t xml:space="preserve">, G. </w:t>
      </w:r>
      <w:r w:rsidRPr="00DA1D3A">
        <w:rPr>
          <w:rFonts w:ascii="Arial" w:hAnsi="Arial" w:cs="Arial"/>
          <w:i/>
          <w:iCs/>
        </w:rPr>
        <w:t>et al.</w:t>
      </w:r>
      <w:r w:rsidRPr="00DA1D3A">
        <w:rPr>
          <w:rFonts w:ascii="Arial" w:hAnsi="Arial" w:cs="Arial"/>
        </w:rPr>
        <w:t xml:space="preserve"> (2005) ‘Corpus of </w:t>
      </w:r>
      <w:proofErr w:type="spellStart"/>
      <w:r w:rsidRPr="00DA1D3A">
        <w:rPr>
          <w:rFonts w:ascii="Arial" w:hAnsi="Arial" w:cs="Arial"/>
        </w:rPr>
        <w:t>Potmarks</w:t>
      </w:r>
      <w:proofErr w:type="spellEnd"/>
      <w:r w:rsidRPr="00DA1D3A">
        <w:rPr>
          <w:rFonts w:ascii="Arial" w:hAnsi="Arial" w:cs="Arial"/>
        </w:rPr>
        <w:t xml:space="preserve"> from the </w:t>
      </w:r>
      <w:proofErr w:type="spellStart"/>
      <w:r w:rsidRPr="00DA1D3A">
        <w:rPr>
          <w:rFonts w:ascii="Arial" w:hAnsi="Arial" w:cs="Arial"/>
        </w:rPr>
        <w:t>Protodynastic</w:t>
      </w:r>
      <w:proofErr w:type="spellEnd"/>
      <w:r w:rsidRPr="00DA1D3A">
        <w:rPr>
          <w:rFonts w:ascii="Arial" w:hAnsi="Arial" w:cs="Arial"/>
        </w:rPr>
        <w:t xml:space="preserve"> to Early Dynastic cemetery at </w:t>
      </w:r>
      <w:proofErr w:type="spellStart"/>
      <w:r w:rsidRPr="00DA1D3A">
        <w:rPr>
          <w:rFonts w:ascii="Arial" w:hAnsi="Arial" w:cs="Arial"/>
        </w:rPr>
        <w:t>Kafr</w:t>
      </w:r>
      <w:proofErr w:type="spellEnd"/>
      <w:r w:rsidRPr="00DA1D3A">
        <w:rPr>
          <w:rFonts w:ascii="Arial" w:hAnsi="Arial" w:cs="Arial"/>
        </w:rPr>
        <w:t xml:space="preserve"> Hassan Dawood, Wadi </w:t>
      </w:r>
      <w:proofErr w:type="spellStart"/>
      <w:r w:rsidRPr="00DA1D3A">
        <w:rPr>
          <w:rFonts w:ascii="Arial" w:hAnsi="Arial" w:cs="Arial"/>
        </w:rPr>
        <w:t>Tumilat</w:t>
      </w:r>
      <w:proofErr w:type="spellEnd"/>
      <w:r w:rsidRPr="00DA1D3A">
        <w:rPr>
          <w:rFonts w:ascii="Arial" w:hAnsi="Arial" w:cs="Arial"/>
        </w:rPr>
        <w:t xml:space="preserve">, East Delta, Egypt’, </w:t>
      </w:r>
      <w:proofErr w:type="spellStart"/>
      <w:r w:rsidRPr="00DA1D3A">
        <w:rPr>
          <w:rFonts w:ascii="Arial" w:hAnsi="Arial" w:cs="Arial"/>
          <w:i/>
          <w:iCs/>
        </w:rPr>
        <w:t>researchgate</w:t>
      </w:r>
      <w:proofErr w:type="spellEnd"/>
      <w:r w:rsidRPr="00DA1D3A">
        <w:rPr>
          <w:rFonts w:ascii="Arial" w:hAnsi="Arial" w:cs="Arial"/>
        </w:rPr>
        <w:t>, 237503428(January 2005), pp. 201–234.</w:t>
      </w:r>
    </w:p>
    <w:p w:rsidR="00B375E6" w:rsidRPr="00DA1D3A" w:rsidRDefault="00B375E6" w:rsidP="00DC4869">
      <w:pPr>
        <w:spacing w:line="240" w:lineRule="auto"/>
        <w:rPr>
          <w:rFonts w:ascii="Arial" w:hAnsi="Arial" w:cs="Arial"/>
        </w:rPr>
      </w:pPr>
      <w:r w:rsidRPr="00DA1D3A">
        <w:rPr>
          <w:rFonts w:ascii="Arial" w:hAnsi="Arial" w:cs="Arial"/>
        </w:rPr>
        <w:t>The Met (</w:t>
      </w:r>
      <w:r w:rsidRPr="00DA1D3A">
        <w:rPr>
          <w:rFonts w:ascii="Arial" w:hAnsi="Arial" w:cs="Arial"/>
        </w:rPr>
        <w:t>2019</w:t>
      </w:r>
      <w:r w:rsidRPr="00DA1D3A">
        <w:rPr>
          <w:rFonts w:ascii="Arial" w:hAnsi="Arial" w:cs="Arial"/>
        </w:rPr>
        <w:t xml:space="preserve">) </w:t>
      </w:r>
      <w:r w:rsidRPr="00DA1D3A">
        <w:rPr>
          <w:rFonts w:ascii="Arial" w:hAnsi="Arial" w:cs="Arial"/>
          <w:i/>
          <w:iCs/>
        </w:rPr>
        <w:t xml:space="preserve">Large late ware storage jar | Predynastic, </w:t>
      </w:r>
      <w:proofErr w:type="spellStart"/>
      <w:r w:rsidRPr="00DA1D3A">
        <w:rPr>
          <w:rFonts w:ascii="Arial" w:hAnsi="Arial" w:cs="Arial"/>
          <w:i/>
          <w:iCs/>
        </w:rPr>
        <w:t>Naqada</w:t>
      </w:r>
      <w:proofErr w:type="spellEnd"/>
      <w:r w:rsidRPr="00DA1D3A">
        <w:rPr>
          <w:rFonts w:ascii="Arial" w:hAnsi="Arial" w:cs="Arial"/>
          <w:i/>
          <w:iCs/>
        </w:rPr>
        <w:t xml:space="preserve"> III | The Met</w:t>
      </w:r>
      <w:r w:rsidRPr="00DA1D3A">
        <w:rPr>
          <w:rFonts w:ascii="Arial" w:hAnsi="Arial" w:cs="Arial"/>
        </w:rPr>
        <w:t>. Available at: https://www.metmuseum.org/art/collection/search/547140 (Accessed: 6 April 2019).</w:t>
      </w:r>
    </w:p>
    <w:p w:rsidR="00B375E6" w:rsidRPr="00DA1D3A" w:rsidRDefault="00B375E6" w:rsidP="00DC4869">
      <w:pPr>
        <w:spacing w:line="240" w:lineRule="auto"/>
        <w:rPr>
          <w:rFonts w:ascii="Arial" w:hAnsi="Arial" w:cs="Arial"/>
        </w:rPr>
      </w:pPr>
      <w:proofErr w:type="spellStart"/>
      <w:r w:rsidRPr="00DA1D3A">
        <w:rPr>
          <w:rFonts w:ascii="Arial" w:hAnsi="Arial" w:cs="Arial"/>
        </w:rPr>
        <w:t>Wodzińska</w:t>
      </w:r>
      <w:proofErr w:type="spellEnd"/>
      <w:r w:rsidRPr="00DA1D3A">
        <w:rPr>
          <w:rFonts w:ascii="Arial" w:hAnsi="Arial" w:cs="Arial"/>
        </w:rPr>
        <w:t xml:space="preserve">, A. (2009) </w:t>
      </w:r>
      <w:r w:rsidRPr="00DA1D3A">
        <w:rPr>
          <w:rFonts w:ascii="Arial" w:hAnsi="Arial" w:cs="Arial"/>
          <w:i/>
          <w:iCs/>
        </w:rPr>
        <w:t xml:space="preserve">A Manual of Egyptian Pottery: Volume 2: </w:t>
      </w:r>
      <w:proofErr w:type="spellStart"/>
      <w:r w:rsidRPr="00DA1D3A">
        <w:rPr>
          <w:rFonts w:ascii="Arial" w:hAnsi="Arial" w:cs="Arial"/>
          <w:i/>
          <w:iCs/>
        </w:rPr>
        <w:t>Naqada</w:t>
      </w:r>
      <w:proofErr w:type="spellEnd"/>
      <w:r w:rsidRPr="00DA1D3A">
        <w:rPr>
          <w:rFonts w:ascii="Arial" w:hAnsi="Arial" w:cs="Arial"/>
          <w:i/>
          <w:iCs/>
        </w:rPr>
        <w:t xml:space="preserve"> III-Middle Kingdom</w:t>
      </w:r>
      <w:r w:rsidRPr="00DA1D3A">
        <w:rPr>
          <w:rFonts w:ascii="Arial" w:hAnsi="Arial" w:cs="Arial"/>
        </w:rPr>
        <w:t>. Boston: Ancient Egypt Research Associates, Inc.</w:t>
      </w:r>
    </w:p>
    <w:p w:rsidR="00B375E6" w:rsidRPr="00DA1D3A" w:rsidRDefault="00B375E6" w:rsidP="00DC4869">
      <w:pPr>
        <w:spacing w:line="240" w:lineRule="auto"/>
        <w:rPr>
          <w:rFonts w:ascii="Arial" w:hAnsi="Arial" w:cs="Arial"/>
        </w:rPr>
      </w:pPr>
      <w:proofErr w:type="spellStart"/>
      <w:r w:rsidRPr="00DA1D3A">
        <w:rPr>
          <w:rFonts w:ascii="Arial" w:hAnsi="Arial" w:cs="Arial"/>
        </w:rPr>
        <w:t>Wodzińska</w:t>
      </w:r>
      <w:proofErr w:type="spellEnd"/>
      <w:r w:rsidRPr="00DA1D3A">
        <w:rPr>
          <w:rFonts w:ascii="Arial" w:hAnsi="Arial" w:cs="Arial"/>
        </w:rPr>
        <w:t>, A. (2009) ‘</w:t>
      </w:r>
      <w:proofErr w:type="spellStart"/>
      <w:r w:rsidRPr="00DA1D3A">
        <w:rPr>
          <w:rFonts w:ascii="Arial" w:hAnsi="Arial" w:cs="Arial"/>
        </w:rPr>
        <w:t>Potmarks</w:t>
      </w:r>
      <w:proofErr w:type="spellEnd"/>
      <w:r w:rsidRPr="00DA1D3A">
        <w:rPr>
          <w:rFonts w:ascii="Arial" w:hAnsi="Arial" w:cs="Arial"/>
        </w:rPr>
        <w:t xml:space="preserve"> from Early Dynastic </w:t>
      </w:r>
      <w:proofErr w:type="spellStart"/>
      <w:r w:rsidRPr="00DA1D3A">
        <w:rPr>
          <w:rFonts w:ascii="Arial" w:hAnsi="Arial" w:cs="Arial"/>
        </w:rPr>
        <w:t>Buto</w:t>
      </w:r>
      <w:proofErr w:type="spellEnd"/>
      <w:r w:rsidRPr="00DA1D3A">
        <w:rPr>
          <w:rFonts w:ascii="Arial" w:hAnsi="Arial" w:cs="Arial"/>
        </w:rPr>
        <w:t xml:space="preserve"> and Old Kingdom </w:t>
      </w:r>
      <w:proofErr w:type="gramStart"/>
      <w:r w:rsidRPr="00DA1D3A">
        <w:rPr>
          <w:rFonts w:ascii="Arial" w:hAnsi="Arial" w:cs="Arial"/>
        </w:rPr>
        <w:t>Giza :</w:t>
      </w:r>
      <w:proofErr w:type="gramEnd"/>
      <w:r w:rsidRPr="00DA1D3A">
        <w:rPr>
          <w:rFonts w:ascii="Arial" w:hAnsi="Arial" w:cs="Arial"/>
        </w:rPr>
        <w:t xml:space="preserve"> Their occurrence and economic significance </w:t>
      </w:r>
      <w:proofErr w:type="spellStart"/>
      <w:r w:rsidRPr="00DA1D3A">
        <w:rPr>
          <w:rFonts w:ascii="Arial" w:hAnsi="Arial" w:cs="Arial"/>
        </w:rPr>
        <w:t>Potmarks</w:t>
      </w:r>
      <w:proofErr w:type="spellEnd"/>
      <w:r w:rsidRPr="00DA1D3A">
        <w:rPr>
          <w:rFonts w:ascii="Arial" w:hAnsi="Arial" w:cs="Arial"/>
        </w:rPr>
        <w:t xml:space="preserve"> from Early Dynastic </w:t>
      </w:r>
      <w:proofErr w:type="spellStart"/>
      <w:r w:rsidRPr="00DA1D3A">
        <w:rPr>
          <w:rFonts w:ascii="Arial" w:hAnsi="Arial" w:cs="Arial"/>
        </w:rPr>
        <w:t>Buto</w:t>
      </w:r>
      <w:proofErr w:type="spellEnd"/>
      <w:r w:rsidRPr="00DA1D3A">
        <w:rPr>
          <w:rFonts w:ascii="Arial" w:hAnsi="Arial" w:cs="Arial"/>
        </w:rPr>
        <w:t xml:space="preserve"> and Old Kingdom Giza : Their occurrence and economic significance’, </w:t>
      </w:r>
      <w:r w:rsidRPr="00DA1D3A">
        <w:rPr>
          <w:rFonts w:ascii="Arial" w:hAnsi="Arial" w:cs="Arial"/>
          <w:i/>
          <w:iCs/>
        </w:rPr>
        <w:t>British Museum Studies in Ancient Egypt and Sudan</w:t>
      </w:r>
      <w:r w:rsidRPr="00DA1D3A">
        <w:rPr>
          <w:rFonts w:ascii="Arial" w:hAnsi="Arial" w:cs="Arial"/>
        </w:rPr>
        <w:t>, 13, pp. 239–261.</w:t>
      </w:r>
    </w:p>
    <w:p w:rsidR="00B375E6" w:rsidRPr="00DA1D3A" w:rsidRDefault="00B375E6" w:rsidP="00DC4869">
      <w:pPr>
        <w:spacing w:line="240" w:lineRule="auto"/>
        <w:rPr>
          <w:rFonts w:ascii="Arial" w:hAnsi="Arial" w:cs="Arial"/>
        </w:rPr>
      </w:pPr>
    </w:p>
    <w:p w:rsidR="00B375E6" w:rsidRPr="00DA1D3A" w:rsidRDefault="00B375E6" w:rsidP="00B375E6">
      <w:pPr>
        <w:spacing w:line="240" w:lineRule="auto"/>
        <w:jc w:val="center"/>
        <w:rPr>
          <w:rFonts w:ascii="Arial" w:hAnsi="Arial" w:cs="Arial"/>
          <w:u w:val="single"/>
        </w:rPr>
      </w:pPr>
      <w:r w:rsidRPr="00DA1D3A">
        <w:rPr>
          <w:rFonts w:ascii="Arial" w:hAnsi="Arial" w:cs="Arial"/>
          <w:u w:val="single"/>
        </w:rPr>
        <w:t>Pictures</w:t>
      </w:r>
    </w:p>
    <w:p w:rsidR="00B375E6" w:rsidRPr="00DA1D3A" w:rsidRDefault="00B375E6" w:rsidP="00B375E6">
      <w:pPr>
        <w:spacing w:line="240" w:lineRule="auto"/>
        <w:rPr>
          <w:rFonts w:ascii="Arial" w:hAnsi="Arial" w:cs="Arial"/>
          <w:u w:val="single"/>
        </w:rPr>
      </w:pPr>
    </w:p>
    <w:p w:rsidR="00B375E6" w:rsidRPr="00DA1D3A" w:rsidRDefault="00B375E6" w:rsidP="00B375E6">
      <w:pPr>
        <w:rPr>
          <w:rFonts w:ascii="Arial" w:hAnsi="Arial" w:cs="Arial"/>
        </w:rPr>
      </w:pPr>
      <w:r w:rsidRPr="00DA1D3A">
        <w:rPr>
          <w:rFonts w:ascii="Arial" w:eastAsiaTheme="minorEastAsia" w:hAnsi="Arial" w:cs="Arial"/>
          <w:i/>
          <w:iCs/>
          <w:color w:val="000000" w:themeColor="text1"/>
          <w:kern w:val="24"/>
        </w:rPr>
        <w:t>Storage jar, picture 1</w:t>
      </w:r>
      <w:r w:rsidRPr="00DA1D3A">
        <w:rPr>
          <w:rFonts w:ascii="Arial" w:eastAsiaTheme="minorEastAsia" w:hAnsi="Arial" w:cs="Arial"/>
          <w:i/>
          <w:iCs/>
          <w:color w:val="000000" w:themeColor="text1"/>
          <w:kern w:val="24"/>
        </w:rPr>
        <w:t>-5</w:t>
      </w:r>
      <w:r w:rsidRPr="00DA1D3A">
        <w:rPr>
          <w:rFonts w:ascii="Arial" w:eastAsiaTheme="minorEastAsia" w:hAnsi="Arial" w:cs="Arial"/>
          <w:i/>
          <w:iCs/>
          <w:color w:val="000000" w:themeColor="text1"/>
          <w:kern w:val="24"/>
        </w:rPr>
        <w:t>. ©</w:t>
      </w:r>
      <w:r w:rsidR="00F52F1D" w:rsidRPr="00DA1D3A">
        <w:rPr>
          <w:rFonts w:ascii="Arial" w:eastAsiaTheme="minorEastAsia" w:hAnsi="Arial" w:cs="Arial"/>
          <w:color w:val="000000" w:themeColor="text1"/>
          <w:kern w:val="24"/>
        </w:rPr>
        <w:t>Mandiza Landsmeer</w:t>
      </w:r>
      <w:r w:rsidRPr="00DA1D3A">
        <w:rPr>
          <w:rFonts w:ascii="Arial" w:eastAsiaTheme="minorEastAsia" w:hAnsi="Arial" w:cs="Arial"/>
          <w:color w:val="000000" w:themeColor="text1"/>
          <w:kern w:val="24"/>
        </w:rPr>
        <w:t xml:space="preserve">.02.04.2019, Lampeter. </w:t>
      </w:r>
    </w:p>
    <w:p w:rsidR="00B375E6" w:rsidRPr="00DA1D3A" w:rsidRDefault="00B375E6" w:rsidP="00B375E6">
      <w:pPr>
        <w:spacing w:line="240" w:lineRule="auto"/>
        <w:rPr>
          <w:rFonts w:ascii="Arial" w:hAnsi="Arial" w:cs="Arial"/>
          <w:bCs/>
          <w:u w:val="single"/>
        </w:rPr>
      </w:pPr>
    </w:p>
    <w:p w:rsidR="00B43CB6" w:rsidRPr="00DA1D3A" w:rsidRDefault="00B43CB6" w:rsidP="00B73E6E">
      <w:pPr>
        <w:rPr>
          <w:rFonts w:ascii="Arial" w:hAnsi="Arial" w:cs="Arial"/>
        </w:rPr>
      </w:pPr>
    </w:p>
    <w:sectPr w:rsidR="00B43CB6" w:rsidRPr="00DA1D3A"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95B04" w:rsidRDefault="00795B04" w:rsidP="00ED746A">
      <w:pPr>
        <w:spacing w:after="0" w:line="240" w:lineRule="auto"/>
      </w:pPr>
      <w:r>
        <w:separator/>
      </w:r>
    </w:p>
  </w:endnote>
  <w:endnote w:type="continuationSeparator" w:id="0">
    <w:p w:rsidR="00795B04" w:rsidRDefault="00795B04" w:rsidP="00ED74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95B04" w:rsidRDefault="00795B04" w:rsidP="00ED746A">
      <w:pPr>
        <w:spacing w:after="0" w:line="240" w:lineRule="auto"/>
      </w:pPr>
      <w:r>
        <w:separator/>
      </w:r>
    </w:p>
  </w:footnote>
  <w:footnote w:type="continuationSeparator" w:id="0">
    <w:p w:rsidR="00795B04" w:rsidRDefault="00795B04" w:rsidP="00ED746A">
      <w:pPr>
        <w:spacing w:after="0" w:line="240" w:lineRule="auto"/>
      </w:pPr>
      <w:r>
        <w:continuationSeparator/>
      </w:r>
    </w:p>
  </w:footnote>
  <w:footnote w:id="1">
    <w:p w:rsidR="00ED746A" w:rsidRDefault="00ED746A">
      <w:pPr>
        <w:pStyle w:val="Funotentext"/>
      </w:pPr>
      <w:r>
        <w:rPr>
          <w:rStyle w:val="Funotenzeichen"/>
        </w:rPr>
        <w:footnoteRef/>
      </w:r>
      <w:r>
        <w:t xml:space="preserve"> </w:t>
      </w:r>
      <w:proofErr w:type="spellStart"/>
      <w:r>
        <w:t>Wodzinska</w:t>
      </w:r>
      <w:proofErr w:type="spellEnd"/>
      <w:r w:rsidR="00B50A87">
        <w:t>,</w:t>
      </w:r>
      <w:r>
        <w:t xml:space="preserve"> 2009</w:t>
      </w:r>
      <w:r w:rsidR="00B50A87">
        <w:t xml:space="preserve">, </w:t>
      </w:r>
      <w:r>
        <w:t>4-5</w:t>
      </w:r>
      <w:r w:rsidR="00B50A87">
        <w:t>.</w:t>
      </w:r>
    </w:p>
  </w:footnote>
  <w:footnote w:id="2">
    <w:p w:rsidR="00611F34" w:rsidRPr="00611F34" w:rsidRDefault="00611F34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611F34">
        <w:rPr>
          <w:lang w:val="de-CH"/>
        </w:rPr>
        <w:t xml:space="preserve"> </w:t>
      </w:r>
      <w:proofErr w:type="spellStart"/>
      <w:r w:rsidRPr="00611F34">
        <w:rPr>
          <w:lang w:val="de-CH"/>
        </w:rPr>
        <w:t>Budka</w:t>
      </w:r>
      <w:proofErr w:type="spellEnd"/>
      <w:r w:rsidRPr="00611F34">
        <w:rPr>
          <w:lang w:val="de-CH"/>
        </w:rPr>
        <w:t xml:space="preserve"> and </w:t>
      </w:r>
      <w:proofErr w:type="spellStart"/>
      <w:r w:rsidRPr="00611F34">
        <w:rPr>
          <w:lang w:val="de-CH"/>
        </w:rPr>
        <w:t>Kammerzell</w:t>
      </w:r>
      <w:proofErr w:type="spellEnd"/>
      <w:r w:rsidRPr="00611F34">
        <w:rPr>
          <w:lang w:val="de-CH"/>
        </w:rPr>
        <w:t>, 2015, 257</w:t>
      </w:r>
      <w:r w:rsidR="00587562">
        <w:rPr>
          <w:lang w:val="de-CH"/>
        </w:rPr>
        <w:t>.</w:t>
      </w:r>
    </w:p>
  </w:footnote>
  <w:footnote w:id="3">
    <w:p w:rsidR="00611F34" w:rsidRPr="00611F34" w:rsidRDefault="00611F34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611F34">
        <w:rPr>
          <w:lang w:val="de-CH"/>
        </w:rP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 w:rsidR="00587562">
        <w:rPr>
          <w:lang w:val="de-CH"/>
        </w:rPr>
        <w:t>, 2015, 259</w:t>
      </w:r>
      <w:r w:rsidR="00F55257">
        <w:rPr>
          <w:lang w:val="de-CH"/>
        </w:rPr>
        <w:t xml:space="preserve"> and </w:t>
      </w:r>
      <w:proofErr w:type="spellStart"/>
      <w:r w:rsidR="00F55257">
        <w:rPr>
          <w:lang w:val="de-CH"/>
        </w:rPr>
        <w:t>Mawdsley</w:t>
      </w:r>
      <w:proofErr w:type="spellEnd"/>
      <w:r w:rsidR="00F55257">
        <w:rPr>
          <w:lang w:val="de-CH"/>
        </w:rPr>
        <w:t>, 2009, 200.</w:t>
      </w:r>
    </w:p>
  </w:footnote>
  <w:footnote w:id="4">
    <w:p w:rsidR="00D83EB8" w:rsidRPr="00D83EB8" w:rsidRDefault="00D83EB8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D83EB8">
        <w:rPr>
          <w:lang w:val="de-CH"/>
        </w:rP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>
        <w:rPr>
          <w:lang w:val="de-CH"/>
        </w:rPr>
        <w:t xml:space="preserve">, 2015, 258. </w:t>
      </w:r>
    </w:p>
  </w:footnote>
  <w:footnote w:id="5">
    <w:p w:rsidR="00587562" w:rsidRPr="00587562" w:rsidRDefault="00587562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587562">
        <w:rPr>
          <w:lang w:val="de-CH"/>
        </w:rP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>
        <w:rPr>
          <w:lang w:val="de-CH"/>
        </w:rPr>
        <w:t>, 2015, 259.</w:t>
      </w:r>
    </w:p>
  </w:footnote>
  <w:footnote w:id="6">
    <w:p w:rsidR="00A71C4C" w:rsidRPr="00A71C4C" w:rsidRDefault="00A71C4C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A71C4C">
        <w:rPr>
          <w:lang w:val="de-CH"/>
        </w:rP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>
        <w:rPr>
          <w:lang w:val="de-CH"/>
        </w:rPr>
        <w:t>, 2015, 260.</w:t>
      </w:r>
    </w:p>
  </w:footnote>
  <w:footnote w:id="7">
    <w:p w:rsidR="00F55257" w:rsidRPr="00D46DF9" w:rsidRDefault="00F55257" w:rsidP="00F55257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D46DF9">
        <w:rPr>
          <w:lang w:val="de-CH"/>
        </w:rPr>
        <w:t xml:space="preserve"> </w:t>
      </w:r>
      <w:proofErr w:type="spellStart"/>
      <w:r w:rsidRPr="00D46DF9">
        <w:rPr>
          <w:lang w:val="de-CH"/>
        </w:rPr>
        <w:t>Mawdsley</w:t>
      </w:r>
      <w:proofErr w:type="spellEnd"/>
      <w:r w:rsidRPr="00D46DF9">
        <w:rPr>
          <w:lang w:val="de-CH"/>
        </w:rPr>
        <w:t>, 2009, 200.</w:t>
      </w:r>
    </w:p>
  </w:footnote>
  <w:footnote w:id="8">
    <w:p w:rsidR="00D46DF9" w:rsidRPr="00D46DF9" w:rsidRDefault="00D46DF9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D46DF9">
        <w:rPr>
          <w:lang w:val="de-CH"/>
        </w:rPr>
        <w:t xml:space="preserve"> </w:t>
      </w:r>
      <w:proofErr w:type="spellStart"/>
      <w:r>
        <w:rPr>
          <w:lang w:val="de-CH"/>
        </w:rPr>
        <w:t>Tassie</w:t>
      </w:r>
      <w:proofErr w:type="spellEnd"/>
      <w:r>
        <w:rPr>
          <w:lang w:val="de-CH"/>
        </w:rPr>
        <w:t xml:space="preserve"> et al, 2005, 209.</w:t>
      </w:r>
    </w:p>
  </w:footnote>
  <w:footnote w:id="9">
    <w:p w:rsidR="00A71C4C" w:rsidRPr="00A71C4C" w:rsidRDefault="00A71C4C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A71C4C">
        <w:rPr>
          <w:lang w:val="de-CH"/>
        </w:rP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>
        <w:rPr>
          <w:lang w:val="de-CH"/>
        </w:rPr>
        <w:t>, 2015, 260.</w:t>
      </w:r>
    </w:p>
  </w:footnote>
  <w:footnote w:id="10">
    <w:p w:rsidR="00F55257" w:rsidRPr="00F55257" w:rsidRDefault="00F55257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F55257">
        <w:rPr>
          <w:lang w:val="de-CH"/>
        </w:rP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>
        <w:rPr>
          <w:lang w:val="de-CH"/>
        </w:rPr>
        <w:t>, 2015, 259.</w:t>
      </w:r>
    </w:p>
  </w:footnote>
  <w:footnote w:id="11">
    <w:p w:rsidR="00F55257" w:rsidRPr="00F55257" w:rsidRDefault="00F55257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F55257">
        <w:rPr>
          <w:lang w:val="de-CH"/>
        </w:rP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>
        <w:rPr>
          <w:lang w:val="de-CH"/>
        </w:rPr>
        <w:t>, 2015, 262.</w:t>
      </w:r>
    </w:p>
  </w:footnote>
  <w:footnote w:id="12">
    <w:p w:rsidR="00DD288E" w:rsidRPr="00611F34" w:rsidRDefault="00DD288E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611F34">
        <w:rPr>
          <w:lang w:val="de-CH"/>
        </w:rPr>
        <w:t xml:space="preserve"> </w:t>
      </w:r>
      <w:proofErr w:type="spellStart"/>
      <w:r w:rsidRPr="00611F34">
        <w:rPr>
          <w:lang w:val="de-CH"/>
        </w:rPr>
        <w:t>Mawdsley</w:t>
      </w:r>
      <w:proofErr w:type="spellEnd"/>
      <w:r w:rsidRPr="00611F34">
        <w:rPr>
          <w:lang w:val="de-CH"/>
        </w:rPr>
        <w:t>, 2009, 198.</w:t>
      </w:r>
    </w:p>
  </w:footnote>
  <w:footnote w:id="13">
    <w:p w:rsidR="006D69E3" w:rsidRPr="006D69E3" w:rsidRDefault="006D69E3">
      <w:pPr>
        <w:pStyle w:val="Funotentext"/>
      </w:pPr>
      <w:r>
        <w:rPr>
          <w:rStyle w:val="Funotenzeichen"/>
        </w:rPr>
        <w:footnoteRef/>
      </w:r>
      <w:r>
        <w:t xml:space="preserve"> </w:t>
      </w:r>
      <w:proofErr w:type="spellStart"/>
      <w:r w:rsidRPr="006D69E3">
        <w:t>Ta</w:t>
      </w:r>
      <w:r>
        <w:t>ssie</w:t>
      </w:r>
      <w:proofErr w:type="spellEnd"/>
      <w:r>
        <w:t xml:space="preserve"> et al, 2005, 209.</w:t>
      </w:r>
    </w:p>
  </w:footnote>
  <w:footnote w:id="14">
    <w:p w:rsidR="00432941" w:rsidRPr="00611F34" w:rsidRDefault="00432941">
      <w:pPr>
        <w:pStyle w:val="Funotentext"/>
      </w:pPr>
      <w:r>
        <w:rPr>
          <w:rStyle w:val="Funotenzeichen"/>
        </w:rPr>
        <w:footnoteRef/>
      </w:r>
      <w:r>
        <w:t xml:space="preserve"> </w:t>
      </w:r>
      <w:proofErr w:type="spellStart"/>
      <w:r w:rsidRPr="00611F34">
        <w:t>Mawdsley</w:t>
      </w:r>
      <w:proofErr w:type="spellEnd"/>
      <w:r w:rsidRPr="00611F34">
        <w:t xml:space="preserve">, 2009, </w:t>
      </w:r>
      <w:r w:rsidR="00DF18FF" w:rsidRPr="00611F34">
        <w:t>198.</w:t>
      </w:r>
    </w:p>
  </w:footnote>
  <w:footnote w:id="15">
    <w:p w:rsidR="009334EF" w:rsidRPr="006D69E3" w:rsidRDefault="009334EF">
      <w:pPr>
        <w:pStyle w:val="Funotentext"/>
      </w:pPr>
      <w:r>
        <w:rPr>
          <w:rStyle w:val="Funotenzeichen"/>
        </w:rPr>
        <w:footnoteRef/>
      </w:r>
      <w:r>
        <w:t xml:space="preserve"> </w:t>
      </w:r>
      <w:proofErr w:type="spellStart"/>
      <w:r w:rsidRPr="006D69E3">
        <w:t>Mawdsley</w:t>
      </w:r>
      <w:proofErr w:type="spellEnd"/>
      <w:r w:rsidRPr="006D69E3">
        <w:t>, 2009, 200.</w:t>
      </w:r>
    </w:p>
  </w:footnote>
  <w:footnote w:id="16">
    <w:p w:rsidR="00413113" w:rsidRPr="00413113" w:rsidRDefault="00413113">
      <w:pPr>
        <w:pStyle w:val="Funotentext"/>
        <w:rPr>
          <w:lang w:val="de-CH"/>
        </w:rPr>
      </w:pPr>
      <w:r>
        <w:rPr>
          <w:rStyle w:val="Funotenzeichen"/>
        </w:rPr>
        <w:footnoteRef/>
      </w:r>
      <w: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>
        <w:rPr>
          <w:lang w:val="de-CH"/>
        </w:rPr>
        <w:t>, 2015, 258.</w:t>
      </w:r>
    </w:p>
  </w:footnote>
  <w:footnote w:id="17">
    <w:p w:rsidR="00D83EB8" w:rsidRPr="00D83EB8" w:rsidRDefault="00D83EB8">
      <w:pPr>
        <w:pStyle w:val="Funotentext"/>
        <w:rPr>
          <w:lang w:val="de-CH"/>
        </w:rPr>
      </w:pPr>
      <w:r>
        <w:rPr>
          <w:rStyle w:val="Funotenzeichen"/>
        </w:rPr>
        <w:footnoteRef/>
      </w:r>
      <w: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>
        <w:rPr>
          <w:lang w:val="de-CH"/>
        </w:rPr>
        <w:t>, 2015, 258.</w:t>
      </w:r>
    </w:p>
  </w:footnote>
  <w:footnote w:id="18">
    <w:p w:rsidR="000E13E9" w:rsidRPr="000E13E9" w:rsidRDefault="000E13E9">
      <w:pPr>
        <w:pStyle w:val="Funotentext"/>
        <w:rPr>
          <w:lang w:val="de-CH"/>
        </w:rPr>
      </w:pPr>
      <w:r>
        <w:rPr>
          <w:rStyle w:val="Funotenzeichen"/>
        </w:rPr>
        <w:footnoteRef/>
      </w:r>
      <w: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>
        <w:rPr>
          <w:lang w:val="de-CH"/>
        </w:rPr>
        <w:t>, 2015, 258.</w:t>
      </w:r>
    </w:p>
  </w:footnote>
  <w:footnote w:id="19">
    <w:p w:rsidR="000E13E9" w:rsidRPr="000E13E9" w:rsidRDefault="000E13E9">
      <w:pPr>
        <w:pStyle w:val="Funotentext"/>
        <w:rPr>
          <w:lang w:val="de-CH"/>
        </w:rPr>
      </w:pPr>
      <w:r>
        <w:rPr>
          <w:rStyle w:val="Funotenzeichen"/>
        </w:rPr>
        <w:footnoteRef/>
      </w:r>
      <w: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>, 2015, 283.</w:t>
      </w:r>
    </w:p>
  </w:footnote>
  <w:footnote w:id="20">
    <w:p w:rsidR="000E13E9" w:rsidRPr="00A613C1" w:rsidRDefault="000E13E9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A613C1">
        <w:rPr>
          <w:lang w:val="de-CH"/>
        </w:rPr>
        <w:t xml:space="preserve"> </w:t>
      </w:r>
      <w:proofErr w:type="spellStart"/>
      <w:r w:rsidRPr="00A613C1">
        <w:rPr>
          <w:lang w:val="de-CH"/>
        </w:rPr>
        <w:t>Budka</w:t>
      </w:r>
      <w:proofErr w:type="spellEnd"/>
      <w:r w:rsidRPr="00A613C1">
        <w:rPr>
          <w:lang w:val="de-CH"/>
        </w:rPr>
        <w:t xml:space="preserve"> and </w:t>
      </w:r>
      <w:proofErr w:type="spellStart"/>
      <w:r w:rsidRPr="00A613C1">
        <w:rPr>
          <w:lang w:val="de-CH"/>
        </w:rPr>
        <w:t>Kammerzell</w:t>
      </w:r>
      <w:proofErr w:type="spellEnd"/>
      <w:r w:rsidRPr="00A613C1">
        <w:rPr>
          <w:lang w:val="de-CH"/>
        </w:rPr>
        <w:t>, 2015, 261</w:t>
      </w:r>
      <w:r w:rsidR="00A613C1" w:rsidRPr="00A613C1">
        <w:rPr>
          <w:lang w:val="de-CH"/>
        </w:rPr>
        <w:t xml:space="preserve"> and El-Senussi in Bade</w:t>
      </w:r>
      <w:r w:rsidR="00A613C1">
        <w:rPr>
          <w:lang w:val="de-CH"/>
        </w:rPr>
        <w:t xml:space="preserve">r and </w:t>
      </w:r>
      <w:proofErr w:type="spellStart"/>
      <w:r w:rsidR="00A613C1">
        <w:rPr>
          <w:lang w:val="de-CH"/>
        </w:rPr>
        <w:t>Ownby</w:t>
      </w:r>
      <w:proofErr w:type="spellEnd"/>
      <w:r w:rsidR="00A613C1">
        <w:rPr>
          <w:lang w:val="de-CH"/>
        </w:rPr>
        <w:t>, 2013,</w:t>
      </w:r>
      <w:r w:rsidR="007D0E50">
        <w:rPr>
          <w:lang w:val="de-CH"/>
        </w:rPr>
        <w:t xml:space="preserve"> 32.</w:t>
      </w:r>
    </w:p>
  </w:footnote>
  <w:footnote w:id="21">
    <w:p w:rsidR="000E13E9" w:rsidRPr="000E13E9" w:rsidRDefault="000E13E9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A613C1">
        <w:rPr>
          <w:lang w:val="de-CH"/>
        </w:rP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>
        <w:rPr>
          <w:lang w:val="de-CH"/>
        </w:rPr>
        <w:t>, 2015, 262.</w:t>
      </w:r>
    </w:p>
  </w:footnote>
  <w:footnote w:id="22">
    <w:p w:rsidR="00A613C1" w:rsidRPr="00A613C1" w:rsidRDefault="00A613C1">
      <w:pPr>
        <w:pStyle w:val="Funotentext"/>
        <w:rPr>
          <w:lang w:val="de-CH"/>
        </w:rPr>
      </w:pPr>
      <w:r>
        <w:rPr>
          <w:rStyle w:val="Funotenzeichen"/>
        </w:rPr>
        <w:footnoteRef/>
      </w:r>
      <w: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>, 2015, 285.</w:t>
      </w:r>
    </w:p>
  </w:footnote>
  <w:footnote w:id="23">
    <w:p w:rsidR="007D0E50" w:rsidRPr="007D0E50" w:rsidRDefault="007D0E50">
      <w:pPr>
        <w:pStyle w:val="Funotentext"/>
      </w:pPr>
      <w:r>
        <w:rPr>
          <w:rStyle w:val="Funotenzeichen"/>
        </w:rPr>
        <w:footnoteRef/>
      </w:r>
      <w:r w:rsidRPr="007D0E50">
        <w:t xml:space="preserve"> El-Senussi in Bader and </w:t>
      </w:r>
      <w:proofErr w:type="spellStart"/>
      <w:r w:rsidRPr="007D0E50">
        <w:t>Own</w:t>
      </w:r>
      <w:r>
        <w:t>by</w:t>
      </w:r>
      <w:proofErr w:type="spellEnd"/>
      <w:r>
        <w:t>, 2013, 31.</w:t>
      </w:r>
    </w:p>
  </w:footnote>
  <w:footnote w:id="24">
    <w:p w:rsidR="00A613C1" w:rsidRPr="007D0E50" w:rsidRDefault="00A613C1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7D0E50">
        <w:rPr>
          <w:lang w:val="de-CH"/>
        </w:rPr>
        <w:t xml:space="preserve"> El-Senussi in Bader and </w:t>
      </w:r>
      <w:proofErr w:type="spellStart"/>
      <w:r w:rsidRPr="007D0E50">
        <w:rPr>
          <w:lang w:val="de-CH"/>
        </w:rPr>
        <w:t>Ownby</w:t>
      </w:r>
      <w:proofErr w:type="spellEnd"/>
      <w:r w:rsidRPr="007D0E50">
        <w:rPr>
          <w:lang w:val="de-CH"/>
        </w:rPr>
        <w:t>, 2013, 32.</w:t>
      </w:r>
    </w:p>
  </w:footnote>
  <w:footnote w:id="25">
    <w:p w:rsidR="00933A72" w:rsidRPr="00933A72" w:rsidRDefault="00933A72">
      <w:pPr>
        <w:pStyle w:val="Funotentext"/>
        <w:rPr>
          <w:lang w:val="de-CH"/>
        </w:rPr>
      </w:pPr>
      <w:r>
        <w:rPr>
          <w:rStyle w:val="Funotenzeichen"/>
        </w:rPr>
        <w:footnoteRef/>
      </w:r>
      <w:r>
        <w:t xml:space="preserve"> </w:t>
      </w:r>
      <w:proofErr w:type="spellStart"/>
      <w:r>
        <w:t>Budka</w:t>
      </w:r>
      <w:proofErr w:type="spellEnd"/>
      <w:r>
        <w:t xml:space="preserve"> and </w:t>
      </w:r>
      <w:proofErr w:type="spellStart"/>
      <w:r>
        <w:t>Kammerzell</w:t>
      </w:r>
      <w:proofErr w:type="spellEnd"/>
      <w:r>
        <w:t>, 2015, 261.</w:t>
      </w:r>
    </w:p>
  </w:footnote>
  <w:footnote w:id="26">
    <w:p w:rsidR="00DA6C9E" w:rsidRPr="00DA6C9E" w:rsidRDefault="00DA6C9E">
      <w:pPr>
        <w:pStyle w:val="Funotentext"/>
        <w:rPr>
          <w:lang w:val="de-CH"/>
        </w:rPr>
      </w:pPr>
      <w:r>
        <w:rPr>
          <w:rStyle w:val="Funotenzeichen"/>
        </w:rPr>
        <w:footnoteRef/>
      </w:r>
      <w: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>
        <w:rPr>
          <w:lang w:val="de-CH"/>
        </w:rPr>
        <w:t>, 2015, 255.</w:t>
      </w:r>
    </w:p>
  </w:footnote>
  <w:footnote w:id="27">
    <w:p w:rsidR="00DA6C9E" w:rsidRPr="00DA6C9E" w:rsidRDefault="00DA6C9E">
      <w:pPr>
        <w:pStyle w:val="Funotentext"/>
        <w:rPr>
          <w:lang w:val="de-CH"/>
        </w:rPr>
      </w:pPr>
      <w:r>
        <w:rPr>
          <w:rStyle w:val="Funotenzeichen"/>
        </w:rPr>
        <w:footnoteRef/>
      </w:r>
      <w:r>
        <w:t xml:space="preserve"> </w:t>
      </w:r>
      <w:proofErr w:type="spellStart"/>
      <w:r>
        <w:rPr>
          <w:lang w:val="de-CH"/>
        </w:rPr>
        <w:t>Mawdsley</w:t>
      </w:r>
      <w:proofErr w:type="spellEnd"/>
      <w:r>
        <w:rPr>
          <w:lang w:val="de-CH"/>
        </w:rPr>
        <w:t>, 2009, 202.</w:t>
      </w:r>
    </w:p>
  </w:footnote>
  <w:footnote w:id="28">
    <w:p w:rsidR="00DA6C9E" w:rsidRPr="00DA6C9E" w:rsidRDefault="00DA6C9E">
      <w:pPr>
        <w:pStyle w:val="Funotentext"/>
        <w:rPr>
          <w:lang w:val="de-CH"/>
        </w:rPr>
      </w:pPr>
      <w:r>
        <w:rPr>
          <w:rStyle w:val="Funotenzeichen"/>
        </w:rPr>
        <w:footnoteRef/>
      </w:r>
      <w:r>
        <w:t xml:space="preserve"> </w:t>
      </w:r>
      <w:r>
        <w:rPr>
          <w:lang w:val="de-CH"/>
        </w:rPr>
        <w:t>Van den Brink, 1992, 271.</w:t>
      </w:r>
    </w:p>
  </w:footnote>
  <w:footnote w:id="29">
    <w:p w:rsidR="000034FF" w:rsidRPr="000034FF" w:rsidRDefault="000034FF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0034FF">
        <w:t>Bu</w:t>
      </w:r>
      <w:r>
        <w:t>dka,2015, 294.</w:t>
      </w:r>
    </w:p>
  </w:footnote>
  <w:footnote w:id="30">
    <w:p w:rsidR="00B02F0C" w:rsidRPr="000034FF" w:rsidRDefault="00B02F0C">
      <w:pPr>
        <w:pStyle w:val="Funotentext"/>
      </w:pPr>
      <w:r>
        <w:rPr>
          <w:rStyle w:val="Funotenzeichen"/>
        </w:rPr>
        <w:footnoteRef/>
      </w:r>
      <w:r>
        <w:t xml:space="preserve"> </w:t>
      </w:r>
      <w:proofErr w:type="spellStart"/>
      <w:r w:rsidRPr="000034FF">
        <w:t>Mawdsley</w:t>
      </w:r>
      <w:proofErr w:type="spellEnd"/>
      <w:r w:rsidRPr="000034FF">
        <w:t>, 2009, 200.</w:t>
      </w:r>
    </w:p>
  </w:footnote>
  <w:footnote w:id="31">
    <w:p w:rsidR="00D46DF9" w:rsidRPr="00D46DF9" w:rsidRDefault="00D46DF9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D652EA">
        <w:rPr>
          <w:lang w:val="de-CH"/>
        </w:rPr>
        <w:t xml:space="preserve"> </w:t>
      </w:r>
      <w:proofErr w:type="spellStart"/>
      <w:r w:rsidR="00D652EA">
        <w:rPr>
          <w:lang w:val="de-CH"/>
        </w:rPr>
        <w:t>Tassie</w:t>
      </w:r>
      <w:proofErr w:type="spellEnd"/>
      <w:r w:rsidR="00D652EA">
        <w:rPr>
          <w:lang w:val="de-CH"/>
        </w:rPr>
        <w:t xml:space="preserve"> et al, 2005, 209.</w:t>
      </w:r>
    </w:p>
  </w:footnote>
  <w:footnote w:id="32">
    <w:p w:rsidR="002D6448" w:rsidRPr="002D6448" w:rsidRDefault="002D6448">
      <w:pPr>
        <w:pStyle w:val="Funotentext"/>
        <w:rPr>
          <w:lang w:val="de-CH"/>
        </w:rPr>
      </w:pPr>
      <w:r>
        <w:rPr>
          <w:rStyle w:val="Funotenzeichen"/>
        </w:rPr>
        <w:footnoteRef/>
      </w:r>
      <w:r>
        <w:t xml:space="preserve"> </w:t>
      </w:r>
      <w:proofErr w:type="spellStart"/>
      <w:r w:rsidRPr="00D652EA">
        <w:rPr>
          <w:lang w:val="de-CH"/>
        </w:rPr>
        <w:t>Budka</w:t>
      </w:r>
      <w:proofErr w:type="spellEnd"/>
      <w:r w:rsidRPr="00D652EA">
        <w:rPr>
          <w:lang w:val="de-CH"/>
        </w:rPr>
        <w:t xml:space="preserve"> and </w:t>
      </w:r>
      <w:proofErr w:type="spellStart"/>
      <w:r w:rsidRPr="00D652EA">
        <w:rPr>
          <w:lang w:val="de-CH"/>
        </w:rPr>
        <w:t>Kammerzell</w:t>
      </w:r>
      <w:proofErr w:type="spellEnd"/>
      <w:r w:rsidRPr="00D652EA">
        <w:rPr>
          <w:lang w:val="de-CH"/>
        </w:rPr>
        <w:t>, 2015, 257</w:t>
      </w:r>
      <w:r>
        <w:rPr>
          <w:lang w:val="de-CH"/>
        </w:rPr>
        <w:t>.</w:t>
      </w:r>
    </w:p>
  </w:footnote>
  <w:footnote w:id="33">
    <w:p w:rsidR="00FF0B10" w:rsidRPr="00D652EA" w:rsidRDefault="00FF0B10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D652EA">
        <w:rPr>
          <w:lang w:val="de-CH"/>
        </w:rPr>
        <w:t xml:space="preserve"> El-Senussi in Bader and </w:t>
      </w:r>
      <w:proofErr w:type="spellStart"/>
      <w:r w:rsidRPr="00D652EA">
        <w:rPr>
          <w:lang w:val="de-CH"/>
        </w:rPr>
        <w:t>Ownby</w:t>
      </w:r>
      <w:proofErr w:type="spellEnd"/>
      <w:r w:rsidRPr="00D652EA">
        <w:rPr>
          <w:lang w:val="de-CH"/>
        </w:rPr>
        <w:t>, 2013, 33.</w:t>
      </w:r>
    </w:p>
  </w:footnote>
  <w:footnote w:id="34">
    <w:p w:rsidR="00FF0B10" w:rsidRPr="000034FF" w:rsidRDefault="00FF0B10">
      <w:pPr>
        <w:pStyle w:val="Funotentext"/>
      </w:pPr>
      <w:r>
        <w:rPr>
          <w:rStyle w:val="Funotenzeichen"/>
        </w:rPr>
        <w:footnoteRef/>
      </w:r>
      <w:r>
        <w:t xml:space="preserve"> </w:t>
      </w:r>
      <w:proofErr w:type="spellStart"/>
      <w:r w:rsidRPr="000034FF">
        <w:t>Mawdsley</w:t>
      </w:r>
      <w:proofErr w:type="spellEnd"/>
      <w:r w:rsidRPr="000034FF">
        <w:t>, 2009, 202.</w:t>
      </w:r>
    </w:p>
  </w:footnote>
  <w:footnote w:id="35">
    <w:p w:rsidR="00887AAE" w:rsidRPr="00887AAE" w:rsidRDefault="00887AAE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887AAE">
        <w:rPr>
          <w:lang w:val="de-CH"/>
        </w:rPr>
        <w:t xml:space="preserve"> </w:t>
      </w:r>
      <w:proofErr w:type="spellStart"/>
      <w:r>
        <w:rPr>
          <w:lang w:val="de-CH"/>
        </w:rPr>
        <w:t>Wodzinska</w:t>
      </w:r>
      <w:proofErr w:type="spellEnd"/>
      <w:r>
        <w:rPr>
          <w:lang w:val="de-CH"/>
        </w:rPr>
        <w:t>, 2009,248.</w:t>
      </w:r>
    </w:p>
  </w:footnote>
  <w:footnote w:id="36">
    <w:p w:rsidR="004B22C0" w:rsidRPr="004B22C0" w:rsidRDefault="004B22C0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887AAE">
        <w:rPr>
          <w:lang w:val="de-CH"/>
        </w:rP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>
        <w:rPr>
          <w:lang w:val="de-CH"/>
        </w:rPr>
        <w:t>, 2015, 270.</w:t>
      </w:r>
    </w:p>
  </w:footnote>
  <w:footnote w:id="37">
    <w:p w:rsidR="00777069" w:rsidRPr="00777069" w:rsidRDefault="00777069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887AAE">
        <w:rPr>
          <w:lang w:val="de-CH"/>
        </w:rPr>
        <w:t xml:space="preserve"> </w:t>
      </w:r>
      <w:proofErr w:type="spellStart"/>
      <w:r>
        <w:rPr>
          <w:lang w:val="de-CH"/>
        </w:rPr>
        <w:t>Budka</w:t>
      </w:r>
      <w:proofErr w:type="spellEnd"/>
      <w:r>
        <w:rPr>
          <w:lang w:val="de-CH"/>
        </w:rPr>
        <w:t xml:space="preserve"> and </w:t>
      </w:r>
      <w:proofErr w:type="spellStart"/>
      <w:r>
        <w:rPr>
          <w:lang w:val="de-CH"/>
        </w:rPr>
        <w:t>Kammerzell</w:t>
      </w:r>
      <w:proofErr w:type="spellEnd"/>
      <w:r>
        <w:rPr>
          <w:lang w:val="de-CH"/>
        </w:rPr>
        <w:t>, 2015, 270.</w:t>
      </w:r>
    </w:p>
  </w:footnote>
  <w:footnote w:id="38">
    <w:p w:rsidR="00806A85" w:rsidRDefault="00806A85">
      <w:pPr>
        <w:pStyle w:val="Funotentext"/>
        <w:rPr>
          <w:lang w:val="de-CH"/>
        </w:rPr>
      </w:pPr>
      <w:r>
        <w:rPr>
          <w:rStyle w:val="Funotenzeichen"/>
        </w:rPr>
        <w:footnoteRef/>
      </w:r>
      <w:r w:rsidRPr="00887AAE">
        <w:rPr>
          <w:lang w:val="de-CH"/>
        </w:rPr>
        <w:t xml:space="preserve"> The Met </w:t>
      </w:r>
      <w:proofErr w:type="spellStart"/>
      <w:r w:rsidRPr="00887AAE">
        <w:rPr>
          <w:lang w:val="de-CH"/>
        </w:rPr>
        <w:t>museum</w:t>
      </w:r>
      <w:proofErr w:type="spellEnd"/>
      <w:r w:rsidRPr="00887AAE">
        <w:rPr>
          <w:lang w:val="de-CH"/>
        </w:rPr>
        <w:t>, 2019.</w:t>
      </w:r>
    </w:p>
    <w:p w:rsidR="00ED003A" w:rsidRPr="00806A85" w:rsidRDefault="00ED003A">
      <w:pPr>
        <w:pStyle w:val="Funotentext"/>
        <w:rPr>
          <w:lang w:val="de-CH"/>
        </w:rPr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7359A4"/>
    <w:multiLevelType w:val="hybridMultilevel"/>
    <w:tmpl w:val="6EB22ACC"/>
    <w:lvl w:ilvl="0" w:tplc="4476BD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EB2CA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61AF9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0C82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E8E9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C1898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3BE7B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BE29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E1EA8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576D"/>
    <w:rsid w:val="000034FF"/>
    <w:rsid w:val="000146C6"/>
    <w:rsid w:val="00060520"/>
    <w:rsid w:val="00073A51"/>
    <w:rsid w:val="00095617"/>
    <w:rsid w:val="000E13E9"/>
    <w:rsid w:val="002A1FD1"/>
    <w:rsid w:val="002D6448"/>
    <w:rsid w:val="003053EC"/>
    <w:rsid w:val="003F487F"/>
    <w:rsid w:val="0040477A"/>
    <w:rsid w:val="00413113"/>
    <w:rsid w:val="00414FFF"/>
    <w:rsid w:val="00420492"/>
    <w:rsid w:val="00432941"/>
    <w:rsid w:val="00472975"/>
    <w:rsid w:val="00473E89"/>
    <w:rsid w:val="00480521"/>
    <w:rsid w:val="004A44DF"/>
    <w:rsid w:val="004B22C0"/>
    <w:rsid w:val="004E2B5F"/>
    <w:rsid w:val="004F1141"/>
    <w:rsid w:val="00531BFF"/>
    <w:rsid w:val="005763F5"/>
    <w:rsid w:val="00587562"/>
    <w:rsid w:val="005D1A47"/>
    <w:rsid w:val="00611F34"/>
    <w:rsid w:val="00697C7F"/>
    <w:rsid w:val="006D69E3"/>
    <w:rsid w:val="00712FDC"/>
    <w:rsid w:val="00763BCA"/>
    <w:rsid w:val="00777069"/>
    <w:rsid w:val="00795B04"/>
    <w:rsid w:val="007A4C9F"/>
    <w:rsid w:val="007D0E50"/>
    <w:rsid w:val="007E013B"/>
    <w:rsid w:val="007E177D"/>
    <w:rsid w:val="00806A85"/>
    <w:rsid w:val="00887AAE"/>
    <w:rsid w:val="00900544"/>
    <w:rsid w:val="00917455"/>
    <w:rsid w:val="009334EF"/>
    <w:rsid w:val="00933A72"/>
    <w:rsid w:val="009A5ECC"/>
    <w:rsid w:val="00A119FF"/>
    <w:rsid w:val="00A31A4A"/>
    <w:rsid w:val="00A35BCD"/>
    <w:rsid w:val="00A613C1"/>
    <w:rsid w:val="00A71C4C"/>
    <w:rsid w:val="00A81134"/>
    <w:rsid w:val="00AC5B4A"/>
    <w:rsid w:val="00B02F0C"/>
    <w:rsid w:val="00B375E6"/>
    <w:rsid w:val="00B43CB6"/>
    <w:rsid w:val="00B50A87"/>
    <w:rsid w:val="00B73E6E"/>
    <w:rsid w:val="00B77E19"/>
    <w:rsid w:val="00C00638"/>
    <w:rsid w:val="00CC69FA"/>
    <w:rsid w:val="00D46DF9"/>
    <w:rsid w:val="00D652EA"/>
    <w:rsid w:val="00D67535"/>
    <w:rsid w:val="00D83EB8"/>
    <w:rsid w:val="00DA1D3A"/>
    <w:rsid w:val="00DA6C9E"/>
    <w:rsid w:val="00DC4869"/>
    <w:rsid w:val="00DD288E"/>
    <w:rsid w:val="00DF18FF"/>
    <w:rsid w:val="00EC45C2"/>
    <w:rsid w:val="00ED003A"/>
    <w:rsid w:val="00ED746A"/>
    <w:rsid w:val="00F3576D"/>
    <w:rsid w:val="00F52F1D"/>
    <w:rsid w:val="00F55257"/>
    <w:rsid w:val="00FF0B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C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53D5B137"/>
  <w15:chartTrackingRefBased/>
  <w15:docId w15:val="{82395509-EC2F-40EF-9CEC-1CCF8FC260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de-CH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Standard">
    <w:name w:val="Normal"/>
    <w:qFormat/>
    <w:rPr>
      <w:lang w:val="en-GB"/>
    </w:rPr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Sprechblasentext">
    <w:name w:val="Balloon Text"/>
    <w:basedOn w:val="Standard"/>
    <w:link w:val="SprechblasentextZchn"/>
    <w:uiPriority w:val="99"/>
    <w:semiHidden/>
    <w:unhideWhenUsed/>
    <w:rsid w:val="00F3576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SprechblasentextZchn">
    <w:name w:val="Sprechblasentext Zchn"/>
    <w:basedOn w:val="Absatz-Standardschriftart"/>
    <w:link w:val="Sprechblasentext"/>
    <w:uiPriority w:val="99"/>
    <w:semiHidden/>
    <w:rsid w:val="00F3576D"/>
    <w:rPr>
      <w:rFonts w:ascii="Segoe UI" w:hAnsi="Segoe UI" w:cs="Segoe UI"/>
      <w:sz w:val="18"/>
      <w:szCs w:val="18"/>
    </w:rPr>
  </w:style>
  <w:style w:type="paragraph" w:styleId="Funotentext">
    <w:name w:val="footnote text"/>
    <w:basedOn w:val="Standard"/>
    <w:link w:val="FunotentextZchn"/>
    <w:uiPriority w:val="99"/>
    <w:semiHidden/>
    <w:unhideWhenUsed/>
    <w:rsid w:val="00ED746A"/>
    <w:pPr>
      <w:spacing w:after="0" w:line="240" w:lineRule="auto"/>
    </w:pPr>
    <w:rPr>
      <w:sz w:val="20"/>
      <w:szCs w:val="20"/>
    </w:rPr>
  </w:style>
  <w:style w:type="character" w:customStyle="1" w:styleId="FunotentextZchn">
    <w:name w:val="Fußnotentext Zchn"/>
    <w:basedOn w:val="Absatz-Standardschriftart"/>
    <w:link w:val="Funotentext"/>
    <w:uiPriority w:val="99"/>
    <w:semiHidden/>
    <w:rsid w:val="00ED746A"/>
    <w:rPr>
      <w:sz w:val="20"/>
      <w:szCs w:val="20"/>
    </w:rPr>
  </w:style>
  <w:style w:type="character" w:styleId="Funotenzeichen">
    <w:name w:val="footnote reference"/>
    <w:basedOn w:val="Absatz-Standardschriftart"/>
    <w:uiPriority w:val="99"/>
    <w:semiHidden/>
    <w:unhideWhenUsed/>
    <w:rsid w:val="00ED746A"/>
    <w:rPr>
      <w:vertAlign w:val="superscript"/>
    </w:rPr>
  </w:style>
  <w:style w:type="paragraph" w:styleId="Listenabsatz">
    <w:name w:val="List Paragraph"/>
    <w:basedOn w:val="Standard"/>
    <w:uiPriority w:val="34"/>
    <w:qFormat/>
    <w:rsid w:val="00B375E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de-CH" w:eastAsia="de-CH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4184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183436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C7DA5F-E7C3-496B-B4DC-3CEE237B47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1059</Words>
  <Characters>6675</Characters>
  <Application>Microsoft Office Word</Application>
  <DocSecurity>0</DocSecurity>
  <Lines>55</Lines>
  <Paragraphs>15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Mandiza Landsmeer</dc:creator>
  <cp:keywords/>
  <dc:description/>
  <cp:lastModifiedBy>Mandiza Landsmeer</cp:lastModifiedBy>
  <cp:revision>2</cp:revision>
  <dcterms:created xsi:type="dcterms:W3CDTF">2019-04-09T22:33:00Z</dcterms:created>
  <dcterms:modified xsi:type="dcterms:W3CDTF">2019-04-09T22:33:00Z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8679ba64-fa2d-3d53-80e7-8304aa61155c</vt:lpwstr>
  </property>
  <property fmtid="{D5CDD505-2E9C-101B-9397-08002B2CF9AE}" pid="4" name="Mendeley Citation Style_1">
    <vt:lpwstr>http://www.zotero.org/styles/harvard1</vt:lpwstr>
  </property>
</Properties>
</file>