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5707F" w14:textId="77777777" w:rsidR="004671F5" w:rsidRDefault="004671F5">
      <w:pPr>
        <w:pStyle w:val="Body"/>
        <w:spacing w:line="360" w:lineRule="auto"/>
        <w:rPr>
          <w:rFonts w:ascii="Times Roman" w:hAnsi="Times Roman"/>
          <w:sz w:val="24"/>
          <w:szCs w:val="24"/>
        </w:rPr>
      </w:pPr>
    </w:p>
    <w:p w14:paraId="6B09A27F" w14:textId="77777777" w:rsidR="004671F5" w:rsidRDefault="004671F5">
      <w:pPr>
        <w:pStyle w:val="Body"/>
        <w:spacing w:line="360" w:lineRule="auto"/>
        <w:rPr>
          <w:rFonts w:ascii="Times Roman" w:hAnsi="Times Roman"/>
          <w:sz w:val="24"/>
          <w:szCs w:val="24"/>
        </w:rPr>
      </w:pPr>
    </w:p>
    <w:p w14:paraId="38795EFF" w14:textId="77777777" w:rsidR="004671F5" w:rsidRDefault="004671F5">
      <w:pPr>
        <w:pStyle w:val="Body"/>
        <w:spacing w:line="360" w:lineRule="auto"/>
        <w:rPr>
          <w:rFonts w:ascii="Times Roman" w:hAnsi="Times Roman"/>
          <w:sz w:val="24"/>
          <w:szCs w:val="24"/>
        </w:rPr>
      </w:pPr>
    </w:p>
    <w:p w14:paraId="60D82F4A" w14:textId="6BABCA36"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Module Title: Independent Study </w:t>
      </w:r>
    </w:p>
    <w:p w14:paraId="609B08F7" w14:textId="77777777" w:rsidR="00C23EC5" w:rsidRDefault="00C23EC5">
      <w:pPr>
        <w:pStyle w:val="Body"/>
        <w:spacing w:line="360" w:lineRule="auto"/>
        <w:rPr>
          <w:rFonts w:ascii="Times Roman" w:eastAsia="Times Roman" w:hAnsi="Times Roman" w:cs="Times Roman"/>
          <w:sz w:val="24"/>
          <w:szCs w:val="24"/>
        </w:rPr>
      </w:pPr>
    </w:p>
    <w:p w14:paraId="36B3D8D4"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Module code: BMPF7012 </w:t>
      </w:r>
    </w:p>
    <w:p w14:paraId="2C92027A" w14:textId="77777777" w:rsidR="00C23EC5" w:rsidRDefault="00C23EC5">
      <w:pPr>
        <w:pStyle w:val="Body"/>
        <w:spacing w:line="360" w:lineRule="auto"/>
        <w:rPr>
          <w:rFonts w:ascii="Times Roman" w:eastAsia="Times Roman" w:hAnsi="Times Roman" w:cs="Times Roman"/>
          <w:sz w:val="24"/>
          <w:szCs w:val="24"/>
        </w:rPr>
      </w:pPr>
    </w:p>
    <w:p w14:paraId="7875C467"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Student Number: 2031096</w:t>
      </w:r>
    </w:p>
    <w:p w14:paraId="58FCAB90" w14:textId="77777777" w:rsidR="00C23EC5" w:rsidRDefault="00C23EC5">
      <w:pPr>
        <w:pStyle w:val="Body"/>
        <w:spacing w:line="360" w:lineRule="auto"/>
        <w:rPr>
          <w:rFonts w:ascii="Times Roman" w:eastAsia="Times Roman" w:hAnsi="Times Roman" w:cs="Times Roman"/>
          <w:sz w:val="24"/>
          <w:szCs w:val="24"/>
        </w:rPr>
      </w:pPr>
    </w:p>
    <w:p w14:paraId="704E8ECC"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Word Count:2913</w:t>
      </w:r>
    </w:p>
    <w:p w14:paraId="10C91FFF" w14:textId="77777777" w:rsidR="00C23EC5" w:rsidRDefault="00C23EC5">
      <w:pPr>
        <w:pStyle w:val="Body"/>
        <w:spacing w:line="360" w:lineRule="auto"/>
        <w:rPr>
          <w:rFonts w:ascii="Times Roman" w:eastAsia="Times Roman" w:hAnsi="Times Roman" w:cs="Times Roman"/>
          <w:sz w:val="24"/>
          <w:szCs w:val="24"/>
        </w:rPr>
      </w:pPr>
    </w:p>
    <w:p w14:paraId="0EDD4518" w14:textId="4FBFA49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Title:  Introduction of a</w:t>
      </w:r>
      <w:r w:rsidR="004671F5">
        <w:rPr>
          <w:rFonts w:ascii="Times Roman" w:hAnsi="Times Roman"/>
          <w:sz w:val="24"/>
          <w:szCs w:val="24"/>
        </w:rPr>
        <w:t>n</w:t>
      </w:r>
      <w:r>
        <w:rPr>
          <w:rFonts w:ascii="Times Roman" w:hAnsi="Times Roman"/>
          <w:sz w:val="24"/>
          <w:szCs w:val="24"/>
        </w:rPr>
        <w:t xml:space="preserve"> Out </w:t>
      </w:r>
      <w:r w:rsidR="004671F5">
        <w:rPr>
          <w:rFonts w:ascii="Times Roman" w:hAnsi="Times Roman"/>
          <w:sz w:val="24"/>
          <w:szCs w:val="24"/>
        </w:rPr>
        <w:t>of</w:t>
      </w:r>
      <w:r>
        <w:rPr>
          <w:rFonts w:ascii="Times Roman" w:hAnsi="Times Roman"/>
          <w:sz w:val="24"/>
          <w:szCs w:val="24"/>
        </w:rPr>
        <w:t xml:space="preserve"> Hospital Cardiac Arrest Desk Within Emergency Medical Coordination Services to support cardiac arrest survival in Wales </w:t>
      </w:r>
    </w:p>
    <w:p w14:paraId="59B059D2" w14:textId="77777777" w:rsidR="00C23EC5" w:rsidRDefault="00C23EC5">
      <w:pPr>
        <w:pStyle w:val="Body"/>
        <w:spacing w:line="360" w:lineRule="auto"/>
        <w:rPr>
          <w:rFonts w:ascii="Times Roman" w:eastAsia="Times Roman" w:hAnsi="Times Roman" w:cs="Times Roman"/>
          <w:sz w:val="24"/>
          <w:szCs w:val="24"/>
        </w:rPr>
      </w:pPr>
    </w:p>
    <w:p w14:paraId="5D72BEA7" w14:textId="31B268D4" w:rsidR="00C23EC5" w:rsidRDefault="00000000">
      <w:pPr>
        <w:pStyle w:val="Body"/>
        <w:spacing w:line="360" w:lineRule="auto"/>
        <w:jc w:val="center"/>
        <w:rPr>
          <w:rFonts w:ascii="Times Roman" w:eastAsia="Times Roman" w:hAnsi="Times Roman" w:cs="Times Roman"/>
          <w:sz w:val="24"/>
          <w:szCs w:val="24"/>
        </w:rPr>
      </w:pPr>
      <w:r>
        <w:rPr>
          <w:rFonts w:ascii="Times Roman" w:hAnsi="Times Roman"/>
          <w:sz w:val="24"/>
          <w:szCs w:val="24"/>
        </w:rPr>
        <w:t>Introduction of a</w:t>
      </w:r>
      <w:r w:rsidR="004671F5">
        <w:rPr>
          <w:rFonts w:ascii="Times Roman" w:hAnsi="Times Roman"/>
          <w:sz w:val="24"/>
          <w:szCs w:val="24"/>
        </w:rPr>
        <w:t>n</w:t>
      </w:r>
      <w:r>
        <w:rPr>
          <w:rFonts w:ascii="Times Roman" w:hAnsi="Times Roman"/>
          <w:sz w:val="24"/>
          <w:szCs w:val="24"/>
        </w:rPr>
        <w:t xml:space="preserve"> Out </w:t>
      </w:r>
      <w:r w:rsidR="004671F5">
        <w:rPr>
          <w:rFonts w:ascii="Times Roman" w:hAnsi="Times Roman"/>
          <w:sz w:val="24"/>
          <w:szCs w:val="24"/>
        </w:rPr>
        <w:t>of</w:t>
      </w:r>
      <w:r>
        <w:rPr>
          <w:rFonts w:ascii="Times Roman" w:hAnsi="Times Roman"/>
          <w:sz w:val="24"/>
          <w:szCs w:val="24"/>
        </w:rPr>
        <w:t xml:space="preserve"> Hospital Cardiac Arrest Desk Within Emergency Medical Coordination Services to support cardiac arrest survival in Wales </w:t>
      </w:r>
    </w:p>
    <w:p w14:paraId="1609060E" w14:textId="77777777" w:rsidR="00C23EC5" w:rsidRDefault="00C23EC5">
      <w:pPr>
        <w:pStyle w:val="Body"/>
        <w:spacing w:line="360" w:lineRule="auto"/>
        <w:rPr>
          <w:rFonts w:ascii="Times Roman" w:eastAsia="Times Roman" w:hAnsi="Times Roman" w:cs="Times Roman"/>
          <w:sz w:val="24"/>
          <w:szCs w:val="24"/>
        </w:rPr>
      </w:pPr>
    </w:p>
    <w:p w14:paraId="733A0473"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Introduction: Context and Relevance to Practice and Organisational Goals</w:t>
      </w:r>
    </w:p>
    <w:p w14:paraId="13C9A6EB" w14:textId="77777777" w:rsidR="00C23EC5" w:rsidRDefault="00C23EC5">
      <w:pPr>
        <w:pStyle w:val="Body"/>
        <w:spacing w:line="360" w:lineRule="auto"/>
        <w:rPr>
          <w:rFonts w:ascii="Times Roman" w:eastAsia="Times Roman" w:hAnsi="Times Roman" w:cs="Times Roman"/>
          <w:sz w:val="24"/>
          <w:szCs w:val="24"/>
        </w:rPr>
      </w:pPr>
    </w:p>
    <w:p w14:paraId="3A1531A8"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The healthcare sector is continually evolving, requiring clinicians to adapt through reflective practice and the acquisition of new knowledge. This paper reflects upon a recent learning experience involving the planning and integration of remote clinicians within Emergency Medical Coordination Services (EMCS), specifically to improve outcomes in out-of-hospital cardiac arrest (OHCA) scenarios. This learning experience was both self-directed and collaborative, grounded in the practical application of change management theory and critical reflection frameworks.</w:t>
      </w:r>
    </w:p>
    <w:p w14:paraId="5A1EBAEB" w14:textId="77777777" w:rsidR="00C23EC5" w:rsidRDefault="00C23EC5">
      <w:pPr>
        <w:pStyle w:val="Body"/>
        <w:spacing w:line="360" w:lineRule="auto"/>
        <w:rPr>
          <w:rFonts w:ascii="Times Roman" w:eastAsia="Times Roman" w:hAnsi="Times Roman" w:cs="Times Roman"/>
          <w:sz w:val="24"/>
          <w:szCs w:val="24"/>
        </w:rPr>
      </w:pPr>
    </w:p>
    <w:p w14:paraId="67F5AEBF"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The context of this initiative is the broader strategic aim of improving survival rates and clinical outcomes for OHCA patients within the Welsh healthcare system. As the senior clinical lead responsible for implementing tactical and strategic interventions, my role directly aligns with the delivery of the Welsh Government</w:t>
      </w:r>
      <w:r>
        <w:rPr>
          <w:rFonts w:ascii="Times Roman" w:hAnsi="Times Roman"/>
          <w:sz w:val="24"/>
          <w:szCs w:val="24"/>
          <w:rtl/>
        </w:rPr>
        <w:t>’</w:t>
      </w:r>
      <w:r>
        <w:rPr>
          <w:rFonts w:ascii="Times Roman" w:hAnsi="Times Roman"/>
          <w:sz w:val="24"/>
          <w:szCs w:val="24"/>
        </w:rPr>
        <w:t>s Out of Hospital Cardiac Arrest Plan (Welsh Government, 2017). This plan sets a clear mandate to encourage digital innovation, improve care consistency, and foster system-wide collaboration to increase OHCA survival.</w:t>
      </w:r>
    </w:p>
    <w:p w14:paraId="573DCC5F" w14:textId="77777777" w:rsidR="00C23EC5" w:rsidRDefault="00C23EC5">
      <w:pPr>
        <w:pStyle w:val="Body"/>
        <w:spacing w:line="360" w:lineRule="auto"/>
        <w:rPr>
          <w:rFonts w:ascii="Times Roman" w:eastAsia="Times Roman" w:hAnsi="Times Roman" w:cs="Times Roman"/>
          <w:sz w:val="24"/>
          <w:szCs w:val="24"/>
        </w:rPr>
      </w:pPr>
    </w:p>
    <w:p w14:paraId="78D6436E"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The remote triage desk</w:t>
      </w:r>
      <w:r>
        <w:rPr>
          <w:rFonts w:ascii="Times Roman" w:hAnsi="Times Roman"/>
          <w:sz w:val="24"/>
          <w:szCs w:val="24"/>
          <w:rtl/>
        </w:rPr>
        <w:t>’</w:t>
      </w:r>
      <w:r>
        <w:rPr>
          <w:rFonts w:ascii="Times Roman" w:hAnsi="Times Roman"/>
          <w:sz w:val="24"/>
          <w:szCs w:val="24"/>
        </w:rPr>
        <w:t xml:space="preserve">s primary function is to </w:t>
      </w:r>
      <w:proofErr w:type="spellStart"/>
      <w:r>
        <w:rPr>
          <w:rFonts w:ascii="Times Roman" w:hAnsi="Times Roman"/>
          <w:sz w:val="24"/>
          <w:szCs w:val="24"/>
        </w:rPr>
        <w:t>maximise</w:t>
      </w:r>
      <w:proofErr w:type="spellEnd"/>
      <w:r>
        <w:rPr>
          <w:rFonts w:ascii="Times Roman" w:hAnsi="Times Roman"/>
          <w:sz w:val="24"/>
          <w:szCs w:val="24"/>
        </w:rPr>
        <w:t xml:space="preserve"> survival for OHCA patients. This goal will be achieved through several strategic objectives:</w:t>
      </w:r>
    </w:p>
    <w:p w14:paraId="4EE5DAE1" w14:textId="77777777" w:rsidR="00C23EC5" w:rsidRDefault="00C23EC5">
      <w:pPr>
        <w:pStyle w:val="Body"/>
        <w:spacing w:line="360" w:lineRule="auto"/>
        <w:rPr>
          <w:rFonts w:ascii="Times Roman" w:eastAsia="Times Roman" w:hAnsi="Times Roman" w:cs="Times Roman"/>
          <w:sz w:val="24"/>
          <w:szCs w:val="24"/>
        </w:rPr>
      </w:pPr>
    </w:p>
    <w:p w14:paraId="630AD6C2" w14:textId="77777777" w:rsidR="00C23EC5" w:rsidRDefault="00000000">
      <w:pPr>
        <w:pStyle w:val="Body"/>
        <w:numPr>
          <w:ilvl w:val="0"/>
          <w:numId w:val="2"/>
        </w:numPr>
        <w:spacing w:line="360" w:lineRule="auto"/>
        <w:rPr>
          <w:rFonts w:ascii="Times Roman" w:hAnsi="Times Roman"/>
          <w:sz w:val="24"/>
          <w:szCs w:val="24"/>
        </w:rPr>
      </w:pPr>
      <w:r>
        <w:rPr>
          <w:rFonts w:ascii="Times Roman" w:hAnsi="Times Roman"/>
          <w:sz w:val="24"/>
          <w:szCs w:val="24"/>
        </w:rPr>
        <w:t>Enhancing the clinical quality and timeliness of emergency responses.</w:t>
      </w:r>
    </w:p>
    <w:p w14:paraId="31DDB555" w14:textId="77777777" w:rsidR="00C23EC5" w:rsidRDefault="00000000">
      <w:pPr>
        <w:pStyle w:val="Body"/>
        <w:numPr>
          <w:ilvl w:val="0"/>
          <w:numId w:val="2"/>
        </w:numPr>
        <w:spacing w:line="360" w:lineRule="auto"/>
        <w:rPr>
          <w:rFonts w:ascii="Times Roman" w:hAnsi="Times Roman"/>
          <w:sz w:val="24"/>
          <w:szCs w:val="24"/>
        </w:rPr>
      </w:pPr>
      <w:r>
        <w:rPr>
          <w:rFonts w:ascii="Times Roman" w:hAnsi="Times Roman"/>
          <w:sz w:val="24"/>
          <w:szCs w:val="24"/>
        </w:rPr>
        <w:t>Reducing disparities in outcomes across geographical and demographic lines.</w:t>
      </w:r>
    </w:p>
    <w:p w14:paraId="21824417" w14:textId="77777777" w:rsidR="00C23EC5" w:rsidRDefault="00000000">
      <w:pPr>
        <w:pStyle w:val="Body"/>
        <w:numPr>
          <w:ilvl w:val="0"/>
          <w:numId w:val="2"/>
        </w:numPr>
        <w:spacing w:line="360" w:lineRule="auto"/>
        <w:rPr>
          <w:rFonts w:ascii="Times Roman" w:hAnsi="Times Roman"/>
          <w:sz w:val="24"/>
          <w:szCs w:val="24"/>
        </w:rPr>
      </w:pPr>
      <w:r>
        <w:rPr>
          <w:rFonts w:ascii="Times Roman" w:hAnsi="Times Roman"/>
          <w:sz w:val="24"/>
          <w:szCs w:val="24"/>
        </w:rPr>
        <w:t xml:space="preserve">Improving the </w:t>
      </w:r>
      <w:proofErr w:type="spellStart"/>
      <w:r>
        <w:rPr>
          <w:rFonts w:ascii="Times Roman" w:hAnsi="Times Roman"/>
          <w:sz w:val="24"/>
          <w:szCs w:val="24"/>
        </w:rPr>
        <w:t>utilisation</w:t>
      </w:r>
      <w:proofErr w:type="spellEnd"/>
      <w:r>
        <w:rPr>
          <w:rFonts w:ascii="Times Roman" w:hAnsi="Times Roman"/>
          <w:sz w:val="24"/>
          <w:szCs w:val="24"/>
        </w:rPr>
        <w:t xml:space="preserve"> of pre-existing infrastructure and resources.</w:t>
      </w:r>
    </w:p>
    <w:p w14:paraId="1D7AE167" w14:textId="77777777" w:rsidR="00C23EC5" w:rsidRDefault="00000000">
      <w:pPr>
        <w:pStyle w:val="Body"/>
        <w:numPr>
          <w:ilvl w:val="0"/>
          <w:numId w:val="2"/>
        </w:numPr>
        <w:spacing w:line="360" w:lineRule="auto"/>
        <w:rPr>
          <w:rFonts w:ascii="Times Roman" w:hAnsi="Times Roman"/>
          <w:sz w:val="24"/>
          <w:szCs w:val="24"/>
        </w:rPr>
      </w:pPr>
      <w:r>
        <w:rPr>
          <w:rFonts w:ascii="Times Roman" w:hAnsi="Times Roman"/>
          <w:sz w:val="24"/>
          <w:szCs w:val="24"/>
        </w:rPr>
        <w:t>Supporting bystanders and witnesses through real-time guidance and reassurance.</w:t>
      </w:r>
    </w:p>
    <w:p w14:paraId="0E25E4FE" w14:textId="77777777" w:rsidR="00C23EC5" w:rsidRDefault="00000000">
      <w:pPr>
        <w:pStyle w:val="Body"/>
        <w:numPr>
          <w:ilvl w:val="0"/>
          <w:numId w:val="2"/>
        </w:numPr>
        <w:spacing w:line="360" w:lineRule="auto"/>
        <w:rPr>
          <w:rFonts w:ascii="Times Roman" w:hAnsi="Times Roman"/>
          <w:sz w:val="24"/>
          <w:szCs w:val="24"/>
        </w:rPr>
      </w:pPr>
      <w:r>
        <w:rPr>
          <w:rFonts w:ascii="Times Roman" w:hAnsi="Times Roman"/>
          <w:sz w:val="24"/>
          <w:szCs w:val="24"/>
        </w:rPr>
        <w:t>Strengthening system-wide collaboration and resilience in cardiac arrest management.</w:t>
      </w:r>
    </w:p>
    <w:p w14:paraId="5ECE9D11" w14:textId="77777777" w:rsidR="00C23EC5" w:rsidRDefault="00C23EC5">
      <w:pPr>
        <w:pStyle w:val="Body"/>
        <w:spacing w:line="360" w:lineRule="auto"/>
        <w:rPr>
          <w:rFonts w:ascii="Times Roman" w:eastAsia="Times Roman" w:hAnsi="Times Roman" w:cs="Times Roman"/>
          <w:sz w:val="24"/>
          <w:szCs w:val="24"/>
        </w:rPr>
      </w:pPr>
    </w:p>
    <w:p w14:paraId="376C893E"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Learning Acquired</w:t>
      </w:r>
    </w:p>
    <w:p w14:paraId="59D9D0DC" w14:textId="1A8A87B4"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Implementing transformational change within the National Health Service (NHS) presents significant challenges, particularly given its complex organisational structure and resource constraints. Clear strategic intentions convey the </w:t>
      </w:r>
      <w:proofErr w:type="spellStart"/>
      <w:r>
        <w:rPr>
          <w:rFonts w:ascii="Times Roman" w:hAnsi="Times Roman"/>
          <w:sz w:val="24"/>
          <w:szCs w:val="24"/>
        </w:rPr>
        <w:t>organisation</w:t>
      </w:r>
      <w:proofErr w:type="spellEnd"/>
      <w:r>
        <w:rPr>
          <w:rFonts w:ascii="Times Roman" w:hAnsi="Times Roman"/>
          <w:sz w:val="24"/>
          <w:szCs w:val="24"/>
          <w:rtl/>
        </w:rPr>
        <w:t>’</w:t>
      </w:r>
      <w:r>
        <w:rPr>
          <w:rFonts w:ascii="Times Roman" w:hAnsi="Times Roman"/>
          <w:sz w:val="24"/>
          <w:szCs w:val="24"/>
        </w:rPr>
        <w:t xml:space="preserve">s purpose and make it clear how everyone can contribute (Denison, Nieminen and Kotrba, 2012). Nevertheless, effective change management has the potential to yield innovative models of care, leading to enhanced service delivery and improved patient outcomes. In Wales, the introduction of the Prudent Healthcare policy by the Welsh Government in 2013, following the publication of Simply Prudent Healthcare (Aylward, Phillips and Howson, 2013), marked a strategic shift toward value-based care. This policy emphasises the need to redesign services that are not only clinically effective but also economically sustainable and </w:t>
      </w:r>
      <w:proofErr w:type="gramStart"/>
      <w:r>
        <w:rPr>
          <w:rFonts w:ascii="Times Roman" w:hAnsi="Times Roman"/>
          <w:sz w:val="24"/>
          <w:szCs w:val="24"/>
        </w:rPr>
        <w:t>patient-</w:t>
      </w:r>
      <w:r w:rsidR="004671F5">
        <w:rPr>
          <w:rFonts w:ascii="Times Roman" w:hAnsi="Times Roman"/>
          <w:sz w:val="24"/>
          <w:szCs w:val="24"/>
        </w:rPr>
        <w:t>centere</w:t>
      </w:r>
      <w:r w:rsidR="004671F5">
        <w:rPr>
          <w:rFonts w:ascii="Times Roman" w:hAnsi="Times Roman" w:hint="eastAsia"/>
          <w:sz w:val="24"/>
          <w:szCs w:val="24"/>
        </w:rPr>
        <w:t>d</w:t>
      </w:r>
      <w:proofErr w:type="gramEnd"/>
      <w:r>
        <w:rPr>
          <w:rFonts w:ascii="Times Roman" w:hAnsi="Times Roman"/>
          <w:sz w:val="24"/>
          <w:szCs w:val="24"/>
        </w:rPr>
        <w:t>.</w:t>
      </w:r>
    </w:p>
    <w:p w14:paraId="142E70C0" w14:textId="77777777" w:rsidR="00C23EC5" w:rsidRDefault="00C23EC5">
      <w:pPr>
        <w:pStyle w:val="Body"/>
        <w:spacing w:line="360" w:lineRule="auto"/>
        <w:rPr>
          <w:rFonts w:ascii="Times Roman" w:eastAsia="Times Roman" w:hAnsi="Times Roman" w:cs="Times Roman"/>
          <w:sz w:val="24"/>
          <w:szCs w:val="24"/>
        </w:rPr>
      </w:pPr>
    </w:p>
    <w:p w14:paraId="54A82DA5" w14:textId="3A800204"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The key learning </w:t>
      </w:r>
      <w:r w:rsidR="004671F5">
        <w:rPr>
          <w:rFonts w:ascii="Times Roman" w:hAnsi="Times Roman"/>
          <w:sz w:val="24"/>
          <w:szCs w:val="24"/>
        </w:rPr>
        <w:t>centere</w:t>
      </w:r>
      <w:r w:rsidR="004671F5">
        <w:rPr>
          <w:rFonts w:ascii="Times Roman" w:hAnsi="Times Roman" w:hint="eastAsia"/>
          <w:sz w:val="24"/>
          <w:szCs w:val="24"/>
        </w:rPr>
        <w:t>d</w:t>
      </w:r>
      <w:r>
        <w:rPr>
          <w:rFonts w:ascii="Times Roman" w:hAnsi="Times Roman"/>
          <w:sz w:val="24"/>
          <w:szCs w:val="24"/>
        </w:rPr>
        <w:t xml:space="preserve"> on the operational and clinical implementation of clinician-supported triage. This involved understanding digital infrastructure requirements, clinician workflows, decision-making algorithms, and ethical concerns such as patient consent and data protection. My learning was underpinned by Kotter's (1996) 8-Step Model of Change, which provided a structured framework for introducing innovation in a high-stakes, time-sensitive environment. I also engaged with Gibbs' Reflective Cycle (1988) to process feedback, evaluate outcomes, and adapt future approaches.</w:t>
      </w:r>
    </w:p>
    <w:p w14:paraId="52EC001C" w14:textId="77777777" w:rsidR="00C23EC5" w:rsidRDefault="00C23EC5">
      <w:pPr>
        <w:pStyle w:val="Body"/>
        <w:spacing w:line="360" w:lineRule="auto"/>
        <w:rPr>
          <w:rFonts w:ascii="Times Roman" w:eastAsia="Times Roman" w:hAnsi="Times Roman" w:cs="Times Roman"/>
          <w:sz w:val="24"/>
          <w:szCs w:val="24"/>
        </w:rPr>
      </w:pPr>
    </w:p>
    <w:p w14:paraId="42CD24F6"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In addition to theoretical models, I developed practical competencies in leading cross-disciplinary workshops, developing protocols, and conducting post-implementation evaluations. This combination of theoretical understanding and operational capability constituted a significant expansion of my professional skill set.</w:t>
      </w:r>
    </w:p>
    <w:p w14:paraId="530FD5B2" w14:textId="77777777" w:rsidR="00C23EC5" w:rsidRDefault="00C23EC5">
      <w:pPr>
        <w:pStyle w:val="Body"/>
        <w:spacing w:line="360" w:lineRule="auto"/>
        <w:rPr>
          <w:rFonts w:ascii="Times Roman" w:eastAsia="Times Roman" w:hAnsi="Times Roman" w:cs="Times Roman"/>
          <w:sz w:val="24"/>
          <w:szCs w:val="24"/>
        </w:rPr>
      </w:pPr>
    </w:p>
    <w:p w14:paraId="2185EFD3"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Application of learning to </w:t>
      </w:r>
      <w:r>
        <w:rPr>
          <w:rFonts w:ascii="Times Roman" w:hAnsi="Times Roman"/>
          <w:sz w:val="24"/>
          <w:szCs w:val="24"/>
          <w:lang w:val="it-IT"/>
        </w:rPr>
        <w:t>Professional</w:t>
      </w:r>
      <w:r>
        <w:rPr>
          <w:rFonts w:ascii="Times Roman" w:hAnsi="Times Roman"/>
          <w:sz w:val="24"/>
          <w:szCs w:val="24"/>
        </w:rPr>
        <w:t xml:space="preserve"> Practice</w:t>
      </w:r>
    </w:p>
    <w:p w14:paraId="2A4E232E" w14:textId="62A98E4D"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lastRenderedPageBreak/>
        <w:t xml:space="preserve">The practical application of my learning was </w:t>
      </w:r>
      <w:proofErr w:type="spellStart"/>
      <w:r>
        <w:rPr>
          <w:rFonts w:ascii="Times Roman" w:hAnsi="Times Roman"/>
          <w:sz w:val="24"/>
          <w:szCs w:val="24"/>
        </w:rPr>
        <w:t>operationalised</w:t>
      </w:r>
      <w:proofErr w:type="spellEnd"/>
      <w:r>
        <w:rPr>
          <w:rFonts w:ascii="Times Roman" w:hAnsi="Times Roman"/>
          <w:sz w:val="24"/>
          <w:szCs w:val="24"/>
        </w:rPr>
        <w:t xml:space="preserve"> through the strategic piloting of a remote OOHCA desk </w:t>
      </w:r>
      <w:r w:rsidR="004671F5">
        <w:rPr>
          <w:rFonts w:ascii="Times Roman" w:hAnsi="Times Roman"/>
          <w:sz w:val="24"/>
          <w:szCs w:val="24"/>
        </w:rPr>
        <w:t>within EMSC</w:t>
      </w:r>
      <w:r>
        <w:rPr>
          <w:rFonts w:ascii="Times Roman" w:hAnsi="Times Roman"/>
          <w:sz w:val="24"/>
          <w:szCs w:val="24"/>
        </w:rPr>
        <w:t>, designed collaboratively with a multidisciplinary team comprising clinicians, dispatchers, and IT specialists. This initiative was underpinned by Kotter</w:t>
      </w:r>
      <w:r>
        <w:rPr>
          <w:rFonts w:ascii="Times Roman" w:hAnsi="Times Roman"/>
          <w:sz w:val="24"/>
          <w:szCs w:val="24"/>
          <w:rtl/>
        </w:rPr>
        <w:t>’</w:t>
      </w:r>
      <w:r>
        <w:rPr>
          <w:rFonts w:ascii="Times Roman" w:hAnsi="Times Roman"/>
          <w:sz w:val="24"/>
          <w:szCs w:val="24"/>
        </w:rPr>
        <w:t>s (1996) model of change, particularly the steps concerning coalition-building and short-term wins. In one critical instance, the deployment of live video enabled a remote clinician to rapidly differentiate agonal breathing from true cardiac arrest, prompting the initiation of chest compressions more than one minute earlier than would have occurred under conventional telephone triage protocols. This case exemplified how technological integration can enhance clinical decision-making in time-critical emergencies, supporting evidence from international studies which associate early intervention with improved survival outcomes in out-of-hospital cardiac arrest (</w:t>
      </w:r>
      <w:proofErr w:type="spellStart"/>
      <w:r>
        <w:rPr>
          <w:rFonts w:ascii="Times Roman" w:hAnsi="Times Roman"/>
          <w:sz w:val="24"/>
          <w:szCs w:val="24"/>
        </w:rPr>
        <w:t>Hasselqvist</w:t>
      </w:r>
      <w:proofErr w:type="spellEnd"/>
      <w:r>
        <w:rPr>
          <w:rFonts w:ascii="Times Roman" w:hAnsi="Times Roman"/>
          <w:sz w:val="24"/>
          <w:szCs w:val="24"/>
        </w:rPr>
        <w:t>-Ax et al., 2015; Perkins et al., 2015).</w:t>
      </w:r>
    </w:p>
    <w:p w14:paraId="12A87807" w14:textId="77777777" w:rsidR="00C23EC5" w:rsidRDefault="00C23EC5">
      <w:pPr>
        <w:pStyle w:val="Body"/>
        <w:spacing w:line="360" w:lineRule="auto"/>
        <w:rPr>
          <w:rFonts w:ascii="Times Roman" w:eastAsia="Times Roman" w:hAnsi="Times Roman" w:cs="Times Roman"/>
          <w:sz w:val="24"/>
          <w:szCs w:val="24"/>
        </w:rPr>
      </w:pPr>
    </w:p>
    <w:p w14:paraId="64114FA0"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In parallel, I have contributed to the training package for dispatchers to include high-fidelity simulation scenarios reflecting real-time video triage. Feedback gathered through post-scenario debriefs and anonymous surveys indicated a measurable increase in dispatcher confidence and perceived preparedness for high-stakes calls. To support ongoing professional growth and embed a culture of reflective practice, I implemented a structured debrief system grounded in Gibbs</w:t>
      </w:r>
      <w:r>
        <w:rPr>
          <w:rFonts w:ascii="Times Roman" w:hAnsi="Times Roman"/>
          <w:sz w:val="24"/>
          <w:szCs w:val="24"/>
          <w:rtl/>
        </w:rPr>
        <w:t xml:space="preserve">’ </w:t>
      </w:r>
      <w:r>
        <w:rPr>
          <w:rFonts w:ascii="Times Roman" w:hAnsi="Times Roman"/>
          <w:sz w:val="24"/>
          <w:szCs w:val="24"/>
        </w:rPr>
        <w:t>Reflective Cycle (1988), enabling dispatchers to critically reflect on their decision-making processes and identify areas for refinement. This approach aligns with Sch</w:t>
      </w:r>
      <w:r>
        <w:rPr>
          <w:rFonts w:ascii="Times Roman" w:hAnsi="Times Roman"/>
          <w:sz w:val="24"/>
          <w:szCs w:val="24"/>
          <w:lang w:val="sv-SE"/>
        </w:rPr>
        <w:t>ö</w:t>
      </w:r>
      <w:r>
        <w:rPr>
          <w:rFonts w:ascii="Times Roman" w:hAnsi="Times Roman"/>
          <w:sz w:val="24"/>
          <w:szCs w:val="24"/>
        </w:rPr>
        <w:t>n</w:t>
      </w:r>
      <w:r>
        <w:rPr>
          <w:rFonts w:ascii="Times Roman" w:hAnsi="Times Roman"/>
          <w:sz w:val="24"/>
          <w:szCs w:val="24"/>
          <w:rtl/>
        </w:rPr>
        <w:t>’</w:t>
      </w:r>
      <w:r>
        <w:rPr>
          <w:rFonts w:ascii="Times Roman" w:hAnsi="Times Roman"/>
          <w:sz w:val="24"/>
          <w:szCs w:val="24"/>
        </w:rPr>
        <w:t xml:space="preserve">s (1983) concept of the </w:t>
      </w:r>
      <w:r>
        <w:rPr>
          <w:rFonts w:ascii="Times Roman" w:hAnsi="Times Roman"/>
          <w:sz w:val="24"/>
          <w:szCs w:val="24"/>
          <w:rtl/>
          <w:lang w:val="ar-SA"/>
        </w:rPr>
        <w:t>“</w:t>
      </w:r>
      <w:r>
        <w:rPr>
          <w:rFonts w:ascii="Times Roman" w:hAnsi="Times Roman"/>
          <w:sz w:val="24"/>
          <w:szCs w:val="24"/>
        </w:rPr>
        <w:t>reflective practitioner,” ensuring that experiential learning is consciously analysed and reintegrated into practice. The combination of simulation, reflection, and real-world application has thus fostered both technical proficiency and a resilient, adaptive team culture.</w:t>
      </w:r>
    </w:p>
    <w:p w14:paraId="072897FA" w14:textId="77777777" w:rsidR="00C23EC5" w:rsidRDefault="00C23EC5">
      <w:pPr>
        <w:pStyle w:val="Body"/>
        <w:spacing w:line="360" w:lineRule="auto"/>
        <w:rPr>
          <w:rFonts w:ascii="Times Roman" w:eastAsia="Times Roman" w:hAnsi="Times Roman" w:cs="Times Roman"/>
          <w:sz w:val="24"/>
          <w:szCs w:val="24"/>
        </w:rPr>
      </w:pPr>
    </w:p>
    <w:p w14:paraId="3B5B060C"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Impact on Individual Performance</w:t>
      </w:r>
    </w:p>
    <w:p w14:paraId="2E03C4FD"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The application of this learning has significantly enhanced my decision-making, leadership, and technological proficiency. It has also contributed to my professional development of delivering Trust wide packages of innovation and change.</w:t>
      </w:r>
    </w:p>
    <w:p w14:paraId="61A8F473" w14:textId="77777777" w:rsidR="00C23EC5" w:rsidRDefault="00C23EC5">
      <w:pPr>
        <w:pStyle w:val="Body"/>
        <w:spacing w:line="360" w:lineRule="auto"/>
        <w:rPr>
          <w:rFonts w:ascii="Times Roman" w:eastAsia="Times Roman" w:hAnsi="Times Roman" w:cs="Times Roman"/>
          <w:sz w:val="24"/>
          <w:szCs w:val="24"/>
        </w:rPr>
      </w:pPr>
    </w:p>
    <w:p w14:paraId="29B6D81D"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I have become more adapt at time management and process management, risk stratification, project planning and inter department co-ordination and supporting less experienced staff through real-time mentoring. My confidence in leading change initiatives has grown, as has my ability to navigate resistance and foster collaboration across disciplines.</w:t>
      </w:r>
    </w:p>
    <w:p w14:paraId="668D9F6F" w14:textId="77777777" w:rsidR="00C23EC5" w:rsidRDefault="00C23EC5">
      <w:pPr>
        <w:pStyle w:val="Body"/>
        <w:spacing w:line="360" w:lineRule="auto"/>
        <w:rPr>
          <w:rFonts w:ascii="Times Roman" w:eastAsia="Times Roman" w:hAnsi="Times Roman" w:cs="Times Roman"/>
          <w:sz w:val="24"/>
          <w:szCs w:val="24"/>
        </w:rPr>
      </w:pPr>
    </w:p>
    <w:p w14:paraId="622A496D" w14:textId="5AE22586"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lastRenderedPageBreak/>
        <w:t>In terms of cognitive development, I have refined my ability to critically evaluate information under pressure, which aligns with Cottrell</w:t>
      </w:r>
      <w:r>
        <w:rPr>
          <w:rFonts w:ascii="Times Roman" w:hAnsi="Times Roman"/>
          <w:sz w:val="24"/>
          <w:szCs w:val="24"/>
          <w:rtl/>
        </w:rPr>
        <w:t>’</w:t>
      </w:r>
      <w:r>
        <w:rPr>
          <w:rFonts w:ascii="Times Roman" w:hAnsi="Times Roman"/>
          <w:sz w:val="24"/>
          <w:szCs w:val="24"/>
        </w:rPr>
        <w:t xml:space="preserve">s (2017) assertion that </w:t>
      </w:r>
      <w:r>
        <w:rPr>
          <w:rFonts w:ascii="Times Roman" w:hAnsi="Times Roman"/>
          <w:sz w:val="24"/>
          <w:szCs w:val="24"/>
          <w:rtl/>
          <w:lang w:val="ar-SA"/>
        </w:rPr>
        <w:t>“</w:t>
      </w:r>
      <w:r>
        <w:rPr>
          <w:rFonts w:ascii="Times Roman" w:hAnsi="Times Roman"/>
          <w:sz w:val="24"/>
          <w:szCs w:val="24"/>
        </w:rPr>
        <w:t>critical thinking is about being active in your learning, not just receiving information, but examining and questioning it” (p. 3). This mindset has allowed me to challenge assumptions during real-time clinical decision-making and support evidence-based changes to triage protocols.</w:t>
      </w:r>
      <w:r w:rsidR="004671F5">
        <w:rPr>
          <w:rFonts w:ascii="Times Roman" w:hAnsi="Times Roman"/>
          <w:sz w:val="24"/>
          <w:szCs w:val="24"/>
        </w:rPr>
        <w:t xml:space="preserve"> </w:t>
      </w:r>
      <w:r>
        <w:rPr>
          <w:rFonts w:ascii="Times Roman" w:hAnsi="Times Roman"/>
          <w:sz w:val="24"/>
          <w:szCs w:val="24"/>
        </w:rPr>
        <w:t>Like wise</w:t>
      </w:r>
      <w:r>
        <w:rPr>
          <w:rFonts w:ascii="Times Roman" w:hAnsi="Times Roman"/>
          <w:sz w:val="24"/>
          <w:szCs w:val="24"/>
          <w:lang w:val="nl-NL"/>
        </w:rPr>
        <w:t xml:space="preserve">, </w:t>
      </w:r>
      <w:r w:rsidR="004671F5">
        <w:rPr>
          <w:rFonts w:ascii="Times Roman" w:hAnsi="Times Roman"/>
          <w:sz w:val="24"/>
          <w:szCs w:val="24"/>
          <w:lang w:val="nl-NL"/>
        </w:rPr>
        <w:t>V</w:t>
      </w:r>
      <w:r>
        <w:rPr>
          <w:rFonts w:ascii="Times Roman" w:hAnsi="Times Roman"/>
          <w:sz w:val="24"/>
          <w:szCs w:val="24"/>
          <w:lang w:val="nl-NL"/>
        </w:rPr>
        <w:t>an den Brink-</w:t>
      </w:r>
      <w:proofErr w:type="spellStart"/>
      <w:r>
        <w:rPr>
          <w:rFonts w:ascii="Times Roman" w:hAnsi="Times Roman"/>
          <w:sz w:val="24"/>
          <w:szCs w:val="24"/>
          <w:lang w:val="nl-NL"/>
        </w:rPr>
        <w:t>Budgen</w:t>
      </w:r>
      <w:proofErr w:type="spellEnd"/>
      <w:r>
        <w:rPr>
          <w:rFonts w:ascii="Times Roman" w:hAnsi="Times Roman"/>
          <w:sz w:val="24"/>
          <w:szCs w:val="24"/>
          <w:lang w:val="nl-NL"/>
        </w:rPr>
        <w:t xml:space="preserve"> (20</w:t>
      </w:r>
      <w:r>
        <w:rPr>
          <w:rFonts w:ascii="Times Roman" w:hAnsi="Times Roman"/>
          <w:sz w:val="24"/>
          <w:szCs w:val="24"/>
        </w:rPr>
        <w:t xml:space="preserve">00) reinforces the necessity of such skills, stating, </w:t>
      </w:r>
      <w:r>
        <w:rPr>
          <w:rFonts w:ascii="Times Roman" w:hAnsi="Times Roman"/>
          <w:sz w:val="24"/>
          <w:szCs w:val="24"/>
          <w:rtl/>
          <w:lang w:val="ar-SA"/>
        </w:rPr>
        <w:t>“</w:t>
      </w:r>
      <w:r>
        <w:rPr>
          <w:rFonts w:ascii="Times Roman" w:hAnsi="Times Roman"/>
          <w:sz w:val="24"/>
          <w:szCs w:val="24"/>
        </w:rPr>
        <w:t xml:space="preserve">critical thinking enables professionals to </w:t>
      </w:r>
      <w:proofErr w:type="spellStart"/>
      <w:r w:rsidR="004671F5">
        <w:rPr>
          <w:rFonts w:ascii="Times Roman" w:hAnsi="Times Roman"/>
          <w:sz w:val="24"/>
          <w:szCs w:val="24"/>
        </w:rPr>
        <w:t>analise</w:t>
      </w:r>
      <w:proofErr w:type="spellEnd"/>
      <w:r>
        <w:rPr>
          <w:rFonts w:ascii="Times Roman" w:hAnsi="Times Roman"/>
          <w:sz w:val="24"/>
          <w:szCs w:val="24"/>
        </w:rPr>
        <w:t xml:space="preserve"> the assumptions behind their choices and challenge conventional approaches, which is vital in dynamic environments like healthcare” (p. 12). This mindset has allowed me to challenge assumptions during real-time clinical decision-making and support evidence-based changes to triage protocols.</w:t>
      </w:r>
    </w:p>
    <w:p w14:paraId="0B4FCE37" w14:textId="77777777" w:rsidR="00C23EC5" w:rsidRDefault="00C23EC5">
      <w:pPr>
        <w:pStyle w:val="Body"/>
        <w:spacing w:line="360" w:lineRule="auto"/>
        <w:rPr>
          <w:rFonts w:ascii="Times Roman" w:eastAsia="Times Roman" w:hAnsi="Times Roman" w:cs="Times Roman"/>
          <w:sz w:val="24"/>
          <w:szCs w:val="24"/>
        </w:rPr>
      </w:pPr>
    </w:p>
    <w:p w14:paraId="0FA6D1E0"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Contribution to Organisational Objectives</w:t>
      </w:r>
    </w:p>
    <w:p w14:paraId="0DCE3334" w14:textId="00CF8A79"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The OOHCA desk triage pilot may contribute measurable improvements in OHCA response efficiency and patient outcomes. Those internal audits are yet to take place but will focus on </w:t>
      </w:r>
      <w:proofErr w:type="gramStart"/>
      <w:r>
        <w:rPr>
          <w:rFonts w:ascii="Times Roman" w:hAnsi="Times Roman"/>
          <w:sz w:val="24"/>
          <w:szCs w:val="24"/>
        </w:rPr>
        <w:t>a number of</w:t>
      </w:r>
      <w:proofErr w:type="gramEnd"/>
      <w:r>
        <w:rPr>
          <w:rFonts w:ascii="Times Roman" w:hAnsi="Times Roman"/>
          <w:sz w:val="24"/>
          <w:szCs w:val="24"/>
        </w:rPr>
        <w:t xml:space="preserve"> identified data points across the chain of survival and link in with data sets from NHS Wales on </w:t>
      </w:r>
      <w:proofErr w:type="gramStart"/>
      <w:r>
        <w:rPr>
          <w:rFonts w:ascii="Times Roman" w:hAnsi="Times Roman"/>
          <w:sz w:val="24"/>
          <w:szCs w:val="24"/>
        </w:rPr>
        <w:t>30 and 90 day</w:t>
      </w:r>
      <w:proofErr w:type="gramEnd"/>
      <w:r>
        <w:rPr>
          <w:rFonts w:ascii="Times Roman" w:hAnsi="Times Roman"/>
          <w:sz w:val="24"/>
          <w:szCs w:val="24"/>
        </w:rPr>
        <w:t xml:space="preserve"> mortality.  These outcomes support </w:t>
      </w:r>
      <w:r w:rsidR="004671F5">
        <w:rPr>
          <w:rFonts w:ascii="Times Roman" w:hAnsi="Times Roman"/>
          <w:sz w:val="24"/>
          <w:szCs w:val="24"/>
        </w:rPr>
        <w:t>organisational</w:t>
      </w:r>
      <w:r>
        <w:rPr>
          <w:rFonts w:ascii="Times Roman" w:hAnsi="Times Roman"/>
          <w:sz w:val="24"/>
          <w:szCs w:val="24"/>
        </w:rPr>
        <w:t xml:space="preserve"> aims aligned with the NHS Long Term Plan (2019), including improved cardiac arrest survival and digital transformation of urgent care, together with the alignment of digital data sets across the whole of NHS Wales to have a seamless journey for primary and secondary healthcare but also more importantly for the patient. </w:t>
      </w:r>
    </w:p>
    <w:p w14:paraId="3A8F078A" w14:textId="77777777" w:rsidR="00C23EC5" w:rsidRDefault="00C23EC5">
      <w:pPr>
        <w:pStyle w:val="Body"/>
        <w:spacing w:line="360" w:lineRule="auto"/>
        <w:rPr>
          <w:rFonts w:ascii="Times Roman" w:eastAsia="Times Roman" w:hAnsi="Times Roman" w:cs="Times Roman"/>
          <w:sz w:val="24"/>
          <w:szCs w:val="24"/>
        </w:rPr>
      </w:pPr>
    </w:p>
    <w:p w14:paraId="1C211513"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My learning also enabled the </w:t>
      </w:r>
      <w:proofErr w:type="spellStart"/>
      <w:r>
        <w:rPr>
          <w:rFonts w:ascii="Times Roman" w:hAnsi="Times Roman"/>
          <w:sz w:val="24"/>
          <w:szCs w:val="24"/>
        </w:rPr>
        <w:t>organisation</w:t>
      </w:r>
      <w:proofErr w:type="spellEnd"/>
      <w:r>
        <w:rPr>
          <w:rFonts w:ascii="Times Roman" w:hAnsi="Times Roman"/>
          <w:sz w:val="24"/>
          <w:szCs w:val="24"/>
        </w:rPr>
        <w:t xml:space="preserve"> to develop a replicable model of change. Using Kotter's (1996) framework, we identified and engaged internal and externals stakeholders early, created urgency through data sharing, and built coalitions for change. </w:t>
      </w:r>
    </w:p>
    <w:p w14:paraId="3C322882"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The project's visibility and early successes functioned as "short-term wins" that helped embed new practices (Kotter, 1996). To complement Kotter</w:t>
      </w:r>
      <w:r>
        <w:rPr>
          <w:rFonts w:ascii="Times Roman" w:hAnsi="Times Roman"/>
          <w:sz w:val="24"/>
          <w:szCs w:val="24"/>
          <w:rtl/>
        </w:rPr>
        <w:t>’</w:t>
      </w:r>
      <w:r>
        <w:rPr>
          <w:rFonts w:ascii="Times Roman" w:hAnsi="Times Roman"/>
          <w:sz w:val="24"/>
          <w:szCs w:val="24"/>
        </w:rPr>
        <w:t>s model, elements of Lewin</w:t>
      </w:r>
      <w:r>
        <w:rPr>
          <w:rFonts w:ascii="Times Roman" w:hAnsi="Times Roman"/>
          <w:sz w:val="24"/>
          <w:szCs w:val="24"/>
          <w:rtl/>
        </w:rPr>
        <w:t>’</w:t>
      </w:r>
      <w:r>
        <w:rPr>
          <w:rFonts w:ascii="Times Roman" w:hAnsi="Times Roman"/>
          <w:sz w:val="24"/>
          <w:szCs w:val="24"/>
        </w:rPr>
        <w:t>s Change Theory were also evident. Lewin (1947) described change as a three-stage process: unfreezing, changing, and refreezing. Our organisational environment underwent an unfreezing stage through presentation of poor OHCA outcomes, followed by the implementation of the OOHCA desk (change), and the integration of new training and protocols as part of business-as-usual (refreezing). This combined approach reinforced the sustainability of the initiative.</w:t>
      </w:r>
    </w:p>
    <w:p w14:paraId="6B48DC50" w14:textId="77777777" w:rsidR="00C23EC5" w:rsidRDefault="00C23EC5">
      <w:pPr>
        <w:pStyle w:val="Body"/>
        <w:spacing w:line="360" w:lineRule="auto"/>
        <w:rPr>
          <w:rFonts w:ascii="Times Roman" w:eastAsia="Times Roman" w:hAnsi="Times Roman" w:cs="Times Roman"/>
          <w:sz w:val="24"/>
          <w:szCs w:val="24"/>
        </w:rPr>
      </w:pPr>
    </w:p>
    <w:p w14:paraId="6538E824" w14:textId="4778E9E6"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Clear strategic intentions convey the organisations</w:t>
      </w:r>
      <w:r>
        <w:rPr>
          <w:rFonts w:ascii="Times Roman" w:hAnsi="Times Roman"/>
          <w:sz w:val="24"/>
          <w:szCs w:val="24"/>
          <w:rtl/>
        </w:rPr>
        <w:t xml:space="preserve">’ </w:t>
      </w:r>
      <w:r>
        <w:rPr>
          <w:rFonts w:ascii="Times Roman" w:hAnsi="Times Roman"/>
          <w:sz w:val="24"/>
          <w:szCs w:val="24"/>
        </w:rPr>
        <w:t xml:space="preserve">purpose and make it clear how everyone can contribute (Denison, Nieminen and Kotrba, 2012).   learning also enabled me to ensure that there </w:t>
      </w:r>
      <w:r>
        <w:rPr>
          <w:rFonts w:ascii="Times Roman" w:hAnsi="Times Roman"/>
          <w:sz w:val="24"/>
          <w:szCs w:val="24"/>
        </w:rPr>
        <w:lastRenderedPageBreak/>
        <w:t xml:space="preserve">was a cohesive approach to delivery through the many stakeholders but positive </w:t>
      </w:r>
      <w:proofErr w:type="gramStart"/>
      <w:r>
        <w:rPr>
          <w:rFonts w:ascii="Times Roman" w:hAnsi="Times Roman"/>
          <w:sz w:val="24"/>
          <w:szCs w:val="24"/>
        </w:rPr>
        <w:t>engagement  and</w:t>
      </w:r>
      <w:proofErr w:type="gramEnd"/>
      <w:r>
        <w:rPr>
          <w:rFonts w:ascii="Times Roman" w:hAnsi="Times Roman"/>
          <w:sz w:val="24"/>
          <w:szCs w:val="24"/>
        </w:rPr>
        <w:t xml:space="preserve"> </w:t>
      </w:r>
      <w:r w:rsidR="004671F5">
        <w:rPr>
          <w:rFonts w:ascii="Times Roman" w:hAnsi="Times Roman"/>
          <w:sz w:val="24"/>
          <w:szCs w:val="24"/>
        </w:rPr>
        <w:t>reinforcement</w:t>
      </w:r>
      <w:r>
        <w:rPr>
          <w:rFonts w:ascii="Times Roman" w:hAnsi="Times Roman"/>
          <w:sz w:val="24"/>
          <w:szCs w:val="24"/>
        </w:rPr>
        <w:t xml:space="preserve"> of the strategy</w:t>
      </w:r>
    </w:p>
    <w:p w14:paraId="532E8950" w14:textId="77777777" w:rsidR="00C23EC5" w:rsidRDefault="00C23EC5">
      <w:pPr>
        <w:pStyle w:val="Body"/>
        <w:spacing w:line="360" w:lineRule="auto"/>
        <w:rPr>
          <w:rFonts w:ascii="Times Roman" w:eastAsia="Times Roman" w:hAnsi="Times Roman" w:cs="Times Roman"/>
          <w:sz w:val="24"/>
          <w:szCs w:val="24"/>
        </w:rPr>
      </w:pPr>
    </w:p>
    <w:p w14:paraId="3B56B2E8"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This project also aligned with the NHS</w:t>
      </w:r>
      <w:r>
        <w:rPr>
          <w:rFonts w:ascii="Times Roman" w:hAnsi="Times Roman"/>
          <w:sz w:val="24"/>
          <w:szCs w:val="24"/>
          <w:rtl/>
        </w:rPr>
        <w:t>’</w:t>
      </w:r>
      <w:r>
        <w:rPr>
          <w:rFonts w:ascii="Times Roman" w:hAnsi="Times Roman"/>
          <w:sz w:val="24"/>
          <w:szCs w:val="24"/>
        </w:rPr>
        <w:t>s Organisational Health and Sustainability (OHS) model of transformational change, which emphasises culture, leadership, and system-wide thinking (NHS Institute for Innovation and Improvement, 2008). The multidisciplinary engagement, reflective learning, and scalability of the intervention illustrate how learning can contribute directly to transformational outcomes.</w:t>
      </w:r>
    </w:p>
    <w:p w14:paraId="081A36E4" w14:textId="3B20C889"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Furthermore, this learning allowed the </w:t>
      </w:r>
      <w:proofErr w:type="spellStart"/>
      <w:r>
        <w:rPr>
          <w:rFonts w:ascii="Times Roman" w:hAnsi="Times Roman"/>
          <w:sz w:val="24"/>
          <w:szCs w:val="24"/>
        </w:rPr>
        <w:t>organisation</w:t>
      </w:r>
      <w:proofErr w:type="spellEnd"/>
      <w:r>
        <w:rPr>
          <w:rFonts w:ascii="Times Roman" w:hAnsi="Times Roman"/>
          <w:sz w:val="24"/>
          <w:szCs w:val="24"/>
        </w:rPr>
        <w:t xml:space="preserve"> to meet policy imperatives beyond immediate clinical metrics. For example, the Welsh Government out of hospital cardiac arrest plan (Welsh </w:t>
      </w:r>
      <w:proofErr w:type="gramStart"/>
      <w:r>
        <w:rPr>
          <w:rFonts w:ascii="Times Roman" w:hAnsi="Times Roman"/>
          <w:sz w:val="24"/>
          <w:szCs w:val="24"/>
        </w:rPr>
        <w:t>Government ,</w:t>
      </w:r>
      <w:proofErr w:type="gramEnd"/>
      <w:r>
        <w:rPr>
          <w:rFonts w:ascii="Times Roman" w:hAnsi="Times Roman"/>
          <w:sz w:val="24"/>
          <w:szCs w:val="24"/>
        </w:rPr>
        <w:t xml:space="preserve"> 2017) calls for systems-based approaches to improve survival. By embedding clinician-led triage within control room operations, the project addressed these wider system goals and established a framework for replication in other critical incident pathways that are already embedded such as major trauma. </w:t>
      </w:r>
    </w:p>
    <w:p w14:paraId="70B87CAD" w14:textId="77777777" w:rsidR="00C23EC5" w:rsidRDefault="00C23EC5">
      <w:pPr>
        <w:pStyle w:val="Body"/>
        <w:spacing w:line="360" w:lineRule="auto"/>
        <w:rPr>
          <w:rFonts w:ascii="Times Roman" w:eastAsia="Times Roman" w:hAnsi="Times Roman" w:cs="Times Roman"/>
          <w:sz w:val="24"/>
          <w:szCs w:val="24"/>
        </w:rPr>
      </w:pPr>
    </w:p>
    <w:p w14:paraId="7093ED5C"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It contributed well to our own publish integrated </w:t>
      </w:r>
      <w:proofErr w:type="gramStart"/>
      <w:r>
        <w:rPr>
          <w:rFonts w:ascii="Times Roman" w:hAnsi="Times Roman"/>
          <w:sz w:val="24"/>
          <w:szCs w:val="24"/>
        </w:rPr>
        <w:t>medium term</w:t>
      </w:r>
      <w:proofErr w:type="gramEnd"/>
      <w:r>
        <w:rPr>
          <w:rFonts w:ascii="Times Roman" w:hAnsi="Times Roman"/>
          <w:sz w:val="24"/>
          <w:szCs w:val="24"/>
        </w:rPr>
        <w:t xml:space="preserve"> plan (IMTP) when looking at increasing the number of calls that can be managed by video or phone, together with technological priorities relating to improved communication to get the right service as quickly as the patient needs it. (Welsh Ambulance Services University NHS Trust, 2023)</w:t>
      </w:r>
    </w:p>
    <w:p w14:paraId="7605CDA4" w14:textId="0311196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In summary, the initiative demonstrates how individual learning, when strategically aligned and informed by structured change models, can translate into systemic </w:t>
      </w:r>
      <w:r w:rsidR="004671F5">
        <w:rPr>
          <w:rFonts w:ascii="Times Roman" w:hAnsi="Times Roman"/>
          <w:sz w:val="24"/>
          <w:szCs w:val="24"/>
        </w:rPr>
        <w:t>organisational</w:t>
      </w:r>
      <w:r>
        <w:rPr>
          <w:rFonts w:ascii="Times Roman" w:hAnsi="Times Roman"/>
          <w:sz w:val="24"/>
          <w:szCs w:val="24"/>
        </w:rPr>
        <w:t xml:space="preserve"> gains that are sustainable, measurable, and </w:t>
      </w:r>
      <w:proofErr w:type="gramStart"/>
      <w:r>
        <w:rPr>
          <w:rFonts w:ascii="Times Roman" w:hAnsi="Times Roman"/>
          <w:sz w:val="24"/>
          <w:szCs w:val="24"/>
        </w:rPr>
        <w:t>policy-compliant</w:t>
      </w:r>
      <w:proofErr w:type="gramEnd"/>
      <w:r>
        <w:rPr>
          <w:rFonts w:ascii="Times Roman" w:hAnsi="Times Roman"/>
          <w:sz w:val="24"/>
          <w:szCs w:val="24"/>
        </w:rPr>
        <w:t>.</w:t>
      </w:r>
    </w:p>
    <w:p w14:paraId="57AF0A15" w14:textId="77777777" w:rsidR="00C23EC5" w:rsidRDefault="00C23EC5">
      <w:pPr>
        <w:pStyle w:val="Body"/>
        <w:spacing w:line="360" w:lineRule="auto"/>
        <w:rPr>
          <w:rFonts w:ascii="Times Roman" w:eastAsia="Times Roman" w:hAnsi="Times Roman" w:cs="Times Roman"/>
          <w:sz w:val="24"/>
          <w:szCs w:val="24"/>
        </w:rPr>
      </w:pPr>
    </w:p>
    <w:p w14:paraId="7122AB0E" w14:textId="77777777" w:rsidR="00C23EC5" w:rsidRDefault="00C23EC5">
      <w:pPr>
        <w:pStyle w:val="Body"/>
        <w:spacing w:line="360" w:lineRule="auto"/>
        <w:rPr>
          <w:rFonts w:ascii="Times Roman" w:eastAsia="Times Roman" w:hAnsi="Times Roman" w:cs="Times Roman"/>
          <w:sz w:val="24"/>
          <w:szCs w:val="24"/>
        </w:rPr>
      </w:pPr>
    </w:p>
    <w:p w14:paraId="5A0939B6"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Critical reflection using Gibbs Model</w:t>
      </w:r>
    </w:p>
    <w:p w14:paraId="2EF7DE40" w14:textId="77777777" w:rsidR="00C23EC5" w:rsidRDefault="00C23EC5">
      <w:pPr>
        <w:pStyle w:val="Body"/>
        <w:spacing w:line="360" w:lineRule="auto"/>
        <w:rPr>
          <w:rFonts w:ascii="Times Roman" w:eastAsia="Times Roman" w:hAnsi="Times Roman" w:cs="Times Roman"/>
          <w:sz w:val="24"/>
          <w:szCs w:val="24"/>
        </w:rPr>
      </w:pPr>
    </w:p>
    <w:p w14:paraId="7615FCA3"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Gibbs’ model encourages professionals to reflect systematically on experience, assisting to identify what worked, what didn’t and why. It has been used widely in healthcare since the inception of health care professional registration and is the natural go to model for most to use. </w:t>
      </w:r>
    </w:p>
    <w:p w14:paraId="4489ECAE"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It prompts individuals to consider also the emotional response to change and supports emotional regulation which is essential for leading teams and personal development. </w:t>
      </w:r>
    </w:p>
    <w:p w14:paraId="7A49A59A" w14:textId="77777777" w:rsidR="00C23EC5" w:rsidRDefault="00C23EC5">
      <w:pPr>
        <w:pStyle w:val="Body"/>
        <w:spacing w:line="360" w:lineRule="auto"/>
        <w:rPr>
          <w:rFonts w:ascii="Times Roman" w:eastAsia="Times Roman" w:hAnsi="Times Roman" w:cs="Times Roman"/>
          <w:sz w:val="24"/>
          <w:szCs w:val="24"/>
        </w:rPr>
      </w:pPr>
    </w:p>
    <w:p w14:paraId="7662EF57" w14:textId="77777777" w:rsidR="00C23EC5" w:rsidRDefault="00C23EC5">
      <w:pPr>
        <w:pStyle w:val="Body"/>
        <w:spacing w:line="360" w:lineRule="auto"/>
        <w:rPr>
          <w:rFonts w:ascii="Times Roman" w:eastAsia="Times Roman" w:hAnsi="Times Roman" w:cs="Times Roman"/>
          <w:sz w:val="24"/>
          <w:szCs w:val="24"/>
        </w:rPr>
      </w:pPr>
    </w:p>
    <w:p w14:paraId="4C84DA1C"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Description</w:t>
      </w:r>
    </w:p>
    <w:p w14:paraId="580F6E2A" w14:textId="77777777" w:rsidR="004671F5" w:rsidRDefault="00000000">
      <w:pPr>
        <w:pStyle w:val="Body"/>
        <w:spacing w:line="360" w:lineRule="auto"/>
        <w:rPr>
          <w:rFonts w:ascii="Times Roman" w:hAnsi="Times Roman"/>
          <w:sz w:val="24"/>
          <w:szCs w:val="24"/>
        </w:rPr>
      </w:pPr>
      <w:r>
        <w:rPr>
          <w:rFonts w:ascii="Times Roman" w:hAnsi="Times Roman"/>
          <w:sz w:val="24"/>
          <w:szCs w:val="24"/>
          <w:lang w:val="pt-PT"/>
        </w:rPr>
        <w:lastRenderedPageBreak/>
        <w:t xml:space="preserve">As </w:t>
      </w:r>
      <w:r>
        <w:rPr>
          <w:rFonts w:ascii="Times Roman" w:hAnsi="Times Roman"/>
          <w:sz w:val="24"/>
          <w:szCs w:val="24"/>
        </w:rPr>
        <w:t xml:space="preserve">one of the leads looking to improve OOHCA outcomes, I was involved in leading a change initiative to introduce a remote OOHCA Desk </w:t>
      </w:r>
      <w:proofErr w:type="gramStart"/>
      <w:r>
        <w:rPr>
          <w:rFonts w:ascii="Times Roman" w:hAnsi="Times Roman"/>
          <w:sz w:val="24"/>
          <w:szCs w:val="24"/>
        </w:rPr>
        <w:t>within  EMCS</w:t>
      </w:r>
      <w:proofErr w:type="gramEnd"/>
      <w:r>
        <w:rPr>
          <w:rFonts w:ascii="Times Roman" w:hAnsi="Times Roman"/>
          <w:sz w:val="24"/>
          <w:szCs w:val="24"/>
        </w:rPr>
        <w:t xml:space="preserve">. A key component of this initiative was engaging multiple stakeholders—clinicians, dispatchers, operational leads, and IT professionals—in the design and implementation process. The aim was to ensure not only technical functionality but also clinical credibility, operational alignment, and user engagement. The change </w:t>
      </w:r>
    </w:p>
    <w:p w14:paraId="63DA8403" w14:textId="77777777" w:rsidR="004671F5" w:rsidRDefault="004671F5">
      <w:pPr>
        <w:pStyle w:val="Body"/>
        <w:spacing w:line="360" w:lineRule="auto"/>
        <w:rPr>
          <w:rFonts w:ascii="Times Roman" w:hAnsi="Times Roman"/>
          <w:sz w:val="24"/>
          <w:szCs w:val="24"/>
        </w:rPr>
      </w:pPr>
    </w:p>
    <w:p w14:paraId="1FB0479B" w14:textId="630221E0"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management strategy </w:t>
      </w:r>
      <w:proofErr w:type="spellStart"/>
      <w:r>
        <w:rPr>
          <w:rFonts w:ascii="Times Roman" w:hAnsi="Times Roman"/>
          <w:sz w:val="24"/>
          <w:szCs w:val="24"/>
        </w:rPr>
        <w:t>utilised</w:t>
      </w:r>
      <w:proofErr w:type="spellEnd"/>
      <w:r>
        <w:rPr>
          <w:rFonts w:ascii="Times Roman" w:hAnsi="Times Roman"/>
          <w:sz w:val="24"/>
          <w:szCs w:val="24"/>
        </w:rPr>
        <w:t xml:space="preserve"> Kotter</w:t>
      </w:r>
      <w:r>
        <w:rPr>
          <w:rFonts w:ascii="Times Roman" w:hAnsi="Times Roman"/>
          <w:sz w:val="24"/>
          <w:szCs w:val="24"/>
          <w:rtl/>
        </w:rPr>
        <w:t>’</w:t>
      </w:r>
      <w:r>
        <w:rPr>
          <w:rFonts w:ascii="Times Roman" w:hAnsi="Times Roman"/>
          <w:sz w:val="24"/>
          <w:szCs w:val="24"/>
        </w:rPr>
        <w:t>s 8-Step Model to structure delivery, with stakeholder engagement forming a continuous thread throughout.</w:t>
      </w:r>
    </w:p>
    <w:p w14:paraId="48B7BA35" w14:textId="77777777" w:rsidR="00C23EC5" w:rsidRDefault="00C23EC5">
      <w:pPr>
        <w:pStyle w:val="Body"/>
        <w:spacing w:line="360" w:lineRule="auto"/>
        <w:rPr>
          <w:rFonts w:ascii="Times Roman" w:eastAsia="Times Roman" w:hAnsi="Times Roman" w:cs="Times Roman"/>
          <w:sz w:val="24"/>
          <w:szCs w:val="24"/>
        </w:rPr>
      </w:pPr>
    </w:p>
    <w:p w14:paraId="4B6F663C"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Feelings</w:t>
      </w:r>
    </w:p>
    <w:p w14:paraId="0BB1E39E"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At the outset of the project, I experienced a mixture of anticipation and apprehension. I </w:t>
      </w:r>
      <w:proofErr w:type="spellStart"/>
      <w:r>
        <w:rPr>
          <w:rFonts w:ascii="Times Roman" w:hAnsi="Times Roman"/>
          <w:sz w:val="24"/>
          <w:szCs w:val="24"/>
        </w:rPr>
        <w:t>recognised</w:t>
      </w:r>
      <w:proofErr w:type="spellEnd"/>
      <w:r>
        <w:rPr>
          <w:rFonts w:ascii="Times Roman" w:hAnsi="Times Roman"/>
          <w:sz w:val="24"/>
          <w:szCs w:val="24"/>
        </w:rPr>
        <w:t xml:space="preserve"> the potential impact of introducing the OOHCA desk on patient outcomes but felt uncertain about how to navigate the complexity of change across multiple professional groups. My prior experience had equipped me with clinical and operational insight, but I lacked confidence in leading transformational change on this scale. There were underlying anxieties about whether the innovation would be accepted, how resistance would manifest, and whether I had the leadership capacity to influence beyond my immediate team.</w:t>
      </w:r>
    </w:p>
    <w:p w14:paraId="4275D361" w14:textId="77777777" w:rsidR="00C23EC5" w:rsidRDefault="00C23EC5">
      <w:pPr>
        <w:pStyle w:val="Body"/>
        <w:spacing w:line="360" w:lineRule="auto"/>
        <w:rPr>
          <w:rFonts w:ascii="Times Roman" w:eastAsia="Times Roman" w:hAnsi="Times Roman" w:cs="Times Roman"/>
          <w:sz w:val="24"/>
          <w:szCs w:val="24"/>
        </w:rPr>
      </w:pPr>
    </w:p>
    <w:p w14:paraId="3D3B05CF"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In hindsight, earlier and deeper engagement with Kotter</w:t>
      </w:r>
      <w:r>
        <w:rPr>
          <w:rFonts w:ascii="Times Roman" w:hAnsi="Times Roman"/>
          <w:sz w:val="24"/>
          <w:szCs w:val="24"/>
          <w:rtl/>
        </w:rPr>
        <w:t>’</w:t>
      </w:r>
      <w:r>
        <w:rPr>
          <w:rFonts w:ascii="Times Roman" w:hAnsi="Times Roman"/>
          <w:sz w:val="24"/>
          <w:szCs w:val="24"/>
        </w:rPr>
        <w:t>s 8-Step Change Model (Kotter, 1996) could have provided a more structured emotional and strategic foundation. For example, Kotter</w:t>
      </w:r>
      <w:r>
        <w:rPr>
          <w:rFonts w:ascii="Times Roman" w:hAnsi="Times Roman"/>
          <w:sz w:val="24"/>
          <w:szCs w:val="24"/>
          <w:rtl/>
        </w:rPr>
        <w:t>’</w:t>
      </w:r>
      <w:r>
        <w:rPr>
          <w:rFonts w:ascii="Times Roman" w:hAnsi="Times Roman"/>
          <w:sz w:val="24"/>
          <w:szCs w:val="24"/>
        </w:rPr>
        <w:t xml:space="preserve">s emphasis on establishing a </w:t>
      </w:r>
      <w:r>
        <w:rPr>
          <w:rFonts w:ascii="Times Roman" w:hAnsi="Times Roman"/>
          <w:sz w:val="24"/>
          <w:szCs w:val="24"/>
          <w:rtl/>
          <w:lang w:val="ar-SA"/>
        </w:rPr>
        <w:t>“</w:t>
      </w:r>
      <w:r>
        <w:rPr>
          <w:rFonts w:ascii="Times Roman" w:hAnsi="Times Roman"/>
          <w:sz w:val="24"/>
          <w:szCs w:val="24"/>
        </w:rPr>
        <w:t xml:space="preserve">sense of urgency” and </w:t>
      </w:r>
      <w:r>
        <w:rPr>
          <w:rFonts w:ascii="Times Roman" w:hAnsi="Times Roman"/>
          <w:sz w:val="24"/>
          <w:szCs w:val="24"/>
          <w:rtl/>
          <w:lang w:val="ar-SA"/>
        </w:rPr>
        <w:t>“</w:t>
      </w:r>
      <w:r>
        <w:rPr>
          <w:rFonts w:ascii="Times Roman" w:hAnsi="Times Roman"/>
          <w:sz w:val="24"/>
          <w:szCs w:val="24"/>
        </w:rPr>
        <w:t xml:space="preserve">building a guiding coalition” would have helped me understand that some of my initial apprehension stemmed from the absence of a shared, early-stage narrative and achieving </w:t>
      </w:r>
      <w:proofErr w:type="gramStart"/>
      <w:r>
        <w:rPr>
          <w:rFonts w:ascii="Times Roman" w:hAnsi="Times Roman"/>
          <w:sz w:val="24"/>
          <w:szCs w:val="24"/>
        </w:rPr>
        <w:t>the  overall</w:t>
      </w:r>
      <w:proofErr w:type="gramEnd"/>
      <w:r>
        <w:rPr>
          <w:rFonts w:ascii="Times Roman" w:hAnsi="Times Roman"/>
          <w:sz w:val="24"/>
          <w:szCs w:val="24"/>
        </w:rPr>
        <w:t xml:space="preserve"> strategic goal of the Trust. If I had more systematically communicated the rationale for change using Kotter</w:t>
      </w:r>
      <w:r>
        <w:rPr>
          <w:rFonts w:ascii="Times Roman" w:hAnsi="Times Roman"/>
          <w:sz w:val="24"/>
          <w:szCs w:val="24"/>
          <w:rtl/>
        </w:rPr>
        <w:t>’</w:t>
      </w:r>
      <w:r>
        <w:rPr>
          <w:rFonts w:ascii="Times Roman" w:hAnsi="Times Roman"/>
          <w:sz w:val="24"/>
          <w:szCs w:val="24"/>
        </w:rPr>
        <w:t xml:space="preserve">s first step, it may have reduced </w:t>
      </w:r>
      <w:proofErr w:type="spellStart"/>
      <w:r>
        <w:rPr>
          <w:rFonts w:ascii="Times Roman" w:hAnsi="Times Roman"/>
          <w:sz w:val="24"/>
          <w:szCs w:val="24"/>
        </w:rPr>
        <w:t>scepticism</w:t>
      </w:r>
      <w:proofErr w:type="spellEnd"/>
      <w:r>
        <w:rPr>
          <w:rFonts w:ascii="Times Roman" w:hAnsi="Times Roman"/>
          <w:sz w:val="24"/>
          <w:szCs w:val="24"/>
        </w:rPr>
        <w:t xml:space="preserve"> and increased my confidence in aligning stakeholders with a common vision.</w:t>
      </w:r>
    </w:p>
    <w:p w14:paraId="1C5A9A50" w14:textId="77777777" w:rsidR="00C23EC5" w:rsidRDefault="00C23EC5">
      <w:pPr>
        <w:pStyle w:val="Body"/>
        <w:spacing w:line="360" w:lineRule="auto"/>
        <w:rPr>
          <w:rFonts w:ascii="Times Roman" w:eastAsia="Times Roman" w:hAnsi="Times Roman" w:cs="Times Roman"/>
          <w:sz w:val="24"/>
          <w:szCs w:val="24"/>
        </w:rPr>
      </w:pPr>
    </w:p>
    <w:p w14:paraId="5ADEA6CF"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Moreover, I now appreciate that my unease around potential conflict with colleagues could have been reframed as a necessary part of Step 5 </w:t>
      </w:r>
      <w:r>
        <w:rPr>
          <w:rFonts w:ascii="Times Roman" w:hAnsi="Times Roman"/>
          <w:sz w:val="24"/>
          <w:szCs w:val="24"/>
          <w:rtl/>
          <w:lang w:val="ar-SA"/>
        </w:rPr>
        <w:t>– “</w:t>
      </w:r>
      <w:r>
        <w:rPr>
          <w:rFonts w:ascii="Times Roman" w:hAnsi="Times Roman"/>
          <w:sz w:val="24"/>
          <w:szCs w:val="24"/>
        </w:rPr>
        <w:t>empowering broad-based action” – which encourages leaders to anticipate barriers and develop strategies to overcome them. This lens would have allowed me to view resistance not as a personal shortcoming, but as a predictable and addressable dynamic in organisational change.</w:t>
      </w:r>
    </w:p>
    <w:p w14:paraId="2AB2326F" w14:textId="77777777" w:rsidR="00C23EC5" w:rsidRDefault="00C23EC5">
      <w:pPr>
        <w:pStyle w:val="Body"/>
        <w:spacing w:line="360" w:lineRule="auto"/>
        <w:rPr>
          <w:rFonts w:ascii="Times Roman" w:eastAsia="Times Roman" w:hAnsi="Times Roman" w:cs="Times Roman"/>
          <w:sz w:val="24"/>
          <w:szCs w:val="24"/>
        </w:rPr>
      </w:pPr>
    </w:p>
    <w:p w14:paraId="1145A0FF"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My understanding of emotional intelligence also grew as I progressed. According to Goleman (1996), </w:t>
      </w:r>
      <w:proofErr w:type="spellStart"/>
      <w:r>
        <w:rPr>
          <w:rFonts w:ascii="Times Roman" w:hAnsi="Times Roman"/>
          <w:sz w:val="24"/>
          <w:szCs w:val="24"/>
        </w:rPr>
        <w:t>recognising</w:t>
      </w:r>
      <w:proofErr w:type="spellEnd"/>
      <w:r>
        <w:rPr>
          <w:rFonts w:ascii="Times Roman" w:hAnsi="Times Roman"/>
          <w:sz w:val="24"/>
          <w:szCs w:val="24"/>
        </w:rPr>
        <w:t xml:space="preserve"> and managing one</w:t>
      </w:r>
      <w:r>
        <w:rPr>
          <w:rFonts w:ascii="Times Roman" w:hAnsi="Times Roman"/>
          <w:sz w:val="24"/>
          <w:szCs w:val="24"/>
          <w:rtl/>
        </w:rPr>
        <w:t>’</w:t>
      </w:r>
      <w:r>
        <w:rPr>
          <w:rFonts w:ascii="Times Roman" w:hAnsi="Times Roman"/>
          <w:sz w:val="24"/>
          <w:szCs w:val="24"/>
        </w:rPr>
        <w:t xml:space="preserve">s own emotional responses is critical to effective leadership. </w:t>
      </w:r>
      <w:r>
        <w:rPr>
          <w:rFonts w:ascii="Times Roman" w:hAnsi="Times Roman"/>
          <w:sz w:val="24"/>
          <w:szCs w:val="24"/>
        </w:rPr>
        <w:lastRenderedPageBreak/>
        <w:t>As my familiarity with Kotter</w:t>
      </w:r>
      <w:r>
        <w:rPr>
          <w:rFonts w:ascii="Times Roman" w:hAnsi="Times Roman"/>
          <w:sz w:val="24"/>
          <w:szCs w:val="24"/>
          <w:rtl/>
        </w:rPr>
        <w:t>’</w:t>
      </w:r>
      <w:r>
        <w:rPr>
          <w:rFonts w:ascii="Times Roman" w:hAnsi="Times Roman"/>
          <w:sz w:val="24"/>
          <w:szCs w:val="24"/>
        </w:rPr>
        <w:t>s model increased, I was better able to separate personal insecurity from strategic objectives, thereby fostering a calmer, more focused presence in stakeholder meetings.</w:t>
      </w:r>
    </w:p>
    <w:p w14:paraId="373E13DB" w14:textId="77777777" w:rsidR="00C23EC5" w:rsidRDefault="00C23EC5">
      <w:pPr>
        <w:pStyle w:val="Body"/>
        <w:spacing w:line="360" w:lineRule="auto"/>
        <w:rPr>
          <w:rFonts w:ascii="Times Roman" w:eastAsia="Times Roman" w:hAnsi="Times Roman" w:cs="Times Roman"/>
          <w:sz w:val="24"/>
          <w:szCs w:val="24"/>
        </w:rPr>
      </w:pPr>
    </w:p>
    <w:p w14:paraId="638C7B65" w14:textId="77777777" w:rsidR="00C23EC5" w:rsidRDefault="00000000">
      <w:pPr>
        <w:pStyle w:val="Body"/>
        <w:spacing w:line="360" w:lineRule="auto"/>
        <w:rPr>
          <w:rFonts w:ascii="Times Roman" w:eastAsia="Times Roman" w:hAnsi="Times Roman" w:cs="Times Roman"/>
          <w:sz w:val="24"/>
          <w:szCs w:val="24"/>
        </w:rPr>
      </w:pPr>
      <w:proofErr w:type="gramStart"/>
      <w:r>
        <w:rPr>
          <w:rFonts w:ascii="Times Roman" w:hAnsi="Times Roman"/>
          <w:sz w:val="24"/>
          <w:szCs w:val="24"/>
        </w:rPr>
        <w:t>Also</w:t>
      </w:r>
      <w:proofErr w:type="gramEnd"/>
      <w:r>
        <w:rPr>
          <w:rFonts w:ascii="Times Roman" w:hAnsi="Times Roman"/>
          <w:sz w:val="24"/>
          <w:szCs w:val="24"/>
        </w:rPr>
        <w:t xml:space="preserve"> without the in-depth knowledge of systems such as ICT and EMSC services sometimes the challenges and delays put up by their representatives were difficult to challenge and I felt on occasion there were actions designed to slow down pace to meet the needs of individual departments capability in delivering on the project. </w:t>
      </w:r>
    </w:p>
    <w:p w14:paraId="1F66AC6F" w14:textId="77777777" w:rsidR="00C23EC5" w:rsidRDefault="00C23EC5">
      <w:pPr>
        <w:pStyle w:val="Body"/>
        <w:spacing w:line="360" w:lineRule="auto"/>
        <w:rPr>
          <w:rFonts w:ascii="Times Roman" w:eastAsia="Times Roman" w:hAnsi="Times Roman" w:cs="Times Roman"/>
          <w:sz w:val="24"/>
          <w:szCs w:val="24"/>
        </w:rPr>
      </w:pPr>
    </w:p>
    <w:p w14:paraId="40F1D087" w14:textId="77777777" w:rsidR="00C23EC5" w:rsidRDefault="00C23EC5">
      <w:pPr>
        <w:pStyle w:val="Body"/>
        <w:spacing w:line="360" w:lineRule="auto"/>
        <w:rPr>
          <w:rFonts w:ascii="Times Roman" w:eastAsia="Times Roman" w:hAnsi="Times Roman" w:cs="Times Roman"/>
          <w:sz w:val="24"/>
          <w:szCs w:val="24"/>
        </w:rPr>
      </w:pPr>
    </w:p>
    <w:p w14:paraId="17D99959" w14:textId="77777777" w:rsidR="00C23EC5" w:rsidRDefault="00C23EC5">
      <w:pPr>
        <w:pStyle w:val="Body"/>
        <w:spacing w:line="360" w:lineRule="auto"/>
        <w:rPr>
          <w:rFonts w:ascii="Times Roman" w:eastAsia="Times Roman" w:hAnsi="Times Roman" w:cs="Times Roman"/>
          <w:sz w:val="24"/>
          <w:szCs w:val="24"/>
        </w:rPr>
      </w:pPr>
    </w:p>
    <w:p w14:paraId="11DC97B1"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Evaluation</w:t>
      </w:r>
    </w:p>
    <w:p w14:paraId="56B42928"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The stakeholder engagement strategy was broadly effective. By creating working groups and promoting shared ownership of decisions, the project benefited from a high level of buy-in. This cohesive approach, supported by open communication and reinforcement of the shared goal, reflected the principle that </w:t>
      </w:r>
      <w:r>
        <w:rPr>
          <w:rFonts w:ascii="Times Roman" w:hAnsi="Times Roman"/>
          <w:sz w:val="24"/>
          <w:szCs w:val="24"/>
          <w:rtl/>
          <w:lang w:val="ar-SA"/>
        </w:rPr>
        <w:t>“</w:t>
      </w:r>
      <w:r>
        <w:rPr>
          <w:rFonts w:ascii="Times Roman" w:hAnsi="Times Roman"/>
          <w:sz w:val="24"/>
          <w:szCs w:val="24"/>
        </w:rPr>
        <w:t xml:space="preserve">stakeholder engagement is pivotal to the whole process of effective change” (Mayfield, 2014). However, not all interactions were positive—some individuals remained </w:t>
      </w:r>
      <w:proofErr w:type="spellStart"/>
      <w:r>
        <w:rPr>
          <w:rFonts w:ascii="Times Roman" w:hAnsi="Times Roman"/>
          <w:sz w:val="24"/>
          <w:szCs w:val="24"/>
        </w:rPr>
        <w:t>sceptical</w:t>
      </w:r>
      <w:proofErr w:type="spellEnd"/>
      <w:r>
        <w:rPr>
          <w:rFonts w:ascii="Times Roman" w:hAnsi="Times Roman"/>
          <w:sz w:val="24"/>
          <w:szCs w:val="24"/>
        </w:rPr>
        <w:t>, particularly where technological changes were perceived as disruptive. The reinforcement strategies I employed (including peer champions, regular updates, and visible leadership support) helped to mitigate this, but earlier engagement with these voices might have strengthened alignment from the outset.</w:t>
      </w:r>
    </w:p>
    <w:p w14:paraId="589BC4C9" w14:textId="77777777" w:rsidR="00C23EC5" w:rsidRDefault="00C23EC5">
      <w:pPr>
        <w:pStyle w:val="Body"/>
        <w:spacing w:line="360" w:lineRule="auto"/>
        <w:rPr>
          <w:rFonts w:ascii="Times Roman" w:eastAsia="Times Roman" w:hAnsi="Times Roman" w:cs="Times Roman"/>
          <w:sz w:val="24"/>
          <w:szCs w:val="24"/>
        </w:rPr>
      </w:pPr>
    </w:p>
    <w:p w14:paraId="6AD94A61"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Analysis</w:t>
      </w:r>
    </w:p>
    <w:p w14:paraId="2D0752A4"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This experience highlighted the practical value of applying structured change management theories, particularly Kotter</w:t>
      </w:r>
      <w:r>
        <w:rPr>
          <w:rFonts w:ascii="Times Roman" w:hAnsi="Times Roman"/>
          <w:sz w:val="24"/>
          <w:szCs w:val="24"/>
          <w:rtl/>
        </w:rPr>
        <w:t>’</w:t>
      </w:r>
      <w:r>
        <w:rPr>
          <w:rFonts w:ascii="Times Roman" w:hAnsi="Times Roman"/>
          <w:sz w:val="24"/>
          <w:szCs w:val="24"/>
        </w:rPr>
        <w:t xml:space="preserve">s emphasis on coalition-building and vision reinforcement (Kotter, 1996). It also </w:t>
      </w:r>
      <w:proofErr w:type="spellStart"/>
      <w:r>
        <w:rPr>
          <w:rFonts w:ascii="Times Roman" w:hAnsi="Times Roman"/>
          <w:sz w:val="24"/>
          <w:szCs w:val="24"/>
        </w:rPr>
        <w:t>emphasised</w:t>
      </w:r>
      <w:proofErr w:type="spellEnd"/>
      <w:r>
        <w:rPr>
          <w:rFonts w:ascii="Times Roman" w:hAnsi="Times Roman"/>
          <w:sz w:val="24"/>
          <w:szCs w:val="24"/>
        </w:rPr>
        <w:t xml:space="preserve"> the importance of emotionally intelligent leadership and systems thinking. In future, I would align more closely with Lewin</w:t>
      </w:r>
      <w:r>
        <w:rPr>
          <w:rFonts w:ascii="Times Roman" w:hAnsi="Times Roman"/>
          <w:sz w:val="24"/>
          <w:szCs w:val="24"/>
          <w:rtl/>
        </w:rPr>
        <w:t>’</w:t>
      </w:r>
      <w:r>
        <w:rPr>
          <w:rFonts w:ascii="Times Roman" w:hAnsi="Times Roman"/>
          <w:sz w:val="24"/>
          <w:szCs w:val="24"/>
        </w:rPr>
        <w:t>s three-step model—unfreezing existing assumptions, enabling change, and refreezing through policy and training (Burnes, 2004). The project also benefited from elements of the NHS</w:t>
      </w:r>
      <w:r>
        <w:rPr>
          <w:rFonts w:ascii="Times Roman" w:hAnsi="Times Roman"/>
          <w:sz w:val="24"/>
          <w:szCs w:val="24"/>
          <w:rtl/>
        </w:rPr>
        <w:t>’</w:t>
      </w:r>
      <w:r>
        <w:rPr>
          <w:rFonts w:ascii="Times Roman" w:hAnsi="Times Roman"/>
          <w:sz w:val="24"/>
          <w:szCs w:val="24"/>
        </w:rPr>
        <w:t>s Organisational Health and Sustainability (OHS) model, particularly the focus on staff voice and responsiveness to feedback (NHS England, 2020).</w:t>
      </w:r>
    </w:p>
    <w:p w14:paraId="0CFA2A88" w14:textId="77777777" w:rsidR="00C23EC5" w:rsidRDefault="00C23EC5">
      <w:pPr>
        <w:pStyle w:val="Body"/>
        <w:spacing w:line="360" w:lineRule="auto"/>
        <w:rPr>
          <w:rFonts w:ascii="Times Roman" w:eastAsia="Times Roman" w:hAnsi="Times Roman" w:cs="Times Roman"/>
          <w:sz w:val="24"/>
          <w:szCs w:val="24"/>
        </w:rPr>
      </w:pPr>
    </w:p>
    <w:p w14:paraId="743E6BC9" w14:textId="77777777" w:rsidR="00C23EC5" w:rsidRDefault="00000000">
      <w:pPr>
        <w:pStyle w:val="Body"/>
        <w:spacing w:line="360" w:lineRule="auto"/>
        <w:rPr>
          <w:rFonts w:ascii="Times Roman" w:eastAsia="Times Roman" w:hAnsi="Times Roman" w:cs="Times Roman"/>
          <w:sz w:val="24"/>
          <w:szCs w:val="24"/>
        </w:rPr>
      </w:pPr>
      <w:proofErr w:type="spellStart"/>
      <w:r>
        <w:rPr>
          <w:rFonts w:ascii="Times Roman" w:hAnsi="Times Roman"/>
          <w:sz w:val="24"/>
          <w:szCs w:val="24"/>
          <w:lang w:val="it-IT"/>
        </w:rPr>
        <w:t>Conclusion</w:t>
      </w:r>
      <w:proofErr w:type="spellEnd"/>
    </w:p>
    <w:p w14:paraId="19B9E9B2"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The process affirmed that effective change requires both strategy and relational leadership. My learning deepened around managing uncertainty, building trust, and using structured feedback to </w:t>
      </w:r>
      <w:r>
        <w:rPr>
          <w:rFonts w:ascii="Times Roman" w:hAnsi="Times Roman"/>
          <w:sz w:val="24"/>
          <w:szCs w:val="24"/>
        </w:rPr>
        <w:lastRenderedPageBreak/>
        <w:t xml:space="preserve">adapt the process. I also </w:t>
      </w:r>
      <w:proofErr w:type="spellStart"/>
      <w:r>
        <w:rPr>
          <w:rFonts w:ascii="Times Roman" w:hAnsi="Times Roman"/>
          <w:sz w:val="24"/>
          <w:szCs w:val="24"/>
        </w:rPr>
        <w:t>recognised</w:t>
      </w:r>
      <w:proofErr w:type="spellEnd"/>
      <w:r>
        <w:rPr>
          <w:rFonts w:ascii="Times Roman" w:hAnsi="Times Roman"/>
          <w:sz w:val="24"/>
          <w:szCs w:val="24"/>
        </w:rPr>
        <w:t xml:space="preserve"> the limitations of a purely top-down approach, for a project of this magnetite to work it need to be far more linear. Future initiatives will benefit from earlier stakeholder mapping, more diverse communication strategies, and stronger reinforcement through policy integration and practice development.</w:t>
      </w:r>
    </w:p>
    <w:p w14:paraId="0C4705E4" w14:textId="77777777" w:rsidR="00C23EC5" w:rsidRDefault="00C23EC5">
      <w:pPr>
        <w:pStyle w:val="Body"/>
        <w:spacing w:line="360" w:lineRule="auto"/>
        <w:rPr>
          <w:rFonts w:ascii="Times Roman" w:eastAsia="Times Roman" w:hAnsi="Times Roman" w:cs="Times Roman"/>
          <w:sz w:val="24"/>
          <w:szCs w:val="24"/>
        </w:rPr>
      </w:pPr>
    </w:p>
    <w:p w14:paraId="1BB9C676"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Action Plan</w:t>
      </w:r>
    </w:p>
    <w:p w14:paraId="40FF4D0C"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Moving forward, I plan to:</w:t>
      </w:r>
    </w:p>
    <w:p w14:paraId="1D3B9755"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Undertake formal training in stakeholder engagement and adaptive leadership.</w:t>
      </w:r>
    </w:p>
    <w:p w14:paraId="122966C8"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Develop a stakeholder engagement toolkit to support future projects.</w:t>
      </w:r>
    </w:p>
    <w:p w14:paraId="5958C465"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Create an internal forum for continuous feedback during change processes.</w:t>
      </w:r>
    </w:p>
    <w:p w14:paraId="3D734A4E"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Embed reflective practice tools like Gibbs</w:t>
      </w:r>
      <w:r>
        <w:rPr>
          <w:rFonts w:ascii="Times Roman" w:hAnsi="Times Roman"/>
          <w:sz w:val="24"/>
          <w:szCs w:val="24"/>
          <w:rtl/>
        </w:rPr>
        <w:t xml:space="preserve">’ </w:t>
      </w:r>
      <w:r>
        <w:rPr>
          <w:rFonts w:ascii="Times Roman" w:hAnsi="Times Roman"/>
          <w:sz w:val="24"/>
          <w:szCs w:val="24"/>
        </w:rPr>
        <w:t>model into team debriefs and evaluation frameworks.</w:t>
      </w:r>
    </w:p>
    <w:p w14:paraId="0AF67698"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These actions aim to build capacity not only in myself but across the team, promoting a culture of reflective and collaborative change leadership.</w:t>
      </w:r>
    </w:p>
    <w:p w14:paraId="2C305A0B" w14:textId="77777777" w:rsidR="00C23EC5" w:rsidRDefault="00C23EC5">
      <w:pPr>
        <w:pStyle w:val="Body"/>
        <w:spacing w:line="360" w:lineRule="auto"/>
        <w:rPr>
          <w:rFonts w:ascii="Times Roman" w:eastAsia="Times Roman" w:hAnsi="Times Roman" w:cs="Times Roman"/>
          <w:sz w:val="24"/>
          <w:szCs w:val="24"/>
        </w:rPr>
      </w:pPr>
    </w:p>
    <w:p w14:paraId="55FB3402"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 xml:space="preserve">There were significant challenges in applying my own learning. It sometime felt that the need to deliver something outweighed the need to deliver the designed model. Cost implications together with constraints on relevant experts seemed to be forcing decisions which were known to have a high level of risk. Continued SWOT analysis on the implementation and good project management by the project manager headed off many of these challenges  but they </w:t>
      </w:r>
      <w:proofErr w:type="gramStart"/>
      <w:r>
        <w:rPr>
          <w:rFonts w:ascii="Times Roman" w:hAnsi="Times Roman"/>
          <w:sz w:val="24"/>
          <w:szCs w:val="24"/>
        </w:rPr>
        <w:t>still remained</w:t>
      </w:r>
      <w:proofErr w:type="gramEnd"/>
      <w:r>
        <w:rPr>
          <w:rFonts w:ascii="Times Roman" w:hAnsi="Times Roman"/>
          <w:sz w:val="24"/>
          <w:szCs w:val="24"/>
        </w:rPr>
        <w:t xml:space="preserve"> like the sword of Damocles over the whole project. </w:t>
      </w:r>
    </w:p>
    <w:p w14:paraId="21070CAA" w14:textId="77777777" w:rsidR="00C23EC5" w:rsidRDefault="00C23EC5">
      <w:pPr>
        <w:pStyle w:val="Body"/>
        <w:spacing w:line="360" w:lineRule="auto"/>
        <w:rPr>
          <w:rFonts w:ascii="Times Roman" w:eastAsia="Times Roman" w:hAnsi="Times Roman" w:cs="Times Roman"/>
          <w:sz w:val="24"/>
          <w:szCs w:val="24"/>
        </w:rPr>
      </w:pPr>
    </w:p>
    <w:p w14:paraId="267DAABA" w14:textId="77777777" w:rsidR="00C23EC5" w:rsidRDefault="00000000">
      <w:pPr>
        <w:pStyle w:val="Body"/>
        <w:spacing w:line="360" w:lineRule="auto"/>
        <w:rPr>
          <w:rFonts w:ascii="Times Roman" w:eastAsia="Times Roman" w:hAnsi="Times Roman" w:cs="Times Roman"/>
          <w:sz w:val="24"/>
          <w:szCs w:val="24"/>
        </w:rPr>
      </w:pPr>
      <w:r>
        <w:rPr>
          <w:rFonts w:ascii="Times Roman" w:hAnsi="Times Roman"/>
          <w:sz w:val="24"/>
          <w:szCs w:val="24"/>
        </w:rPr>
        <w:t>This experience highlighted the practical value of applying structured change management theories, particularly Kotter</w:t>
      </w:r>
      <w:r>
        <w:rPr>
          <w:rFonts w:ascii="Times Roman" w:hAnsi="Times Roman"/>
          <w:sz w:val="24"/>
          <w:szCs w:val="24"/>
          <w:rtl/>
        </w:rPr>
        <w:t>’</w:t>
      </w:r>
      <w:r>
        <w:rPr>
          <w:rFonts w:ascii="Times Roman" w:hAnsi="Times Roman"/>
          <w:sz w:val="24"/>
          <w:szCs w:val="24"/>
        </w:rPr>
        <w:t xml:space="preserve">s emphasis on coalition-building and vision reinforcement (Kotter, 1996). It also </w:t>
      </w:r>
      <w:proofErr w:type="spellStart"/>
      <w:r>
        <w:rPr>
          <w:rFonts w:ascii="Times Roman" w:hAnsi="Times Roman"/>
          <w:sz w:val="24"/>
          <w:szCs w:val="24"/>
        </w:rPr>
        <w:t>emphasised</w:t>
      </w:r>
      <w:proofErr w:type="spellEnd"/>
      <w:r>
        <w:rPr>
          <w:rFonts w:ascii="Times Roman" w:hAnsi="Times Roman"/>
          <w:sz w:val="24"/>
          <w:szCs w:val="24"/>
        </w:rPr>
        <w:t xml:space="preserve"> the importance of emotionally intelligent leadership and systems thinking. In future, I would align more closely with Lewin</w:t>
      </w:r>
      <w:r>
        <w:rPr>
          <w:rFonts w:ascii="Times Roman" w:hAnsi="Times Roman"/>
          <w:sz w:val="24"/>
          <w:szCs w:val="24"/>
          <w:rtl/>
        </w:rPr>
        <w:t>’</w:t>
      </w:r>
      <w:r>
        <w:rPr>
          <w:rFonts w:ascii="Times Roman" w:hAnsi="Times Roman"/>
          <w:sz w:val="24"/>
          <w:szCs w:val="24"/>
        </w:rPr>
        <w:t>s three-step model—unfreezing existing assumptions, enabling change, and refreezing through policy and training (Burnes, 2004). The project also benefited from elements of the NHS</w:t>
      </w:r>
      <w:r>
        <w:rPr>
          <w:rFonts w:ascii="Times Roman" w:hAnsi="Times Roman"/>
          <w:sz w:val="24"/>
          <w:szCs w:val="24"/>
          <w:rtl/>
        </w:rPr>
        <w:t>’</w:t>
      </w:r>
      <w:r>
        <w:rPr>
          <w:rFonts w:ascii="Times Roman" w:hAnsi="Times Roman"/>
          <w:sz w:val="24"/>
          <w:szCs w:val="24"/>
        </w:rPr>
        <w:t>s Organisational Health and Sustainability (OHS) model, particularly the focus on staff voice and responsiveness to feedback (NHS England, 2020).</w:t>
      </w:r>
    </w:p>
    <w:p w14:paraId="3E0B7AA9" w14:textId="77777777" w:rsidR="00C23EC5" w:rsidRDefault="00C23EC5">
      <w:pPr>
        <w:pStyle w:val="Body"/>
        <w:spacing w:line="360" w:lineRule="auto"/>
        <w:rPr>
          <w:rFonts w:ascii="Times Roman" w:eastAsia="Times Roman" w:hAnsi="Times Roman" w:cs="Times Roman"/>
          <w:sz w:val="24"/>
          <w:szCs w:val="24"/>
        </w:rPr>
      </w:pPr>
    </w:p>
    <w:p w14:paraId="596D7E1C" w14:textId="77777777" w:rsidR="00C23EC5" w:rsidRDefault="00000000">
      <w:pPr>
        <w:pStyle w:val="Default"/>
        <w:suppressAutoHyphens/>
        <w:spacing w:before="0" w:line="360" w:lineRule="auto"/>
        <w:rPr>
          <w:rFonts w:ascii="Times Roman" w:eastAsia="Times Roman" w:hAnsi="Times Roman" w:cs="Times Roman"/>
        </w:rPr>
      </w:pPr>
      <w:proofErr w:type="spellStart"/>
      <w:r>
        <w:rPr>
          <w:rFonts w:ascii="Times Roman" w:hAnsi="Times Roman"/>
        </w:rPr>
        <w:t>Conclusion</w:t>
      </w:r>
      <w:proofErr w:type="spellEnd"/>
    </w:p>
    <w:p w14:paraId="588BD468" w14:textId="77777777" w:rsidR="00C23EC5" w:rsidRDefault="00000000">
      <w:pPr>
        <w:pStyle w:val="Default"/>
        <w:suppressAutoHyphens/>
        <w:spacing w:before="0" w:line="360" w:lineRule="auto"/>
        <w:rPr>
          <w:rFonts w:ascii="Times Roman" w:eastAsia="Times Roman" w:hAnsi="Times Roman" w:cs="Times Roman"/>
        </w:rPr>
      </w:pPr>
      <w:r>
        <w:rPr>
          <w:rFonts w:ascii="Times Roman" w:hAnsi="Times Roman"/>
          <w:lang w:val="en-US"/>
        </w:rPr>
        <w:t xml:space="preserve">In conclusion, this project has demonstrated the critical intersection between structured change management, reflective learning, and professional development in delivering meaningful improvements to clinical practice. The introduction of a clinician-supported remote video triage </w:t>
      </w:r>
      <w:r>
        <w:rPr>
          <w:rFonts w:ascii="Times Roman" w:hAnsi="Times Roman"/>
          <w:lang w:val="en-US"/>
        </w:rPr>
        <w:lastRenderedPageBreak/>
        <w:t>desk for out-of-hospital cardiac arrest cases not only advanced patient care outcomes but also served as a catalyst for personal and organisational transformation.</w:t>
      </w:r>
    </w:p>
    <w:p w14:paraId="07608AA1" w14:textId="77777777" w:rsidR="00C23EC5" w:rsidRDefault="00C23EC5">
      <w:pPr>
        <w:pStyle w:val="Default"/>
        <w:suppressAutoHyphens/>
        <w:spacing w:before="0" w:line="360" w:lineRule="auto"/>
        <w:rPr>
          <w:rFonts w:ascii="Times Roman" w:eastAsia="Times Roman" w:hAnsi="Times Roman" w:cs="Times Roman"/>
        </w:rPr>
      </w:pPr>
    </w:p>
    <w:p w14:paraId="1DB2E4BC" w14:textId="77777777" w:rsidR="00C23EC5" w:rsidRDefault="00000000">
      <w:pPr>
        <w:pStyle w:val="Default"/>
        <w:suppressAutoHyphens/>
        <w:spacing w:before="0" w:line="360" w:lineRule="auto"/>
        <w:rPr>
          <w:rFonts w:ascii="Times Roman" w:eastAsia="Times Roman" w:hAnsi="Times Roman" w:cs="Times Roman"/>
        </w:rPr>
      </w:pPr>
      <w:r>
        <w:rPr>
          <w:rFonts w:ascii="Times Roman" w:hAnsi="Times Roman"/>
          <w:lang w:val="en-US"/>
        </w:rPr>
        <w:t>Central to the project</w:t>
      </w:r>
      <w:r>
        <w:rPr>
          <w:rFonts w:ascii="Times Roman" w:hAnsi="Times Roman"/>
          <w:rtl/>
        </w:rPr>
        <w:t>’</w:t>
      </w:r>
      <w:r>
        <w:rPr>
          <w:rFonts w:ascii="Times Roman" w:hAnsi="Times Roman"/>
          <w:lang w:val="en-US"/>
        </w:rPr>
        <w:t>s success was the application of Kotter</w:t>
      </w:r>
      <w:r>
        <w:rPr>
          <w:rFonts w:ascii="Times Roman" w:hAnsi="Times Roman"/>
          <w:rtl/>
        </w:rPr>
        <w:t>’</w:t>
      </w:r>
      <w:r>
        <w:rPr>
          <w:rFonts w:ascii="Times Roman" w:hAnsi="Times Roman"/>
          <w:lang w:val="en-US"/>
        </w:rPr>
        <w:t xml:space="preserve">s (1996) 8-Step Change Model, which provided a strategic framework to guide innovation through stakeholder engagement, the creation of a compelling vision, and the reinforcement of </w:t>
      </w:r>
      <w:proofErr w:type="spellStart"/>
      <w:r>
        <w:rPr>
          <w:rFonts w:ascii="Times Roman" w:hAnsi="Times Roman"/>
          <w:lang w:val="en-US"/>
        </w:rPr>
        <w:t>behavioural</w:t>
      </w:r>
      <w:proofErr w:type="spellEnd"/>
      <w:r>
        <w:rPr>
          <w:rFonts w:ascii="Times Roman" w:hAnsi="Times Roman"/>
          <w:lang w:val="en-US"/>
        </w:rPr>
        <w:t xml:space="preserve"> change through short-term wins. As Kotter emphasises, sustainable transformation requires a sense of urgency, alignment of leadership, and systematic consolidation of progress—principles that were integral to embedding this intervention within emergency medical coordination services.</w:t>
      </w:r>
    </w:p>
    <w:p w14:paraId="72FDB425" w14:textId="77777777" w:rsidR="00C23EC5" w:rsidRDefault="00C23EC5">
      <w:pPr>
        <w:pStyle w:val="Default"/>
        <w:suppressAutoHyphens/>
        <w:spacing w:before="0" w:line="360" w:lineRule="auto"/>
        <w:rPr>
          <w:rFonts w:ascii="Times Roman" w:eastAsia="Times Roman" w:hAnsi="Times Roman" w:cs="Times Roman"/>
        </w:rPr>
      </w:pPr>
    </w:p>
    <w:p w14:paraId="09F4E3F5" w14:textId="77777777" w:rsidR="00C23EC5" w:rsidRDefault="00000000">
      <w:pPr>
        <w:pStyle w:val="Default"/>
        <w:suppressAutoHyphens/>
        <w:spacing w:before="0" w:line="360" w:lineRule="auto"/>
        <w:rPr>
          <w:rFonts w:ascii="Times Roman" w:eastAsia="Times Roman" w:hAnsi="Times Roman" w:cs="Times Roman"/>
        </w:rPr>
      </w:pPr>
      <w:r>
        <w:rPr>
          <w:rFonts w:ascii="Times Roman" w:hAnsi="Times Roman"/>
          <w:lang w:val="en-US"/>
        </w:rPr>
        <w:t>Equally important was the role of Gibbs</w:t>
      </w:r>
      <w:r>
        <w:rPr>
          <w:rFonts w:ascii="Times Roman" w:hAnsi="Times Roman"/>
          <w:rtl/>
        </w:rPr>
        <w:t xml:space="preserve">’ </w:t>
      </w:r>
      <w:r>
        <w:rPr>
          <w:rFonts w:ascii="Times Roman" w:hAnsi="Times Roman"/>
          <w:lang w:val="en-US"/>
        </w:rPr>
        <w:t>Reflective Cycle (1988), which supported a structured process of reflection, allowing for the identification of learning needs, emotional insight, and iterative improvement. By facilitating a cycle of description, evaluation, and action planning, Gibbs</w:t>
      </w:r>
      <w:r>
        <w:rPr>
          <w:rFonts w:ascii="Times Roman" w:hAnsi="Times Roman"/>
          <w:rtl/>
        </w:rPr>
        <w:t xml:space="preserve">’ </w:t>
      </w:r>
      <w:r>
        <w:rPr>
          <w:rFonts w:ascii="Times Roman" w:hAnsi="Times Roman"/>
          <w:lang w:val="en-US"/>
        </w:rPr>
        <w:t xml:space="preserve">model enabled individual learning to be </w:t>
      </w:r>
      <w:proofErr w:type="spellStart"/>
      <w:r>
        <w:rPr>
          <w:rFonts w:ascii="Times Roman" w:hAnsi="Times Roman"/>
          <w:lang w:val="en-US"/>
        </w:rPr>
        <w:t>contextualised</w:t>
      </w:r>
      <w:proofErr w:type="spellEnd"/>
      <w:r>
        <w:rPr>
          <w:rFonts w:ascii="Times Roman" w:hAnsi="Times Roman"/>
          <w:lang w:val="en-US"/>
        </w:rPr>
        <w:t xml:space="preserve"> and translated into meaningful practice enhancements. This aligns with Moon</w:t>
      </w:r>
      <w:r>
        <w:rPr>
          <w:rFonts w:ascii="Times Roman" w:hAnsi="Times Roman"/>
          <w:rtl/>
        </w:rPr>
        <w:t>’</w:t>
      </w:r>
      <w:r>
        <w:rPr>
          <w:rFonts w:ascii="Times Roman" w:hAnsi="Times Roman"/>
          <w:lang w:val="en-US"/>
        </w:rPr>
        <w:t>s (2004) view that reflection deepens professional competence by fostering self-awareness and critical insight.</w:t>
      </w:r>
    </w:p>
    <w:p w14:paraId="12D9F2DE" w14:textId="77777777" w:rsidR="00C23EC5" w:rsidRDefault="00C23EC5">
      <w:pPr>
        <w:pStyle w:val="Default"/>
        <w:suppressAutoHyphens/>
        <w:spacing w:before="0" w:line="360" w:lineRule="auto"/>
        <w:rPr>
          <w:rFonts w:ascii="Times Roman" w:eastAsia="Times Roman" w:hAnsi="Times Roman" w:cs="Times Roman"/>
        </w:rPr>
      </w:pPr>
    </w:p>
    <w:p w14:paraId="4E46DF5A" w14:textId="77777777" w:rsidR="00C23EC5" w:rsidRDefault="00000000">
      <w:pPr>
        <w:pStyle w:val="Default"/>
        <w:suppressAutoHyphens/>
        <w:spacing w:before="0" w:line="360" w:lineRule="auto"/>
        <w:rPr>
          <w:rFonts w:ascii="Times Roman" w:eastAsia="Times Roman" w:hAnsi="Times Roman" w:cs="Times Roman"/>
        </w:rPr>
      </w:pPr>
      <w:r>
        <w:rPr>
          <w:rFonts w:ascii="Times Roman" w:hAnsi="Times Roman"/>
          <w:lang w:val="en-US"/>
        </w:rPr>
        <w:t xml:space="preserve">A further critical component underpinning the success of this initiative was the role of self-directed learning and ongoing reflection. In line with adult learning theory, self-directed learning empowers professionals to identify their own learning needs, set goals, and evaluate outcomes in a manner that is contextually relevant (Knowles, Holton and Swanson, 2015). This approach was particularly valuable in a dynamic clinical setting, where adaptability and initiative are essential. Through reflective processes such as Gibbs' model, I was able to not only </w:t>
      </w:r>
      <w:proofErr w:type="spellStart"/>
      <w:r>
        <w:rPr>
          <w:rFonts w:ascii="Times Roman" w:hAnsi="Times Roman"/>
          <w:lang w:val="en-US"/>
        </w:rPr>
        <w:t>internalise</w:t>
      </w:r>
      <w:proofErr w:type="spellEnd"/>
      <w:r>
        <w:rPr>
          <w:rFonts w:ascii="Times Roman" w:hAnsi="Times Roman"/>
          <w:lang w:val="en-US"/>
        </w:rPr>
        <w:t xml:space="preserve"> theoretical concepts but also apply them to real-world clinical scenarios, which promoted deeper learning and personal accountability. Reflection helped clarify areas of strength and highlighted gaps in knowledge, supporting more focused professional development. As Sch</w:t>
      </w:r>
      <w:r>
        <w:rPr>
          <w:rFonts w:ascii="Times Roman" w:hAnsi="Times Roman"/>
          <w:lang w:val="sv-SE"/>
        </w:rPr>
        <w:t>ö</w:t>
      </w:r>
      <w:r>
        <w:rPr>
          <w:rFonts w:ascii="Times Roman" w:hAnsi="Times Roman"/>
          <w:lang w:val="en-US"/>
        </w:rPr>
        <w:t xml:space="preserve">n (1983) argues, reflective practitioners continually engage with their experiences, reframe problems, and adapt their actions—a process crucial for clinical leadership and innovation. The combination of self-directed learning and structured reflection ultimately fostered greater autonomy, critical thinking, and resilience in leading change within my </w:t>
      </w:r>
      <w:proofErr w:type="spellStart"/>
      <w:r>
        <w:rPr>
          <w:rFonts w:ascii="Times Roman" w:hAnsi="Times Roman"/>
          <w:lang w:val="en-US"/>
        </w:rPr>
        <w:t>organisation</w:t>
      </w:r>
      <w:proofErr w:type="spellEnd"/>
      <w:r>
        <w:rPr>
          <w:rFonts w:ascii="Times Roman" w:hAnsi="Times Roman"/>
          <w:lang w:val="en-US"/>
        </w:rPr>
        <w:t>.</w:t>
      </w:r>
    </w:p>
    <w:p w14:paraId="0FF35C16" w14:textId="77777777" w:rsidR="00C23EC5" w:rsidRDefault="00C23EC5">
      <w:pPr>
        <w:pStyle w:val="Default"/>
        <w:suppressAutoHyphens/>
        <w:spacing w:before="0" w:line="360" w:lineRule="auto"/>
        <w:rPr>
          <w:rFonts w:ascii="Times Roman" w:eastAsia="Times Roman" w:hAnsi="Times Roman" w:cs="Times Roman"/>
        </w:rPr>
      </w:pPr>
    </w:p>
    <w:p w14:paraId="06206A0C" w14:textId="77777777" w:rsidR="00C23EC5" w:rsidRDefault="00000000">
      <w:pPr>
        <w:pStyle w:val="Default"/>
        <w:suppressAutoHyphens/>
        <w:spacing w:before="0" w:line="360" w:lineRule="auto"/>
        <w:rPr>
          <w:rFonts w:ascii="Times Roman" w:eastAsia="Times Roman" w:hAnsi="Times Roman" w:cs="Times Roman"/>
        </w:rPr>
      </w:pPr>
      <w:r>
        <w:rPr>
          <w:rFonts w:ascii="Times Roman" w:hAnsi="Times Roman"/>
          <w:lang w:val="en-US"/>
        </w:rPr>
        <w:t xml:space="preserve">The project further demonstrated that individual learning, when embedded in practice and linked to wider strategic aims, can function as a lever for systemic change. As Senge (1990) notes, the capacity of individuals to learn and grow is fundamental to the success of learning organisations. </w:t>
      </w:r>
      <w:r>
        <w:rPr>
          <w:rFonts w:ascii="Times Roman" w:hAnsi="Times Roman"/>
          <w:lang w:val="en-US"/>
        </w:rPr>
        <w:lastRenderedPageBreak/>
        <w:t>Through the integration of reflective models and change theory, the project contributed to the cultivation of a responsive and adaptive workforce, capable of leading and sustaining quality improvements in complex clinical environments.</w:t>
      </w:r>
    </w:p>
    <w:p w14:paraId="24910EBA" w14:textId="77777777" w:rsidR="00C23EC5" w:rsidRDefault="00C23EC5">
      <w:pPr>
        <w:pStyle w:val="Default"/>
        <w:suppressAutoHyphens/>
        <w:spacing w:before="0" w:line="360" w:lineRule="auto"/>
        <w:rPr>
          <w:rFonts w:ascii="Times Roman" w:eastAsia="Times Roman" w:hAnsi="Times Roman" w:cs="Times Roman"/>
        </w:rPr>
      </w:pPr>
    </w:p>
    <w:p w14:paraId="6BEEAA2B" w14:textId="77777777" w:rsidR="00C23EC5" w:rsidRDefault="00000000">
      <w:pPr>
        <w:pStyle w:val="Default"/>
        <w:suppressAutoHyphens/>
        <w:spacing w:before="0" w:line="360" w:lineRule="auto"/>
        <w:rPr>
          <w:rFonts w:ascii="Times Roman" w:eastAsia="Times Roman" w:hAnsi="Times Roman" w:cs="Times Roman"/>
        </w:rPr>
      </w:pPr>
      <w:r>
        <w:rPr>
          <w:rFonts w:ascii="Times Roman" w:hAnsi="Times Roman"/>
          <w:lang w:val="en-US"/>
        </w:rPr>
        <w:t>Ultimately, this work affirms that sustainable healthcare innovation requires both technical and relational acumen—combining strategic frameworks like Kotter</w:t>
      </w:r>
      <w:r>
        <w:rPr>
          <w:rFonts w:ascii="Times Roman" w:hAnsi="Times Roman"/>
          <w:rtl/>
        </w:rPr>
        <w:t>’</w:t>
      </w:r>
      <w:r>
        <w:rPr>
          <w:rFonts w:ascii="Times Roman" w:hAnsi="Times Roman"/>
          <w:lang w:val="en-US"/>
        </w:rPr>
        <w:t xml:space="preserve">s with reflective practices such as </w:t>
      </w:r>
      <w:proofErr w:type="gramStart"/>
      <w:r>
        <w:rPr>
          <w:rFonts w:ascii="Times Roman" w:hAnsi="Times Roman"/>
          <w:lang w:val="en-US"/>
        </w:rPr>
        <w:t>Gibbs</w:t>
      </w:r>
      <w:r>
        <w:rPr>
          <w:rFonts w:ascii="Times Roman" w:hAnsi="Times Roman"/>
          <w:rtl/>
        </w:rPr>
        <w:t>’</w:t>
      </w:r>
      <w:proofErr w:type="gramEnd"/>
      <w:r>
        <w:rPr>
          <w:rFonts w:ascii="Times Roman" w:hAnsi="Times Roman"/>
          <w:rtl/>
        </w:rPr>
        <w:t xml:space="preserve"> </w:t>
      </w:r>
      <w:r>
        <w:rPr>
          <w:rFonts w:ascii="Times Roman" w:hAnsi="Times Roman"/>
          <w:lang w:val="en-US"/>
        </w:rPr>
        <w:t>to ensure that change is both evidence-informed and person-</w:t>
      </w:r>
      <w:proofErr w:type="spellStart"/>
      <w:r>
        <w:rPr>
          <w:rFonts w:ascii="Times Roman" w:hAnsi="Times Roman"/>
          <w:lang w:val="en-US"/>
        </w:rPr>
        <w:t>centred</w:t>
      </w:r>
      <w:proofErr w:type="spellEnd"/>
      <w:r>
        <w:rPr>
          <w:rFonts w:ascii="Times Roman" w:hAnsi="Times Roman"/>
          <w:lang w:val="en-US"/>
        </w:rPr>
        <w:t>.</w:t>
      </w:r>
    </w:p>
    <w:p w14:paraId="3E032117" w14:textId="77777777" w:rsidR="00C23EC5" w:rsidRDefault="00C23EC5">
      <w:pPr>
        <w:pStyle w:val="Default"/>
        <w:suppressAutoHyphens/>
        <w:spacing w:before="0" w:line="360" w:lineRule="auto"/>
        <w:rPr>
          <w:rFonts w:ascii="Times Roman" w:eastAsia="Times Roman" w:hAnsi="Times Roman" w:cs="Times Roman"/>
        </w:rPr>
      </w:pPr>
    </w:p>
    <w:p w14:paraId="191957BC" w14:textId="77777777" w:rsidR="00C23EC5" w:rsidRDefault="00C23EC5">
      <w:pPr>
        <w:pStyle w:val="Default"/>
        <w:suppressAutoHyphens/>
        <w:spacing w:before="0" w:line="360" w:lineRule="auto"/>
        <w:rPr>
          <w:rFonts w:ascii="Times Roman" w:eastAsia="Times Roman" w:hAnsi="Times Roman" w:cs="Times Roman"/>
        </w:rPr>
      </w:pPr>
    </w:p>
    <w:p w14:paraId="7C477BBE" w14:textId="77777777" w:rsidR="00C23EC5" w:rsidRDefault="00C23EC5">
      <w:pPr>
        <w:pStyle w:val="Default"/>
        <w:suppressAutoHyphens/>
        <w:spacing w:before="0" w:line="360" w:lineRule="auto"/>
        <w:rPr>
          <w:rFonts w:ascii="Times Roman" w:eastAsia="Times Roman" w:hAnsi="Times Roman" w:cs="Times Roman"/>
        </w:rPr>
      </w:pPr>
    </w:p>
    <w:p w14:paraId="5D632DEB" w14:textId="77777777" w:rsidR="00C23EC5" w:rsidRDefault="00C23EC5">
      <w:pPr>
        <w:pStyle w:val="Default"/>
        <w:suppressAutoHyphens/>
        <w:spacing w:before="0" w:line="360" w:lineRule="auto"/>
        <w:rPr>
          <w:rFonts w:ascii="Times Roman" w:eastAsia="Times Roman" w:hAnsi="Times Roman" w:cs="Times Roman"/>
          <w:color w:val="808080"/>
        </w:rPr>
      </w:pPr>
    </w:p>
    <w:p w14:paraId="40E580FD" w14:textId="77777777" w:rsidR="00C23EC5" w:rsidRDefault="00C23EC5">
      <w:pPr>
        <w:pStyle w:val="Default"/>
        <w:suppressAutoHyphens/>
        <w:spacing w:before="0" w:line="360" w:lineRule="auto"/>
        <w:rPr>
          <w:rFonts w:ascii="Times Roman" w:eastAsia="Times Roman" w:hAnsi="Times Roman" w:cs="Times Roman"/>
          <w:color w:val="808080"/>
        </w:rPr>
      </w:pPr>
    </w:p>
    <w:p w14:paraId="3F9243F9" w14:textId="77777777" w:rsidR="00C23EC5" w:rsidRDefault="00C23EC5">
      <w:pPr>
        <w:pStyle w:val="Default"/>
        <w:suppressAutoHyphens/>
        <w:spacing w:before="0" w:line="360" w:lineRule="auto"/>
        <w:rPr>
          <w:rFonts w:ascii="Times Roman" w:eastAsia="Times Roman" w:hAnsi="Times Roman" w:cs="Times Roman"/>
          <w:color w:val="808080"/>
        </w:rPr>
      </w:pPr>
    </w:p>
    <w:p w14:paraId="69468E08" w14:textId="77777777" w:rsidR="00C23EC5" w:rsidRDefault="00C23EC5">
      <w:pPr>
        <w:pStyle w:val="Default"/>
        <w:suppressAutoHyphens/>
        <w:spacing w:before="0" w:line="360" w:lineRule="auto"/>
        <w:rPr>
          <w:rFonts w:ascii="Times Roman" w:eastAsia="Times Roman" w:hAnsi="Times Roman" w:cs="Times Roman"/>
          <w:color w:val="808080"/>
        </w:rPr>
      </w:pPr>
    </w:p>
    <w:p w14:paraId="52C3BC4C" w14:textId="77777777" w:rsidR="00C23EC5" w:rsidRDefault="00C23EC5">
      <w:pPr>
        <w:pStyle w:val="Default"/>
        <w:suppressAutoHyphens/>
        <w:spacing w:before="0" w:line="360" w:lineRule="auto"/>
        <w:rPr>
          <w:rFonts w:ascii="Times Roman" w:eastAsia="Times Roman" w:hAnsi="Times Roman" w:cs="Times Roman"/>
          <w:color w:val="808080"/>
        </w:rPr>
      </w:pPr>
    </w:p>
    <w:p w14:paraId="3A1B7EF6"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fr-FR"/>
        </w:rPr>
        <w:t xml:space="preserve">Reference </w:t>
      </w:r>
      <w:proofErr w:type="spellStart"/>
      <w:r>
        <w:rPr>
          <w:rFonts w:ascii="Times Roman" w:hAnsi="Times Roman"/>
          <w:color w:val="808080"/>
          <w:lang w:val="fr-FR"/>
        </w:rPr>
        <w:t>list</w:t>
      </w:r>
      <w:proofErr w:type="spellEnd"/>
      <w:r>
        <w:rPr>
          <w:rFonts w:ascii="Times Roman" w:hAnsi="Times Roman"/>
          <w:color w:val="808080"/>
          <w:lang w:val="en-US"/>
        </w:rPr>
        <w:t>.</w:t>
      </w:r>
    </w:p>
    <w:p w14:paraId="4BE2648E" w14:textId="77777777" w:rsidR="00C23EC5" w:rsidRDefault="00C23EC5">
      <w:pPr>
        <w:pStyle w:val="Default"/>
        <w:suppressAutoHyphens/>
        <w:spacing w:before="0" w:line="360" w:lineRule="auto"/>
        <w:rPr>
          <w:rFonts w:ascii="Times Roman" w:eastAsia="Times Roman" w:hAnsi="Times Roman" w:cs="Times Roman"/>
          <w:color w:val="808080"/>
        </w:rPr>
      </w:pPr>
    </w:p>
    <w:p w14:paraId="47387679"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Aylward, M., Phiilips, C. and Howson, H. (2013). simply Prudent Healthcare - achieving better care and value for money In Wales - discussion paper. [online] CTR </w:t>
      </w:r>
      <w:proofErr w:type="gramStart"/>
      <w:r>
        <w:rPr>
          <w:rFonts w:ascii="Times Roman" w:hAnsi="Times Roman"/>
          <w:color w:val="808080"/>
          <w:lang w:val="en-US"/>
        </w:rPr>
        <w:t>Training .</w:t>
      </w:r>
      <w:proofErr w:type="gramEnd"/>
      <w:r>
        <w:rPr>
          <w:rFonts w:ascii="Times Roman" w:hAnsi="Times Roman"/>
          <w:color w:val="808080"/>
          <w:lang w:val="en-US"/>
        </w:rPr>
        <w:t xml:space="preserve"> Bevan </w:t>
      </w:r>
      <w:proofErr w:type="gramStart"/>
      <w:r>
        <w:rPr>
          <w:rFonts w:ascii="Times Roman" w:hAnsi="Times Roman"/>
          <w:color w:val="808080"/>
          <w:lang w:val="en-US"/>
        </w:rPr>
        <w:t>Commission .</w:t>
      </w:r>
      <w:proofErr w:type="gramEnd"/>
      <w:r>
        <w:rPr>
          <w:rFonts w:ascii="Times Roman" w:hAnsi="Times Roman"/>
          <w:color w:val="808080"/>
          <w:lang w:val="en-US"/>
        </w:rPr>
        <w:t xml:space="preserve"> Available at: https://ctrtraining.co.uk/documents/BevanCommissionSimplyPrudentHealthcarev104122013.pdf [Accessed 21 Mar. 2025</w:t>
      </w:r>
      <w:r>
        <w:rPr>
          <w:rFonts w:ascii="Times Roman" w:hAnsi="Times Roman"/>
          <w:color w:val="808080"/>
          <w:lang w:val="pt-PT"/>
        </w:rPr>
        <w:t>].</w:t>
      </w:r>
    </w:p>
    <w:p w14:paraId="5C25E675" w14:textId="77777777" w:rsidR="00C23EC5" w:rsidRDefault="00C23EC5">
      <w:pPr>
        <w:pStyle w:val="Default"/>
        <w:suppressAutoHyphens/>
        <w:spacing w:before="0" w:line="360" w:lineRule="auto"/>
        <w:rPr>
          <w:rFonts w:ascii="Times Roman" w:eastAsia="Times Roman" w:hAnsi="Times Roman" w:cs="Times Roman"/>
          <w:color w:val="808080"/>
        </w:rPr>
      </w:pPr>
    </w:p>
    <w:p w14:paraId="350702ED"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Burnes, B. (2004). Kurt Lewin and the Planned Approach to Change: A Re-Appraisal. Journal of Management Studies, 41(6), pp.977</w:t>
      </w:r>
      <w:r>
        <w:rPr>
          <w:rFonts w:ascii="Times Roman" w:hAnsi="Times Roman"/>
          <w:color w:val="808080"/>
        </w:rPr>
        <w:t>–</w:t>
      </w:r>
      <w:r>
        <w:rPr>
          <w:rFonts w:ascii="Times Roman" w:hAnsi="Times Roman"/>
          <w:color w:val="808080"/>
          <w:lang w:val="en-US"/>
        </w:rPr>
        <w:t xml:space="preserve">1002. </w:t>
      </w:r>
      <w:proofErr w:type="spellStart"/>
      <w:proofErr w:type="gramStart"/>
      <w:r>
        <w:rPr>
          <w:rFonts w:ascii="Times Roman" w:hAnsi="Times Roman"/>
          <w:color w:val="808080"/>
          <w:lang w:val="en-US"/>
        </w:rPr>
        <w:t>doi:https</w:t>
      </w:r>
      <w:proofErr w:type="spellEnd"/>
      <w:r>
        <w:rPr>
          <w:rFonts w:ascii="Times Roman" w:hAnsi="Times Roman"/>
          <w:color w:val="808080"/>
          <w:lang w:val="en-US"/>
        </w:rPr>
        <w:t>://doi.org/10.1111/j.1467-6486.2004.00463.x</w:t>
      </w:r>
      <w:proofErr w:type="gramEnd"/>
      <w:r>
        <w:rPr>
          <w:rFonts w:ascii="Times Roman" w:hAnsi="Times Roman"/>
          <w:color w:val="808080"/>
          <w:lang w:val="en-US"/>
        </w:rPr>
        <w:t>.</w:t>
      </w:r>
    </w:p>
    <w:p w14:paraId="69081191"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Cottrell, S. (2023). Critical thinking </w:t>
      </w:r>
      <w:proofErr w:type="gramStart"/>
      <w:r>
        <w:rPr>
          <w:rFonts w:ascii="Times Roman" w:hAnsi="Times Roman"/>
          <w:color w:val="808080"/>
          <w:lang w:val="en-US"/>
        </w:rPr>
        <w:t>skills :</w:t>
      </w:r>
      <w:proofErr w:type="gramEnd"/>
      <w:r>
        <w:rPr>
          <w:rFonts w:ascii="Times Roman" w:hAnsi="Times Roman"/>
          <w:color w:val="808080"/>
          <w:lang w:val="en-US"/>
        </w:rPr>
        <w:t xml:space="preserve"> developing effective analysis and argument. 2nd ed. Basingstoke: Palgrave Macmillan.</w:t>
      </w:r>
    </w:p>
    <w:p w14:paraId="7596CED9" w14:textId="77777777" w:rsidR="00C23EC5" w:rsidRDefault="00C23EC5">
      <w:pPr>
        <w:pStyle w:val="Default"/>
        <w:suppressAutoHyphens/>
        <w:spacing w:before="0" w:line="360" w:lineRule="auto"/>
        <w:rPr>
          <w:rFonts w:ascii="Times Roman" w:eastAsia="Times Roman" w:hAnsi="Times Roman" w:cs="Times Roman"/>
          <w:color w:val="808080"/>
        </w:rPr>
      </w:pPr>
    </w:p>
    <w:p w14:paraId="358A5F9B"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Denison, D., Nieminen, L. and Kotrba, L. (2012a). Diagnosing organizational cultures: A conceptual and empirical review of culture effectiveness surveys. European Journal of Work and Organizational Psychology, 23(1), pp.145</w:t>
      </w:r>
      <w:r>
        <w:rPr>
          <w:rFonts w:ascii="Times Roman" w:hAnsi="Times Roman"/>
          <w:color w:val="808080"/>
        </w:rPr>
        <w:t>–</w:t>
      </w:r>
      <w:r>
        <w:rPr>
          <w:rFonts w:ascii="Times Roman" w:hAnsi="Times Roman"/>
          <w:color w:val="808080"/>
          <w:lang w:val="pt-PT"/>
        </w:rPr>
        <w:t xml:space="preserve">161. </w:t>
      </w:r>
      <w:proofErr w:type="spellStart"/>
      <w:proofErr w:type="gramStart"/>
      <w:r>
        <w:rPr>
          <w:rFonts w:ascii="Times Roman" w:hAnsi="Times Roman"/>
          <w:color w:val="808080"/>
          <w:lang w:val="pt-PT"/>
        </w:rPr>
        <w:t>doi:https</w:t>
      </w:r>
      <w:proofErr w:type="spellEnd"/>
      <w:r>
        <w:rPr>
          <w:rFonts w:ascii="Times Roman" w:hAnsi="Times Roman"/>
          <w:color w:val="808080"/>
          <w:lang w:val="pt-PT"/>
        </w:rPr>
        <w:t>://doi.org/10.1080/1359432x.2012.713173</w:t>
      </w:r>
      <w:proofErr w:type="gramEnd"/>
      <w:r>
        <w:rPr>
          <w:rFonts w:ascii="Times Roman" w:hAnsi="Times Roman"/>
          <w:color w:val="808080"/>
          <w:lang w:val="pt-PT"/>
        </w:rPr>
        <w:t>.</w:t>
      </w:r>
    </w:p>
    <w:p w14:paraId="1882920E" w14:textId="77777777" w:rsidR="00C23EC5" w:rsidRDefault="00C23EC5">
      <w:pPr>
        <w:pStyle w:val="Default"/>
        <w:suppressAutoHyphens/>
        <w:spacing w:before="0" w:line="360" w:lineRule="auto"/>
        <w:rPr>
          <w:rFonts w:ascii="Times Roman" w:eastAsia="Times Roman" w:hAnsi="Times Roman" w:cs="Times Roman"/>
          <w:color w:val="808080"/>
        </w:rPr>
      </w:pPr>
    </w:p>
    <w:p w14:paraId="6429E745"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Gibbs, G. (1988). Learning by doing: A guide to teaching and learning methods. Oxford: Further Education Unit.</w:t>
      </w:r>
    </w:p>
    <w:p w14:paraId="369A2725" w14:textId="77777777" w:rsidR="00C23EC5" w:rsidRDefault="00C23EC5">
      <w:pPr>
        <w:pStyle w:val="Default"/>
        <w:suppressAutoHyphens/>
        <w:spacing w:before="0" w:line="360" w:lineRule="auto"/>
        <w:rPr>
          <w:rFonts w:ascii="Times Roman" w:eastAsia="Times Roman" w:hAnsi="Times Roman" w:cs="Times Roman"/>
          <w:color w:val="808080"/>
        </w:rPr>
      </w:pPr>
    </w:p>
    <w:p w14:paraId="52DC918E" w14:textId="77777777" w:rsidR="00C23EC5" w:rsidRDefault="00000000">
      <w:pPr>
        <w:pStyle w:val="Default"/>
        <w:suppressAutoHyphens/>
        <w:spacing w:before="0" w:line="360" w:lineRule="auto"/>
        <w:rPr>
          <w:rFonts w:ascii="Times Roman" w:eastAsia="Times Roman" w:hAnsi="Times Roman" w:cs="Times Roman"/>
          <w:color w:val="808080"/>
        </w:rPr>
      </w:pPr>
      <w:proofErr w:type="spellStart"/>
      <w:r>
        <w:rPr>
          <w:rFonts w:ascii="Times Roman" w:hAnsi="Times Roman"/>
          <w:color w:val="808080"/>
          <w:lang w:val="en-US"/>
        </w:rPr>
        <w:lastRenderedPageBreak/>
        <w:t>Hasselqvist</w:t>
      </w:r>
      <w:proofErr w:type="spellEnd"/>
      <w:r>
        <w:rPr>
          <w:rFonts w:ascii="Times Roman" w:hAnsi="Times Roman"/>
          <w:color w:val="808080"/>
          <w:lang w:val="en-US"/>
        </w:rPr>
        <w:t xml:space="preserve">-Ax, I., Riva, G., Herlitz, J., Rosenqvist, M., Hollenberg, J., Nordberg, P., </w:t>
      </w:r>
      <w:proofErr w:type="spellStart"/>
      <w:r>
        <w:rPr>
          <w:rFonts w:ascii="Times Roman" w:hAnsi="Times Roman"/>
          <w:color w:val="808080"/>
          <w:lang w:val="en-US"/>
        </w:rPr>
        <w:t>Ringh</w:t>
      </w:r>
      <w:proofErr w:type="spellEnd"/>
      <w:r>
        <w:rPr>
          <w:rFonts w:ascii="Times Roman" w:hAnsi="Times Roman"/>
          <w:color w:val="808080"/>
          <w:lang w:val="en-US"/>
        </w:rPr>
        <w:t>, M., Jonsson, M., Axelsson, C., Lindqvist, J., Karlsson, T. and Svensson, L. (2015). Early Cardiopulmonary Resuscitation in Out-of-Hospital Cardiac Arrest. New England Journal of Medicine, [online] 372(24), pp.2307</w:t>
      </w:r>
      <w:r>
        <w:rPr>
          <w:rFonts w:ascii="Times Roman" w:hAnsi="Times Roman"/>
          <w:color w:val="808080"/>
        </w:rPr>
        <w:t xml:space="preserve">–2315. </w:t>
      </w:r>
      <w:proofErr w:type="spellStart"/>
      <w:proofErr w:type="gramStart"/>
      <w:r>
        <w:rPr>
          <w:rFonts w:ascii="Times Roman" w:hAnsi="Times Roman"/>
          <w:color w:val="808080"/>
        </w:rPr>
        <w:t>doi:https</w:t>
      </w:r>
      <w:proofErr w:type="spellEnd"/>
      <w:r>
        <w:rPr>
          <w:rFonts w:ascii="Times Roman" w:hAnsi="Times Roman"/>
          <w:color w:val="808080"/>
        </w:rPr>
        <w:t>://doi.org/10.1056/nejmoa1405796</w:t>
      </w:r>
      <w:proofErr w:type="gramEnd"/>
      <w:r>
        <w:rPr>
          <w:rFonts w:ascii="Times Roman" w:hAnsi="Times Roman"/>
          <w:color w:val="808080"/>
        </w:rPr>
        <w:t>.</w:t>
      </w:r>
    </w:p>
    <w:p w14:paraId="72C8C9A0"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Knowles, M.S., Holton III, E.F., Swanson, R.A. and Robinson, P.A. (2020). The adult </w:t>
      </w:r>
      <w:proofErr w:type="gramStart"/>
      <w:r>
        <w:rPr>
          <w:rFonts w:ascii="Times Roman" w:hAnsi="Times Roman"/>
          <w:color w:val="808080"/>
          <w:lang w:val="en-US"/>
        </w:rPr>
        <w:t>learner :</w:t>
      </w:r>
      <w:proofErr w:type="gramEnd"/>
      <w:r>
        <w:rPr>
          <w:rFonts w:ascii="Times Roman" w:hAnsi="Times Roman"/>
          <w:color w:val="808080"/>
          <w:lang w:val="en-US"/>
        </w:rPr>
        <w:t xml:space="preserve"> The definitive classic in adult education and human resource development. 9th ed. Milton Park, Abingdon, </w:t>
      </w:r>
      <w:proofErr w:type="gramStart"/>
      <w:r>
        <w:rPr>
          <w:rFonts w:ascii="Times Roman" w:hAnsi="Times Roman"/>
          <w:color w:val="808080"/>
          <w:lang w:val="en-US"/>
        </w:rPr>
        <w:t>Oxon ;</w:t>
      </w:r>
      <w:proofErr w:type="gramEnd"/>
      <w:r>
        <w:rPr>
          <w:rFonts w:ascii="Times Roman" w:hAnsi="Times Roman"/>
          <w:color w:val="808080"/>
          <w:lang w:val="en-US"/>
        </w:rPr>
        <w:t xml:space="preserve"> New York, Ny: Routledge, Cop.</w:t>
      </w:r>
    </w:p>
    <w:p w14:paraId="1BEC058D" w14:textId="77777777" w:rsidR="00C23EC5" w:rsidRDefault="00C23EC5">
      <w:pPr>
        <w:pStyle w:val="Default"/>
        <w:suppressAutoHyphens/>
        <w:spacing w:before="0" w:line="360" w:lineRule="auto"/>
        <w:rPr>
          <w:rFonts w:ascii="Times Roman" w:eastAsia="Times Roman" w:hAnsi="Times Roman" w:cs="Times Roman"/>
          <w:color w:val="808080"/>
        </w:rPr>
      </w:pPr>
    </w:p>
    <w:p w14:paraId="489DA09A"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Kotter, J.P. (1996). Leading change. Boston, Mass.: Harvard Business School Press.</w:t>
      </w:r>
    </w:p>
    <w:p w14:paraId="62271E7E" w14:textId="77777777" w:rsidR="00C23EC5" w:rsidRDefault="00C23EC5">
      <w:pPr>
        <w:pStyle w:val="Default"/>
        <w:suppressAutoHyphens/>
        <w:spacing w:before="0" w:line="360" w:lineRule="auto"/>
        <w:rPr>
          <w:rFonts w:ascii="Times Roman" w:eastAsia="Times Roman" w:hAnsi="Times Roman" w:cs="Times Roman"/>
          <w:color w:val="808080"/>
        </w:rPr>
      </w:pPr>
    </w:p>
    <w:p w14:paraId="11C9ACDB"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Moon, J.A. (2004). A Handbook of Reflective and Experiential </w:t>
      </w:r>
      <w:proofErr w:type="gramStart"/>
      <w:r>
        <w:rPr>
          <w:rFonts w:ascii="Times Roman" w:hAnsi="Times Roman"/>
          <w:color w:val="808080"/>
          <w:lang w:val="en-US"/>
        </w:rPr>
        <w:t>Learning :</w:t>
      </w:r>
      <w:proofErr w:type="gramEnd"/>
      <w:r>
        <w:rPr>
          <w:rFonts w:ascii="Times Roman" w:hAnsi="Times Roman"/>
          <w:color w:val="808080"/>
          <w:lang w:val="en-US"/>
        </w:rPr>
        <w:t xml:space="preserve"> Theory and Practice. Hoboken: Taylor and Francis.</w:t>
      </w:r>
    </w:p>
    <w:p w14:paraId="00F90250" w14:textId="77777777" w:rsidR="00C23EC5" w:rsidRDefault="00C23EC5">
      <w:pPr>
        <w:pStyle w:val="Default"/>
        <w:suppressAutoHyphens/>
        <w:spacing w:before="0" w:line="360" w:lineRule="auto"/>
        <w:rPr>
          <w:rFonts w:ascii="Times Roman" w:eastAsia="Times Roman" w:hAnsi="Times Roman" w:cs="Times Roman"/>
          <w:color w:val="808080"/>
        </w:rPr>
      </w:pPr>
    </w:p>
    <w:p w14:paraId="6BDA65BE"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NHS Institute for Innovation and Improvement2008 (2008). The NHS Change Model: Organisational Health and Sustainability Framework. </w:t>
      </w:r>
      <w:proofErr w:type="gramStart"/>
      <w:r>
        <w:rPr>
          <w:rFonts w:ascii="Times Roman" w:hAnsi="Times Roman"/>
          <w:color w:val="808080"/>
          <w:lang w:val="en-US"/>
        </w:rPr>
        <w:t>Coventry :</w:t>
      </w:r>
      <w:proofErr w:type="gramEnd"/>
      <w:r>
        <w:rPr>
          <w:rFonts w:ascii="Times Roman" w:hAnsi="Times Roman"/>
          <w:color w:val="808080"/>
          <w:lang w:val="en-US"/>
        </w:rPr>
        <w:t xml:space="preserve"> NHS Institute for Innovation and Improvement.</w:t>
      </w:r>
    </w:p>
    <w:p w14:paraId="347E0A15" w14:textId="77777777" w:rsidR="00C23EC5" w:rsidRDefault="00C23EC5">
      <w:pPr>
        <w:pStyle w:val="Default"/>
        <w:suppressAutoHyphens/>
        <w:spacing w:before="0" w:line="360" w:lineRule="auto"/>
        <w:rPr>
          <w:rFonts w:ascii="Times Roman" w:eastAsia="Times Roman" w:hAnsi="Times Roman" w:cs="Times Roman"/>
          <w:color w:val="808080"/>
        </w:rPr>
      </w:pPr>
    </w:p>
    <w:p w14:paraId="6255A7C3"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rPr>
        <w:t xml:space="preserve">Perkins, G.D., Jacobs, I.G., </w:t>
      </w:r>
      <w:proofErr w:type="spellStart"/>
      <w:r>
        <w:rPr>
          <w:rFonts w:ascii="Times Roman" w:hAnsi="Times Roman"/>
          <w:color w:val="808080"/>
        </w:rPr>
        <w:t>Nadkarni</w:t>
      </w:r>
      <w:proofErr w:type="spellEnd"/>
      <w:r>
        <w:rPr>
          <w:rFonts w:ascii="Times Roman" w:hAnsi="Times Roman"/>
          <w:color w:val="808080"/>
        </w:rPr>
        <w:t xml:space="preserve">, V.M., Berg, R.A., </w:t>
      </w:r>
      <w:proofErr w:type="spellStart"/>
      <w:r>
        <w:rPr>
          <w:rFonts w:ascii="Times Roman" w:hAnsi="Times Roman"/>
          <w:color w:val="808080"/>
        </w:rPr>
        <w:t>Bhanji</w:t>
      </w:r>
      <w:proofErr w:type="spellEnd"/>
      <w:r>
        <w:rPr>
          <w:rFonts w:ascii="Times Roman" w:hAnsi="Times Roman"/>
          <w:color w:val="808080"/>
        </w:rPr>
        <w:t xml:space="preserve">, F., </w:t>
      </w:r>
      <w:proofErr w:type="spellStart"/>
      <w:r>
        <w:rPr>
          <w:rFonts w:ascii="Times Roman" w:hAnsi="Times Roman"/>
          <w:color w:val="808080"/>
        </w:rPr>
        <w:t>Biarent</w:t>
      </w:r>
      <w:proofErr w:type="spellEnd"/>
      <w:r>
        <w:rPr>
          <w:rFonts w:ascii="Times Roman" w:hAnsi="Times Roman"/>
          <w:color w:val="808080"/>
        </w:rPr>
        <w:t xml:space="preserve">, D., </w:t>
      </w:r>
      <w:proofErr w:type="spellStart"/>
      <w:r>
        <w:rPr>
          <w:rFonts w:ascii="Times Roman" w:hAnsi="Times Roman"/>
          <w:color w:val="808080"/>
        </w:rPr>
        <w:t>Bossaert</w:t>
      </w:r>
      <w:proofErr w:type="spellEnd"/>
      <w:r>
        <w:rPr>
          <w:rFonts w:ascii="Times Roman" w:hAnsi="Times Roman"/>
          <w:color w:val="808080"/>
        </w:rPr>
        <w:t xml:space="preserve">, L.L., Brett, S.J., Chamberlain, D., de Caen, A.R., </w:t>
      </w:r>
      <w:proofErr w:type="spellStart"/>
      <w:r>
        <w:rPr>
          <w:rFonts w:ascii="Times Roman" w:hAnsi="Times Roman"/>
          <w:color w:val="808080"/>
        </w:rPr>
        <w:t>Deakin</w:t>
      </w:r>
      <w:proofErr w:type="spellEnd"/>
      <w:r>
        <w:rPr>
          <w:rFonts w:ascii="Times Roman" w:hAnsi="Times Roman"/>
          <w:color w:val="808080"/>
        </w:rPr>
        <w:t xml:space="preserve">, C.D., Finn, J.C., </w:t>
      </w:r>
      <w:proofErr w:type="spellStart"/>
      <w:r>
        <w:rPr>
          <w:rFonts w:ascii="Times Roman" w:hAnsi="Times Roman"/>
          <w:color w:val="808080"/>
        </w:rPr>
        <w:t>Grä</w:t>
      </w:r>
      <w:r>
        <w:rPr>
          <w:rFonts w:ascii="Times Roman" w:hAnsi="Times Roman"/>
          <w:color w:val="808080"/>
          <w:lang w:val="en-US"/>
        </w:rPr>
        <w:t>sner</w:t>
      </w:r>
      <w:proofErr w:type="spellEnd"/>
      <w:r>
        <w:rPr>
          <w:rFonts w:ascii="Times Roman" w:hAnsi="Times Roman"/>
          <w:color w:val="808080"/>
          <w:lang w:val="en-US"/>
        </w:rPr>
        <w:t xml:space="preserve">, J.-T., Hazinski, M.F., Iwami, T., Koster, R.W., Lim, S.H., Huei-Ming Ma, M., McNally, B.F. and Morley, P.T. (2015). Cardiac Arrest and Cardiopulmonary Resuscitation Outcome Reports: Update of the </w:t>
      </w:r>
      <w:proofErr w:type="spellStart"/>
      <w:r>
        <w:rPr>
          <w:rFonts w:ascii="Times Roman" w:hAnsi="Times Roman"/>
          <w:color w:val="808080"/>
          <w:lang w:val="en-US"/>
        </w:rPr>
        <w:t>Utstein</w:t>
      </w:r>
      <w:proofErr w:type="spellEnd"/>
      <w:r>
        <w:rPr>
          <w:rFonts w:ascii="Times Roman" w:hAnsi="Times Roman"/>
          <w:color w:val="808080"/>
          <w:lang w:val="en-US"/>
        </w:rPr>
        <w:t xml:space="preserve"> Resuscitation Registry Templates for Out-of-Hospital Cardiac Arrest. Circulation, 132(13), pp.1286</w:t>
      </w:r>
      <w:r>
        <w:rPr>
          <w:rFonts w:ascii="Times Roman" w:hAnsi="Times Roman"/>
          <w:color w:val="808080"/>
        </w:rPr>
        <w:t>–</w:t>
      </w:r>
      <w:r>
        <w:rPr>
          <w:rFonts w:ascii="Times Roman" w:hAnsi="Times Roman"/>
          <w:color w:val="808080"/>
          <w:lang w:val="pt-PT"/>
        </w:rPr>
        <w:t xml:space="preserve">1300. </w:t>
      </w:r>
      <w:proofErr w:type="spellStart"/>
      <w:proofErr w:type="gramStart"/>
      <w:r>
        <w:rPr>
          <w:rFonts w:ascii="Times Roman" w:hAnsi="Times Roman"/>
          <w:color w:val="808080"/>
          <w:lang w:val="pt-PT"/>
        </w:rPr>
        <w:t>doi:https</w:t>
      </w:r>
      <w:proofErr w:type="spellEnd"/>
      <w:r>
        <w:rPr>
          <w:rFonts w:ascii="Times Roman" w:hAnsi="Times Roman"/>
          <w:color w:val="808080"/>
          <w:lang w:val="pt-PT"/>
        </w:rPr>
        <w:t>://doi.org/10.1161/cir.0000000000000144</w:t>
      </w:r>
      <w:proofErr w:type="gramEnd"/>
      <w:r>
        <w:rPr>
          <w:rFonts w:ascii="Times Roman" w:hAnsi="Times Roman"/>
          <w:color w:val="808080"/>
          <w:lang w:val="pt-PT"/>
        </w:rPr>
        <w:t>.</w:t>
      </w:r>
    </w:p>
    <w:p w14:paraId="0B11BF68" w14:textId="77777777" w:rsidR="00C23EC5" w:rsidRDefault="00C23EC5">
      <w:pPr>
        <w:pStyle w:val="Default"/>
        <w:suppressAutoHyphens/>
        <w:spacing w:before="0" w:line="360" w:lineRule="auto"/>
        <w:rPr>
          <w:rFonts w:ascii="Times Roman" w:eastAsia="Times Roman" w:hAnsi="Times Roman" w:cs="Times Roman"/>
          <w:color w:val="808080"/>
        </w:rPr>
      </w:pPr>
    </w:p>
    <w:p w14:paraId="42E8AAE9" w14:textId="77777777" w:rsidR="00C23EC5" w:rsidRDefault="00000000">
      <w:pPr>
        <w:pStyle w:val="Default"/>
        <w:suppressAutoHyphens/>
        <w:spacing w:before="0" w:line="360" w:lineRule="auto"/>
        <w:rPr>
          <w:rFonts w:ascii="Times Roman" w:eastAsia="Times Roman" w:hAnsi="Times Roman" w:cs="Times Roman"/>
          <w:color w:val="808080"/>
        </w:rPr>
      </w:pPr>
      <w:proofErr w:type="spellStart"/>
      <w:r>
        <w:rPr>
          <w:rFonts w:ascii="Times Roman" w:hAnsi="Times Roman"/>
          <w:color w:val="808080"/>
          <w:lang w:val="de-DE"/>
        </w:rPr>
        <w:t>Sch</w:t>
      </w:r>
      <w:proofErr w:type="spellEnd"/>
      <w:r>
        <w:rPr>
          <w:rFonts w:ascii="Times Roman" w:hAnsi="Times Roman"/>
          <w:color w:val="808080"/>
          <w:lang w:val="sv-SE"/>
        </w:rPr>
        <w:t>ö</w:t>
      </w:r>
      <w:r>
        <w:rPr>
          <w:rFonts w:ascii="Times Roman" w:hAnsi="Times Roman"/>
          <w:color w:val="808080"/>
          <w:lang w:val="en-US"/>
        </w:rPr>
        <w:t>n, D.A. (1983). The Reflective Practitioner: How Professionals Think in action. London: Temple Smith.</w:t>
      </w:r>
    </w:p>
    <w:p w14:paraId="72F173F9" w14:textId="77777777" w:rsidR="00C23EC5" w:rsidRDefault="00C23EC5">
      <w:pPr>
        <w:pStyle w:val="Default"/>
        <w:suppressAutoHyphens/>
        <w:spacing w:before="0" w:line="360" w:lineRule="auto"/>
        <w:rPr>
          <w:rFonts w:ascii="Times Roman" w:eastAsia="Times Roman" w:hAnsi="Times Roman" w:cs="Times Roman"/>
          <w:color w:val="808080"/>
        </w:rPr>
      </w:pPr>
    </w:p>
    <w:p w14:paraId="33FB14AA"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Senge, P.M. (1990). The Fifth Discipline. Broadway Business.</w:t>
      </w:r>
    </w:p>
    <w:p w14:paraId="42548551" w14:textId="77777777" w:rsidR="00C23EC5" w:rsidRDefault="00C23EC5">
      <w:pPr>
        <w:pStyle w:val="Default"/>
        <w:suppressAutoHyphens/>
        <w:spacing w:before="0" w:line="360" w:lineRule="auto"/>
        <w:rPr>
          <w:rFonts w:ascii="Times Roman" w:eastAsia="Times Roman" w:hAnsi="Times Roman" w:cs="Times Roman"/>
          <w:color w:val="808080"/>
        </w:rPr>
      </w:pPr>
    </w:p>
    <w:p w14:paraId="3F8B39CF"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Van Brink-</w:t>
      </w:r>
      <w:proofErr w:type="spellStart"/>
      <w:r>
        <w:rPr>
          <w:rFonts w:ascii="Times Roman" w:hAnsi="Times Roman"/>
          <w:color w:val="808080"/>
          <w:lang w:val="en-US"/>
        </w:rPr>
        <w:t>Budgen</w:t>
      </w:r>
      <w:proofErr w:type="spellEnd"/>
      <w:r>
        <w:rPr>
          <w:rFonts w:ascii="Times Roman" w:hAnsi="Times Roman"/>
          <w:color w:val="808080"/>
          <w:lang w:val="en-US"/>
        </w:rPr>
        <w:t xml:space="preserve">, R. (2000). Critical Thinking for </w:t>
      </w:r>
      <w:proofErr w:type="gramStart"/>
      <w:r>
        <w:rPr>
          <w:rFonts w:ascii="Times Roman" w:hAnsi="Times Roman"/>
          <w:color w:val="808080"/>
          <w:lang w:val="en-US"/>
        </w:rPr>
        <w:t>Students :</w:t>
      </w:r>
      <w:proofErr w:type="gramEnd"/>
      <w:r>
        <w:rPr>
          <w:rFonts w:ascii="Times Roman" w:hAnsi="Times Roman"/>
          <w:color w:val="808080"/>
          <w:lang w:val="en-US"/>
        </w:rPr>
        <w:t xml:space="preserve"> learn the skills of critical assessment and effective argument. Oxford: How To Books.</w:t>
      </w:r>
    </w:p>
    <w:p w14:paraId="5B359BAE" w14:textId="77777777" w:rsidR="00C23EC5" w:rsidRDefault="00C23EC5">
      <w:pPr>
        <w:pStyle w:val="Default"/>
        <w:suppressAutoHyphens/>
        <w:spacing w:before="0" w:line="360" w:lineRule="auto"/>
        <w:rPr>
          <w:rFonts w:ascii="Times Roman" w:eastAsia="Times Roman" w:hAnsi="Times Roman" w:cs="Times Roman"/>
          <w:color w:val="808080"/>
        </w:rPr>
      </w:pPr>
    </w:p>
    <w:p w14:paraId="32A2481D"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Welsh Ambulance Services University NHS Trust (2023). Integrated Medium Term </w:t>
      </w:r>
      <w:proofErr w:type="gramStart"/>
      <w:r>
        <w:rPr>
          <w:rFonts w:ascii="Times Roman" w:hAnsi="Times Roman"/>
          <w:color w:val="808080"/>
          <w:lang w:val="en-US"/>
        </w:rPr>
        <w:t>Plan .</w:t>
      </w:r>
      <w:proofErr w:type="gramEnd"/>
      <w:r>
        <w:rPr>
          <w:rFonts w:ascii="Times Roman" w:hAnsi="Times Roman"/>
          <w:color w:val="808080"/>
          <w:lang w:val="en-US"/>
        </w:rPr>
        <w:t xml:space="preserve"> [online] Welsh Ambulance Services university NHS Trust integrated medium term </w:t>
      </w:r>
      <w:proofErr w:type="gramStart"/>
      <w:r>
        <w:rPr>
          <w:rFonts w:ascii="Times Roman" w:hAnsi="Times Roman"/>
          <w:color w:val="808080"/>
          <w:lang w:val="en-US"/>
        </w:rPr>
        <w:t>plan .</w:t>
      </w:r>
      <w:proofErr w:type="gramEnd"/>
      <w:r>
        <w:rPr>
          <w:rFonts w:ascii="Times Roman" w:hAnsi="Times Roman"/>
          <w:color w:val="808080"/>
          <w:lang w:val="en-US"/>
        </w:rPr>
        <w:t xml:space="preserve"> </w:t>
      </w:r>
      <w:proofErr w:type="gramStart"/>
      <w:r>
        <w:rPr>
          <w:rFonts w:ascii="Times Roman" w:hAnsi="Times Roman"/>
          <w:color w:val="808080"/>
          <w:lang w:val="en-US"/>
        </w:rPr>
        <w:t>Cwmbran :</w:t>
      </w:r>
      <w:proofErr w:type="gramEnd"/>
      <w:r>
        <w:rPr>
          <w:rFonts w:ascii="Times Roman" w:hAnsi="Times Roman"/>
          <w:color w:val="808080"/>
          <w:lang w:val="en-US"/>
        </w:rPr>
        <w:t xml:space="preserve"> Welsh Ambulance Services University NHS </w:t>
      </w:r>
      <w:proofErr w:type="gramStart"/>
      <w:r>
        <w:rPr>
          <w:rFonts w:ascii="Times Roman" w:hAnsi="Times Roman"/>
          <w:color w:val="808080"/>
          <w:lang w:val="en-US"/>
        </w:rPr>
        <w:t>Trust .</w:t>
      </w:r>
      <w:proofErr w:type="gramEnd"/>
      <w:r>
        <w:rPr>
          <w:rFonts w:ascii="Times Roman" w:hAnsi="Times Roman"/>
          <w:color w:val="808080"/>
          <w:lang w:val="en-US"/>
        </w:rPr>
        <w:t xml:space="preserve"> Available at: </w:t>
      </w:r>
      <w:r>
        <w:rPr>
          <w:rFonts w:ascii="Times Roman" w:hAnsi="Times Roman"/>
          <w:color w:val="808080"/>
          <w:lang w:val="en-US"/>
        </w:rPr>
        <w:lastRenderedPageBreak/>
        <w:t>https://ambulance.nhs.wales/files/publications/strategies-and-plans/imtp-public-summary-may-2023/ [Accessed 12 Mar. 2025].</w:t>
      </w:r>
    </w:p>
    <w:p w14:paraId="16B55B93" w14:textId="77777777" w:rsidR="00C23EC5" w:rsidRDefault="00C23EC5">
      <w:pPr>
        <w:pStyle w:val="Default"/>
        <w:suppressAutoHyphens/>
        <w:spacing w:before="0" w:line="360" w:lineRule="auto"/>
        <w:rPr>
          <w:rFonts w:ascii="Times Roman" w:eastAsia="Times Roman" w:hAnsi="Times Roman" w:cs="Times Roman"/>
          <w:color w:val="808080"/>
        </w:rPr>
      </w:pPr>
    </w:p>
    <w:p w14:paraId="4686E47A"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Welsh Government (2023). Digital and Data Strategy for Health and Social Care in Wales. [online] Cardiff: Welsh </w:t>
      </w:r>
      <w:proofErr w:type="gramStart"/>
      <w:r>
        <w:rPr>
          <w:rFonts w:ascii="Times Roman" w:hAnsi="Times Roman"/>
          <w:color w:val="808080"/>
          <w:lang w:val="en-US"/>
        </w:rPr>
        <w:t>Government .</w:t>
      </w:r>
      <w:proofErr w:type="gramEnd"/>
      <w:r>
        <w:rPr>
          <w:rFonts w:ascii="Times Roman" w:hAnsi="Times Roman"/>
          <w:color w:val="808080"/>
          <w:lang w:val="en-US"/>
        </w:rPr>
        <w:t xml:space="preserve"> Available at: https://www.gov.wales/digital-and-data-strategy-health-and-social-care-wales-html [Accessed 15 Apr. 2025].</w:t>
      </w:r>
    </w:p>
    <w:p w14:paraId="3FF80080" w14:textId="77777777" w:rsidR="00C23EC5" w:rsidRDefault="00C23EC5">
      <w:pPr>
        <w:pStyle w:val="Default"/>
        <w:suppressAutoHyphens/>
        <w:spacing w:before="0" w:line="360" w:lineRule="auto"/>
        <w:rPr>
          <w:rFonts w:ascii="Times Roman" w:eastAsia="Times Roman" w:hAnsi="Times Roman" w:cs="Times Roman"/>
          <w:color w:val="808080"/>
        </w:rPr>
      </w:pPr>
    </w:p>
    <w:p w14:paraId="283802B9" w14:textId="77777777" w:rsidR="00C23EC5" w:rsidRDefault="00000000">
      <w:pPr>
        <w:pStyle w:val="Default"/>
        <w:suppressAutoHyphens/>
        <w:spacing w:before="0" w:line="360" w:lineRule="auto"/>
        <w:rPr>
          <w:rFonts w:ascii="Times Roman" w:eastAsia="Times Roman" w:hAnsi="Times Roman" w:cs="Times Roman"/>
          <w:color w:val="808080"/>
        </w:rPr>
      </w:pPr>
      <w:r>
        <w:rPr>
          <w:rFonts w:ascii="Times Roman" w:hAnsi="Times Roman"/>
          <w:color w:val="808080"/>
          <w:lang w:val="en-US"/>
        </w:rPr>
        <w:t xml:space="preserve">Welsh Government (2017). Out of Hospital Cardiac Arrest Plan. Cardiff: Welsh </w:t>
      </w:r>
      <w:proofErr w:type="gramStart"/>
      <w:r>
        <w:rPr>
          <w:rFonts w:ascii="Times Roman" w:hAnsi="Times Roman"/>
          <w:color w:val="808080"/>
          <w:lang w:val="en-US"/>
        </w:rPr>
        <w:t>Government .</w:t>
      </w:r>
      <w:proofErr w:type="gramEnd"/>
    </w:p>
    <w:p w14:paraId="07CD2CFB" w14:textId="77777777" w:rsidR="00C23EC5" w:rsidRDefault="00C23EC5">
      <w:pPr>
        <w:pStyle w:val="Body"/>
        <w:spacing w:line="360" w:lineRule="auto"/>
        <w:rPr>
          <w:rFonts w:ascii="Times Roman" w:eastAsia="Times Roman" w:hAnsi="Times Roman" w:cs="Times Roman"/>
          <w:sz w:val="24"/>
          <w:szCs w:val="24"/>
        </w:rPr>
      </w:pPr>
    </w:p>
    <w:p w14:paraId="65434E61" w14:textId="77777777" w:rsidR="00C23EC5" w:rsidRDefault="00C23EC5">
      <w:pPr>
        <w:pStyle w:val="Body"/>
        <w:spacing w:line="360" w:lineRule="auto"/>
      </w:pPr>
    </w:p>
    <w:sectPr w:rsidR="00C23EC5">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F41E0" w14:textId="77777777" w:rsidR="00396734" w:rsidRDefault="00396734">
      <w:r>
        <w:separator/>
      </w:r>
    </w:p>
  </w:endnote>
  <w:endnote w:type="continuationSeparator" w:id="0">
    <w:p w14:paraId="7D6EE6FB" w14:textId="77777777" w:rsidR="00396734" w:rsidRDefault="00396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Times Roman">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E2B46" w14:textId="77777777" w:rsidR="00C23EC5" w:rsidRDefault="00C23EC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DAD14" w14:textId="77777777" w:rsidR="00396734" w:rsidRDefault="00396734">
      <w:r>
        <w:separator/>
      </w:r>
    </w:p>
  </w:footnote>
  <w:footnote w:type="continuationSeparator" w:id="0">
    <w:p w14:paraId="554DF48C" w14:textId="77777777" w:rsidR="00396734" w:rsidRDefault="003967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BE674" w14:textId="77777777" w:rsidR="00C23EC5" w:rsidRDefault="00C23EC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93D10"/>
    <w:multiLevelType w:val="hybridMultilevel"/>
    <w:tmpl w:val="794E38D4"/>
    <w:styleLink w:val="Bullet"/>
    <w:lvl w:ilvl="0" w:tplc="9DDEF772">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tplc="9B1CFAD0">
      <w:start w:val="1"/>
      <w:numFmt w:val="bullet"/>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tplc="B33A3BF0">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E4344348">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tplc="A1AA6B42">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4BE88DC4">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04F216EC">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D19CE306">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1A50D58E">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15:restartNumberingAfterBreak="0">
    <w:nsid w:val="434D1AF2"/>
    <w:multiLevelType w:val="hybridMultilevel"/>
    <w:tmpl w:val="794E38D4"/>
    <w:numStyleLink w:val="Bullet"/>
  </w:abstractNum>
  <w:num w:numId="1" w16cid:durableId="705524756">
    <w:abstractNumId w:val="0"/>
  </w:num>
  <w:num w:numId="2" w16cid:durableId="2043480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oNotDisplayPageBoundaries/>
  <w:displayBackgroundShape/>
  <w:activeWritingStyle w:appName="MSWord" w:lang="en-US" w:vendorID="64" w:dllVersion="0" w:nlCheck="1" w:checkStyle="0"/>
  <w:activeWritingStyle w:appName="MSWord" w:lang="pt-PT" w:vendorID="64" w:dllVersion="0" w:nlCheck="1" w:checkStyle="0"/>
  <w:activeWritingStyle w:appName="MSWord" w:lang="it-IT"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EC5"/>
    <w:rsid w:val="00396734"/>
    <w:rsid w:val="004671F5"/>
    <w:rsid w:val="00983B70"/>
    <w:rsid w:val="00C23EC5"/>
    <w:rsid w:val="00D92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EFF65"/>
  <w15:docId w15:val="{1FAD98DA-49C5-9A4C-A21D-76264BFA1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numbering" w:customStyle="1" w:styleId="Bullet">
    <w:name w:val="Bullet"/>
    <w:pPr>
      <w:numPr>
        <w:numId w:val="1"/>
      </w:numPr>
    </w:pPr>
  </w:style>
  <w:style w:type="paragraph" w:customStyle="1" w:styleId="Default">
    <w:name w:val="Default"/>
    <w:pPr>
      <w:spacing w:before="160" w:line="288" w:lineRule="auto"/>
    </w:pPr>
    <w:rPr>
      <w:rFonts w:ascii="Helvetica Neue" w:hAnsi="Helvetica Neue" w:cs="Arial Unicode MS"/>
      <w:color w:val="000000"/>
      <w:sz w:val="24"/>
      <w:szCs w:val="24"/>
      <w:lang w:val="it-IT"/>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3771</Words>
  <Characters>21496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Philip Powell (2031096)</cp:lastModifiedBy>
  <cp:revision>2</cp:revision>
  <dcterms:created xsi:type="dcterms:W3CDTF">2025-05-03T13:12:00Z</dcterms:created>
  <dcterms:modified xsi:type="dcterms:W3CDTF">2025-05-03T13:28:00Z</dcterms:modified>
</cp:coreProperties>
</file>