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886D6" w14:textId="3C1B8B92" w:rsidR="00A307C1" w:rsidRPr="000261B1" w:rsidRDefault="00FF75BF" w:rsidP="00FF75BF">
      <w:pPr>
        <w:spacing w:after="0" w:line="0" w:lineRule="atLeast"/>
        <w:rPr>
          <w:rFonts w:ascii="Times New Roman" w:hAnsi="Times New Roman" w:cs="Times New Roman"/>
          <w:sz w:val="13"/>
          <w:szCs w:val="13"/>
        </w:rPr>
      </w:pPr>
      <w:r w:rsidRPr="000261B1">
        <w:rPr>
          <w:rFonts w:ascii="Times New Roman" w:hAnsi="Times New Roman" w:cs="Times New Roman"/>
          <w:b/>
          <w:bCs/>
          <w:sz w:val="13"/>
          <w:szCs w:val="13"/>
        </w:rPr>
        <w:t>Question 1</w:t>
      </w:r>
      <w:r w:rsidRPr="000261B1">
        <w:rPr>
          <w:rFonts w:ascii="Times New Roman" w:hAnsi="Times New Roman" w:cs="Times New Roman" w:hint="eastAsia"/>
          <w:b/>
          <w:bCs/>
          <w:sz w:val="13"/>
          <w:szCs w:val="13"/>
        </w:rPr>
        <w:t xml:space="preserve"> </w:t>
      </w:r>
      <w:r w:rsidRPr="000261B1">
        <w:rPr>
          <w:rFonts w:ascii="Times New Roman" w:hAnsi="Times New Roman" w:cs="Times New Roman"/>
          <w:b/>
          <w:bCs/>
          <w:sz w:val="13"/>
          <w:szCs w:val="13"/>
        </w:rPr>
        <w:t>Porter’s Five Forces</w:t>
      </w:r>
      <w:r w:rsidRPr="000261B1">
        <w:rPr>
          <w:rFonts w:ascii="Times New Roman" w:hAnsi="Times New Roman" w:cs="Times New Roman" w:hint="eastAsia"/>
          <w:sz w:val="13"/>
          <w:szCs w:val="13"/>
        </w:rPr>
        <w:t>：</w:t>
      </w:r>
      <w:r w:rsidRPr="000261B1">
        <w:rPr>
          <w:rFonts w:ascii="Times New Roman" w:hAnsi="Times New Roman" w:cs="Times New Roman"/>
          <w:sz w:val="13"/>
          <w:szCs w:val="13"/>
        </w:rPr>
        <w:t xml:space="preserve">Porter's Five Forces is a strategic model that was designed to analyze the industry structure and the competitive forces that affect the performance of a firm. According to Pervan, Curak and </w:t>
      </w:r>
      <w:proofErr w:type="spellStart"/>
      <w:r w:rsidRPr="000261B1">
        <w:rPr>
          <w:rFonts w:ascii="Times New Roman" w:hAnsi="Times New Roman" w:cs="Times New Roman"/>
          <w:sz w:val="13"/>
          <w:szCs w:val="13"/>
        </w:rPr>
        <w:t>Kramaric</w:t>
      </w:r>
      <w:proofErr w:type="spellEnd"/>
      <w:r w:rsidRPr="000261B1">
        <w:rPr>
          <w:rFonts w:ascii="Times New Roman" w:hAnsi="Times New Roman" w:cs="Times New Roman"/>
          <w:sz w:val="13"/>
          <w:szCs w:val="13"/>
        </w:rPr>
        <w:t xml:space="preserve"> (2017), there are five basic forces that determine the state of competition in an industry. This is a very popular framework as it connects strategic decision-making with the external environment, as well as long-term profitability. The model can be applied to the world non-alcoholic beverage industry with Coca-Cola as the case </w:t>
      </w:r>
      <w:proofErr w:type="spellStart"/>
      <w:r w:rsidRPr="000261B1">
        <w:rPr>
          <w:rFonts w:ascii="Times New Roman" w:hAnsi="Times New Roman" w:cs="Times New Roman"/>
          <w:sz w:val="13"/>
          <w:szCs w:val="13"/>
        </w:rPr>
        <w:t>organisation</w:t>
      </w:r>
      <w:proofErr w:type="spellEnd"/>
      <w:r w:rsidRPr="000261B1">
        <w:rPr>
          <w:rFonts w:ascii="Times New Roman" w:hAnsi="Times New Roman" w:cs="Times New Roman"/>
          <w:sz w:val="13"/>
          <w:szCs w:val="13"/>
        </w:rPr>
        <w:t>. Coca-Cola is present in more than 200 countries, and its revenue is more than 60% generated outside of the U.S. (Kalogeropoulos, 2024). The industry is undergoing structural change, however, as consumers' preferences for healthier drinks change. According to Euromonitor (2023), the world's carbonated soft drink volumes have increased at less than 1% per year during the last ten years, while bottled water and functional beverages have increased at a much higher pace. This slow growth creates the risk of having more competition and necessitates strategic analysis.</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Further, for carbonated beverages, the barrier to entry is low because of brand loyalty, distribution and economies of scale. According to Islami, Mustafa and </w:t>
      </w:r>
      <w:proofErr w:type="spellStart"/>
      <w:r w:rsidRPr="000261B1">
        <w:rPr>
          <w:rFonts w:ascii="Times New Roman" w:hAnsi="Times New Roman" w:cs="Times New Roman"/>
          <w:sz w:val="13"/>
          <w:szCs w:val="13"/>
        </w:rPr>
        <w:t>Topuzovska</w:t>
      </w:r>
      <w:proofErr w:type="spellEnd"/>
      <w:r w:rsidRPr="000261B1">
        <w:rPr>
          <w:rFonts w:ascii="Times New Roman" w:hAnsi="Times New Roman" w:cs="Times New Roman"/>
          <w:sz w:val="13"/>
          <w:szCs w:val="13"/>
        </w:rPr>
        <w:t xml:space="preserve"> (2020), a strong brand identity diminishes the chances of entry success. Coca-Cola's brand value is valued at more than $50 billion, which makes it one of the most valuable brands in the world (Sadiq, 2025). In health segments, however, the obstacles are </w:t>
      </w:r>
      <w:proofErr w:type="gramStart"/>
      <w:r w:rsidRPr="000261B1">
        <w:rPr>
          <w:rFonts w:ascii="Times New Roman" w:hAnsi="Times New Roman" w:cs="Times New Roman"/>
          <w:sz w:val="13"/>
          <w:szCs w:val="13"/>
        </w:rPr>
        <w:t>lower</w:t>
      </w:r>
      <w:proofErr w:type="gramEnd"/>
      <w:r w:rsidRPr="000261B1">
        <w:rPr>
          <w:rFonts w:ascii="Times New Roman" w:hAnsi="Times New Roman" w:cs="Times New Roman"/>
          <w:sz w:val="13"/>
          <w:szCs w:val="13"/>
        </w:rPr>
        <w:t xml:space="preserve"> and smaller companies can get in with organic, low-sugar or functional drinks. Niche products like kombucha and plant-based beverages have proven their value in the quick rise of these types of drinks. That means that Coca-Cola is required to expand into new products.</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The buying power of suppliers is low as the raw materials like sugar, water and packaging are made common commodities. But the regulations of the environment have come to influence the supplier in the field of packaging materials. Coca-Cola is extremely vulnerable to recycled material supply chains and sustainability demands, with a production of more than 3 million </w:t>
      </w:r>
      <w:proofErr w:type="spellStart"/>
      <w:r w:rsidRPr="000261B1">
        <w:rPr>
          <w:rFonts w:ascii="Times New Roman" w:hAnsi="Times New Roman" w:cs="Times New Roman"/>
          <w:sz w:val="13"/>
          <w:szCs w:val="13"/>
        </w:rPr>
        <w:t>tonnes</w:t>
      </w:r>
      <w:proofErr w:type="spellEnd"/>
      <w:r w:rsidRPr="000261B1">
        <w:rPr>
          <w:rFonts w:ascii="Times New Roman" w:hAnsi="Times New Roman" w:cs="Times New Roman"/>
          <w:sz w:val="13"/>
          <w:szCs w:val="13"/>
        </w:rPr>
        <w:t xml:space="preserve"> of plastic packaging each year (Laville, 2019). This pressure has prompted investment into recyclable packaging and the “World Without Waste” initiative, which will ensure that 100% of the bottles sold are collected and recycled by 2030 (The Coca-Cola Company, 2022). Following that, there is great buyer power when there are low switching costs, and there are strong alternatives available. Retailers also have a great amount of bargaining power as space is limited. According to Market Growth Reports (2026), the private label soft drinks market is more than 35% of the volume in Europe, which adds to price competition. Coca-Cola can be easily substituted by consumers with the competition, like Pepsi and other substitutes. This reduces the ability to price and encourages Coca-Cola to focus more on building a strong brand, advertising and emotional loyalty, and its global marketing spending is over $4 billion per year (Bragg et al., 2019).</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Moreover, one of the primary drivers in the industry is the fear of competition from substitutes. Substitutes include bottled water, coffee, tea, energy drinks, and low-sugar functional beverages. According to Euromonitor International (2023), bottled water is now the largest beverage category in terms of volume in the world, beating carbonated soft drinks. Sugar consumption increases with health issues, too, as the World Health </w:t>
      </w:r>
      <w:proofErr w:type="spellStart"/>
      <w:r w:rsidRPr="000261B1">
        <w:rPr>
          <w:rFonts w:ascii="Times New Roman" w:hAnsi="Times New Roman" w:cs="Times New Roman"/>
          <w:sz w:val="13"/>
          <w:szCs w:val="13"/>
        </w:rPr>
        <w:t>Organisation</w:t>
      </w:r>
      <w:proofErr w:type="spellEnd"/>
      <w:r w:rsidRPr="000261B1">
        <w:rPr>
          <w:rFonts w:ascii="Times New Roman" w:hAnsi="Times New Roman" w:cs="Times New Roman"/>
          <w:sz w:val="13"/>
          <w:szCs w:val="13"/>
        </w:rPr>
        <w:t xml:space="preserve"> (2026) advises lowering sugar consumption to less than 10% of daily calories. Consequently, Coca-Cola has broadened into water (Dasani), sports drinks (Powerade) and low sugar (Coca-Cola Zero Sugar), which is one of its fastest-growing products. Further, there is a highly competitive rivalry in the industry, especially between Coca-Cola and PepsiCo. Both companies spend significant marketing budgets on advertising, innovation and global sponsorships. According to Bejleri, Kraja and </w:t>
      </w:r>
      <w:proofErr w:type="spellStart"/>
      <w:r w:rsidRPr="000261B1">
        <w:rPr>
          <w:rFonts w:ascii="Times New Roman" w:hAnsi="Times New Roman" w:cs="Times New Roman"/>
          <w:sz w:val="13"/>
          <w:szCs w:val="13"/>
        </w:rPr>
        <w:t>Memaj</w:t>
      </w:r>
      <w:proofErr w:type="spellEnd"/>
      <w:r w:rsidRPr="000261B1">
        <w:rPr>
          <w:rFonts w:ascii="Times New Roman" w:hAnsi="Times New Roman" w:cs="Times New Roman"/>
          <w:sz w:val="13"/>
          <w:szCs w:val="13"/>
        </w:rPr>
        <w:t xml:space="preserve"> (2024), competition becomes more intense if the industry growth rate is low, and the companies are fighting with each other for market share. Furthermore, supermarket private brands deepen the price competition, particularly in the developed ones. This means that the margins are continually under pressure, and product differentiation is always needed.</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In conclusion, Porter's Five Forces offers Coca-Cola a comprehensive framework to </w:t>
      </w:r>
      <w:proofErr w:type="spellStart"/>
      <w:r w:rsidRPr="000261B1">
        <w:rPr>
          <w:rFonts w:ascii="Times New Roman" w:hAnsi="Times New Roman" w:cs="Times New Roman"/>
          <w:sz w:val="13"/>
          <w:szCs w:val="13"/>
        </w:rPr>
        <w:t>analyse</w:t>
      </w:r>
      <w:proofErr w:type="spellEnd"/>
      <w:r w:rsidRPr="000261B1">
        <w:rPr>
          <w:rFonts w:ascii="Times New Roman" w:hAnsi="Times New Roman" w:cs="Times New Roman"/>
          <w:sz w:val="13"/>
          <w:szCs w:val="13"/>
        </w:rPr>
        <w:t xml:space="preserve"> the competitive pressure in the industry and help guide its strategies. The analysis indicates that the greatest threats are posed by substitutes, buyer power and rivalry, rather than new entrants or suppliers. This is directly aligned with Coca-Cola's strategy of creating diverse, healthier drinks, decreasing sugar content and promoting sustainability efforts, which is important for long-term competitiveness. The model does have some limitations. It is relatively static in nature and primarily about industry structure, not </w:t>
      </w:r>
      <w:proofErr w:type="gramStart"/>
      <w:r w:rsidRPr="000261B1">
        <w:rPr>
          <w:rFonts w:ascii="Times New Roman" w:hAnsi="Times New Roman" w:cs="Times New Roman"/>
          <w:sz w:val="13"/>
          <w:szCs w:val="13"/>
        </w:rPr>
        <w:t>really reflective</w:t>
      </w:r>
      <w:proofErr w:type="gramEnd"/>
      <w:r w:rsidRPr="000261B1">
        <w:rPr>
          <w:rFonts w:ascii="Times New Roman" w:hAnsi="Times New Roman" w:cs="Times New Roman"/>
          <w:sz w:val="13"/>
          <w:szCs w:val="13"/>
        </w:rPr>
        <w:t xml:space="preserve"> of more dynamic changes to consumer </w:t>
      </w:r>
      <w:proofErr w:type="spellStart"/>
      <w:r w:rsidRPr="000261B1">
        <w:rPr>
          <w:rFonts w:ascii="Times New Roman" w:hAnsi="Times New Roman" w:cs="Times New Roman"/>
          <w:sz w:val="13"/>
          <w:szCs w:val="13"/>
        </w:rPr>
        <w:t>behaviour</w:t>
      </w:r>
      <w:proofErr w:type="spellEnd"/>
      <w:r w:rsidRPr="000261B1">
        <w:rPr>
          <w:rFonts w:ascii="Times New Roman" w:hAnsi="Times New Roman" w:cs="Times New Roman"/>
          <w:sz w:val="13"/>
          <w:szCs w:val="13"/>
        </w:rPr>
        <w:t xml:space="preserve">, digital disruption or cross-industry competition. It also undervalues its own assets, like innovation and brand power, key players in the success of Coca-Cola. Kabue and </w:t>
      </w:r>
      <w:proofErr w:type="spellStart"/>
      <w:r w:rsidRPr="000261B1">
        <w:rPr>
          <w:rFonts w:ascii="Times New Roman" w:hAnsi="Times New Roman" w:cs="Times New Roman"/>
          <w:sz w:val="13"/>
          <w:szCs w:val="13"/>
        </w:rPr>
        <w:t>Kilika</w:t>
      </w:r>
      <w:proofErr w:type="spellEnd"/>
      <w:r w:rsidRPr="000261B1">
        <w:rPr>
          <w:rFonts w:ascii="Times New Roman" w:hAnsi="Times New Roman" w:cs="Times New Roman"/>
          <w:sz w:val="13"/>
          <w:szCs w:val="13"/>
        </w:rPr>
        <w:t xml:space="preserve"> (2016) support the concept of sustained competitive advantage being driven by the value, rarity, inimitability, and </w:t>
      </w:r>
      <w:proofErr w:type="spellStart"/>
      <w:r w:rsidRPr="000261B1">
        <w:rPr>
          <w:rFonts w:ascii="Times New Roman" w:hAnsi="Times New Roman" w:cs="Times New Roman"/>
          <w:sz w:val="13"/>
          <w:szCs w:val="13"/>
        </w:rPr>
        <w:t>organisation</w:t>
      </w:r>
      <w:proofErr w:type="spellEnd"/>
      <w:r w:rsidRPr="000261B1">
        <w:rPr>
          <w:rFonts w:ascii="Times New Roman" w:hAnsi="Times New Roman" w:cs="Times New Roman"/>
          <w:sz w:val="13"/>
          <w:szCs w:val="13"/>
        </w:rPr>
        <w:t xml:space="preserve"> of the firm-specific resources. However, although these are all important restraints, Porter’s Five Forces is still very relevant.</w:t>
      </w:r>
    </w:p>
    <w:p w14:paraId="59540DAB" w14:textId="6FACA293" w:rsidR="00FF75BF" w:rsidRPr="000261B1" w:rsidRDefault="0070025F" w:rsidP="0070025F">
      <w:pPr>
        <w:spacing w:after="0" w:line="0" w:lineRule="atLeast"/>
        <w:rPr>
          <w:rFonts w:ascii="Times New Roman" w:hAnsi="Times New Roman" w:cs="Times New Roman"/>
          <w:sz w:val="13"/>
          <w:szCs w:val="13"/>
        </w:rPr>
      </w:pPr>
      <w:r w:rsidRPr="000261B1">
        <w:rPr>
          <w:rFonts w:ascii="Times New Roman" w:hAnsi="Times New Roman" w:cs="Times New Roman"/>
          <w:b/>
          <w:bCs/>
          <w:sz w:val="13"/>
          <w:szCs w:val="13"/>
        </w:rPr>
        <w:t>Question 2</w:t>
      </w:r>
      <w:r w:rsidRPr="000261B1">
        <w:rPr>
          <w:rFonts w:ascii="Times New Roman" w:hAnsi="Times New Roman" w:cs="Times New Roman" w:hint="eastAsia"/>
          <w:b/>
          <w:bCs/>
          <w:sz w:val="13"/>
          <w:szCs w:val="13"/>
        </w:rPr>
        <w:t xml:space="preserve"> </w:t>
      </w:r>
      <w:r w:rsidRPr="000261B1">
        <w:rPr>
          <w:rFonts w:ascii="Times New Roman" w:hAnsi="Times New Roman" w:cs="Times New Roman"/>
          <w:sz w:val="13"/>
          <w:szCs w:val="13"/>
        </w:rPr>
        <w:t xml:space="preserve">The Resource-Based View (RBV) and Strategy Clock are two internal strategic frameworks that can assist firms in achieving competitive advantage. The RBV holds the position that long-term competitive advantage can be attained through resources which are Valuable, Rare, Inimitable and </w:t>
      </w:r>
      <w:proofErr w:type="spellStart"/>
      <w:r w:rsidRPr="000261B1">
        <w:rPr>
          <w:rFonts w:ascii="Times New Roman" w:hAnsi="Times New Roman" w:cs="Times New Roman"/>
          <w:sz w:val="13"/>
          <w:szCs w:val="13"/>
        </w:rPr>
        <w:t>Organised</w:t>
      </w:r>
      <w:proofErr w:type="spellEnd"/>
      <w:r w:rsidRPr="000261B1">
        <w:rPr>
          <w:rFonts w:ascii="Times New Roman" w:hAnsi="Times New Roman" w:cs="Times New Roman"/>
          <w:sz w:val="13"/>
          <w:szCs w:val="13"/>
        </w:rPr>
        <w:t xml:space="preserve"> (VRIO) (</w:t>
      </w:r>
      <w:proofErr w:type="spellStart"/>
      <w:r w:rsidRPr="000261B1">
        <w:rPr>
          <w:rFonts w:ascii="Times New Roman" w:hAnsi="Times New Roman" w:cs="Times New Roman"/>
          <w:sz w:val="13"/>
          <w:szCs w:val="13"/>
        </w:rPr>
        <w:t>Assensoh</w:t>
      </w:r>
      <w:proofErr w:type="spellEnd"/>
      <w:r w:rsidRPr="000261B1">
        <w:rPr>
          <w:rFonts w:ascii="Times New Roman" w:hAnsi="Times New Roman" w:cs="Times New Roman"/>
          <w:sz w:val="13"/>
          <w:szCs w:val="13"/>
        </w:rPr>
        <w:t xml:space="preserve">-Kodua, 2019). It is based on internal strengths as opposed to external market structure. One such evident example is Unilever. Unilever has a brand portfolio of over 400 brands, the largest brand being Dove, which makes over €6 billion in annual sales around the globe (Unilever, 2024). This portfolio is worth having since it facilitates the pricing power and consistent demand in the markets. It is also infrequent since there are not many competitors of comparable magnitude </w:t>
      </w:r>
      <w:proofErr w:type="gramStart"/>
      <w:r w:rsidRPr="000261B1">
        <w:rPr>
          <w:rFonts w:ascii="Times New Roman" w:hAnsi="Times New Roman" w:cs="Times New Roman"/>
          <w:sz w:val="13"/>
          <w:szCs w:val="13"/>
        </w:rPr>
        <w:t>in the area of</w:t>
      </w:r>
      <w:proofErr w:type="gramEnd"/>
      <w:r w:rsidRPr="000261B1">
        <w:rPr>
          <w:rFonts w:ascii="Times New Roman" w:hAnsi="Times New Roman" w:cs="Times New Roman"/>
          <w:sz w:val="13"/>
          <w:szCs w:val="13"/>
        </w:rPr>
        <w:t xml:space="preserve"> fast-moving consumer goods. Moreover, Unilever (2026) has a global supply chain and distribution network that operates in over 190 countries and is hard to imitate because of long-term supplier relations and investments in infrastructure. RBV assists managers in determining what assets can be maintained to maintain an advantage, such as brand equity and scale of distribution. Nevertheless, it is restricted in the sense that it fails to explicitly demonstrate how the rapid external changes, like inflation or sustainability control, can dissolve the resource value.</w:t>
      </w:r>
      <w:r w:rsidRPr="000261B1">
        <w:rPr>
          <w:rFonts w:ascii="Times New Roman" w:hAnsi="Times New Roman" w:cs="Times New Roman" w:hint="eastAsia"/>
          <w:b/>
          <w:bCs/>
          <w:sz w:val="13"/>
          <w:szCs w:val="13"/>
        </w:rPr>
        <w:t xml:space="preserve">  </w:t>
      </w:r>
      <w:r w:rsidRPr="000261B1">
        <w:rPr>
          <w:rFonts w:ascii="Times New Roman" w:hAnsi="Times New Roman" w:cs="Times New Roman"/>
          <w:sz w:val="13"/>
          <w:szCs w:val="13"/>
        </w:rPr>
        <w:t>Further, competitive positioning in terms of price and perceived value is detailed in the Strategy Clock (</w:t>
      </w:r>
      <w:proofErr w:type="spellStart"/>
      <w:r w:rsidRPr="000261B1">
        <w:rPr>
          <w:rFonts w:ascii="Times New Roman" w:hAnsi="Times New Roman" w:cs="Times New Roman"/>
          <w:sz w:val="13"/>
          <w:szCs w:val="13"/>
        </w:rPr>
        <w:t>Echchakoui</w:t>
      </w:r>
      <w:proofErr w:type="spellEnd"/>
      <w:r w:rsidRPr="000261B1">
        <w:rPr>
          <w:rFonts w:ascii="Times New Roman" w:hAnsi="Times New Roman" w:cs="Times New Roman"/>
          <w:sz w:val="13"/>
          <w:szCs w:val="13"/>
        </w:rPr>
        <w:t>, 2018). It determines the positions as low price, hybrid, differentiation and focused differentiation. Unilever primarily works in a hybrid approach whereby it has a high brand differentiation and mass-market pricing. For instance, Dove is a high-end personal care brand that is distributed by mass retailers in large quantities but with a high-end perception, allowing it to sell high volume sales but with a high-end perception (Syaharani, 2021). This strategy enhances market share and margins over low-price competitors with low-margin private-label supermarket brands.</w:t>
      </w:r>
      <w:r w:rsidRPr="000261B1">
        <w:rPr>
          <w:rFonts w:ascii="Times New Roman" w:hAnsi="Times New Roman" w:cs="Times New Roman" w:hint="eastAsia"/>
          <w:b/>
          <w:bCs/>
          <w:sz w:val="13"/>
          <w:szCs w:val="13"/>
        </w:rPr>
        <w:t xml:space="preserve">  </w:t>
      </w:r>
      <w:r w:rsidRPr="000261B1">
        <w:rPr>
          <w:rFonts w:ascii="Times New Roman" w:hAnsi="Times New Roman" w:cs="Times New Roman"/>
          <w:sz w:val="13"/>
          <w:szCs w:val="13"/>
        </w:rPr>
        <w:t xml:space="preserve">RBV and the Strategy Clock can be used together to offer complementary information. RBV is a clear reason why Unilever </w:t>
      </w:r>
      <w:proofErr w:type="gramStart"/>
      <w:r w:rsidRPr="000261B1">
        <w:rPr>
          <w:rFonts w:ascii="Times New Roman" w:hAnsi="Times New Roman" w:cs="Times New Roman"/>
          <w:sz w:val="13"/>
          <w:szCs w:val="13"/>
        </w:rPr>
        <w:t>is able to</w:t>
      </w:r>
      <w:proofErr w:type="gramEnd"/>
      <w:r w:rsidRPr="000261B1">
        <w:rPr>
          <w:rFonts w:ascii="Times New Roman" w:hAnsi="Times New Roman" w:cs="Times New Roman"/>
          <w:sz w:val="13"/>
          <w:szCs w:val="13"/>
        </w:rPr>
        <w:t xml:space="preserve"> compete well, as it possesses strong intangible resources, including brand equity and global supply networks, and the Strategy Clock is a clear way of how it can place these resources in the market through hybrid differentiation strategies. Furthermore, the weakness of RBV is that it might be overly internally oriented, not taking note of changes in consumer </w:t>
      </w:r>
      <w:proofErr w:type="spellStart"/>
      <w:r w:rsidRPr="000261B1">
        <w:rPr>
          <w:rFonts w:ascii="Times New Roman" w:hAnsi="Times New Roman" w:cs="Times New Roman"/>
          <w:sz w:val="13"/>
          <w:szCs w:val="13"/>
        </w:rPr>
        <w:t>behaviour</w:t>
      </w:r>
      <w:proofErr w:type="spellEnd"/>
      <w:r w:rsidRPr="000261B1">
        <w:rPr>
          <w:rFonts w:ascii="Times New Roman" w:hAnsi="Times New Roman" w:cs="Times New Roman"/>
          <w:sz w:val="13"/>
          <w:szCs w:val="13"/>
        </w:rPr>
        <w:t xml:space="preserve">. The Strategy Clock </w:t>
      </w:r>
      <w:proofErr w:type="spellStart"/>
      <w:r w:rsidRPr="000261B1">
        <w:rPr>
          <w:rFonts w:ascii="Times New Roman" w:hAnsi="Times New Roman" w:cs="Times New Roman"/>
          <w:sz w:val="13"/>
          <w:szCs w:val="13"/>
        </w:rPr>
        <w:t>conceptualises</w:t>
      </w:r>
      <w:proofErr w:type="spellEnd"/>
      <w:r w:rsidRPr="000261B1">
        <w:rPr>
          <w:rFonts w:ascii="Times New Roman" w:hAnsi="Times New Roman" w:cs="Times New Roman"/>
          <w:sz w:val="13"/>
          <w:szCs w:val="13"/>
        </w:rPr>
        <w:t xml:space="preserve"> competitive </w:t>
      </w:r>
      <w:proofErr w:type="spellStart"/>
      <w:r w:rsidRPr="000261B1">
        <w:rPr>
          <w:rFonts w:ascii="Times New Roman" w:hAnsi="Times New Roman" w:cs="Times New Roman"/>
          <w:sz w:val="13"/>
          <w:szCs w:val="13"/>
        </w:rPr>
        <w:t>behaviour</w:t>
      </w:r>
      <w:proofErr w:type="spellEnd"/>
      <w:r w:rsidRPr="000261B1">
        <w:rPr>
          <w:rFonts w:ascii="Times New Roman" w:hAnsi="Times New Roman" w:cs="Times New Roman"/>
          <w:sz w:val="13"/>
          <w:szCs w:val="13"/>
        </w:rPr>
        <w:t xml:space="preserve"> in categories that are fixed. Nevertheless, put together, they assist companies in relating the internal capability and external positioning to establish a sustained competitive advantage.</w:t>
      </w:r>
    </w:p>
    <w:p w14:paraId="293532AE" w14:textId="397D4E2A" w:rsidR="0070025F" w:rsidRPr="000261B1" w:rsidRDefault="0070025F" w:rsidP="0070025F">
      <w:pPr>
        <w:spacing w:after="0" w:line="0" w:lineRule="atLeast"/>
        <w:rPr>
          <w:rFonts w:ascii="Times New Roman" w:hAnsi="Times New Roman" w:cs="Times New Roman"/>
          <w:sz w:val="13"/>
          <w:szCs w:val="13"/>
        </w:rPr>
      </w:pPr>
      <w:r w:rsidRPr="000261B1">
        <w:rPr>
          <w:rFonts w:ascii="Times New Roman" w:hAnsi="Times New Roman" w:cs="Times New Roman"/>
          <w:b/>
          <w:bCs/>
          <w:sz w:val="13"/>
          <w:szCs w:val="13"/>
        </w:rPr>
        <w:t>Question 3</w:t>
      </w:r>
      <w:r w:rsidRPr="000261B1">
        <w:rPr>
          <w:rFonts w:ascii="Times New Roman" w:hAnsi="Times New Roman" w:cs="Times New Roman" w:hint="eastAsia"/>
          <w:b/>
          <w:bCs/>
          <w:sz w:val="13"/>
          <w:szCs w:val="13"/>
        </w:rPr>
        <w:t xml:space="preserve"> </w:t>
      </w:r>
      <w:r w:rsidRPr="000261B1">
        <w:rPr>
          <w:rFonts w:ascii="Times New Roman" w:hAnsi="Times New Roman" w:cs="Times New Roman"/>
          <w:sz w:val="13"/>
          <w:szCs w:val="13"/>
        </w:rPr>
        <w:t xml:space="preserve">When businesses integrate consumer insights, pricing, innovation, and communication into an integrated value approach, creating consumer </w:t>
      </w:r>
      <w:proofErr w:type="spellStart"/>
      <w:r w:rsidRPr="000261B1">
        <w:rPr>
          <w:rFonts w:ascii="Times New Roman" w:hAnsi="Times New Roman" w:cs="Times New Roman"/>
          <w:sz w:val="13"/>
          <w:szCs w:val="13"/>
        </w:rPr>
        <w:t>behaviour</w:t>
      </w:r>
      <w:proofErr w:type="spellEnd"/>
      <w:r w:rsidRPr="000261B1">
        <w:rPr>
          <w:rFonts w:ascii="Times New Roman" w:hAnsi="Times New Roman" w:cs="Times New Roman"/>
          <w:sz w:val="13"/>
          <w:szCs w:val="13"/>
        </w:rPr>
        <w:t xml:space="preserve"> and enhancing switching costs, they can build a market position. The focus is on customer understanding since perceived value is what drives buying decisions as opposed to product features (</w:t>
      </w:r>
      <w:proofErr w:type="gramStart"/>
      <w:r w:rsidRPr="000261B1">
        <w:rPr>
          <w:rFonts w:ascii="Times New Roman" w:hAnsi="Times New Roman" w:cs="Times New Roman"/>
          <w:sz w:val="13"/>
          <w:szCs w:val="13"/>
        </w:rPr>
        <w:t>Zauner,  Koller</w:t>
      </w:r>
      <w:proofErr w:type="gramEnd"/>
      <w:r w:rsidRPr="000261B1">
        <w:rPr>
          <w:rFonts w:ascii="Times New Roman" w:hAnsi="Times New Roman" w:cs="Times New Roman"/>
          <w:sz w:val="13"/>
          <w:szCs w:val="13"/>
        </w:rPr>
        <w:t xml:space="preserve"> and </w:t>
      </w:r>
      <w:proofErr w:type="spellStart"/>
      <w:r w:rsidRPr="000261B1">
        <w:rPr>
          <w:rFonts w:ascii="Times New Roman" w:hAnsi="Times New Roman" w:cs="Times New Roman"/>
          <w:sz w:val="13"/>
          <w:szCs w:val="13"/>
        </w:rPr>
        <w:t>Hatak</w:t>
      </w:r>
      <w:proofErr w:type="spellEnd"/>
      <w:r w:rsidRPr="000261B1">
        <w:rPr>
          <w:rFonts w:ascii="Times New Roman" w:hAnsi="Times New Roman" w:cs="Times New Roman"/>
          <w:sz w:val="13"/>
          <w:szCs w:val="13"/>
        </w:rPr>
        <w:t xml:space="preserve">, 2015). A good example to illustrate this is McDonald's, which operates more than 40,000 restaurants across the globe and uses this data to determine </w:t>
      </w:r>
      <w:proofErr w:type="spellStart"/>
      <w:r w:rsidRPr="000261B1">
        <w:rPr>
          <w:rFonts w:ascii="Times New Roman" w:hAnsi="Times New Roman" w:cs="Times New Roman"/>
          <w:sz w:val="13"/>
          <w:szCs w:val="13"/>
        </w:rPr>
        <w:t>behavioural</w:t>
      </w:r>
      <w:proofErr w:type="spellEnd"/>
      <w:r w:rsidRPr="000261B1">
        <w:rPr>
          <w:rFonts w:ascii="Times New Roman" w:hAnsi="Times New Roman" w:cs="Times New Roman"/>
          <w:sz w:val="13"/>
          <w:szCs w:val="13"/>
        </w:rPr>
        <w:t xml:space="preserve"> patterns, including demand peaks and location preference (</w:t>
      </w:r>
      <w:proofErr w:type="spellStart"/>
      <w:r w:rsidRPr="000261B1">
        <w:rPr>
          <w:rFonts w:ascii="Times New Roman" w:hAnsi="Times New Roman" w:cs="Times New Roman"/>
          <w:sz w:val="13"/>
          <w:szCs w:val="13"/>
        </w:rPr>
        <w:t>Nawangwulan</w:t>
      </w:r>
      <w:proofErr w:type="spellEnd"/>
      <w:r w:rsidRPr="000261B1">
        <w:rPr>
          <w:rFonts w:ascii="Times New Roman" w:hAnsi="Times New Roman" w:cs="Times New Roman"/>
          <w:sz w:val="13"/>
          <w:szCs w:val="13"/>
        </w:rPr>
        <w:t xml:space="preserve">, </w:t>
      </w:r>
      <w:proofErr w:type="spellStart"/>
      <w:r w:rsidRPr="000261B1">
        <w:rPr>
          <w:rFonts w:ascii="Times New Roman" w:hAnsi="Times New Roman" w:cs="Times New Roman"/>
          <w:sz w:val="13"/>
          <w:szCs w:val="13"/>
        </w:rPr>
        <w:t>Anantadjaya</w:t>
      </w:r>
      <w:proofErr w:type="spellEnd"/>
      <w:r w:rsidRPr="000261B1">
        <w:rPr>
          <w:rFonts w:ascii="Times New Roman" w:hAnsi="Times New Roman" w:cs="Times New Roman"/>
          <w:sz w:val="13"/>
          <w:szCs w:val="13"/>
        </w:rPr>
        <w:t xml:space="preserve"> and </w:t>
      </w:r>
      <w:proofErr w:type="spellStart"/>
      <w:r w:rsidRPr="000261B1">
        <w:rPr>
          <w:rFonts w:ascii="Times New Roman" w:hAnsi="Times New Roman" w:cs="Times New Roman"/>
          <w:sz w:val="13"/>
          <w:szCs w:val="13"/>
        </w:rPr>
        <w:t>Rachmat</w:t>
      </w:r>
      <w:proofErr w:type="spellEnd"/>
      <w:r w:rsidRPr="000261B1">
        <w:rPr>
          <w:rFonts w:ascii="Times New Roman" w:hAnsi="Times New Roman" w:cs="Times New Roman"/>
          <w:sz w:val="13"/>
          <w:szCs w:val="13"/>
        </w:rPr>
        <w:t xml:space="preserve">, 2025). The leading factors in the choice of fast food in the urban markets are speed and affordability. This observation has given rise to drive-through </w:t>
      </w:r>
      <w:proofErr w:type="spellStart"/>
      <w:r w:rsidRPr="000261B1">
        <w:rPr>
          <w:rFonts w:ascii="Times New Roman" w:hAnsi="Times New Roman" w:cs="Times New Roman"/>
          <w:sz w:val="13"/>
          <w:szCs w:val="13"/>
        </w:rPr>
        <w:t>optimisation</w:t>
      </w:r>
      <w:proofErr w:type="spellEnd"/>
      <w:r w:rsidRPr="000261B1">
        <w:rPr>
          <w:rFonts w:ascii="Times New Roman" w:hAnsi="Times New Roman" w:cs="Times New Roman"/>
          <w:sz w:val="13"/>
          <w:szCs w:val="13"/>
        </w:rPr>
        <w:t xml:space="preserve"> and online ordering check-ins, cutting down average service time in most restaurants to less than 3 minutes in busy restaurants (Noone &amp; Coulter, 2012). This positively enhances customer satisfaction and repeat purchase </w:t>
      </w:r>
      <w:proofErr w:type="spellStart"/>
      <w:r w:rsidRPr="000261B1">
        <w:rPr>
          <w:rFonts w:ascii="Times New Roman" w:hAnsi="Times New Roman" w:cs="Times New Roman"/>
          <w:sz w:val="13"/>
          <w:szCs w:val="13"/>
        </w:rPr>
        <w:t>behaviour</w:t>
      </w:r>
      <w:proofErr w:type="spellEnd"/>
      <w:r w:rsidRPr="000261B1">
        <w:rPr>
          <w:rFonts w:ascii="Times New Roman" w:hAnsi="Times New Roman" w:cs="Times New Roman"/>
          <w:sz w:val="13"/>
          <w:szCs w:val="13"/>
        </w:rPr>
        <w:t>.</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The strategy of pricing strengthens positioning as it creates the sense of value. The Strategy Clock states that companies can compete using low price, hybrid, or differentiation strategies (</w:t>
      </w:r>
      <w:proofErr w:type="spellStart"/>
      <w:r w:rsidRPr="000261B1">
        <w:rPr>
          <w:rFonts w:ascii="Times New Roman" w:hAnsi="Times New Roman" w:cs="Times New Roman"/>
          <w:sz w:val="13"/>
          <w:szCs w:val="13"/>
        </w:rPr>
        <w:t>Echchakoui</w:t>
      </w:r>
      <w:proofErr w:type="spellEnd"/>
      <w:r w:rsidRPr="000261B1">
        <w:rPr>
          <w:rFonts w:ascii="Times New Roman" w:hAnsi="Times New Roman" w:cs="Times New Roman"/>
          <w:sz w:val="13"/>
          <w:szCs w:val="13"/>
        </w:rPr>
        <w:t xml:space="preserve">, 2018). McDonald's uses a hybrid pricing strategy, which has a low-cost value menu alongside high-end products such as </w:t>
      </w:r>
      <w:proofErr w:type="spellStart"/>
      <w:r w:rsidRPr="000261B1">
        <w:rPr>
          <w:rFonts w:ascii="Times New Roman" w:hAnsi="Times New Roman" w:cs="Times New Roman"/>
          <w:sz w:val="13"/>
          <w:szCs w:val="13"/>
        </w:rPr>
        <w:t>McCafe's</w:t>
      </w:r>
      <w:proofErr w:type="spellEnd"/>
      <w:r w:rsidRPr="000261B1">
        <w:rPr>
          <w:rFonts w:ascii="Times New Roman" w:hAnsi="Times New Roman" w:cs="Times New Roman"/>
          <w:sz w:val="13"/>
          <w:szCs w:val="13"/>
        </w:rPr>
        <w:t xml:space="preserve"> beverages. As an illustration, the US market has price-sensitive consumers to whom the $5 meal bundles are offered as the price of food increased by more than 20% between 2021 and 2024 (Reuters, 2024). This dynamic pricing helps safeguard market share in economic slowdowns and safeguard margins for high-end product lines.</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Following that, innovation enhances competitiveness in addressing the changing demand. According to Teece (2020), dynamic capabilities enable firms to be dynamic by constantly innovating. McDonald's has also spent a lot of money on digital innovation, with mobile app sales accounting for over 25% of the systemwide sales in the US in 2024 (Business Wire, 2025). The company also launched AI-driven menu boards, which modify product recommendations according to the time, weather, and demand patterns.</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A communication strategy develops brand salience and affects consumer choice. Integrated marketing communication will guarantee uniformity in the communication through touchpoints (Manser, Peltier and Barger, 2017). The worldwide advertising campaigns like the I am Lovin' It by McDonald's promote emotional brand recognition, which studies report boosts the purchase intention. Engagement through social media and </w:t>
      </w:r>
      <w:proofErr w:type="spellStart"/>
      <w:r w:rsidRPr="000261B1">
        <w:rPr>
          <w:rFonts w:ascii="Times New Roman" w:hAnsi="Times New Roman" w:cs="Times New Roman"/>
          <w:sz w:val="13"/>
          <w:szCs w:val="13"/>
        </w:rPr>
        <w:t>individualised</w:t>
      </w:r>
      <w:proofErr w:type="spellEnd"/>
      <w:r w:rsidRPr="000261B1">
        <w:rPr>
          <w:rFonts w:ascii="Times New Roman" w:hAnsi="Times New Roman" w:cs="Times New Roman"/>
          <w:sz w:val="13"/>
          <w:szCs w:val="13"/>
        </w:rPr>
        <w:t xml:space="preserve"> promotion of the apps also enhances loyalty by generating a cost of switching </w:t>
      </w:r>
      <w:proofErr w:type="spellStart"/>
      <w:r w:rsidRPr="000261B1">
        <w:rPr>
          <w:rFonts w:ascii="Times New Roman" w:hAnsi="Times New Roman" w:cs="Times New Roman"/>
          <w:sz w:val="13"/>
          <w:szCs w:val="13"/>
        </w:rPr>
        <w:t>behaviour</w:t>
      </w:r>
      <w:proofErr w:type="spellEnd"/>
      <w:r w:rsidRPr="000261B1">
        <w:rPr>
          <w:rFonts w:ascii="Times New Roman" w:hAnsi="Times New Roman" w:cs="Times New Roman"/>
          <w:sz w:val="13"/>
          <w:szCs w:val="13"/>
        </w:rPr>
        <w:t>.</w:t>
      </w:r>
    </w:p>
    <w:p w14:paraId="1D116712" w14:textId="7BD6437A" w:rsidR="0070025F" w:rsidRPr="000261B1" w:rsidRDefault="0070025F" w:rsidP="0070025F">
      <w:pPr>
        <w:spacing w:after="0" w:line="0" w:lineRule="atLeast"/>
        <w:rPr>
          <w:rFonts w:ascii="Times New Roman" w:hAnsi="Times New Roman" w:cs="Times New Roman"/>
          <w:sz w:val="13"/>
          <w:szCs w:val="13"/>
        </w:rPr>
      </w:pPr>
      <w:r w:rsidRPr="000261B1">
        <w:rPr>
          <w:rFonts w:ascii="Times New Roman" w:hAnsi="Times New Roman" w:cs="Times New Roman"/>
          <w:b/>
          <w:bCs/>
          <w:sz w:val="13"/>
          <w:szCs w:val="13"/>
        </w:rPr>
        <w:t>Question 4</w:t>
      </w:r>
      <w:r w:rsidRPr="000261B1">
        <w:rPr>
          <w:rFonts w:ascii="Times New Roman" w:hAnsi="Times New Roman" w:cs="Times New Roman" w:hint="eastAsia"/>
          <w:b/>
          <w:bCs/>
          <w:sz w:val="13"/>
          <w:szCs w:val="13"/>
        </w:rPr>
        <w:t xml:space="preserve"> </w:t>
      </w:r>
      <w:r w:rsidRPr="000261B1">
        <w:rPr>
          <w:rFonts w:ascii="Times New Roman" w:hAnsi="Times New Roman" w:cs="Times New Roman"/>
          <w:sz w:val="13"/>
          <w:szCs w:val="13"/>
        </w:rPr>
        <w:t xml:space="preserve">Contemporary </w:t>
      </w:r>
      <w:proofErr w:type="spellStart"/>
      <w:r w:rsidRPr="000261B1">
        <w:rPr>
          <w:rFonts w:ascii="Times New Roman" w:hAnsi="Times New Roman" w:cs="Times New Roman"/>
          <w:sz w:val="13"/>
          <w:szCs w:val="13"/>
        </w:rPr>
        <w:t>organisations</w:t>
      </w:r>
      <w:proofErr w:type="spellEnd"/>
      <w:r w:rsidRPr="000261B1">
        <w:rPr>
          <w:rFonts w:ascii="Times New Roman" w:hAnsi="Times New Roman" w:cs="Times New Roman"/>
          <w:sz w:val="13"/>
          <w:szCs w:val="13"/>
        </w:rPr>
        <w:t xml:space="preserve"> are under </w:t>
      </w:r>
      <w:proofErr w:type="gramStart"/>
      <w:r w:rsidRPr="000261B1">
        <w:rPr>
          <w:rFonts w:ascii="Times New Roman" w:hAnsi="Times New Roman" w:cs="Times New Roman"/>
          <w:sz w:val="13"/>
          <w:szCs w:val="13"/>
        </w:rPr>
        <w:t>more and more</w:t>
      </w:r>
      <w:proofErr w:type="gramEnd"/>
      <w:r w:rsidRPr="000261B1">
        <w:rPr>
          <w:rFonts w:ascii="Times New Roman" w:hAnsi="Times New Roman" w:cs="Times New Roman"/>
          <w:sz w:val="13"/>
          <w:szCs w:val="13"/>
        </w:rPr>
        <w:t xml:space="preserve"> pressure to strike a balance between financial performance and social responsibility, sustainability and value to stakeholders. How much they should focus on these areas will be determined by whether long-term value creation is viewed as financial or overall performance in society.</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The shareholder view states that </w:t>
      </w:r>
      <w:proofErr w:type="spellStart"/>
      <w:r w:rsidRPr="000261B1">
        <w:rPr>
          <w:rFonts w:ascii="Times New Roman" w:hAnsi="Times New Roman" w:cs="Times New Roman"/>
          <w:sz w:val="13"/>
          <w:szCs w:val="13"/>
        </w:rPr>
        <w:t>maximisation</w:t>
      </w:r>
      <w:proofErr w:type="spellEnd"/>
      <w:r w:rsidRPr="000261B1">
        <w:rPr>
          <w:rFonts w:ascii="Times New Roman" w:hAnsi="Times New Roman" w:cs="Times New Roman"/>
          <w:sz w:val="13"/>
          <w:szCs w:val="13"/>
        </w:rPr>
        <w:t xml:space="preserve"> of profits by a firm should be a priority </w:t>
      </w:r>
      <w:proofErr w:type="gramStart"/>
      <w:r w:rsidRPr="000261B1">
        <w:rPr>
          <w:rFonts w:ascii="Times New Roman" w:hAnsi="Times New Roman" w:cs="Times New Roman"/>
          <w:sz w:val="13"/>
          <w:szCs w:val="13"/>
        </w:rPr>
        <w:t>as long as</w:t>
      </w:r>
      <w:proofErr w:type="gramEnd"/>
      <w:r w:rsidRPr="000261B1">
        <w:rPr>
          <w:rFonts w:ascii="Times New Roman" w:hAnsi="Times New Roman" w:cs="Times New Roman"/>
          <w:sz w:val="13"/>
          <w:szCs w:val="13"/>
        </w:rPr>
        <w:t xml:space="preserve"> it does not violate the law (Clarke and Friedman, 2016). This perception promotes efficiency and strict accountability of performance, but it may foster short-termism. This is a weakness that is evident in corporate reactions to environmental risks, where slow response may add to the overall cost in the long-term through fines by regulators or damaged reputation.</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Conversely, the stakeholder perspective (Freeman, Dmytriyev and Phillips, 2021) is </w:t>
      </w:r>
      <w:proofErr w:type="gramStart"/>
      <w:r w:rsidRPr="000261B1">
        <w:rPr>
          <w:rFonts w:ascii="Times New Roman" w:hAnsi="Times New Roman" w:cs="Times New Roman"/>
          <w:sz w:val="13"/>
          <w:szCs w:val="13"/>
        </w:rPr>
        <w:t>based on the fact that</w:t>
      </w:r>
      <w:proofErr w:type="gramEnd"/>
      <w:r w:rsidRPr="000261B1">
        <w:rPr>
          <w:rFonts w:ascii="Times New Roman" w:hAnsi="Times New Roman" w:cs="Times New Roman"/>
          <w:sz w:val="13"/>
          <w:szCs w:val="13"/>
        </w:rPr>
        <w:t xml:space="preserve"> firms rely on a variety of groups whose interests </w:t>
      </w:r>
      <w:proofErr w:type="gramStart"/>
      <w:r w:rsidRPr="000261B1">
        <w:rPr>
          <w:rFonts w:ascii="Times New Roman" w:hAnsi="Times New Roman" w:cs="Times New Roman"/>
          <w:sz w:val="13"/>
          <w:szCs w:val="13"/>
        </w:rPr>
        <w:t>have to</w:t>
      </w:r>
      <w:proofErr w:type="gramEnd"/>
      <w:r w:rsidRPr="000261B1">
        <w:rPr>
          <w:rFonts w:ascii="Times New Roman" w:hAnsi="Times New Roman" w:cs="Times New Roman"/>
          <w:sz w:val="13"/>
          <w:szCs w:val="13"/>
        </w:rPr>
        <w:t xml:space="preserve"> be balanced. This is becoming even more applicable to the global markets that have become complex in terms of trust and the influence of legitimacy on performance. According to research by McKinsey (2020), a company with a well-integrated environmental, social, and governance (ESG) integration has a lower cost of capital. This implies that stakeholder focus can boost a company’s financial </w:t>
      </w:r>
      <w:proofErr w:type="gramStart"/>
      <w:r w:rsidRPr="000261B1">
        <w:rPr>
          <w:rFonts w:ascii="Times New Roman" w:hAnsi="Times New Roman" w:cs="Times New Roman"/>
          <w:sz w:val="13"/>
          <w:szCs w:val="13"/>
        </w:rPr>
        <w:t>performance, but</w:t>
      </w:r>
      <w:proofErr w:type="gramEnd"/>
      <w:r w:rsidRPr="000261B1">
        <w:rPr>
          <w:rFonts w:ascii="Times New Roman" w:hAnsi="Times New Roman" w:cs="Times New Roman"/>
          <w:sz w:val="13"/>
          <w:szCs w:val="13"/>
        </w:rPr>
        <w:t xml:space="preserve"> not diminish it.</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Corporate Social Responsibility (CSR) is a way of </w:t>
      </w:r>
      <w:proofErr w:type="spellStart"/>
      <w:r w:rsidRPr="000261B1">
        <w:rPr>
          <w:rFonts w:ascii="Times New Roman" w:hAnsi="Times New Roman" w:cs="Times New Roman"/>
          <w:sz w:val="13"/>
          <w:szCs w:val="13"/>
        </w:rPr>
        <w:t>operationalising</w:t>
      </w:r>
      <w:proofErr w:type="spellEnd"/>
      <w:r w:rsidRPr="000261B1">
        <w:rPr>
          <w:rFonts w:ascii="Times New Roman" w:hAnsi="Times New Roman" w:cs="Times New Roman"/>
          <w:sz w:val="13"/>
          <w:szCs w:val="13"/>
        </w:rPr>
        <w:t xml:space="preserve"> this balance. According to Carroll (2016), the CSR pyramid has economic, legal, ethical and philanthropic responsibilities. The layer of ethics is especially significant in the contemporary supply chains, where the unethical </w:t>
      </w:r>
      <w:proofErr w:type="spellStart"/>
      <w:r w:rsidRPr="000261B1">
        <w:rPr>
          <w:rFonts w:ascii="Times New Roman" w:hAnsi="Times New Roman" w:cs="Times New Roman"/>
          <w:sz w:val="13"/>
          <w:szCs w:val="13"/>
        </w:rPr>
        <w:t>labour</w:t>
      </w:r>
      <w:proofErr w:type="spellEnd"/>
      <w:r w:rsidRPr="000261B1">
        <w:rPr>
          <w:rFonts w:ascii="Times New Roman" w:hAnsi="Times New Roman" w:cs="Times New Roman"/>
          <w:sz w:val="13"/>
          <w:szCs w:val="13"/>
        </w:rPr>
        <w:t xml:space="preserve"> or environmental conduct may result in a huge financial penalty. As an illustration, the UN predicts the risks associated with climate can decrease global GDP by 7.9% by 2050 unchecked (Morrison, 2026), demonstrating that sustainability is not a luxury, but it is a matter of money.</w:t>
      </w:r>
      <w:r w:rsidRPr="000261B1">
        <w:rPr>
          <w:rFonts w:ascii="Times New Roman" w:hAnsi="Times New Roman" w:cs="Times New Roman" w:hint="eastAsia"/>
          <w:sz w:val="13"/>
          <w:szCs w:val="13"/>
        </w:rPr>
        <w:t xml:space="preserve">  </w:t>
      </w:r>
      <w:r w:rsidRPr="000261B1">
        <w:rPr>
          <w:rFonts w:ascii="Times New Roman" w:hAnsi="Times New Roman" w:cs="Times New Roman"/>
          <w:sz w:val="13"/>
          <w:szCs w:val="13"/>
        </w:rPr>
        <w:t xml:space="preserve">The culture of an </w:t>
      </w:r>
      <w:proofErr w:type="spellStart"/>
      <w:r w:rsidRPr="000261B1">
        <w:rPr>
          <w:rFonts w:ascii="Times New Roman" w:hAnsi="Times New Roman" w:cs="Times New Roman"/>
          <w:sz w:val="13"/>
          <w:szCs w:val="13"/>
        </w:rPr>
        <w:t>organisation</w:t>
      </w:r>
      <w:proofErr w:type="spellEnd"/>
      <w:r w:rsidRPr="000261B1">
        <w:rPr>
          <w:rFonts w:ascii="Times New Roman" w:hAnsi="Times New Roman" w:cs="Times New Roman"/>
          <w:sz w:val="13"/>
          <w:szCs w:val="13"/>
        </w:rPr>
        <w:t xml:space="preserve"> is essential too. According to Asare et al. (2025), culture has a stronger impact on decision-making than formal strategy. Companies that are sustainable in their culture are more likely to have better ESG performance, in that employees will make decisions that are coordinated without having to be controlled by managers. According to Deloitte (2024), three-quarters of Gen Z workers like to be employed in </w:t>
      </w:r>
      <w:proofErr w:type="spellStart"/>
      <w:r w:rsidRPr="000261B1">
        <w:rPr>
          <w:rFonts w:ascii="Times New Roman" w:hAnsi="Times New Roman" w:cs="Times New Roman"/>
          <w:sz w:val="13"/>
          <w:szCs w:val="13"/>
        </w:rPr>
        <w:t>organisations</w:t>
      </w:r>
      <w:proofErr w:type="spellEnd"/>
      <w:r w:rsidRPr="000261B1">
        <w:rPr>
          <w:rFonts w:ascii="Times New Roman" w:hAnsi="Times New Roman" w:cs="Times New Roman"/>
          <w:sz w:val="13"/>
          <w:szCs w:val="13"/>
        </w:rPr>
        <w:t xml:space="preserve"> that demonstrate high sustainability pledges, which is directly related to attracting and retaining talent. Overall, companies need not be concerned with financial gain.</w:t>
      </w:r>
    </w:p>
    <w:p w14:paraId="3A5B1B1B" w14:textId="6C0A9A8B" w:rsidR="0070025F" w:rsidRDefault="0070025F" w:rsidP="000261B1">
      <w:pPr>
        <w:spacing w:after="0" w:line="0" w:lineRule="atLeast"/>
        <w:rPr>
          <w:rFonts w:ascii="Times New Roman" w:hAnsi="Times New Roman" w:cs="Times New Roman"/>
          <w:b/>
          <w:bCs/>
          <w:sz w:val="13"/>
          <w:szCs w:val="13"/>
        </w:rPr>
      </w:pPr>
    </w:p>
    <w:p w14:paraId="32FE6AF3" w14:textId="77777777" w:rsidR="00457662" w:rsidRDefault="00457662" w:rsidP="000261B1">
      <w:pPr>
        <w:spacing w:after="0" w:line="0" w:lineRule="atLeast"/>
        <w:rPr>
          <w:rFonts w:ascii="Times New Roman" w:hAnsi="Times New Roman" w:cs="Times New Roman"/>
          <w:b/>
          <w:bCs/>
          <w:sz w:val="13"/>
          <w:szCs w:val="13"/>
        </w:rPr>
      </w:pPr>
    </w:p>
    <w:p w14:paraId="3F3D8824" w14:textId="77777777" w:rsidR="00457662" w:rsidRDefault="00457662" w:rsidP="000261B1">
      <w:pPr>
        <w:spacing w:after="0" w:line="0" w:lineRule="atLeast"/>
        <w:rPr>
          <w:rFonts w:ascii="Times New Roman" w:hAnsi="Times New Roman" w:cs="Times New Roman"/>
          <w:b/>
          <w:bCs/>
          <w:sz w:val="13"/>
          <w:szCs w:val="13"/>
        </w:rPr>
      </w:pPr>
    </w:p>
    <w:p w14:paraId="7CAF1852" w14:textId="77777777" w:rsidR="00457662" w:rsidRDefault="00457662" w:rsidP="00457662">
      <w:pPr>
        <w:spacing w:after="0" w:line="0" w:lineRule="atLeast"/>
        <w:rPr>
          <w:rFonts w:ascii="Times New Roman" w:hAnsi="Times New Roman" w:cs="Times New Roman"/>
          <w:b/>
          <w:bCs/>
          <w:sz w:val="13"/>
          <w:szCs w:val="13"/>
        </w:rPr>
      </w:pPr>
      <w:r w:rsidRPr="00457662">
        <w:rPr>
          <w:rFonts w:ascii="Times New Roman" w:hAnsi="Times New Roman" w:cs="Times New Roman"/>
          <w:b/>
          <w:bCs/>
          <w:sz w:val="13"/>
          <w:szCs w:val="13"/>
        </w:rPr>
        <w:lastRenderedPageBreak/>
        <w:t>References</w:t>
      </w:r>
    </w:p>
    <w:p w14:paraId="2BB18E61" w14:textId="77777777" w:rsidR="00EA6838" w:rsidRDefault="00EA6838" w:rsidP="00EA6838">
      <w:pPr>
        <w:spacing w:after="0" w:line="0" w:lineRule="atLeast"/>
        <w:rPr>
          <w:rFonts w:ascii="Times New Roman" w:hAnsi="Times New Roman" w:cs="Times New Roman"/>
          <w:sz w:val="13"/>
          <w:szCs w:val="13"/>
        </w:rPr>
      </w:pPr>
      <w:proofErr w:type="spellStart"/>
      <w:r w:rsidRPr="00457662">
        <w:rPr>
          <w:rFonts w:ascii="Times New Roman" w:hAnsi="Times New Roman" w:cs="Times New Roman"/>
          <w:sz w:val="13"/>
          <w:szCs w:val="13"/>
        </w:rPr>
        <w:t>Assensoh</w:t>
      </w:r>
      <w:proofErr w:type="spellEnd"/>
      <w:r w:rsidRPr="00457662">
        <w:rPr>
          <w:rFonts w:ascii="Times New Roman" w:hAnsi="Times New Roman" w:cs="Times New Roman"/>
          <w:sz w:val="13"/>
          <w:szCs w:val="13"/>
        </w:rPr>
        <w:t xml:space="preserve">-Kodua, A. (2019) ‘The resource-based view: A tool of key competency for competitive advantage’, </w:t>
      </w:r>
      <w:r w:rsidRPr="006D4102">
        <w:rPr>
          <w:rFonts w:ascii="Times New Roman" w:hAnsi="Times New Roman" w:cs="Times New Roman"/>
          <w:i/>
          <w:iCs/>
          <w:sz w:val="13"/>
          <w:szCs w:val="13"/>
        </w:rPr>
        <w:t xml:space="preserve">Problems and Perspectives in Management, </w:t>
      </w:r>
      <w:r w:rsidRPr="00457662">
        <w:rPr>
          <w:rFonts w:ascii="Times New Roman" w:hAnsi="Times New Roman" w:cs="Times New Roman"/>
          <w:sz w:val="13"/>
          <w:szCs w:val="13"/>
        </w:rPr>
        <w:t>17(3), pp. 143–152.</w:t>
      </w:r>
    </w:p>
    <w:p w14:paraId="6A6CD6B8" w14:textId="77777777" w:rsidR="00EA6838" w:rsidRDefault="00EA6838" w:rsidP="00EA6838">
      <w:pPr>
        <w:spacing w:after="0" w:line="0" w:lineRule="atLeast"/>
        <w:rPr>
          <w:rFonts w:ascii="Times New Roman" w:hAnsi="Times New Roman" w:cs="Times New Roman" w:hint="eastAsia"/>
          <w:sz w:val="13"/>
          <w:szCs w:val="13"/>
        </w:rPr>
      </w:pPr>
    </w:p>
    <w:p w14:paraId="43D4E2BF" w14:textId="2E7D4E54" w:rsidR="00EA6838" w:rsidRPr="00EA6838" w:rsidRDefault="00EA6838" w:rsidP="00EA6838">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Asare, O.H., </w:t>
      </w:r>
      <w:proofErr w:type="spellStart"/>
      <w:r w:rsidRPr="00457662">
        <w:rPr>
          <w:rFonts w:ascii="Times New Roman" w:hAnsi="Times New Roman" w:cs="Times New Roman"/>
          <w:sz w:val="13"/>
          <w:szCs w:val="13"/>
        </w:rPr>
        <w:t>Arhinful</w:t>
      </w:r>
      <w:proofErr w:type="spellEnd"/>
      <w:r w:rsidRPr="00457662">
        <w:rPr>
          <w:rFonts w:ascii="Times New Roman" w:hAnsi="Times New Roman" w:cs="Times New Roman"/>
          <w:sz w:val="13"/>
          <w:szCs w:val="13"/>
        </w:rPr>
        <w:t xml:space="preserve">, R., Mensah, L. and </w:t>
      </w:r>
      <w:proofErr w:type="spellStart"/>
      <w:r w:rsidRPr="00457662">
        <w:rPr>
          <w:rFonts w:ascii="Times New Roman" w:hAnsi="Times New Roman" w:cs="Times New Roman"/>
          <w:sz w:val="13"/>
          <w:szCs w:val="13"/>
        </w:rPr>
        <w:t>Teneng</w:t>
      </w:r>
      <w:proofErr w:type="spellEnd"/>
      <w:r w:rsidRPr="00457662">
        <w:rPr>
          <w:rFonts w:ascii="Times New Roman" w:hAnsi="Times New Roman" w:cs="Times New Roman"/>
          <w:sz w:val="13"/>
          <w:szCs w:val="13"/>
        </w:rPr>
        <w:t xml:space="preserve">, R.C. (2025) ‘Harmonizing growth: Leadership competencies’ mediation in SMEs’ organizational culture and structure through Schein’s model’, </w:t>
      </w:r>
      <w:r w:rsidRPr="006D4102">
        <w:rPr>
          <w:rFonts w:ascii="Times New Roman" w:hAnsi="Times New Roman" w:cs="Times New Roman"/>
          <w:i/>
          <w:iCs/>
          <w:sz w:val="13"/>
          <w:szCs w:val="13"/>
        </w:rPr>
        <w:t>SAGE Open</w:t>
      </w:r>
      <w:r w:rsidRPr="00457662">
        <w:rPr>
          <w:rFonts w:ascii="Times New Roman" w:hAnsi="Times New Roman" w:cs="Times New Roman"/>
          <w:sz w:val="13"/>
          <w:szCs w:val="13"/>
        </w:rPr>
        <w:t>, 15(3), pp. 1–22.</w:t>
      </w:r>
    </w:p>
    <w:p w14:paraId="5A95462A" w14:textId="77777777" w:rsidR="00EA6838" w:rsidRPr="00EA6838" w:rsidRDefault="00EA6838" w:rsidP="00457662">
      <w:pPr>
        <w:spacing w:after="0" w:line="0" w:lineRule="atLeast"/>
        <w:rPr>
          <w:rFonts w:ascii="Times New Roman" w:hAnsi="Times New Roman" w:cs="Times New Roman" w:hint="eastAsia"/>
          <w:b/>
          <w:bCs/>
          <w:sz w:val="13"/>
          <w:szCs w:val="13"/>
        </w:rPr>
      </w:pPr>
    </w:p>
    <w:p w14:paraId="6444FE05" w14:textId="2267F2B2" w:rsidR="00457662" w:rsidRPr="00457662" w:rsidRDefault="00457662" w:rsidP="0045766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Bejleri, E., Kraja, E.B. and </w:t>
      </w:r>
      <w:proofErr w:type="spellStart"/>
      <w:r w:rsidRPr="00457662">
        <w:rPr>
          <w:rFonts w:ascii="Times New Roman" w:hAnsi="Times New Roman" w:cs="Times New Roman"/>
          <w:sz w:val="13"/>
          <w:szCs w:val="13"/>
        </w:rPr>
        <w:t>Memaj</w:t>
      </w:r>
      <w:proofErr w:type="spellEnd"/>
      <w:r w:rsidRPr="00457662">
        <w:rPr>
          <w:rFonts w:ascii="Times New Roman" w:hAnsi="Times New Roman" w:cs="Times New Roman"/>
          <w:sz w:val="13"/>
          <w:szCs w:val="13"/>
        </w:rPr>
        <w:t>, G. (2024) ‘Porter Framework vs a more extended framework’,</w:t>
      </w:r>
      <w:r w:rsidRPr="00457662">
        <w:rPr>
          <w:rFonts w:ascii="Times New Roman" w:hAnsi="Times New Roman" w:cs="Times New Roman"/>
          <w:i/>
          <w:iCs/>
          <w:sz w:val="13"/>
          <w:szCs w:val="13"/>
        </w:rPr>
        <w:t xml:space="preserve"> International Journal of Religion</w:t>
      </w:r>
      <w:r w:rsidRPr="00457662">
        <w:rPr>
          <w:rFonts w:ascii="Times New Roman" w:hAnsi="Times New Roman" w:cs="Times New Roman"/>
          <w:sz w:val="13"/>
          <w:szCs w:val="13"/>
        </w:rPr>
        <w:t>, 5(9), pp. 115–124.</w:t>
      </w:r>
    </w:p>
    <w:p w14:paraId="45D1E5CD" w14:textId="77777777" w:rsidR="00457662" w:rsidRPr="00457662" w:rsidRDefault="00457662" w:rsidP="00457662">
      <w:pPr>
        <w:spacing w:after="0" w:line="0" w:lineRule="atLeast"/>
        <w:rPr>
          <w:rFonts w:ascii="Times New Roman" w:hAnsi="Times New Roman" w:cs="Times New Roman" w:hint="eastAsia"/>
          <w:sz w:val="13"/>
          <w:szCs w:val="13"/>
        </w:rPr>
      </w:pPr>
    </w:p>
    <w:p w14:paraId="2069B71A" w14:textId="245C4569" w:rsidR="00457662" w:rsidRPr="00457662" w:rsidRDefault="00457662" w:rsidP="0045766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Bragg, M.A., </w:t>
      </w:r>
      <w:proofErr w:type="spellStart"/>
      <w:r w:rsidRPr="00457662">
        <w:rPr>
          <w:rFonts w:ascii="Times New Roman" w:hAnsi="Times New Roman" w:cs="Times New Roman"/>
          <w:sz w:val="13"/>
          <w:szCs w:val="13"/>
        </w:rPr>
        <w:t>Pageot</w:t>
      </w:r>
      <w:proofErr w:type="spellEnd"/>
      <w:r w:rsidRPr="00457662">
        <w:rPr>
          <w:rFonts w:ascii="Times New Roman" w:hAnsi="Times New Roman" w:cs="Times New Roman"/>
          <w:sz w:val="13"/>
          <w:szCs w:val="13"/>
        </w:rPr>
        <w:t xml:space="preserve">, Y.K., Amico, A., Miller, A.N., Gasbarre, A., Rummo, P.E. and Elbel, B. (2019) ‘Fast food, beverage, and snack brands on social media in the United States: An examination of marketing techniques utilized in 2000 brand posts’, </w:t>
      </w:r>
      <w:r w:rsidRPr="00457662">
        <w:rPr>
          <w:rFonts w:ascii="Times New Roman" w:hAnsi="Times New Roman" w:cs="Times New Roman"/>
          <w:i/>
          <w:iCs/>
          <w:sz w:val="13"/>
          <w:szCs w:val="13"/>
        </w:rPr>
        <w:t>Pediatric Obesity</w:t>
      </w:r>
      <w:r w:rsidRPr="00457662">
        <w:rPr>
          <w:rFonts w:ascii="Times New Roman" w:hAnsi="Times New Roman" w:cs="Times New Roman"/>
          <w:sz w:val="13"/>
          <w:szCs w:val="13"/>
        </w:rPr>
        <w:t>, 15(5), e12606.</w:t>
      </w:r>
    </w:p>
    <w:p w14:paraId="12A21AD1" w14:textId="77777777" w:rsidR="00457662" w:rsidRDefault="00457662" w:rsidP="00457662">
      <w:pPr>
        <w:spacing w:after="0" w:line="0" w:lineRule="atLeast"/>
        <w:rPr>
          <w:rFonts w:ascii="Times New Roman" w:hAnsi="Times New Roman" w:cs="Times New Roman"/>
          <w:sz w:val="13"/>
          <w:szCs w:val="13"/>
        </w:rPr>
      </w:pPr>
    </w:p>
    <w:p w14:paraId="67E4A9A7" w14:textId="361870EE" w:rsidR="00EA6838" w:rsidRDefault="00EA6838"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Business Wire (2025) ‘Arcos Dorados reports fourth quarter and full year 2024 financial results’, </w:t>
      </w:r>
      <w:r w:rsidRPr="006D4102">
        <w:rPr>
          <w:rFonts w:ascii="Times New Roman" w:hAnsi="Times New Roman" w:cs="Times New Roman"/>
          <w:i/>
          <w:iCs/>
          <w:sz w:val="13"/>
          <w:szCs w:val="13"/>
        </w:rPr>
        <w:t>Business Wire,</w:t>
      </w:r>
      <w:r w:rsidRPr="00457662">
        <w:rPr>
          <w:rFonts w:ascii="Times New Roman" w:hAnsi="Times New Roman" w:cs="Times New Roman"/>
          <w:sz w:val="13"/>
          <w:szCs w:val="13"/>
        </w:rPr>
        <w:t xml:space="preserve"> 12 March. Available at: </w:t>
      </w:r>
      <w:hyperlink r:id="rId4" w:history="1">
        <w:r w:rsidRPr="00064293">
          <w:rPr>
            <w:rStyle w:val="ae"/>
            <w:rFonts w:ascii="Times New Roman" w:hAnsi="Times New Roman" w:cs="Times New Roman"/>
            <w:sz w:val="13"/>
            <w:szCs w:val="13"/>
          </w:rPr>
          <w:t>https://www.businesswire.com/news/home/20250312902130/en/Arcos-Dorados-Reports-Fourth-Quarter-and-Full-Year-2024-Financial-Results</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(Accessed </w:t>
      </w:r>
      <w:r>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404D2EEA" w14:textId="77777777" w:rsidR="00EA6838" w:rsidRDefault="00EA6838" w:rsidP="00457662">
      <w:pPr>
        <w:spacing w:after="0" w:line="0" w:lineRule="atLeast"/>
        <w:rPr>
          <w:rFonts w:ascii="Times New Roman" w:hAnsi="Times New Roman" w:cs="Times New Roman" w:hint="eastAsia"/>
          <w:sz w:val="13"/>
          <w:szCs w:val="13"/>
        </w:rPr>
      </w:pPr>
    </w:p>
    <w:p w14:paraId="1917E6A8" w14:textId="77777777" w:rsidR="00EA6838" w:rsidRPr="00457662" w:rsidRDefault="00EA6838" w:rsidP="00EA6838">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Carroll, A.B. (2016) ‘Carroll’s pyramid of CSR: taking another look’,</w:t>
      </w:r>
      <w:r w:rsidRPr="006D4102">
        <w:rPr>
          <w:rFonts w:ascii="Times New Roman" w:hAnsi="Times New Roman" w:cs="Times New Roman"/>
          <w:i/>
          <w:iCs/>
          <w:sz w:val="13"/>
          <w:szCs w:val="13"/>
        </w:rPr>
        <w:t xml:space="preserve"> International Journal of Corporate Social Responsibility</w:t>
      </w:r>
      <w:r w:rsidRPr="00457662">
        <w:rPr>
          <w:rFonts w:ascii="Times New Roman" w:hAnsi="Times New Roman" w:cs="Times New Roman"/>
          <w:sz w:val="13"/>
          <w:szCs w:val="13"/>
        </w:rPr>
        <w:t>, 1(1), p. 3.</w:t>
      </w:r>
    </w:p>
    <w:p w14:paraId="44F88549" w14:textId="77777777" w:rsidR="00EA6838" w:rsidRPr="00457662" w:rsidRDefault="00EA6838" w:rsidP="00EA6838">
      <w:pPr>
        <w:spacing w:after="0" w:line="0" w:lineRule="atLeast"/>
        <w:rPr>
          <w:rFonts w:ascii="Times New Roman" w:hAnsi="Times New Roman" w:cs="Times New Roman"/>
          <w:sz w:val="13"/>
          <w:szCs w:val="13"/>
        </w:rPr>
      </w:pPr>
    </w:p>
    <w:p w14:paraId="74F293AA" w14:textId="5D2231C7" w:rsidR="00EA6838" w:rsidRPr="00EA6838" w:rsidRDefault="00EA6838" w:rsidP="0045766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Clarke, C. and Friedman, H.H. (2016) ‘“Maximizing shareholder value”: A theory run amok’,</w:t>
      </w:r>
      <w:r w:rsidRPr="006D4102">
        <w:rPr>
          <w:rFonts w:ascii="Times New Roman" w:hAnsi="Times New Roman" w:cs="Times New Roman"/>
          <w:i/>
          <w:iCs/>
          <w:sz w:val="13"/>
          <w:szCs w:val="13"/>
        </w:rPr>
        <w:t xml:space="preserve"> </w:t>
      </w:r>
      <w:proofErr w:type="spellStart"/>
      <w:r w:rsidRPr="006D4102">
        <w:rPr>
          <w:rFonts w:ascii="Times New Roman" w:hAnsi="Times New Roman" w:cs="Times New Roman"/>
          <w:i/>
          <w:iCs/>
          <w:sz w:val="13"/>
          <w:szCs w:val="13"/>
        </w:rPr>
        <w:t>i</w:t>
      </w:r>
      <w:proofErr w:type="spellEnd"/>
      <w:r w:rsidRPr="006D4102">
        <w:rPr>
          <w:rFonts w:ascii="Times New Roman" w:hAnsi="Times New Roman" w:cs="Times New Roman"/>
          <w:i/>
          <w:iCs/>
          <w:sz w:val="13"/>
          <w:szCs w:val="13"/>
        </w:rPr>
        <w:t>-manager’s Journal on Management</w:t>
      </w:r>
      <w:r w:rsidRPr="00457662">
        <w:rPr>
          <w:rFonts w:ascii="Times New Roman" w:hAnsi="Times New Roman" w:cs="Times New Roman"/>
          <w:sz w:val="13"/>
          <w:szCs w:val="13"/>
        </w:rPr>
        <w:t>, 10(4), pp. 45–60.</w:t>
      </w:r>
    </w:p>
    <w:p w14:paraId="42A8B444" w14:textId="77777777" w:rsidR="00EA6838" w:rsidRDefault="00EA6838" w:rsidP="00EA6838">
      <w:pPr>
        <w:spacing w:after="0" w:line="0" w:lineRule="atLeast"/>
        <w:rPr>
          <w:rFonts w:ascii="Times New Roman" w:hAnsi="Times New Roman" w:cs="Times New Roman"/>
          <w:sz w:val="13"/>
          <w:szCs w:val="13"/>
        </w:rPr>
      </w:pPr>
    </w:p>
    <w:p w14:paraId="254BE4B3" w14:textId="6B915CF9" w:rsidR="00EA6838" w:rsidRPr="00EA6838" w:rsidRDefault="00EA6838" w:rsidP="00EA6838">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Deloitte (2024)</w:t>
      </w:r>
      <w:r w:rsidRPr="006D4102">
        <w:rPr>
          <w:rFonts w:ascii="Times New Roman" w:hAnsi="Times New Roman" w:cs="Times New Roman"/>
          <w:i/>
          <w:iCs/>
          <w:sz w:val="13"/>
          <w:szCs w:val="13"/>
        </w:rPr>
        <w:t xml:space="preserve"> Gen Z and Millennial Survey</w:t>
      </w:r>
      <w:r w:rsidRPr="00457662">
        <w:rPr>
          <w:rFonts w:ascii="Times New Roman" w:hAnsi="Times New Roman" w:cs="Times New Roman"/>
          <w:sz w:val="13"/>
          <w:szCs w:val="13"/>
        </w:rPr>
        <w:t xml:space="preserve">. Available at: </w:t>
      </w:r>
      <w:hyperlink r:id="rId5" w:history="1">
        <w:r w:rsidRPr="00064293">
          <w:rPr>
            <w:rStyle w:val="ae"/>
            <w:rFonts w:ascii="Times New Roman" w:hAnsi="Times New Roman" w:cs="Times New Roman"/>
            <w:sz w:val="13"/>
            <w:szCs w:val="13"/>
          </w:rPr>
          <w:t>https://www.deloitte.com/global/en/issues/work/genz-millennial-survey.html</w:t>
        </w:r>
      </w:hyperlink>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 (Accessed </w:t>
      </w:r>
      <w:r>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14A3990B" w14:textId="77777777" w:rsidR="00EA6838" w:rsidRPr="00457662" w:rsidRDefault="00EA6838" w:rsidP="00457662">
      <w:pPr>
        <w:spacing w:after="0" w:line="0" w:lineRule="atLeast"/>
        <w:rPr>
          <w:rFonts w:ascii="Times New Roman" w:hAnsi="Times New Roman" w:cs="Times New Roman" w:hint="eastAsia"/>
          <w:sz w:val="13"/>
          <w:szCs w:val="13"/>
        </w:rPr>
      </w:pPr>
    </w:p>
    <w:p w14:paraId="6FEB8A81" w14:textId="57D30393" w:rsidR="00457662" w:rsidRP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Euromonitor (2023) ‘North American soft drinks volume under pressure from price increases’, </w:t>
      </w:r>
      <w:r w:rsidRPr="00457662">
        <w:rPr>
          <w:rFonts w:ascii="Times New Roman" w:hAnsi="Times New Roman" w:cs="Times New Roman"/>
          <w:i/>
          <w:iCs/>
          <w:sz w:val="13"/>
          <w:szCs w:val="13"/>
        </w:rPr>
        <w:t>Euromonitor International,</w:t>
      </w:r>
      <w:r w:rsidRPr="00457662">
        <w:rPr>
          <w:rFonts w:ascii="Times New Roman" w:hAnsi="Times New Roman" w:cs="Times New Roman"/>
          <w:sz w:val="13"/>
          <w:szCs w:val="13"/>
        </w:rPr>
        <w:t xml:space="preserve"> 3 November. Available at: </w:t>
      </w:r>
      <w:hyperlink r:id="rId6" w:history="1">
        <w:r w:rsidRPr="00064293">
          <w:rPr>
            <w:rStyle w:val="ae"/>
            <w:rFonts w:ascii="Times New Roman" w:hAnsi="Times New Roman" w:cs="Times New Roman"/>
            <w:sz w:val="13"/>
            <w:szCs w:val="13"/>
          </w:rPr>
          <w:t>https://www.euromonitor.com/article/north-american-soft-drinks-volume-under-pressure-from-price-increases</w:t>
        </w:r>
      </w:hyperlink>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 (Accessed </w:t>
      </w:r>
      <w:r>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0F97B608" w14:textId="77777777" w:rsidR="00EA6838" w:rsidRDefault="00EA6838" w:rsidP="00457662">
      <w:pPr>
        <w:spacing w:after="0" w:line="0" w:lineRule="atLeast"/>
        <w:rPr>
          <w:rFonts w:ascii="Times New Roman" w:hAnsi="Times New Roman" w:cs="Times New Roman"/>
          <w:sz w:val="13"/>
          <w:szCs w:val="13"/>
        </w:rPr>
      </w:pPr>
    </w:p>
    <w:p w14:paraId="7BE04B4E" w14:textId="77777777" w:rsidR="00EA6838" w:rsidRPr="00457662" w:rsidRDefault="00EA6838" w:rsidP="00EA6838">
      <w:pPr>
        <w:spacing w:after="0" w:line="0" w:lineRule="atLeast"/>
        <w:rPr>
          <w:rFonts w:ascii="Times New Roman" w:hAnsi="Times New Roman" w:cs="Times New Roman"/>
          <w:sz w:val="13"/>
          <w:szCs w:val="13"/>
        </w:rPr>
      </w:pPr>
      <w:proofErr w:type="spellStart"/>
      <w:r w:rsidRPr="00457662">
        <w:rPr>
          <w:rFonts w:ascii="Times New Roman" w:hAnsi="Times New Roman" w:cs="Times New Roman"/>
          <w:sz w:val="13"/>
          <w:szCs w:val="13"/>
        </w:rPr>
        <w:t>Echchakoui</w:t>
      </w:r>
      <w:proofErr w:type="spellEnd"/>
      <w:r w:rsidRPr="00457662">
        <w:rPr>
          <w:rFonts w:ascii="Times New Roman" w:hAnsi="Times New Roman" w:cs="Times New Roman"/>
          <w:sz w:val="13"/>
          <w:szCs w:val="13"/>
        </w:rPr>
        <w:t xml:space="preserve">, S. (2018) ‘An analytical model that links customer-perceived value and competitive strategies’, </w:t>
      </w:r>
      <w:r w:rsidRPr="006D4102">
        <w:rPr>
          <w:rFonts w:ascii="Times New Roman" w:hAnsi="Times New Roman" w:cs="Times New Roman"/>
          <w:i/>
          <w:iCs/>
          <w:sz w:val="13"/>
          <w:szCs w:val="13"/>
        </w:rPr>
        <w:t>Journal of Marketing Analytics</w:t>
      </w:r>
      <w:r w:rsidRPr="00457662">
        <w:rPr>
          <w:rFonts w:ascii="Times New Roman" w:hAnsi="Times New Roman" w:cs="Times New Roman"/>
          <w:sz w:val="13"/>
          <w:szCs w:val="13"/>
        </w:rPr>
        <w:t>, 6(4), pp. 138–149.</w:t>
      </w:r>
    </w:p>
    <w:p w14:paraId="4E8C6A8C" w14:textId="77777777" w:rsidR="00EA6838" w:rsidRPr="00EA6838" w:rsidRDefault="00EA6838" w:rsidP="00457662">
      <w:pPr>
        <w:spacing w:after="0" w:line="0" w:lineRule="atLeast"/>
        <w:rPr>
          <w:rFonts w:ascii="Times New Roman" w:hAnsi="Times New Roman" w:cs="Times New Roman" w:hint="eastAsia"/>
          <w:sz w:val="13"/>
          <w:szCs w:val="13"/>
        </w:rPr>
      </w:pPr>
    </w:p>
    <w:p w14:paraId="1AAE2BAB" w14:textId="77777777" w:rsidR="00EA6838" w:rsidRPr="00457662" w:rsidRDefault="00EA6838" w:rsidP="00EA6838">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Freeman, R.E., Dmytriyev, S.D. and Phillips, R.A. (2021) ‘Stakeholder theory and the resource-based view of the firm’,</w:t>
      </w:r>
      <w:r w:rsidRPr="006D4102">
        <w:rPr>
          <w:rFonts w:ascii="Times New Roman" w:hAnsi="Times New Roman" w:cs="Times New Roman"/>
          <w:i/>
          <w:iCs/>
          <w:sz w:val="13"/>
          <w:szCs w:val="13"/>
        </w:rPr>
        <w:t xml:space="preserve"> Journal of Management,</w:t>
      </w:r>
      <w:r w:rsidRPr="00457662">
        <w:rPr>
          <w:rFonts w:ascii="Times New Roman" w:hAnsi="Times New Roman" w:cs="Times New Roman"/>
          <w:sz w:val="13"/>
          <w:szCs w:val="13"/>
        </w:rPr>
        <w:t xml:space="preserve"> 47(7), pp. 1757–1770. </w:t>
      </w:r>
    </w:p>
    <w:p w14:paraId="7044CE60" w14:textId="77777777" w:rsidR="00EA6838" w:rsidRPr="00EA6838" w:rsidRDefault="00EA6838" w:rsidP="00457662">
      <w:pPr>
        <w:spacing w:after="0" w:line="0" w:lineRule="atLeast"/>
        <w:rPr>
          <w:rFonts w:ascii="Times New Roman" w:hAnsi="Times New Roman" w:cs="Times New Roman" w:hint="eastAsia"/>
          <w:sz w:val="13"/>
          <w:szCs w:val="13"/>
        </w:rPr>
      </w:pPr>
    </w:p>
    <w:p w14:paraId="7DD8D1EF" w14:textId="71697E7E" w:rsidR="00457662" w:rsidRPr="00457662" w:rsidRDefault="00457662" w:rsidP="0045766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Islami, X., Mustafa, N. and </w:t>
      </w:r>
      <w:proofErr w:type="spellStart"/>
      <w:r w:rsidRPr="00457662">
        <w:rPr>
          <w:rFonts w:ascii="Times New Roman" w:hAnsi="Times New Roman" w:cs="Times New Roman"/>
          <w:sz w:val="13"/>
          <w:szCs w:val="13"/>
        </w:rPr>
        <w:t>Topuzovska</w:t>
      </w:r>
      <w:proofErr w:type="spellEnd"/>
      <w:r w:rsidRPr="00457662">
        <w:rPr>
          <w:rFonts w:ascii="Times New Roman" w:hAnsi="Times New Roman" w:cs="Times New Roman"/>
          <w:sz w:val="13"/>
          <w:szCs w:val="13"/>
        </w:rPr>
        <w:t xml:space="preserve">, L.M. (2020) ‘Linking Porter’s generic strategies to firm performance’, </w:t>
      </w:r>
      <w:r w:rsidRPr="00457662">
        <w:rPr>
          <w:rFonts w:ascii="Times New Roman" w:hAnsi="Times New Roman" w:cs="Times New Roman"/>
          <w:i/>
          <w:iCs/>
          <w:sz w:val="13"/>
          <w:szCs w:val="13"/>
        </w:rPr>
        <w:t>Future Business Journal</w:t>
      </w:r>
      <w:r w:rsidRPr="00457662">
        <w:rPr>
          <w:rFonts w:ascii="Times New Roman" w:hAnsi="Times New Roman" w:cs="Times New Roman"/>
          <w:sz w:val="13"/>
          <w:szCs w:val="13"/>
        </w:rPr>
        <w:t>, 6(1), pp. 1–15.</w:t>
      </w:r>
    </w:p>
    <w:p w14:paraId="01FACC31" w14:textId="77777777" w:rsidR="00457662" w:rsidRPr="00457662" w:rsidRDefault="00457662" w:rsidP="00457662">
      <w:pPr>
        <w:spacing w:after="0" w:line="0" w:lineRule="atLeast"/>
        <w:rPr>
          <w:rFonts w:ascii="Times New Roman" w:hAnsi="Times New Roman" w:cs="Times New Roman"/>
          <w:sz w:val="13"/>
          <w:szCs w:val="13"/>
        </w:rPr>
      </w:pPr>
    </w:p>
    <w:p w14:paraId="0D782BC7" w14:textId="772695C4" w:rsidR="00457662" w:rsidRP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Kabue, L.W. and </w:t>
      </w:r>
      <w:proofErr w:type="spellStart"/>
      <w:r w:rsidRPr="00457662">
        <w:rPr>
          <w:rFonts w:ascii="Times New Roman" w:hAnsi="Times New Roman" w:cs="Times New Roman"/>
          <w:sz w:val="13"/>
          <w:szCs w:val="13"/>
        </w:rPr>
        <w:t>Kilika</w:t>
      </w:r>
      <w:proofErr w:type="spellEnd"/>
      <w:r w:rsidRPr="00457662">
        <w:rPr>
          <w:rFonts w:ascii="Times New Roman" w:hAnsi="Times New Roman" w:cs="Times New Roman"/>
          <w:sz w:val="13"/>
          <w:szCs w:val="13"/>
        </w:rPr>
        <w:t xml:space="preserve">, J.M. (2016) ‘Firm resources, core competencies and sustainable competitive advantage: An integrative theoretical framework’, </w:t>
      </w:r>
      <w:r w:rsidRPr="00457662">
        <w:rPr>
          <w:rFonts w:ascii="Times New Roman" w:hAnsi="Times New Roman" w:cs="Times New Roman"/>
          <w:i/>
          <w:iCs/>
          <w:sz w:val="13"/>
          <w:szCs w:val="13"/>
        </w:rPr>
        <w:t>Journal of Management and Strategy</w:t>
      </w:r>
      <w:r w:rsidRPr="00457662">
        <w:rPr>
          <w:rFonts w:ascii="Times New Roman" w:hAnsi="Times New Roman" w:cs="Times New Roman"/>
          <w:sz w:val="13"/>
          <w:szCs w:val="13"/>
        </w:rPr>
        <w:t>, 7(1), pp. 98–108.</w:t>
      </w:r>
    </w:p>
    <w:p w14:paraId="563418B5" w14:textId="77777777" w:rsidR="00457662" w:rsidRPr="00457662" w:rsidRDefault="00457662" w:rsidP="00457662">
      <w:pPr>
        <w:spacing w:after="0" w:line="0" w:lineRule="atLeast"/>
        <w:rPr>
          <w:rFonts w:ascii="Times New Roman" w:hAnsi="Times New Roman" w:cs="Times New Roman"/>
          <w:sz w:val="13"/>
          <w:szCs w:val="13"/>
        </w:rPr>
      </w:pPr>
    </w:p>
    <w:p w14:paraId="27A4B711" w14:textId="32EE8BE6" w:rsidR="00457662" w:rsidRP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Kalogeropoulos, D. (2024) ‘Consumers buy 2.2 billion Coca-Cola products each day. But most of the company’s sales come from somewhere you might not expect’, </w:t>
      </w:r>
      <w:r w:rsidRPr="00457662">
        <w:rPr>
          <w:rFonts w:ascii="Times New Roman" w:hAnsi="Times New Roman" w:cs="Times New Roman"/>
          <w:i/>
          <w:iCs/>
          <w:sz w:val="13"/>
          <w:szCs w:val="13"/>
        </w:rPr>
        <w:t>Yahoo Finance</w:t>
      </w:r>
      <w:r w:rsidRPr="00457662">
        <w:rPr>
          <w:rFonts w:ascii="Times New Roman" w:hAnsi="Times New Roman" w:cs="Times New Roman"/>
          <w:sz w:val="13"/>
          <w:szCs w:val="13"/>
        </w:rPr>
        <w:t xml:space="preserve">, 27 January. Available at: </w:t>
      </w:r>
      <w:hyperlink r:id="rId7" w:history="1">
        <w:r w:rsidRPr="00064293">
          <w:rPr>
            <w:rStyle w:val="ae"/>
            <w:rFonts w:ascii="Times New Roman" w:hAnsi="Times New Roman" w:cs="Times New Roman"/>
            <w:sz w:val="13"/>
            <w:szCs w:val="13"/>
          </w:rPr>
          <w:t>https://finance.yahoo.com/news/consumers-buy-2-2-billion-124000118.ht</w:t>
        </w:r>
        <w:r w:rsidRPr="00064293">
          <w:rPr>
            <w:rStyle w:val="ae"/>
            <w:rFonts w:ascii="Times New Roman" w:hAnsi="Times New Roman" w:cs="Times New Roman"/>
            <w:sz w:val="13"/>
            <w:szCs w:val="13"/>
          </w:rPr>
          <w:t>m</w:t>
        </w:r>
        <w:r w:rsidRPr="00064293">
          <w:rPr>
            <w:rStyle w:val="ae"/>
            <w:rFonts w:ascii="Times New Roman" w:hAnsi="Times New Roman" w:cs="Times New Roman"/>
            <w:sz w:val="13"/>
            <w:szCs w:val="13"/>
          </w:rPr>
          <w:t>l</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(Accessed </w:t>
      </w:r>
      <w:r>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750FBC72" w14:textId="77777777" w:rsidR="00457662" w:rsidRPr="00457662" w:rsidRDefault="00457662" w:rsidP="00457662">
      <w:pPr>
        <w:spacing w:after="0" w:line="0" w:lineRule="atLeast"/>
        <w:rPr>
          <w:rFonts w:ascii="Times New Roman" w:hAnsi="Times New Roman" w:cs="Times New Roman"/>
          <w:sz w:val="13"/>
          <w:szCs w:val="13"/>
        </w:rPr>
      </w:pPr>
    </w:p>
    <w:p w14:paraId="77BD673C" w14:textId="546C4E88" w:rsidR="00457662" w:rsidRP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Laville, S. (2019) ‘Coca-Cola admits it produces 3m </w:t>
      </w:r>
      <w:proofErr w:type="spellStart"/>
      <w:r w:rsidRPr="00457662">
        <w:rPr>
          <w:rFonts w:ascii="Times New Roman" w:hAnsi="Times New Roman" w:cs="Times New Roman"/>
          <w:sz w:val="13"/>
          <w:szCs w:val="13"/>
        </w:rPr>
        <w:t>tonnes</w:t>
      </w:r>
      <w:proofErr w:type="spellEnd"/>
      <w:r w:rsidRPr="00457662">
        <w:rPr>
          <w:rFonts w:ascii="Times New Roman" w:hAnsi="Times New Roman" w:cs="Times New Roman"/>
          <w:sz w:val="13"/>
          <w:szCs w:val="13"/>
        </w:rPr>
        <w:t xml:space="preserve"> of plastic packaging a year’, </w:t>
      </w:r>
      <w:r w:rsidRPr="00457662">
        <w:rPr>
          <w:rFonts w:ascii="Times New Roman" w:hAnsi="Times New Roman" w:cs="Times New Roman"/>
          <w:i/>
          <w:iCs/>
          <w:sz w:val="13"/>
          <w:szCs w:val="13"/>
        </w:rPr>
        <w:t>The Guardian</w:t>
      </w:r>
      <w:r w:rsidRPr="00457662">
        <w:rPr>
          <w:rFonts w:ascii="Times New Roman" w:hAnsi="Times New Roman" w:cs="Times New Roman"/>
          <w:sz w:val="13"/>
          <w:szCs w:val="13"/>
        </w:rPr>
        <w:t xml:space="preserve">, 14 March. Available at: </w:t>
      </w:r>
      <w:hyperlink r:id="rId8" w:history="1">
        <w:r w:rsidRPr="00064293">
          <w:rPr>
            <w:rStyle w:val="ae"/>
            <w:rFonts w:ascii="Times New Roman" w:hAnsi="Times New Roman" w:cs="Times New Roman"/>
            <w:sz w:val="13"/>
            <w:szCs w:val="13"/>
          </w:rPr>
          <w:t>https://www.theguardian.com/business/2019/mar/14/coca-cola-admits-it-produces-3m-tonnes-of-plastic-packaging-a-year</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(Accessed </w:t>
      </w:r>
      <w:r>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382E525F" w14:textId="77777777" w:rsidR="00457662" w:rsidRPr="00457662" w:rsidRDefault="00457662" w:rsidP="00457662">
      <w:pPr>
        <w:spacing w:after="0" w:line="0" w:lineRule="atLeast"/>
        <w:rPr>
          <w:rFonts w:ascii="Times New Roman" w:hAnsi="Times New Roman" w:cs="Times New Roman"/>
          <w:sz w:val="13"/>
          <w:szCs w:val="13"/>
        </w:rPr>
      </w:pPr>
    </w:p>
    <w:p w14:paraId="641ADDCD" w14:textId="44C5C84B" w:rsid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Market Growth Reports (2026) </w:t>
      </w:r>
      <w:r w:rsidRPr="00457662">
        <w:rPr>
          <w:rFonts w:ascii="Times New Roman" w:hAnsi="Times New Roman" w:cs="Times New Roman"/>
          <w:i/>
          <w:iCs/>
          <w:sz w:val="13"/>
          <w:szCs w:val="13"/>
        </w:rPr>
        <w:t>Non-alcoholic drinks market size, share, growth, and industry analysis</w:t>
      </w:r>
      <w:r w:rsidRPr="00457662">
        <w:rPr>
          <w:rFonts w:ascii="Times New Roman" w:hAnsi="Times New Roman" w:cs="Times New Roman"/>
          <w:sz w:val="13"/>
          <w:szCs w:val="13"/>
        </w:rPr>
        <w:t xml:space="preserve">. Available at: </w:t>
      </w:r>
      <w:hyperlink r:id="rId9" w:history="1">
        <w:r w:rsidRPr="00064293">
          <w:rPr>
            <w:rStyle w:val="ae"/>
            <w:rFonts w:ascii="Times New Roman" w:hAnsi="Times New Roman" w:cs="Times New Roman"/>
            <w:sz w:val="13"/>
            <w:szCs w:val="13"/>
          </w:rPr>
          <w:t>https://www.marketgrowthreports.com/market-reports/non-alcoholic-drinks-market-113546</w:t>
        </w:r>
      </w:hyperlink>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 (Accessed</w:t>
      </w:r>
      <w:r>
        <w:rPr>
          <w:rFonts w:ascii="Times New Roman" w:hAnsi="Times New Roman" w:cs="Times New Roman" w:hint="eastAsia"/>
          <w:sz w:val="13"/>
          <w:szCs w:val="13"/>
        </w:rPr>
        <w:t xml:space="preserve"> 6</w:t>
      </w:r>
      <w:r w:rsidRPr="00457662">
        <w:rPr>
          <w:rFonts w:ascii="Times New Roman" w:hAnsi="Times New Roman" w:cs="Times New Roman"/>
          <w:sz w:val="13"/>
          <w:szCs w:val="13"/>
        </w:rPr>
        <w:t xml:space="preserve"> May 2026).</w:t>
      </w:r>
    </w:p>
    <w:p w14:paraId="1432FE86" w14:textId="77777777" w:rsidR="00EA6838" w:rsidRPr="00457662" w:rsidRDefault="00EA6838" w:rsidP="00457662">
      <w:pPr>
        <w:spacing w:after="0" w:line="0" w:lineRule="atLeast"/>
        <w:rPr>
          <w:rFonts w:ascii="Times New Roman" w:hAnsi="Times New Roman" w:cs="Times New Roman" w:hint="eastAsia"/>
          <w:sz w:val="13"/>
          <w:szCs w:val="13"/>
        </w:rPr>
      </w:pPr>
    </w:p>
    <w:p w14:paraId="035B1667" w14:textId="77777777" w:rsidR="00EA6838" w:rsidRPr="00457662" w:rsidRDefault="00EA6838" w:rsidP="00EA6838">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Manser, P.E., Peltier, J.W. and Barger, V.A. (2017) ‘Omni-channel marketing, integrated marketing communications and consumer engagement: A research agenda’, </w:t>
      </w:r>
      <w:r w:rsidRPr="006D4102">
        <w:rPr>
          <w:rFonts w:ascii="Times New Roman" w:hAnsi="Times New Roman" w:cs="Times New Roman"/>
          <w:i/>
          <w:iCs/>
          <w:sz w:val="13"/>
          <w:szCs w:val="13"/>
        </w:rPr>
        <w:t>Journal of Research in Interactive Marketing</w:t>
      </w:r>
      <w:r w:rsidRPr="00457662">
        <w:rPr>
          <w:rFonts w:ascii="Times New Roman" w:hAnsi="Times New Roman" w:cs="Times New Roman"/>
          <w:sz w:val="13"/>
          <w:szCs w:val="13"/>
        </w:rPr>
        <w:t>, 11(2), pp. 185–197.</w:t>
      </w:r>
    </w:p>
    <w:p w14:paraId="587717FA" w14:textId="77777777" w:rsidR="00EA6838" w:rsidRDefault="00EA6838" w:rsidP="00EA6838">
      <w:pPr>
        <w:spacing w:after="0" w:line="0" w:lineRule="atLeast"/>
        <w:rPr>
          <w:rFonts w:ascii="Times New Roman" w:hAnsi="Times New Roman" w:cs="Times New Roman"/>
          <w:sz w:val="13"/>
          <w:szCs w:val="13"/>
        </w:rPr>
      </w:pPr>
    </w:p>
    <w:p w14:paraId="7F4DCB2A" w14:textId="77777777" w:rsidR="00EA6838" w:rsidRPr="00457662" w:rsidRDefault="00EA6838" w:rsidP="00EA6838">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McKinsey &amp; Company (2023) ‘Why ESG is here to stay’, </w:t>
      </w:r>
      <w:r w:rsidRPr="006D4102">
        <w:rPr>
          <w:rFonts w:ascii="Times New Roman" w:hAnsi="Times New Roman" w:cs="Times New Roman"/>
          <w:i/>
          <w:iCs/>
          <w:sz w:val="13"/>
          <w:szCs w:val="13"/>
        </w:rPr>
        <w:t>McKinsey &amp; Company.</w:t>
      </w:r>
      <w:r w:rsidRPr="00457662">
        <w:rPr>
          <w:rFonts w:ascii="Times New Roman" w:hAnsi="Times New Roman" w:cs="Times New Roman"/>
          <w:sz w:val="13"/>
          <w:szCs w:val="13"/>
        </w:rPr>
        <w:t xml:space="preserve"> Available at: </w:t>
      </w:r>
      <w:hyperlink r:id="rId10" w:history="1">
        <w:r w:rsidRPr="00064293">
          <w:rPr>
            <w:rStyle w:val="ae"/>
            <w:rFonts w:ascii="Times New Roman" w:hAnsi="Times New Roman" w:cs="Times New Roman"/>
            <w:sz w:val="13"/>
            <w:szCs w:val="13"/>
          </w:rPr>
          <w:t>https://www.mckinsey.com/capabilities/strategy-and-corporate-finance/our-insights/why-esg-is-here-to-stay</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(Accessed: 7 May 2026).</w:t>
      </w:r>
    </w:p>
    <w:p w14:paraId="667803A4" w14:textId="77777777" w:rsidR="00EA6838" w:rsidRPr="00457662" w:rsidRDefault="00EA6838" w:rsidP="00EA6838">
      <w:pPr>
        <w:spacing w:after="0" w:line="0" w:lineRule="atLeast"/>
        <w:rPr>
          <w:rFonts w:ascii="Times New Roman" w:hAnsi="Times New Roman" w:cs="Times New Roman"/>
          <w:sz w:val="13"/>
          <w:szCs w:val="13"/>
        </w:rPr>
      </w:pPr>
    </w:p>
    <w:p w14:paraId="25308E4F" w14:textId="77777777" w:rsidR="00EA6838" w:rsidRPr="00457662" w:rsidRDefault="00EA6838" w:rsidP="00EA6838">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Morrison, A. (2026) ‘Underestimates in global warming pose major climate and financial risks’, </w:t>
      </w:r>
      <w:proofErr w:type="spellStart"/>
      <w:r w:rsidRPr="006D4102">
        <w:rPr>
          <w:rFonts w:ascii="Times New Roman" w:hAnsi="Times New Roman" w:cs="Times New Roman"/>
          <w:i/>
          <w:iCs/>
          <w:sz w:val="13"/>
          <w:szCs w:val="13"/>
        </w:rPr>
        <w:t>PreventionWeb</w:t>
      </w:r>
      <w:proofErr w:type="spellEnd"/>
      <w:r w:rsidRPr="00457662">
        <w:rPr>
          <w:rFonts w:ascii="Times New Roman" w:hAnsi="Times New Roman" w:cs="Times New Roman"/>
          <w:sz w:val="13"/>
          <w:szCs w:val="13"/>
        </w:rPr>
        <w:t xml:space="preserve">, 14 January. Available at: </w:t>
      </w:r>
      <w:hyperlink r:id="rId11" w:history="1">
        <w:r w:rsidRPr="00064293">
          <w:rPr>
            <w:rStyle w:val="ae"/>
            <w:rFonts w:ascii="Times New Roman" w:hAnsi="Times New Roman" w:cs="Times New Roman"/>
            <w:sz w:val="13"/>
            <w:szCs w:val="13"/>
          </w:rPr>
          <w:t>https://www.preventionweb.net/news/underestimates-global-warming-pose-major-climate-and-financial-risks</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(Accessed: 7 May 2026).</w:t>
      </w:r>
    </w:p>
    <w:p w14:paraId="52436A31" w14:textId="77777777" w:rsidR="00EA6838" w:rsidRPr="00EA6838" w:rsidRDefault="00EA6838" w:rsidP="00EA6838">
      <w:pPr>
        <w:spacing w:after="0" w:line="0" w:lineRule="atLeast"/>
        <w:rPr>
          <w:rFonts w:ascii="Times New Roman" w:hAnsi="Times New Roman" w:cs="Times New Roman" w:hint="eastAsia"/>
          <w:sz w:val="13"/>
          <w:szCs w:val="13"/>
        </w:rPr>
      </w:pPr>
    </w:p>
    <w:p w14:paraId="6BDFB240" w14:textId="77777777" w:rsidR="00EA6838" w:rsidRPr="00457662" w:rsidRDefault="00EA6838" w:rsidP="00EA6838">
      <w:pPr>
        <w:spacing w:after="0" w:line="0" w:lineRule="atLeast"/>
        <w:rPr>
          <w:rFonts w:ascii="Times New Roman" w:hAnsi="Times New Roman" w:cs="Times New Roman" w:hint="eastAsia"/>
          <w:sz w:val="13"/>
          <w:szCs w:val="13"/>
        </w:rPr>
      </w:pPr>
      <w:proofErr w:type="spellStart"/>
      <w:r w:rsidRPr="00457662">
        <w:rPr>
          <w:rFonts w:ascii="Times New Roman" w:hAnsi="Times New Roman" w:cs="Times New Roman"/>
          <w:sz w:val="13"/>
          <w:szCs w:val="13"/>
        </w:rPr>
        <w:t>Nawangwulan</w:t>
      </w:r>
      <w:proofErr w:type="spellEnd"/>
      <w:r w:rsidRPr="00457662">
        <w:rPr>
          <w:rFonts w:ascii="Times New Roman" w:hAnsi="Times New Roman" w:cs="Times New Roman"/>
          <w:sz w:val="13"/>
          <w:szCs w:val="13"/>
        </w:rPr>
        <w:t xml:space="preserve">, I.M., </w:t>
      </w:r>
      <w:proofErr w:type="spellStart"/>
      <w:r w:rsidRPr="00457662">
        <w:rPr>
          <w:rFonts w:ascii="Times New Roman" w:hAnsi="Times New Roman" w:cs="Times New Roman"/>
          <w:sz w:val="13"/>
          <w:szCs w:val="13"/>
        </w:rPr>
        <w:t>Anantadjaya</w:t>
      </w:r>
      <w:proofErr w:type="spellEnd"/>
      <w:r w:rsidRPr="00457662">
        <w:rPr>
          <w:rFonts w:ascii="Times New Roman" w:hAnsi="Times New Roman" w:cs="Times New Roman"/>
          <w:sz w:val="13"/>
          <w:szCs w:val="13"/>
        </w:rPr>
        <w:t xml:space="preserve">, S.P. and </w:t>
      </w:r>
      <w:proofErr w:type="spellStart"/>
      <w:r w:rsidRPr="00457662">
        <w:rPr>
          <w:rFonts w:ascii="Times New Roman" w:hAnsi="Times New Roman" w:cs="Times New Roman"/>
          <w:sz w:val="13"/>
          <w:szCs w:val="13"/>
        </w:rPr>
        <w:t>Rachmat</w:t>
      </w:r>
      <w:proofErr w:type="spellEnd"/>
      <w:r w:rsidRPr="00457662">
        <w:rPr>
          <w:rFonts w:ascii="Times New Roman" w:hAnsi="Times New Roman" w:cs="Times New Roman"/>
          <w:sz w:val="13"/>
          <w:szCs w:val="13"/>
        </w:rPr>
        <w:t>, T.A. (2025) ‘Learning of McDonald’s operation management and consumer behavior analysis: A qualitative study’,</w:t>
      </w:r>
      <w:r w:rsidRPr="006D4102">
        <w:rPr>
          <w:rFonts w:ascii="Times New Roman" w:hAnsi="Times New Roman" w:cs="Times New Roman"/>
          <w:i/>
          <w:iCs/>
          <w:sz w:val="13"/>
          <w:szCs w:val="13"/>
        </w:rPr>
        <w:t xml:space="preserve"> International Journal of Engineering, Science and Information Technology</w:t>
      </w:r>
      <w:r w:rsidRPr="00457662">
        <w:rPr>
          <w:rFonts w:ascii="Times New Roman" w:hAnsi="Times New Roman" w:cs="Times New Roman"/>
          <w:sz w:val="13"/>
          <w:szCs w:val="13"/>
        </w:rPr>
        <w:t>, 5(1), pp. 195–201.</w:t>
      </w:r>
    </w:p>
    <w:p w14:paraId="7FC638AF" w14:textId="77777777" w:rsidR="00EA6838" w:rsidRPr="00457662" w:rsidRDefault="00EA6838" w:rsidP="00EA6838">
      <w:pPr>
        <w:spacing w:after="0" w:line="0" w:lineRule="atLeast"/>
        <w:rPr>
          <w:rFonts w:ascii="Times New Roman" w:hAnsi="Times New Roman" w:cs="Times New Roman"/>
          <w:sz w:val="13"/>
          <w:szCs w:val="13"/>
        </w:rPr>
      </w:pPr>
    </w:p>
    <w:p w14:paraId="72797FF1" w14:textId="77777777" w:rsidR="00EA6838" w:rsidRPr="00457662" w:rsidRDefault="00EA6838" w:rsidP="00EA6838">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Noone, B.M. and Coulter, R.C. (2012) ‘Applying modern robotics technologies to demand prediction and production management in the quick-service restaurant sector’,</w:t>
      </w:r>
      <w:r w:rsidRPr="006D4102">
        <w:rPr>
          <w:rFonts w:ascii="Times New Roman" w:hAnsi="Times New Roman" w:cs="Times New Roman"/>
          <w:i/>
          <w:iCs/>
          <w:sz w:val="13"/>
          <w:szCs w:val="13"/>
        </w:rPr>
        <w:t xml:space="preserve"> Cornell Hospitality Quarterly</w:t>
      </w:r>
      <w:r w:rsidRPr="00457662">
        <w:rPr>
          <w:rFonts w:ascii="Times New Roman" w:hAnsi="Times New Roman" w:cs="Times New Roman"/>
          <w:sz w:val="13"/>
          <w:szCs w:val="13"/>
        </w:rPr>
        <w:t>, 53(2).</w:t>
      </w:r>
    </w:p>
    <w:p w14:paraId="75BBF2C3" w14:textId="77777777" w:rsidR="00457662" w:rsidRPr="00EA6838" w:rsidRDefault="00457662" w:rsidP="00457662">
      <w:pPr>
        <w:spacing w:after="0" w:line="0" w:lineRule="atLeast"/>
        <w:rPr>
          <w:rFonts w:ascii="Times New Roman" w:hAnsi="Times New Roman" w:cs="Times New Roman" w:hint="eastAsia"/>
          <w:sz w:val="13"/>
          <w:szCs w:val="13"/>
        </w:rPr>
      </w:pPr>
    </w:p>
    <w:p w14:paraId="64E35D91" w14:textId="77777777" w:rsidR="00EA6838" w:rsidRDefault="00457662" w:rsidP="00EA6838">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Pervan, M., </w:t>
      </w:r>
      <w:proofErr w:type="spellStart"/>
      <w:r w:rsidRPr="00457662">
        <w:rPr>
          <w:rFonts w:ascii="Times New Roman" w:hAnsi="Times New Roman" w:cs="Times New Roman"/>
          <w:sz w:val="13"/>
          <w:szCs w:val="13"/>
        </w:rPr>
        <w:t>Ćurak</w:t>
      </w:r>
      <w:proofErr w:type="spellEnd"/>
      <w:r w:rsidRPr="00457662">
        <w:rPr>
          <w:rFonts w:ascii="Times New Roman" w:hAnsi="Times New Roman" w:cs="Times New Roman"/>
          <w:sz w:val="13"/>
          <w:szCs w:val="13"/>
        </w:rPr>
        <w:t xml:space="preserve">, M. and Kramarić, T.P. (2017) ‘The influence of industry characteristics and dynamic capabilities on firms’ profitability’, </w:t>
      </w:r>
      <w:r w:rsidRPr="006D4102">
        <w:rPr>
          <w:rFonts w:ascii="Times New Roman" w:hAnsi="Times New Roman" w:cs="Times New Roman"/>
          <w:i/>
          <w:iCs/>
          <w:sz w:val="13"/>
          <w:szCs w:val="13"/>
        </w:rPr>
        <w:t xml:space="preserve">International Journal of Financial Studies, </w:t>
      </w:r>
      <w:r w:rsidRPr="00457662">
        <w:rPr>
          <w:rFonts w:ascii="Times New Roman" w:hAnsi="Times New Roman" w:cs="Times New Roman"/>
          <w:sz w:val="13"/>
          <w:szCs w:val="13"/>
        </w:rPr>
        <w:t>6(1), pp. 1–19.</w:t>
      </w:r>
    </w:p>
    <w:p w14:paraId="0E50FD11" w14:textId="77777777" w:rsidR="00EA6838" w:rsidRDefault="00EA6838" w:rsidP="00EA6838">
      <w:pPr>
        <w:spacing w:after="0" w:line="0" w:lineRule="atLeast"/>
        <w:rPr>
          <w:rFonts w:ascii="Times New Roman" w:hAnsi="Times New Roman" w:cs="Times New Roman"/>
          <w:sz w:val="13"/>
          <w:szCs w:val="13"/>
        </w:rPr>
      </w:pPr>
    </w:p>
    <w:p w14:paraId="380683C3" w14:textId="0088B367" w:rsidR="00EA6838" w:rsidRPr="00EA6838" w:rsidRDefault="00EA6838" w:rsidP="0045766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Reuters (2024) ‘McDonald’s launches $5 meal deal to lure back customers, Bloomberg News reports’, </w:t>
      </w:r>
      <w:r w:rsidRPr="006D4102">
        <w:rPr>
          <w:rFonts w:ascii="Times New Roman" w:hAnsi="Times New Roman" w:cs="Times New Roman"/>
          <w:i/>
          <w:iCs/>
          <w:sz w:val="13"/>
          <w:szCs w:val="13"/>
        </w:rPr>
        <w:t xml:space="preserve">Reuters, </w:t>
      </w:r>
      <w:r w:rsidRPr="00457662">
        <w:rPr>
          <w:rFonts w:ascii="Times New Roman" w:hAnsi="Times New Roman" w:cs="Times New Roman"/>
          <w:sz w:val="13"/>
          <w:szCs w:val="13"/>
        </w:rPr>
        <w:t xml:space="preserve">10 May. Available at: </w:t>
      </w:r>
      <w:hyperlink r:id="rId12" w:history="1">
        <w:r w:rsidRPr="00064293">
          <w:rPr>
            <w:rStyle w:val="ae"/>
            <w:rFonts w:ascii="Times New Roman" w:hAnsi="Times New Roman" w:cs="Times New Roman"/>
            <w:sz w:val="13"/>
            <w:szCs w:val="13"/>
          </w:rPr>
          <w:t>https://www.reuters.com/business/retail-consumer/mcdonalds-launch-5-meal-deal-lure-back-customers-bloomberg-news-reports-2024-05-10/</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(Accessed 7 May 2026).</w:t>
      </w:r>
    </w:p>
    <w:p w14:paraId="7C054689" w14:textId="77777777" w:rsidR="00457662" w:rsidRPr="00457662" w:rsidRDefault="00457662" w:rsidP="00457662">
      <w:pPr>
        <w:spacing w:after="0" w:line="0" w:lineRule="atLeast"/>
        <w:rPr>
          <w:rFonts w:ascii="Times New Roman" w:hAnsi="Times New Roman" w:cs="Times New Roman"/>
          <w:sz w:val="13"/>
          <w:szCs w:val="13"/>
        </w:rPr>
      </w:pPr>
    </w:p>
    <w:p w14:paraId="716FF37F" w14:textId="1D86C370" w:rsidR="00457662" w:rsidRP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Sadiq, H. (2025) ‘The Coca-Cola Company: The classic brand that might be asking too much from investors’, </w:t>
      </w:r>
      <w:r w:rsidRPr="006D4102">
        <w:rPr>
          <w:rFonts w:ascii="Times New Roman" w:hAnsi="Times New Roman" w:cs="Times New Roman"/>
          <w:i/>
          <w:iCs/>
          <w:sz w:val="13"/>
          <w:szCs w:val="13"/>
        </w:rPr>
        <w:t>Yahoo Finance</w:t>
      </w:r>
      <w:r w:rsidRPr="00457662">
        <w:rPr>
          <w:rFonts w:ascii="Times New Roman" w:hAnsi="Times New Roman" w:cs="Times New Roman"/>
          <w:sz w:val="13"/>
          <w:szCs w:val="13"/>
        </w:rPr>
        <w:t xml:space="preserve">, 6 August. Available at: </w:t>
      </w:r>
      <w:hyperlink r:id="rId13" w:history="1">
        <w:r w:rsidR="006D4102" w:rsidRPr="00064293">
          <w:rPr>
            <w:rStyle w:val="ae"/>
            <w:rFonts w:ascii="Times New Roman" w:hAnsi="Times New Roman" w:cs="Times New Roman"/>
            <w:sz w:val="13"/>
            <w:szCs w:val="13"/>
          </w:rPr>
          <w:t>https://finance.yahoo.com/news/coca-cola-company-classic-brand-084322007.html</w:t>
        </w:r>
      </w:hyperlink>
      <w:r w:rsidRPr="00457662">
        <w:rPr>
          <w:rFonts w:ascii="Times New Roman" w:hAnsi="Times New Roman" w:cs="Times New Roman"/>
          <w:sz w:val="13"/>
          <w:szCs w:val="13"/>
        </w:rPr>
        <w:t xml:space="preserve"> </w:t>
      </w:r>
      <w:r w:rsidR="006D4102">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(Accessed </w:t>
      </w:r>
      <w:r w:rsidR="006D4102">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6EDD4765" w14:textId="77777777" w:rsidR="00457662" w:rsidRDefault="00457662" w:rsidP="00457662">
      <w:pPr>
        <w:spacing w:after="0" w:line="0" w:lineRule="atLeast"/>
        <w:rPr>
          <w:rFonts w:ascii="Times New Roman" w:hAnsi="Times New Roman" w:cs="Times New Roman"/>
          <w:sz w:val="13"/>
          <w:szCs w:val="13"/>
        </w:rPr>
      </w:pPr>
    </w:p>
    <w:p w14:paraId="43BE92BE" w14:textId="77777777" w:rsidR="00C337A2" w:rsidRDefault="00C337A2" w:rsidP="00C337A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Syaharani, D.I. (2021) ‘The effectiveness of Dove Campaign for Real Beauty in affecting customers’ purchase decision toward Dove products’, </w:t>
      </w:r>
      <w:r w:rsidRPr="006D4102">
        <w:rPr>
          <w:rFonts w:ascii="Times New Roman" w:hAnsi="Times New Roman" w:cs="Times New Roman"/>
          <w:i/>
          <w:iCs/>
          <w:sz w:val="13"/>
          <w:szCs w:val="13"/>
        </w:rPr>
        <w:t>Advanced International Journal of Business, Entrepreneurship and SMEs</w:t>
      </w:r>
      <w:r w:rsidRPr="00457662">
        <w:rPr>
          <w:rFonts w:ascii="Times New Roman" w:hAnsi="Times New Roman" w:cs="Times New Roman"/>
          <w:sz w:val="13"/>
          <w:szCs w:val="13"/>
        </w:rPr>
        <w:t>, 3(9), pp. 244–264.</w:t>
      </w:r>
    </w:p>
    <w:p w14:paraId="344B31B4" w14:textId="77777777" w:rsidR="00C337A2" w:rsidRPr="00C337A2" w:rsidRDefault="00C337A2" w:rsidP="00457662">
      <w:pPr>
        <w:spacing w:after="0" w:line="0" w:lineRule="atLeast"/>
        <w:rPr>
          <w:rFonts w:ascii="Times New Roman" w:hAnsi="Times New Roman" w:cs="Times New Roman" w:hint="eastAsia"/>
          <w:sz w:val="13"/>
          <w:szCs w:val="13"/>
        </w:rPr>
      </w:pPr>
    </w:p>
    <w:p w14:paraId="3A08DC10" w14:textId="246DF4AE" w:rsidR="00457662" w:rsidRP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The Coca-Cola Company (2022) ‘Creating a world without waste: The Coca-Cola Company teams up with Bill Nye to demystify recycling in striking animation’, </w:t>
      </w:r>
      <w:r w:rsidRPr="006D4102">
        <w:rPr>
          <w:rFonts w:ascii="Times New Roman" w:hAnsi="Times New Roman" w:cs="Times New Roman"/>
          <w:i/>
          <w:iCs/>
          <w:sz w:val="13"/>
          <w:szCs w:val="13"/>
        </w:rPr>
        <w:t>The Coca-Cola Company,</w:t>
      </w:r>
      <w:r w:rsidRPr="00457662">
        <w:rPr>
          <w:rFonts w:ascii="Times New Roman" w:hAnsi="Times New Roman" w:cs="Times New Roman"/>
          <w:sz w:val="13"/>
          <w:szCs w:val="13"/>
        </w:rPr>
        <w:t xml:space="preserve"> 5 April. Available at: </w:t>
      </w:r>
      <w:hyperlink r:id="rId14" w:history="1">
        <w:r w:rsidR="006D4102" w:rsidRPr="00064293">
          <w:rPr>
            <w:rStyle w:val="ae"/>
            <w:rFonts w:ascii="Times New Roman" w:hAnsi="Times New Roman" w:cs="Times New Roman"/>
            <w:sz w:val="13"/>
            <w:szCs w:val="13"/>
          </w:rPr>
          <w:t>https://investors.coca-colacompany.com/news-events/press-releases/detail/1052/creating-a-world-without-waste-the-coca-cola-company-teams-up-with-bill-nye-to-demystify-recycling-in-striking-animation</w:t>
        </w:r>
      </w:hyperlink>
      <w:r w:rsidR="006D4102">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 (Accessed </w:t>
      </w:r>
      <w:r w:rsidR="006D4102">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00EF1AB9" w14:textId="77777777" w:rsidR="00457662" w:rsidRDefault="00457662" w:rsidP="00457662">
      <w:pPr>
        <w:spacing w:after="0" w:line="0" w:lineRule="atLeast"/>
        <w:rPr>
          <w:rFonts w:ascii="Times New Roman" w:hAnsi="Times New Roman" w:cs="Times New Roman"/>
          <w:sz w:val="13"/>
          <w:szCs w:val="13"/>
        </w:rPr>
      </w:pPr>
    </w:p>
    <w:p w14:paraId="5E2915AA" w14:textId="77777777" w:rsidR="00C337A2" w:rsidRPr="00457662" w:rsidRDefault="00C337A2" w:rsidP="00C337A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Teece, D.J. (2020) ‘Hand in glove: Open innovation and the dynamic capabilities framework’, </w:t>
      </w:r>
      <w:r w:rsidRPr="006D4102">
        <w:rPr>
          <w:rFonts w:ascii="Times New Roman" w:hAnsi="Times New Roman" w:cs="Times New Roman"/>
          <w:i/>
          <w:iCs/>
          <w:sz w:val="13"/>
          <w:szCs w:val="13"/>
        </w:rPr>
        <w:t>Strategic Management Review</w:t>
      </w:r>
      <w:r w:rsidRPr="00457662">
        <w:rPr>
          <w:rFonts w:ascii="Times New Roman" w:hAnsi="Times New Roman" w:cs="Times New Roman"/>
          <w:sz w:val="13"/>
          <w:szCs w:val="13"/>
        </w:rPr>
        <w:t>, 1(2), pp. 233–253.</w:t>
      </w:r>
    </w:p>
    <w:p w14:paraId="644FA2E5" w14:textId="77777777" w:rsidR="00C337A2" w:rsidRDefault="00C337A2" w:rsidP="00457662">
      <w:pPr>
        <w:spacing w:after="0" w:line="0" w:lineRule="atLeast"/>
        <w:rPr>
          <w:rFonts w:ascii="Times New Roman" w:hAnsi="Times New Roman" w:cs="Times New Roman"/>
          <w:sz w:val="13"/>
          <w:szCs w:val="13"/>
        </w:rPr>
      </w:pPr>
    </w:p>
    <w:p w14:paraId="1A6CF593" w14:textId="77777777" w:rsidR="00C337A2" w:rsidRPr="00457662" w:rsidRDefault="00C337A2" w:rsidP="00C337A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Unilever (2024) ‘20 years on: Dove and the future of Real Beauty’, </w:t>
      </w:r>
      <w:r w:rsidRPr="006D4102">
        <w:rPr>
          <w:rFonts w:ascii="Times New Roman" w:hAnsi="Times New Roman" w:cs="Times New Roman"/>
          <w:i/>
          <w:iCs/>
          <w:sz w:val="13"/>
          <w:szCs w:val="13"/>
        </w:rPr>
        <w:t>Unilever Newsroom,</w:t>
      </w:r>
      <w:r w:rsidRPr="00457662">
        <w:rPr>
          <w:rFonts w:ascii="Times New Roman" w:hAnsi="Times New Roman" w:cs="Times New Roman"/>
          <w:sz w:val="13"/>
          <w:szCs w:val="13"/>
        </w:rPr>
        <w:t xml:space="preserve"> 13 June. Available at: </w:t>
      </w:r>
      <w:hyperlink r:id="rId15" w:history="1">
        <w:r w:rsidRPr="00064293">
          <w:rPr>
            <w:rStyle w:val="ae"/>
            <w:rFonts w:ascii="Times New Roman" w:hAnsi="Times New Roman" w:cs="Times New Roman"/>
            <w:sz w:val="13"/>
            <w:szCs w:val="13"/>
          </w:rPr>
          <w:t>https://www.unilever.com/news/news-search/2024/20-years-on-dove-and-the-future-of-real-beauty/</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(Accessed </w:t>
      </w:r>
      <w:r>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6115DB1F" w14:textId="77777777" w:rsidR="00C337A2" w:rsidRPr="00457662" w:rsidRDefault="00C337A2" w:rsidP="00C337A2">
      <w:pPr>
        <w:spacing w:after="0" w:line="0" w:lineRule="atLeast"/>
        <w:rPr>
          <w:rFonts w:ascii="Times New Roman" w:hAnsi="Times New Roman" w:cs="Times New Roman"/>
          <w:sz w:val="13"/>
          <w:szCs w:val="13"/>
        </w:rPr>
      </w:pPr>
    </w:p>
    <w:p w14:paraId="1E84227C" w14:textId="77777777" w:rsidR="00C337A2" w:rsidRDefault="00C337A2" w:rsidP="00C337A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 xml:space="preserve">Unilever (2026) </w:t>
      </w:r>
      <w:r w:rsidRPr="006D4102">
        <w:rPr>
          <w:rFonts w:ascii="Times New Roman" w:hAnsi="Times New Roman" w:cs="Times New Roman"/>
          <w:i/>
          <w:iCs/>
          <w:sz w:val="13"/>
          <w:szCs w:val="13"/>
        </w:rPr>
        <w:t>At a glance</w:t>
      </w:r>
      <w:r w:rsidRPr="00457662">
        <w:rPr>
          <w:rFonts w:ascii="Times New Roman" w:hAnsi="Times New Roman" w:cs="Times New Roman"/>
          <w:sz w:val="13"/>
          <w:szCs w:val="13"/>
        </w:rPr>
        <w:t xml:space="preserve">. Available at: </w:t>
      </w:r>
      <w:hyperlink r:id="rId16" w:history="1">
        <w:r w:rsidRPr="00064293">
          <w:rPr>
            <w:rStyle w:val="ae"/>
            <w:rFonts w:ascii="Times New Roman" w:hAnsi="Times New Roman" w:cs="Times New Roman"/>
            <w:sz w:val="13"/>
            <w:szCs w:val="13"/>
          </w:rPr>
          <w:t>https://www.unilever.com/our-company/at-a-glance/</w:t>
        </w:r>
      </w:hyperlink>
      <w:r w:rsidRPr="00457662">
        <w:rPr>
          <w:rFonts w:ascii="Times New Roman" w:hAnsi="Times New Roman" w:cs="Times New Roman"/>
          <w:sz w:val="13"/>
          <w:szCs w:val="13"/>
        </w:rPr>
        <w:t xml:space="preserve"> </w:t>
      </w:r>
      <w:r>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(Accessed </w:t>
      </w:r>
      <w:r>
        <w:rPr>
          <w:rFonts w:ascii="Times New Roman" w:hAnsi="Times New Roman" w:cs="Times New Roman" w:hint="eastAsia"/>
          <w:sz w:val="13"/>
          <w:szCs w:val="13"/>
        </w:rPr>
        <w:t xml:space="preserve">6 </w:t>
      </w:r>
      <w:r w:rsidRPr="00457662">
        <w:rPr>
          <w:rFonts w:ascii="Times New Roman" w:hAnsi="Times New Roman" w:cs="Times New Roman"/>
          <w:sz w:val="13"/>
          <w:szCs w:val="13"/>
        </w:rPr>
        <w:t>May 2026).</w:t>
      </w:r>
    </w:p>
    <w:p w14:paraId="1F7303FE" w14:textId="77777777" w:rsidR="00C337A2" w:rsidRPr="00C337A2" w:rsidRDefault="00C337A2" w:rsidP="00457662">
      <w:pPr>
        <w:spacing w:after="0" w:line="0" w:lineRule="atLeast"/>
        <w:rPr>
          <w:rFonts w:ascii="Times New Roman" w:hAnsi="Times New Roman" w:cs="Times New Roman" w:hint="eastAsia"/>
          <w:sz w:val="13"/>
          <w:szCs w:val="13"/>
        </w:rPr>
      </w:pPr>
    </w:p>
    <w:p w14:paraId="32605B2F" w14:textId="35D6E8B5" w:rsidR="00457662" w:rsidRDefault="00457662" w:rsidP="00457662">
      <w:pPr>
        <w:spacing w:after="0" w:line="0" w:lineRule="atLeast"/>
        <w:rPr>
          <w:rFonts w:ascii="Times New Roman" w:hAnsi="Times New Roman" w:cs="Times New Roman"/>
          <w:sz w:val="13"/>
          <w:szCs w:val="13"/>
        </w:rPr>
      </w:pPr>
      <w:r w:rsidRPr="00457662">
        <w:rPr>
          <w:rFonts w:ascii="Times New Roman" w:hAnsi="Times New Roman" w:cs="Times New Roman"/>
          <w:sz w:val="13"/>
          <w:szCs w:val="13"/>
        </w:rPr>
        <w:t>World Health Organization (2026)</w:t>
      </w:r>
      <w:r w:rsidRPr="006D4102">
        <w:rPr>
          <w:rFonts w:ascii="Times New Roman" w:hAnsi="Times New Roman" w:cs="Times New Roman"/>
          <w:i/>
          <w:iCs/>
          <w:sz w:val="13"/>
          <w:szCs w:val="13"/>
        </w:rPr>
        <w:t xml:space="preserve"> Healthy diet</w:t>
      </w:r>
      <w:r w:rsidRPr="00457662">
        <w:rPr>
          <w:rFonts w:ascii="Times New Roman" w:hAnsi="Times New Roman" w:cs="Times New Roman"/>
          <w:sz w:val="13"/>
          <w:szCs w:val="13"/>
        </w:rPr>
        <w:t xml:space="preserve">. Available at: </w:t>
      </w:r>
      <w:hyperlink r:id="rId17" w:history="1">
        <w:r w:rsidR="006D4102" w:rsidRPr="00064293">
          <w:rPr>
            <w:rStyle w:val="ae"/>
            <w:rFonts w:ascii="Times New Roman" w:hAnsi="Times New Roman" w:cs="Times New Roman"/>
            <w:sz w:val="13"/>
            <w:szCs w:val="13"/>
          </w:rPr>
          <w:t>https://www.who.int/news-room/fact-sheets/detail/healthy-diet</w:t>
        </w:r>
      </w:hyperlink>
      <w:r w:rsidR="006D4102">
        <w:rPr>
          <w:rFonts w:ascii="Times New Roman" w:hAnsi="Times New Roman" w:cs="Times New Roman" w:hint="eastAsia"/>
          <w:sz w:val="13"/>
          <w:szCs w:val="13"/>
        </w:rPr>
        <w:t xml:space="preserve"> </w:t>
      </w:r>
      <w:r w:rsidRPr="00457662">
        <w:rPr>
          <w:rFonts w:ascii="Times New Roman" w:hAnsi="Times New Roman" w:cs="Times New Roman"/>
          <w:sz w:val="13"/>
          <w:szCs w:val="13"/>
        </w:rPr>
        <w:t xml:space="preserve"> (Accessed </w:t>
      </w:r>
      <w:r w:rsidR="006D4102">
        <w:rPr>
          <w:rFonts w:ascii="Times New Roman" w:hAnsi="Times New Roman" w:cs="Times New Roman" w:hint="eastAsia"/>
          <w:sz w:val="13"/>
          <w:szCs w:val="13"/>
        </w:rPr>
        <w:t>6</w:t>
      </w:r>
      <w:r w:rsidRPr="00457662">
        <w:rPr>
          <w:rFonts w:ascii="Times New Roman" w:hAnsi="Times New Roman" w:cs="Times New Roman"/>
          <w:sz w:val="13"/>
          <w:szCs w:val="13"/>
        </w:rPr>
        <w:t xml:space="preserve"> May 2026).</w:t>
      </w:r>
    </w:p>
    <w:p w14:paraId="79E5BE6B" w14:textId="77777777" w:rsidR="00457662" w:rsidRPr="00457662" w:rsidRDefault="00457662" w:rsidP="00457662">
      <w:pPr>
        <w:spacing w:after="0" w:line="0" w:lineRule="atLeast"/>
        <w:rPr>
          <w:rFonts w:ascii="Times New Roman" w:hAnsi="Times New Roman" w:cs="Times New Roman" w:hint="eastAsia"/>
          <w:sz w:val="13"/>
          <w:szCs w:val="13"/>
        </w:rPr>
      </w:pPr>
    </w:p>
    <w:p w14:paraId="22B527EF" w14:textId="6C4E75E0" w:rsidR="00457662" w:rsidRPr="00457662" w:rsidRDefault="00457662" w:rsidP="00457662">
      <w:pPr>
        <w:spacing w:after="0" w:line="0" w:lineRule="atLeast"/>
        <w:rPr>
          <w:rFonts w:ascii="Times New Roman" w:hAnsi="Times New Roman" w:cs="Times New Roman" w:hint="eastAsia"/>
          <w:sz w:val="13"/>
          <w:szCs w:val="13"/>
        </w:rPr>
      </w:pPr>
      <w:r w:rsidRPr="00457662">
        <w:rPr>
          <w:rFonts w:ascii="Times New Roman" w:hAnsi="Times New Roman" w:cs="Times New Roman"/>
          <w:sz w:val="13"/>
          <w:szCs w:val="13"/>
        </w:rPr>
        <w:t xml:space="preserve">Zauner, A., Koller, M. and </w:t>
      </w:r>
      <w:proofErr w:type="spellStart"/>
      <w:r w:rsidRPr="00457662">
        <w:rPr>
          <w:rFonts w:ascii="Times New Roman" w:hAnsi="Times New Roman" w:cs="Times New Roman"/>
          <w:sz w:val="13"/>
          <w:szCs w:val="13"/>
        </w:rPr>
        <w:t>Hatak</w:t>
      </w:r>
      <w:proofErr w:type="spellEnd"/>
      <w:r w:rsidRPr="00457662">
        <w:rPr>
          <w:rFonts w:ascii="Times New Roman" w:hAnsi="Times New Roman" w:cs="Times New Roman"/>
          <w:sz w:val="13"/>
          <w:szCs w:val="13"/>
        </w:rPr>
        <w:t xml:space="preserve">, I. (2015) ‘Customer perceived value—Conceptualization and avenues for future research’, </w:t>
      </w:r>
      <w:r w:rsidRPr="006D4102">
        <w:rPr>
          <w:rFonts w:ascii="Times New Roman" w:hAnsi="Times New Roman" w:cs="Times New Roman"/>
          <w:i/>
          <w:iCs/>
          <w:sz w:val="13"/>
          <w:szCs w:val="13"/>
        </w:rPr>
        <w:t>Cogent Psychology</w:t>
      </w:r>
      <w:r w:rsidRPr="00457662">
        <w:rPr>
          <w:rFonts w:ascii="Times New Roman" w:hAnsi="Times New Roman" w:cs="Times New Roman"/>
          <w:sz w:val="13"/>
          <w:szCs w:val="13"/>
        </w:rPr>
        <w:t>, 2(1), pp. 1–17.</w:t>
      </w:r>
    </w:p>
    <w:sectPr w:rsidR="00457662" w:rsidRPr="0045766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F52"/>
    <w:rsid w:val="00013710"/>
    <w:rsid w:val="000261B1"/>
    <w:rsid w:val="00036832"/>
    <w:rsid w:val="000700EE"/>
    <w:rsid w:val="00080026"/>
    <w:rsid w:val="00086F70"/>
    <w:rsid w:val="000A5E71"/>
    <w:rsid w:val="000A7386"/>
    <w:rsid w:val="000C68A5"/>
    <w:rsid w:val="000E1891"/>
    <w:rsid w:val="000F39FB"/>
    <w:rsid w:val="000F738C"/>
    <w:rsid w:val="00100398"/>
    <w:rsid w:val="0013572A"/>
    <w:rsid w:val="0016708A"/>
    <w:rsid w:val="001826A0"/>
    <w:rsid w:val="001C4CA5"/>
    <w:rsid w:val="001D4A17"/>
    <w:rsid w:val="001D635C"/>
    <w:rsid w:val="001E0E34"/>
    <w:rsid w:val="002379BB"/>
    <w:rsid w:val="00294545"/>
    <w:rsid w:val="002D505B"/>
    <w:rsid w:val="002E2D97"/>
    <w:rsid w:val="00350CCF"/>
    <w:rsid w:val="00354472"/>
    <w:rsid w:val="003C6413"/>
    <w:rsid w:val="003E2013"/>
    <w:rsid w:val="00400738"/>
    <w:rsid w:val="00404DDF"/>
    <w:rsid w:val="00433ED4"/>
    <w:rsid w:val="00435DCB"/>
    <w:rsid w:val="00441755"/>
    <w:rsid w:val="004511AE"/>
    <w:rsid w:val="00457662"/>
    <w:rsid w:val="00470BD9"/>
    <w:rsid w:val="00491519"/>
    <w:rsid w:val="004D7F30"/>
    <w:rsid w:val="004F0F8E"/>
    <w:rsid w:val="0051652B"/>
    <w:rsid w:val="00534C6A"/>
    <w:rsid w:val="005425CC"/>
    <w:rsid w:val="005531AB"/>
    <w:rsid w:val="00554F52"/>
    <w:rsid w:val="00567099"/>
    <w:rsid w:val="00593BAA"/>
    <w:rsid w:val="005A60A4"/>
    <w:rsid w:val="005C6058"/>
    <w:rsid w:val="00606B1B"/>
    <w:rsid w:val="006267A5"/>
    <w:rsid w:val="0066591D"/>
    <w:rsid w:val="00665D9B"/>
    <w:rsid w:val="00685ED3"/>
    <w:rsid w:val="00693D96"/>
    <w:rsid w:val="006A7832"/>
    <w:rsid w:val="006D0441"/>
    <w:rsid w:val="006D4102"/>
    <w:rsid w:val="006F67A4"/>
    <w:rsid w:val="0070025F"/>
    <w:rsid w:val="00742C61"/>
    <w:rsid w:val="00761C55"/>
    <w:rsid w:val="00792C43"/>
    <w:rsid w:val="007B5BDA"/>
    <w:rsid w:val="007B686C"/>
    <w:rsid w:val="007F11AB"/>
    <w:rsid w:val="007F4B37"/>
    <w:rsid w:val="008307A3"/>
    <w:rsid w:val="008A7F8C"/>
    <w:rsid w:val="008F6F6A"/>
    <w:rsid w:val="00952B7B"/>
    <w:rsid w:val="009A1AD1"/>
    <w:rsid w:val="009C5B02"/>
    <w:rsid w:val="009E78E9"/>
    <w:rsid w:val="00A307C1"/>
    <w:rsid w:val="00A438F0"/>
    <w:rsid w:val="00A44698"/>
    <w:rsid w:val="00A53D12"/>
    <w:rsid w:val="00A73A78"/>
    <w:rsid w:val="00AA0763"/>
    <w:rsid w:val="00AB68D6"/>
    <w:rsid w:val="00B15F0C"/>
    <w:rsid w:val="00B2154D"/>
    <w:rsid w:val="00B37DCA"/>
    <w:rsid w:val="00B422A2"/>
    <w:rsid w:val="00B502E1"/>
    <w:rsid w:val="00B51807"/>
    <w:rsid w:val="00BA5C32"/>
    <w:rsid w:val="00BC2CCF"/>
    <w:rsid w:val="00C10C13"/>
    <w:rsid w:val="00C21BFC"/>
    <w:rsid w:val="00C30302"/>
    <w:rsid w:val="00C337A2"/>
    <w:rsid w:val="00C37AD2"/>
    <w:rsid w:val="00C75A18"/>
    <w:rsid w:val="00C76CE2"/>
    <w:rsid w:val="00C844C1"/>
    <w:rsid w:val="00CC10B9"/>
    <w:rsid w:val="00CF5F0A"/>
    <w:rsid w:val="00D041AB"/>
    <w:rsid w:val="00D211F7"/>
    <w:rsid w:val="00D324D9"/>
    <w:rsid w:val="00D674C1"/>
    <w:rsid w:val="00D810DA"/>
    <w:rsid w:val="00DD3F61"/>
    <w:rsid w:val="00DF5E6B"/>
    <w:rsid w:val="00E0127D"/>
    <w:rsid w:val="00E210A7"/>
    <w:rsid w:val="00E24B28"/>
    <w:rsid w:val="00E317B9"/>
    <w:rsid w:val="00EA3EB2"/>
    <w:rsid w:val="00EA6838"/>
    <w:rsid w:val="00EC15DF"/>
    <w:rsid w:val="00ED296B"/>
    <w:rsid w:val="00EE3412"/>
    <w:rsid w:val="00EF68AA"/>
    <w:rsid w:val="00F43B86"/>
    <w:rsid w:val="00F66392"/>
    <w:rsid w:val="00F762B2"/>
    <w:rsid w:val="00FA3A7C"/>
    <w:rsid w:val="00FC752E"/>
    <w:rsid w:val="00FC7DC6"/>
    <w:rsid w:val="00FF4B06"/>
    <w:rsid w:val="00FF75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B6A3FF"/>
  <w15:chartTrackingRefBased/>
  <w15:docId w15:val="{A34C27DE-3DB9-7D49-806F-3927EC69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554F52"/>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54F52"/>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54F52"/>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54F52"/>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54F52"/>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554F52"/>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54F52"/>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54F52"/>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554F52"/>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54F52"/>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54F52"/>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54F52"/>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54F52"/>
    <w:rPr>
      <w:rFonts w:cstheme="majorBidi"/>
      <w:color w:val="0F4761" w:themeColor="accent1" w:themeShade="BF"/>
      <w:sz w:val="28"/>
      <w:szCs w:val="28"/>
    </w:rPr>
  </w:style>
  <w:style w:type="character" w:customStyle="1" w:styleId="50">
    <w:name w:val="标题 5 字符"/>
    <w:basedOn w:val="a0"/>
    <w:link w:val="5"/>
    <w:uiPriority w:val="9"/>
    <w:semiHidden/>
    <w:rsid w:val="00554F52"/>
    <w:rPr>
      <w:rFonts w:cstheme="majorBidi"/>
      <w:color w:val="0F4761" w:themeColor="accent1" w:themeShade="BF"/>
      <w:sz w:val="24"/>
    </w:rPr>
  </w:style>
  <w:style w:type="character" w:customStyle="1" w:styleId="60">
    <w:name w:val="标题 6 字符"/>
    <w:basedOn w:val="a0"/>
    <w:link w:val="6"/>
    <w:uiPriority w:val="9"/>
    <w:semiHidden/>
    <w:rsid w:val="00554F52"/>
    <w:rPr>
      <w:rFonts w:cstheme="majorBidi"/>
      <w:b/>
      <w:bCs/>
      <w:color w:val="0F4761" w:themeColor="accent1" w:themeShade="BF"/>
    </w:rPr>
  </w:style>
  <w:style w:type="character" w:customStyle="1" w:styleId="70">
    <w:name w:val="标题 7 字符"/>
    <w:basedOn w:val="a0"/>
    <w:link w:val="7"/>
    <w:uiPriority w:val="9"/>
    <w:semiHidden/>
    <w:rsid w:val="00554F52"/>
    <w:rPr>
      <w:rFonts w:cstheme="majorBidi"/>
      <w:b/>
      <w:bCs/>
      <w:color w:val="595959" w:themeColor="text1" w:themeTint="A6"/>
    </w:rPr>
  </w:style>
  <w:style w:type="character" w:customStyle="1" w:styleId="80">
    <w:name w:val="标题 8 字符"/>
    <w:basedOn w:val="a0"/>
    <w:link w:val="8"/>
    <w:uiPriority w:val="9"/>
    <w:semiHidden/>
    <w:rsid w:val="00554F52"/>
    <w:rPr>
      <w:rFonts w:cstheme="majorBidi"/>
      <w:color w:val="595959" w:themeColor="text1" w:themeTint="A6"/>
    </w:rPr>
  </w:style>
  <w:style w:type="character" w:customStyle="1" w:styleId="90">
    <w:name w:val="标题 9 字符"/>
    <w:basedOn w:val="a0"/>
    <w:link w:val="9"/>
    <w:uiPriority w:val="9"/>
    <w:semiHidden/>
    <w:rsid w:val="00554F52"/>
    <w:rPr>
      <w:rFonts w:eastAsiaTheme="majorEastAsia" w:cstheme="majorBidi"/>
      <w:color w:val="595959" w:themeColor="text1" w:themeTint="A6"/>
    </w:rPr>
  </w:style>
  <w:style w:type="paragraph" w:styleId="a3">
    <w:name w:val="Title"/>
    <w:basedOn w:val="a"/>
    <w:next w:val="a"/>
    <w:link w:val="a4"/>
    <w:uiPriority w:val="10"/>
    <w:qFormat/>
    <w:rsid w:val="00554F52"/>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54F52"/>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54F52"/>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54F52"/>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54F52"/>
    <w:pPr>
      <w:spacing w:before="160"/>
      <w:jc w:val="center"/>
    </w:pPr>
    <w:rPr>
      <w:i/>
      <w:iCs/>
      <w:color w:val="404040" w:themeColor="text1" w:themeTint="BF"/>
    </w:rPr>
  </w:style>
  <w:style w:type="character" w:customStyle="1" w:styleId="a8">
    <w:name w:val="引用 字符"/>
    <w:basedOn w:val="a0"/>
    <w:link w:val="a7"/>
    <w:uiPriority w:val="29"/>
    <w:rsid w:val="00554F52"/>
    <w:rPr>
      <w:i/>
      <w:iCs/>
      <w:color w:val="404040" w:themeColor="text1" w:themeTint="BF"/>
    </w:rPr>
  </w:style>
  <w:style w:type="paragraph" w:styleId="a9">
    <w:name w:val="List Paragraph"/>
    <w:basedOn w:val="a"/>
    <w:uiPriority w:val="34"/>
    <w:qFormat/>
    <w:rsid w:val="00554F52"/>
    <w:pPr>
      <w:ind w:left="720"/>
      <w:contextualSpacing/>
    </w:pPr>
  </w:style>
  <w:style w:type="character" w:styleId="aa">
    <w:name w:val="Intense Emphasis"/>
    <w:basedOn w:val="a0"/>
    <w:uiPriority w:val="21"/>
    <w:qFormat/>
    <w:rsid w:val="00554F52"/>
    <w:rPr>
      <w:i/>
      <w:iCs/>
      <w:color w:val="0F4761" w:themeColor="accent1" w:themeShade="BF"/>
    </w:rPr>
  </w:style>
  <w:style w:type="paragraph" w:styleId="ab">
    <w:name w:val="Intense Quote"/>
    <w:basedOn w:val="a"/>
    <w:next w:val="a"/>
    <w:link w:val="ac"/>
    <w:uiPriority w:val="30"/>
    <w:qFormat/>
    <w:rsid w:val="00554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54F52"/>
    <w:rPr>
      <w:i/>
      <w:iCs/>
      <w:color w:val="0F4761" w:themeColor="accent1" w:themeShade="BF"/>
    </w:rPr>
  </w:style>
  <w:style w:type="character" w:styleId="ad">
    <w:name w:val="Intense Reference"/>
    <w:basedOn w:val="a0"/>
    <w:uiPriority w:val="32"/>
    <w:qFormat/>
    <w:rsid w:val="00554F52"/>
    <w:rPr>
      <w:b/>
      <w:bCs/>
      <w:smallCaps/>
      <w:color w:val="0F4761" w:themeColor="accent1" w:themeShade="BF"/>
      <w:spacing w:val="5"/>
    </w:rPr>
  </w:style>
  <w:style w:type="character" w:styleId="ae">
    <w:name w:val="Hyperlink"/>
    <w:basedOn w:val="a0"/>
    <w:uiPriority w:val="99"/>
    <w:unhideWhenUsed/>
    <w:rsid w:val="00457662"/>
    <w:rPr>
      <w:color w:val="467886" w:themeColor="hyperlink"/>
      <w:u w:val="single"/>
    </w:rPr>
  </w:style>
  <w:style w:type="character" w:styleId="af">
    <w:name w:val="Unresolved Mention"/>
    <w:basedOn w:val="a0"/>
    <w:uiPriority w:val="99"/>
    <w:semiHidden/>
    <w:unhideWhenUsed/>
    <w:rsid w:val="00457662"/>
    <w:rPr>
      <w:color w:val="605E5C"/>
      <w:shd w:val="clear" w:color="auto" w:fill="E1DFDD"/>
    </w:rPr>
  </w:style>
  <w:style w:type="character" w:styleId="af0">
    <w:name w:val="FollowedHyperlink"/>
    <w:basedOn w:val="a0"/>
    <w:uiPriority w:val="99"/>
    <w:semiHidden/>
    <w:unhideWhenUsed/>
    <w:rsid w:val="0045766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9/mar/14/coca-cola-admits-it-produces-3m-tonnes-of-plastic-packaging-a-year" TargetMode="External"/><Relationship Id="rId13" Type="http://schemas.openxmlformats.org/officeDocument/2006/relationships/hyperlink" Target="https://finance.yahoo.com/news/coca-cola-company-classic-brand-084322007.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inance.yahoo.com/news/consumers-buy-2-2-billion-124000118.html" TargetMode="External"/><Relationship Id="rId12" Type="http://schemas.openxmlformats.org/officeDocument/2006/relationships/hyperlink" Target="https://www.reuters.com/business/retail-consumer/mcdonalds-launch-5-meal-deal-lure-back-customers-bloomberg-news-reports-2024-05-10/" TargetMode="External"/><Relationship Id="rId17" Type="http://schemas.openxmlformats.org/officeDocument/2006/relationships/hyperlink" Target="https://www.who.int/news-room/fact-sheets/detail/healthy-diet" TargetMode="External"/><Relationship Id="rId2" Type="http://schemas.openxmlformats.org/officeDocument/2006/relationships/settings" Target="settings.xml"/><Relationship Id="rId16" Type="http://schemas.openxmlformats.org/officeDocument/2006/relationships/hyperlink" Target="https://www.unilever.com/our-company/at-a-glance/" TargetMode="External"/><Relationship Id="rId1" Type="http://schemas.openxmlformats.org/officeDocument/2006/relationships/styles" Target="styles.xml"/><Relationship Id="rId6" Type="http://schemas.openxmlformats.org/officeDocument/2006/relationships/hyperlink" Target="https://www.euromonitor.com/article/north-american-soft-drinks-volume-under-pressure-from-price-increases" TargetMode="External"/><Relationship Id="rId11" Type="http://schemas.openxmlformats.org/officeDocument/2006/relationships/hyperlink" Target="https://www.preventionweb.net/news/underestimates-global-warming-pose-major-climate-and-financial-risks" TargetMode="External"/><Relationship Id="rId5" Type="http://schemas.openxmlformats.org/officeDocument/2006/relationships/hyperlink" Target="https://www.deloitte.com/global/en/issues/work/genz-millennial-survey.html" TargetMode="External"/><Relationship Id="rId15" Type="http://schemas.openxmlformats.org/officeDocument/2006/relationships/hyperlink" Target="https://www.unilever.com/news/news-search/2024/20-years-on-dove-and-the-future-of-real-beauty/" TargetMode="External"/><Relationship Id="rId10" Type="http://schemas.openxmlformats.org/officeDocument/2006/relationships/hyperlink" Target="https://www.mckinsey.com/capabilities/strategy-and-corporate-finance/our-insights/why-esg-is-here-to-stay" TargetMode="External"/><Relationship Id="rId19" Type="http://schemas.openxmlformats.org/officeDocument/2006/relationships/theme" Target="theme/theme1.xml"/><Relationship Id="rId4" Type="http://schemas.openxmlformats.org/officeDocument/2006/relationships/hyperlink" Target="https://www.businesswire.com/news/home/20250312902130/en/Arcos-Dorados-Reports-Fourth-Quarter-and-Full-Year-2024-Financial-Results" TargetMode="External"/><Relationship Id="rId9" Type="http://schemas.openxmlformats.org/officeDocument/2006/relationships/hyperlink" Target="https://www.marketgrowthreports.com/market-reports/non-alcoholic-drinks-market-113546" TargetMode="External"/><Relationship Id="rId14" Type="http://schemas.openxmlformats.org/officeDocument/2006/relationships/hyperlink" Target="https://investors.coca-colacompany.com/news-events/press-releases/detail/1052/creating-a-world-without-waste-the-coca-cola-company-teams-up-with-bill-nye-to-demystify-recycling-in-striking-animati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449</TotalTime>
  <Pages>2</Pages>
  <Words>3284</Words>
  <Characters>18722</Characters>
  <Application>Microsoft Office Word</Application>
  <DocSecurity>0</DocSecurity>
  <Lines>156</Lines>
  <Paragraphs>43</Paragraphs>
  <ScaleCrop>false</ScaleCrop>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Yuqing Cui (2500104)</dc:creator>
  <cp:keywords/>
  <dc:description/>
  <cp:lastModifiedBy>Yuqing Cui (2500104)</cp:lastModifiedBy>
  <cp:revision>4</cp:revision>
  <dcterms:created xsi:type="dcterms:W3CDTF">2026-05-06T19:45:00Z</dcterms:created>
  <dcterms:modified xsi:type="dcterms:W3CDTF">2026-05-07T13:12:00Z</dcterms:modified>
</cp:coreProperties>
</file>