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6FE31" w14:textId="24873F01" w:rsidR="00A06744" w:rsidRDefault="00F3138A" w:rsidP="00F3138A">
      <w:pPr>
        <w:jc w:val="center"/>
      </w:pPr>
      <w:r>
        <w:t>‘Myths are a product of a specific time and place’. Discuss the extent to which this statement is valid.</w:t>
      </w:r>
    </w:p>
    <w:p w14:paraId="5FDE147C" w14:textId="5AAD2514" w:rsidR="00F3138A" w:rsidRDefault="00F3138A" w:rsidP="00F3138A">
      <w:pPr>
        <w:rPr>
          <w:sz w:val="22"/>
          <w:szCs w:val="22"/>
        </w:rPr>
      </w:pPr>
    </w:p>
    <w:p w14:paraId="6A71494F" w14:textId="290B0BBE" w:rsidR="00F3138A" w:rsidRDefault="00F3138A" w:rsidP="00F3138A">
      <w:pPr>
        <w:rPr>
          <w:sz w:val="22"/>
          <w:szCs w:val="22"/>
        </w:rPr>
      </w:pPr>
      <w:r>
        <w:rPr>
          <w:sz w:val="22"/>
          <w:szCs w:val="22"/>
        </w:rPr>
        <w:t xml:space="preserve">This essay will look at the extent to which the statement ‘Myths are a product of a specific time and place’ is valid. The essay will explain </w:t>
      </w:r>
      <w:r w:rsidR="00E55B0B">
        <w:rPr>
          <w:sz w:val="22"/>
          <w:szCs w:val="22"/>
        </w:rPr>
        <w:t>the definition and origin of the word</w:t>
      </w:r>
      <w:r>
        <w:rPr>
          <w:sz w:val="22"/>
          <w:szCs w:val="22"/>
        </w:rPr>
        <w:t xml:space="preserve"> myth, why </w:t>
      </w:r>
      <w:r w:rsidR="00E55B0B">
        <w:rPr>
          <w:sz w:val="22"/>
          <w:szCs w:val="22"/>
        </w:rPr>
        <w:t>myths</w:t>
      </w:r>
      <w:r>
        <w:rPr>
          <w:sz w:val="22"/>
          <w:szCs w:val="22"/>
        </w:rPr>
        <w:t xml:space="preserve"> </w:t>
      </w:r>
      <w:r w:rsidR="00E55B0B">
        <w:rPr>
          <w:sz w:val="22"/>
          <w:szCs w:val="22"/>
        </w:rPr>
        <w:t>are</w:t>
      </w:r>
      <w:r>
        <w:rPr>
          <w:sz w:val="22"/>
          <w:szCs w:val="22"/>
        </w:rPr>
        <w:t xml:space="preserve"> important, and will look at the </w:t>
      </w:r>
      <w:r w:rsidR="00E12925">
        <w:rPr>
          <w:sz w:val="22"/>
          <w:szCs w:val="22"/>
        </w:rPr>
        <w:t xml:space="preserve">Homeric Hymn to Demeter and </w:t>
      </w:r>
      <w:r w:rsidR="00B52E6D">
        <w:rPr>
          <w:sz w:val="22"/>
          <w:szCs w:val="22"/>
        </w:rPr>
        <w:t>its similarity to the</w:t>
      </w:r>
      <w:r w:rsidR="00E12925">
        <w:rPr>
          <w:sz w:val="22"/>
          <w:szCs w:val="22"/>
        </w:rPr>
        <w:t xml:space="preserve"> </w:t>
      </w:r>
      <w:r w:rsidR="00B52E6D">
        <w:rPr>
          <w:sz w:val="22"/>
          <w:szCs w:val="22"/>
        </w:rPr>
        <w:t>Eleusinian mysteries</w:t>
      </w:r>
      <w:r w:rsidR="00E12925">
        <w:rPr>
          <w:sz w:val="22"/>
          <w:szCs w:val="22"/>
        </w:rPr>
        <w:t xml:space="preserve"> to understand the validity of the statement. </w:t>
      </w:r>
      <w:r w:rsidR="00C1550B">
        <w:rPr>
          <w:sz w:val="22"/>
          <w:szCs w:val="22"/>
        </w:rPr>
        <w:t>It should also be noted that due to the small sample size of myths used in the essay it is not possible to fully evaluate the statement. However, it has been evaluated the best it can be using this small sample size.</w:t>
      </w:r>
    </w:p>
    <w:p w14:paraId="27201E6D" w14:textId="52244A46" w:rsidR="00FE4053" w:rsidRDefault="00E12925" w:rsidP="00F3138A">
      <w:pPr>
        <w:rPr>
          <w:sz w:val="22"/>
          <w:szCs w:val="22"/>
        </w:rPr>
      </w:pPr>
      <w:r>
        <w:rPr>
          <w:sz w:val="22"/>
          <w:szCs w:val="22"/>
        </w:rPr>
        <w:t>To find the validity of the statement ‘Myths are a product of a specific time and place’ the definition of a myth and the wider context to the Homeric Hymn</w:t>
      </w:r>
      <w:r w:rsidR="002C4704">
        <w:rPr>
          <w:sz w:val="22"/>
          <w:szCs w:val="22"/>
        </w:rPr>
        <w:t xml:space="preserve"> needs to be understood</w:t>
      </w:r>
      <w:r>
        <w:rPr>
          <w:sz w:val="22"/>
          <w:szCs w:val="22"/>
        </w:rPr>
        <w:t xml:space="preserve">. </w:t>
      </w:r>
      <w:r w:rsidR="009D495A">
        <w:rPr>
          <w:sz w:val="22"/>
          <w:szCs w:val="22"/>
        </w:rPr>
        <w:t>There are multiple similar definitions to what a myth is. Cambridge dictionary defines a myth as ancient stories which depict early history as well as facts or events</w:t>
      </w:r>
      <w:r w:rsidR="005817A3">
        <w:rPr>
          <w:rStyle w:val="FootnoteReference"/>
          <w:sz w:val="22"/>
          <w:szCs w:val="22"/>
        </w:rPr>
        <w:footnoteReference w:id="1"/>
      </w:r>
      <w:r w:rsidR="009D495A">
        <w:rPr>
          <w:sz w:val="22"/>
          <w:szCs w:val="22"/>
        </w:rPr>
        <w:t>. A more academic definition of a myth by the Northern Virginia Community College explains a myth as stories</w:t>
      </w:r>
      <w:r w:rsidR="00E64ED1">
        <w:rPr>
          <w:sz w:val="22"/>
          <w:szCs w:val="22"/>
        </w:rPr>
        <w:t>, written or spoken through word of mouth,</w:t>
      </w:r>
      <w:r w:rsidR="009D495A">
        <w:rPr>
          <w:sz w:val="22"/>
          <w:szCs w:val="22"/>
        </w:rPr>
        <w:t xml:space="preserve"> which depict the relationship between mortal and divine beings as well as </w:t>
      </w:r>
      <w:r w:rsidR="00E55B0B">
        <w:rPr>
          <w:sz w:val="22"/>
          <w:szCs w:val="22"/>
        </w:rPr>
        <w:t>the supernatural</w:t>
      </w:r>
      <w:r w:rsidR="00F82F8B">
        <w:rPr>
          <w:rStyle w:val="FootnoteReference"/>
          <w:sz w:val="22"/>
          <w:szCs w:val="22"/>
        </w:rPr>
        <w:footnoteReference w:id="2"/>
      </w:r>
      <w:r w:rsidR="00E55B0B">
        <w:rPr>
          <w:sz w:val="22"/>
          <w:szCs w:val="22"/>
        </w:rPr>
        <w:t xml:space="preserve">. </w:t>
      </w:r>
      <w:r w:rsidR="00124382">
        <w:rPr>
          <w:sz w:val="22"/>
          <w:szCs w:val="22"/>
        </w:rPr>
        <w:t>The word myth can be derived from the Greek word ‘Mythos’, which in its literal translation means ‘utterance’ or ‘to utter’</w:t>
      </w:r>
      <w:r w:rsidR="00E64ED1">
        <w:rPr>
          <w:sz w:val="22"/>
          <w:szCs w:val="22"/>
        </w:rPr>
        <w:t xml:space="preserve"> and the </w:t>
      </w:r>
      <w:r w:rsidR="00512CE2">
        <w:rPr>
          <w:sz w:val="22"/>
          <w:szCs w:val="22"/>
        </w:rPr>
        <w:t>Greek word ‘Logos’ which means ‘word’ when translated</w:t>
      </w:r>
      <w:r w:rsidR="00F82F8B">
        <w:rPr>
          <w:rStyle w:val="FootnoteReference"/>
          <w:sz w:val="22"/>
          <w:szCs w:val="22"/>
        </w:rPr>
        <w:footnoteReference w:id="3"/>
      </w:r>
      <w:r w:rsidR="008F1CAB">
        <w:rPr>
          <w:sz w:val="22"/>
          <w:szCs w:val="22"/>
        </w:rPr>
        <w:t>.</w:t>
      </w:r>
      <w:r w:rsidR="00527D40">
        <w:rPr>
          <w:sz w:val="22"/>
          <w:szCs w:val="22"/>
        </w:rPr>
        <w:t xml:space="preserve"> </w:t>
      </w:r>
      <w:r w:rsidR="00FE4053">
        <w:rPr>
          <w:sz w:val="22"/>
          <w:szCs w:val="22"/>
        </w:rPr>
        <w:t xml:space="preserve">When looking at Greek and Roman myths specifically, there are three layers of myth. These are classical myth, </w:t>
      </w:r>
      <w:r w:rsidR="00055727">
        <w:rPr>
          <w:sz w:val="22"/>
          <w:szCs w:val="22"/>
        </w:rPr>
        <w:t>specific retellings, and the collection of stories of the character or event</w:t>
      </w:r>
      <w:r w:rsidR="00F37262">
        <w:rPr>
          <w:rStyle w:val="FootnoteReference"/>
          <w:sz w:val="22"/>
          <w:szCs w:val="22"/>
        </w:rPr>
        <w:footnoteReference w:id="4"/>
      </w:r>
      <w:r w:rsidR="00055727">
        <w:rPr>
          <w:sz w:val="22"/>
          <w:szCs w:val="22"/>
        </w:rPr>
        <w:t>. The classical myth is the event or characters myth will be part of a larger story</w:t>
      </w:r>
      <w:r w:rsidR="00AD2B4B">
        <w:rPr>
          <w:rStyle w:val="FootnoteReference"/>
          <w:sz w:val="22"/>
          <w:szCs w:val="22"/>
        </w:rPr>
        <w:footnoteReference w:id="5"/>
      </w:r>
      <w:r w:rsidR="00055727">
        <w:rPr>
          <w:sz w:val="22"/>
          <w:szCs w:val="22"/>
        </w:rPr>
        <w:t>. Specific re-tellings of myths are individual tellings of myths or parts of them</w:t>
      </w:r>
      <w:r w:rsidR="00AD2B4B">
        <w:rPr>
          <w:rStyle w:val="FootnoteReference"/>
          <w:sz w:val="22"/>
          <w:szCs w:val="22"/>
        </w:rPr>
        <w:footnoteReference w:id="6"/>
      </w:r>
      <w:r w:rsidR="00055727">
        <w:rPr>
          <w:sz w:val="22"/>
          <w:szCs w:val="22"/>
        </w:rPr>
        <w:t>.</w:t>
      </w:r>
      <w:r w:rsidR="009F1F34">
        <w:rPr>
          <w:sz w:val="22"/>
          <w:szCs w:val="22"/>
        </w:rPr>
        <w:t xml:space="preserve"> </w:t>
      </w:r>
      <w:r w:rsidR="00FB1FF1">
        <w:rPr>
          <w:sz w:val="22"/>
          <w:szCs w:val="22"/>
        </w:rPr>
        <w:t xml:space="preserve">A </w:t>
      </w:r>
      <w:r w:rsidR="009F1F34">
        <w:rPr>
          <w:sz w:val="22"/>
          <w:szCs w:val="22"/>
        </w:rPr>
        <w:t xml:space="preserve">Collection of stories of a particular character or event; this is where a specific character or </w:t>
      </w:r>
      <w:r w:rsidR="00231806">
        <w:rPr>
          <w:sz w:val="22"/>
          <w:szCs w:val="22"/>
        </w:rPr>
        <w:t>situation</w:t>
      </w:r>
      <w:r w:rsidR="009F1F34">
        <w:rPr>
          <w:sz w:val="22"/>
          <w:szCs w:val="22"/>
        </w:rPr>
        <w:t xml:space="preserve"> has multiple </w:t>
      </w:r>
      <w:r w:rsidR="00231806">
        <w:rPr>
          <w:sz w:val="22"/>
          <w:szCs w:val="22"/>
        </w:rPr>
        <w:t>myths</w:t>
      </w:r>
      <w:r w:rsidR="009F1F34">
        <w:rPr>
          <w:sz w:val="22"/>
          <w:szCs w:val="22"/>
        </w:rPr>
        <w:t xml:space="preserve"> from different places and cultures, </w:t>
      </w:r>
      <w:r w:rsidR="00231806">
        <w:rPr>
          <w:sz w:val="22"/>
          <w:szCs w:val="22"/>
        </w:rPr>
        <w:t>which can</w:t>
      </w:r>
      <w:r w:rsidR="009F1F34">
        <w:rPr>
          <w:sz w:val="22"/>
          <w:szCs w:val="22"/>
        </w:rPr>
        <w:t xml:space="preserve"> contradict each other</w:t>
      </w:r>
      <w:r w:rsidR="00AD2B4B">
        <w:rPr>
          <w:rStyle w:val="FootnoteReference"/>
          <w:sz w:val="22"/>
          <w:szCs w:val="22"/>
        </w:rPr>
        <w:footnoteReference w:id="7"/>
      </w:r>
      <w:r w:rsidR="009F1F34">
        <w:rPr>
          <w:sz w:val="22"/>
          <w:szCs w:val="22"/>
        </w:rPr>
        <w:t>. As specific retellings of a myth are looking at one specific myth or part of a myth, it is likely that it is relevant of a specific time and place. W</w:t>
      </w:r>
      <w:r w:rsidR="00A0071E">
        <w:rPr>
          <w:sz w:val="22"/>
          <w:szCs w:val="22"/>
        </w:rPr>
        <w:t>hereas a collection of stories from a specific character or event does not show the statement as valid as each individual story originates from different places and cultures.</w:t>
      </w:r>
    </w:p>
    <w:p w14:paraId="6B50F075" w14:textId="7C90DB83" w:rsidR="00E12925" w:rsidRDefault="00801768" w:rsidP="00F3138A">
      <w:pPr>
        <w:rPr>
          <w:sz w:val="22"/>
          <w:szCs w:val="22"/>
        </w:rPr>
      </w:pPr>
      <w:r>
        <w:rPr>
          <w:sz w:val="22"/>
          <w:szCs w:val="22"/>
        </w:rPr>
        <w:t xml:space="preserve">Myths are important as even though a </w:t>
      </w:r>
      <w:r w:rsidR="009F2F2B">
        <w:rPr>
          <w:sz w:val="22"/>
          <w:szCs w:val="22"/>
        </w:rPr>
        <w:t>large portion</w:t>
      </w:r>
      <w:r>
        <w:rPr>
          <w:sz w:val="22"/>
          <w:szCs w:val="22"/>
        </w:rPr>
        <w:t xml:space="preserve"> of the information within a myth is </w:t>
      </w:r>
      <w:r w:rsidR="009F2F2B">
        <w:rPr>
          <w:sz w:val="22"/>
          <w:szCs w:val="22"/>
        </w:rPr>
        <w:t>untrue</w:t>
      </w:r>
      <w:r>
        <w:rPr>
          <w:sz w:val="22"/>
          <w:szCs w:val="22"/>
        </w:rPr>
        <w:t xml:space="preserve">, some aspects of myths can reflect what </w:t>
      </w:r>
      <w:r w:rsidR="00E44F94">
        <w:rPr>
          <w:sz w:val="22"/>
          <w:szCs w:val="22"/>
        </w:rPr>
        <w:t>society</w:t>
      </w:r>
      <w:r>
        <w:rPr>
          <w:sz w:val="22"/>
          <w:szCs w:val="22"/>
        </w:rPr>
        <w:t xml:space="preserve"> was like at the time. Myths can also be used </w:t>
      </w:r>
      <w:proofErr w:type="gramStart"/>
      <w:r>
        <w:rPr>
          <w:sz w:val="22"/>
          <w:szCs w:val="22"/>
        </w:rPr>
        <w:t>as a way to</w:t>
      </w:r>
      <w:proofErr w:type="gramEnd"/>
      <w:r>
        <w:rPr>
          <w:sz w:val="22"/>
          <w:szCs w:val="22"/>
        </w:rPr>
        <w:t xml:space="preserve"> explain </w:t>
      </w:r>
      <w:r w:rsidR="00547B7B">
        <w:rPr>
          <w:sz w:val="22"/>
          <w:szCs w:val="22"/>
        </w:rPr>
        <w:t xml:space="preserve">what could not be explained at the time such as the seasons. This information can be used to show whether the statement is valid or not. </w:t>
      </w:r>
      <w:r w:rsidR="00F22CEB">
        <w:rPr>
          <w:sz w:val="22"/>
          <w:szCs w:val="22"/>
        </w:rPr>
        <w:t xml:space="preserve">Myths are also important as they change over time as they are orated. This can change information such as specific places </w:t>
      </w:r>
      <w:r w:rsidR="00F22CEB">
        <w:rPr>
          <w:sz w:val="22"/>
          <w:szCs w:val="22"/>
        </w:rPr>
        <w:lastRenderedPageBreak/>
        <w:t>mentioned within the myth. The myth also could be changed over time to fit acceptable morals and way of life.</w:t>
      </w:r>
    </w:p>
    <w:p w14:paraId="7F357622" w14:textId="47EDBC91" w:rsidR="00E733CA" w:rsidRDefault="00E733CA" w:rsidP="00F3138A">
      <w:pPr>
        <w:rPr>
          <w:sz w:val="22"/>
          <w:szCs w:val="22"/>
        </w:rPr>
      </w:pPr>
      <w:r>
        <w:rPr>
          <w:sz w:val="22"/>
          <w:szCs w:val="22"/>
        </w:rPr>
        <w:t xml:space="preserve">The myth that will be used to decide how valid the statement is, is the Homeric Hymn to Demeter. </w:t>
      </w:r>
      <w:r w:rsidR="00C003EA">
        <w:rPr>
          <w:sz w:val="22"/>
          <w:szCs w:val="22"/>
        </w:rPr>
        <w:t xml:space="preserve">The first </w:t>
      </w:r>
      <w:r w:rsidR="00915A3B">
        <w:rPr>
          <w:sz w:val="22"/>
          <w:szCs w:val="22"/>
        </w:rPr>
        <w:t>written recording of this Homeric hymn dates to the 7</w:t>
      </w:r>
      <w:r w:rsidR="00915A3B" w:rsidRPr="00915A3B">
        <w:rPr>
          <w:sz w:val="22"/>
          <w:szCs w:val="22"/>
          <w:vertAlign w:val="superscript"/>
        </w:rPr>
        <w:t>th</w:t>
      </w:r>
      <w:r w:rsidR="00915A3B">
        <w:rPr>
          <w:sz w:val="22"/>
          <w:szCs w:val="22"/>
        </w:rPr>
        <w:t xml:space="preserve"> century BCE, and the first written recording of the myth of Demeter and Persephone date back to the 8</w:t>
      </w:r>
      <w:r w:rsidR="00915A3B" w:rsidRPr="00915A3B">
        <w:rPr>
          <w:sz w:val="22"/>
          <w:szCs w:val="22"/>
          <w:vertAlign w:val="superscript"/>
        </w:rPr>
        <w:t>th</w:t>
      </w:r>
      <w:r w:rsidR="00915A3B">
        <w:rPr>
          <w:sz w:val="22"/>
          <w:szCs w:val="22"/>
        </w:rPr>
        <w:t xml:space="preserve"> century BCE</w:t>
      </w:r>
      <w:r w:rsidR="00280C8C">
        <w:rPr>
          <w:rStyle w:val="FootnoteReference"/>
          <w:sz w:val="22"/>
          <w:szCs w:val="22"/>
        </w:rPr>
        <w:footnoteReference w:id="8"/>
      </w:r>
      <w:r w:rsidR="00915A3B">
        <w:rPr>
          <w:sz w:val="22"/>
          <w:szCs w:val="22"/>
        </w:rPr>
        <w:t>. However, these myths were likely orated long before they were written.</w:t>
      </w:r>
      <w:r w:rsidR="005A1D9C">
        <w:rPr>
          <w:sz w:val="22"/>
          <w:szCs w:val="22"/>
        </w:rPr>
        <w:t xml:space="preserve"> </w:t>
      </w:r>
      <w:r>
        <w:rPr>
          <w:sz w:val="22"/>
          <w:szCs w:val="22"/>
        </w:rPr>
        <w:t>The Hymn focusses on the loss of Persephone, the daughter of Demeter, who was given away by Zeus to Hades the god of the underworld</w:t>
      </w:r>
      <w:r w:rsidR="00F608A6">
        <w:rPr>
          <w:rStyle w:val="FootnoteReference"/>
          <w:sz w:val="22"/>
          <w:szCs w:val="22"/>
        </w:rPr>
        <w:footnoteReference w:id="9"/>
      </w:r>
      <w:r>
        <w:rPr>
          <w:sz w:val="22"/>
          <w:szCs w:val="22"/>
        </w:rPr>
        <w:t xml:space="preserve">. </w:t>
      </w:r>
      <w:r w:rsidR="00644490">
        <w:rPr>
          <w:sz w:val="22"/>
          <w:szCs w:val="22"/>
        </w:rPr>
        <w:t xml:space="preserve">The feelings of the loss of a daughter </w:t>
      </w:r>
      <w:proofErr w:type="gramStart"/>
      <w:r w:rsidR="00644490">
        <w:rPr>
          <w:sz w:val="22"/>
          <w:szCs w:val="22"/>
        </w:rPr>
        <w:t>is</w:t>
      </w:r>
      <w:proofErr w:type="gramEnd"/>
      <w:r w:rsidR="00644490">
        <w:rPr>
          <w:sz w:val="22"/>
          <w:szCs w:val="22"/>
        </w:rPr>
        <w:t xml:space="preserve"> shown throughout the hymn. The end of the hymn shows the reuniting of Persephone to Demeter, but also shows Persephone’s fate, which is that she </w:t>
      </w:r>
      <w:proofErr w:type="gramStart"/>
      <w:r w:rsidR="00644490">
        <w:rPr>
          <w:sz w:val="22"/>
          <w:szCs w:val="22"/>
        </w:rPr>
        <w:t>has to</w:t>
      </w:r>
      <w:proofErr w:type="gramEnd"/>
      <w:r w:rsidR="00644490">
        <w:rPr>
          <w:sz w:val="22"/>
          <w:szCs w:val="22"/>
        </w:rPr>
        <w:t xml:space="preserve"> spend the winter in the underworld as Hades’ wife</w:t>
      </w:r>
      <w:r w:rsidR="007E3DB3">
        <w:rPr>
          <w:rStyle w:val="FootnoteReference"/>
          <w:sz w:val="22"/>
          <w:szCs w:val="22"/>
        </w:rPr>
        <w:footnoteReference w:id="10"/>
      </w:r>
      <w:r w:rsidR="00644490">
        <w:rPr>
          <w:sz w:val="22"/>
          <w:szCs w:val="22"/>
        </w:rPr>
        <w:t>.</w:t>
      </w:r>
      <w:r w:rsidR="00D95968">
        <w:rPr>
          <w:sz w:val="22"/>
          <w:szCs w:val="22"/>
        </w:rPr>
        <w:t xml:space="preserve"> </w:t>
      </w:r>
    </w:p>
    <w:p w14:paraId="230269E3" w14:textId="092D7FDC" w:rsidR="00D95968" w:rsidRDefault="00D95968" w:rsidP="00F3138A">
      <w:pPr>
        <w:rPr>
          <w:sz w:val="22"/>
          <w:szCs w:val="22"/>
        </w:rPr>
      </w:pPr>
      <w:r>
        <w:rPr>
          <w:sz w:val="22"/>
          <w:szCs w:val="22"/>
        </w:rPr>
        <w:t xml:space="preserve">One way that the statement ‘Myths are a product of a specific time and place’ is not valid is due to the myths structure. Vladimir Propp looked at over one hundred Russian fairy tales and found that he could break down all fairy tales down into </w:t>
      </w:r>
      <w:r w:rsidR="0051551D">
        <w:rPr>
          <w:sz w:val="22"/>
          <w:szCs w:val="22"/>
        </w:rPr>
        <w:t>thirty-one</w:t>
      </w:r>
      <w:r>
        <w:rPr>
          <w:sz w:val="22"/>
          <w:szCs w:val="22"/>
        </w:rPr>
        <w:t xml:space="preserve"> categories, which showed the structure of fairy tales</w:t>
      </w:r>
      <w:r w:rsidR="003C6D12">
        <w:rPr>
          <w:rStyle w:val="FootnoteReference"/>
          <w:sz w:val="22"/>
          <w:szCs w:val="22"/>
        </w:rPr>
        <w:footnoteReference w:id="11"/>
      </w:r>
      <w:r>
        <w:rPr>
          <w:sz w:val="22"/>
          <w:szCs w:val="22"/>
        </w:rPr>
        <w:t xml:space="preserve">. He showed that the structure of a fairy tale transcends both time and place, thus making the statement invalid. </w:t>
      </w:r>
      <w:r w:rsidR="00486F32">
        <w:rPr>
          <w:sz w:val="22"/>
          <w:szCs w:val="22"/>
        </w:rPr>
        <w:t xml:space="preserve">The Homeric hymn to Demeter also follows </w:t>
      </w:r>
      <w:r w:rsidR="008A6AD8">
        <w:rPr>
          <w:sz w:val="22"/>
          <w:szCs w:val="22"/>
        </w:rPr>
        <w:t xml:space="preserve">some of </w:t>
      </w:r>
      <w:r w:rsidR="00486F32">
        <w:rPr>
          <w:sz w:val="22"/>
          <w:szCs w:val="22"/>
        </w:rPr>
        <w:t xml:space="preserve">these </w:t>
      </w:r>
      <w:r w:rsidR="0051551D">
        <w:rPr>
          <w:sz w:val="22"/>
          <w:szCs w:val="22"/>
        </w:rPr>
        <w:t>thirty-one</w:t>
      </w:r>
      <w:r w:rsidR="00486F32">
        <w:rPr>
          <w:sz w:val="22"/>
          <w:szCs w:val="22"/>
        </w:rPr>
        <w:t xml:space="preserve"> functions. </w:t>
      </w:r>
      <w:r w:rsidR="00185438">
        <w:rPr>
          <w:sz w:val="22"/>
          <w:szCs w:val="22"/>
        </w:rPr>
        <w:t>The first ten lines fit into Vladimir Propps first function, which is that a family member is</w:t>
      </w:r>
      <w:r w:rsidR="009B0249">
        <w:rPr>
          <w:sz w:val="22"/>
          <w:szCs w:val="22"/>
        </w:rPr>
        <w:t xml:space="preserve"> away</w:t>
      </w:r>
      <w:r w:rsidR="00185438">
        <w:rPr>
          <w:sz w:val="22"/>
          <w:szCs w:val="22"/>
        </w:rPr>
        <w:t xml:space="preserve"> from home</w:t>
      </w:r>
      <w:r w:rsidR="00691945">
        <w:rPr>
          <w:rStyle w:val="FootnoteReference"/>
          <w:sz w:val="22"/>
          <w:szCs w:val="22"/>
        </w:rPr>
        <w:footnoteReference w:id="12"/>
      </w:r>
      <w:r w:rsidR="00185438">
        <w:rPr>
          <w:sz w:val="22"/>
          <w:szCs w:val="22"/>
        </w:rPr>
        <w:t xml:space="preserve">. The first ten lines explain that Persephone, daughter of Demeter, was taken, by Zeus, to be given to </w:t>
      </w:r>
      <w:proofErr w:type="gramStart"/>
      <w:r w:rsidR="00185438">
        <w:rPr>
          <w:sz w:val="22"/>
          <w:szCs w:val="22"/>
        </w:rPr>
        <w:t>Hades</w:t>
      </w:r>
      <w:proofErr w:type="gramEnd"/>
      <w:r w:rsidR="00185438">
        <w:rPr>
          <w:sz w:val="22"/>
          <w:szCs w:val="22"/>
        </w:rPr>
        <w:t xml:space="preserve"> god of the underworld</w:t>
      </w:r>
      <w:r w:rsidR="00503F2F">
        <w:rPr>
          <w:rStyle w:val="FootnoteReference"/>
          <w:sz w:val="22"/>
          <w:szCs w:val="22"/>
        </w:rPr>
        <w:footnoteReference w:id="13"/>
      </w:r>
      <w:r w:rsidR="00185438">
        <w:rPr>
          <w:sz w:val="22"/>
          <w:szCs w:val="22"/>
        </w:rPr>
        <w:t>. The Homeric hymn then fits into function eleven, which says that the hero in this story leaves home to complete the task in</w:t>
      </w:r>
      <w:r w:rsidR="00CF43E8">
        <w:rPr>
          <w:sz w:val="22"/>
          <w:szCs w:val="22"/>
        </w:rPr>
        <w:t xml:space="preserve"> front of</w:t>
      </w:r>
      <w:r w:rsidR="00185438">
        <w:rPr>
          <w:sz w:val="22"/>
          <w:szCs w:val="22"/>
        </w:rPr>
        <w:t xml:space="preserve"> them</w:t>
      </w:r>
      <w:r w:rsidR="00691945">
        <w:rPr>
          <w:rStyle w:val="FootnoteReference"/>
          <w:sz w:val="22"/>
          <w:szCs w:val="22"/>
        </w:rPr>
        <w:footnoteReference w:id="14"/>
      </w:r>
      <w:r w:rsidR="00185438">
        <w:rPr>
          <w:sz w:val="22"/>
          <w:szCs w:val="22"/>
        </w:rPr>
        <w:t xml:space="preserve">. In the Homeric hymn, this is where Demeter </w:t>
      </w:r>
      <w:r w:rsidR="0002264B">
        <w:rPr>
          <w:sz w:val="22"/>
          <w:szCs w:val="22"/>
        </w:rPr>
        <w:t>starts searching for Persephone from line 40 until line 405</w:t>
      </w:r>
      <w:r w:rsidR="00FA7CD0">
        <w:rPr>
          <w:rStyle w:val="FootnoteReference"/>
          <w:sz w:val="22"/>
          <w:szCs w:val="22"/>
        </w:rPr>
        <w:footnoteReference w:id="15"/>
      </w:r>
      <w:r w:rsidR="0002264B">
        <w:rPr>
          <w:sz w:val="22"/>
          <w:szCs w:val="22"/>
        </w:rPr>
        <w:t>.</w:t>
      </w:r>
      <w:r w:rsidR="008614F0">
        <w:rPr>
          <w:sz w:val="22"/>
          <w:szCs w:val="22"/>
        </w:rPr>
        <w:t xml:space="preserve"> The last part of the Homeric hymn fits into functions 25 and 26, which are that a difficult task is presented to the hero and the task is then resolved</w:t>
      </w:r>
      <w:r w:rsidR="00691945">
        <w:rPr>
          <w:rStyle w:val="FootnoteReference"/>
          <w:sz w:val="22"/>
          <w:szCs w:val="22"/>
        </w:rPr>
        <w:footnoteReference w:id="16"/>
      </w:r>
      <w:r w:rsidR="008614F0">
        <w:rPr>
          <w:sz w:val="22"/>
          <w:szCs w:val="22"/>
        </w:rPr>
        <w:t xml:space="preserve">. In the hymn the difficult task is that Persephone </w:t>
      </w:r>
      <w:proofErr w:type="gramStart"/>
      <w:r w:rsidR="008614F0">
        <w:rPr>
          <w:sz w:val="22"/>
          <w:szCs w:val="22"/>
        </w:rPr>
        <w:t>has to</w:t>
      </w:r>
      <w:proofErr w:type="gramEnd"/>
      <w:r w:rsidR="008614F0">
        <w:rPr>
          <w:sz w:val="22"/>
          <w:szCs w:val="22"/>
        </w:rPr>
        <w:t xml:space="preserve"> spend one third of the year in the </w:t>
      </w:r>
      <w:r w:rsidR="008614F0">
        <w:rPr>
          <w:sz w:val="22"/>
          <w:szCs w:val="22"/>
        </w:rPr>
        <w:lastRenderedPageBreak/>
        <w:t>underworld next to Hades as his wife</w:t>
      </w:r>
      <w:r w:rsidR="0016783E">
        <w:rPr>
          <w:rStyle w:val="FootnoteReference"/>
          <w:sz w:val="22"/>
          <w:szCs w:val="22"/>
        </w:rPr>
        <w:footnoteReference w:id="17"/>
      </w:r>
      <w:r w:rsidR="008614F0">
        <w:rPr>
          <w:sz w:val="22"/>
          <w:szCs w:val="22"/>
        </w:rPr>
        <w:t>. The solution to the task is that the rest two thirds of the year Persephone will be able to spend with Demeter and the other immortal gods</w:t>
      </w:r>
      <w:r w:rsidR="00F25418">
        <w:rPr>
          <w:rStyle w:val="FootnoteReference"/>
          <w:sz w:val="22"/>
          <w:szCs w:val="22"/>
        </w:rPr>
        <w:footnoteReference w:id="18"/>
      </w:r>
      <w:r w:rsidR="008614F0">
        <w:rPr>
          <w:sz w:val="22"/>
          <w:szCs w:val="22"/>
        </w:rPr>
        <w:t xml:space="preserve">. The Homeric hymn to Demeter fits into </w:t>
      </w:r>
      <w:r w:rsidR="0008169A">
        <w:rPr>
          <w:sz w:val="22"/>
          <w:szCs w:val="22"/>
        </w:rPr>
        <w:t xml:space="preserve">some of </w:t>
      </w:r>
      <w:r w:rsidR="008614F0">
        <w:rPr>
          <w:sz w:val="22"/>
          <w:szCs w:val="22"/>
        </w:rPr>
        <w:t xml:space="preserve">Propp’s </w:t>
      </w:r>
      <w:r w:rsidR="0051551D">
        <w:rPr>
          <w:sz w:val="22"/>
          <w:szCs w:val="22"/>
        </w:rPr>
        <w:t>thirty-one</w:t>
      </w:r>
      <w:r w:rsidR="008614F0">
        <w:rPr>
          <w:sz w:val="22"/>
          <w:szCs w:val="22"/>
        </w:rPr>
        <w:t xml:space="preserve"> functions proving that myths transcend time and place, making the statement invalid. </w:t>
      </w:r>
      <w:r w:rsidR="007F6CDC">
        <w:rPr>
          <w:sz w:val="22"/>
          <w:szCs w:val="22"/>
        </w:rPr>
        <w:t>However, the validity of Propps’ thirty-one functions can be questioned as Propp only used Russian fairytales as his sample size. This questions the validity of his thirty-one functions as fairytales from other countries may not follow these functions.</w:t>
      </w:r>
    </w:p>
    <w:p w14:paraId="64EBC7C0" w14:textId="3759CAEE" w:rsidR="001167B7" w:rsidRDefault="002405D2" w:rsidP="00F3138A">
      <w:pPr>
        <w:rPr>
          <w:sz w:val="22"/>
          <w:szCs w:val="22"/>
        </w:rPr>
      </w:pPr>
      <w:r>
        <w:rPr>
          <w:sz w:val="22"/>
          <w:szCs w:val="22"/>
        </w:rPr>
        <w:t xml:space="preserve">The Eleusinian Mysteries is another way which shows that the statement is invalid. </w:t>
      </w:r>
      <w:r w:rsidR="00A743F3">
        <w:rPr>
          <w:sz w:val="22"/>
          <w:szCs w:val="22"/>
        </w:rPr>
        <w:t xml:space="preserve">The rites of the Eleusinian mysteries are based upon what is said in the Homeric hymn to Demeter. One of the rites is that </w:t>
      </w:r>
      <w:r w:rsidR="007E08E6">
        <w:rPr>
          <w:sz w:val="22"/>
          <w:szCs w:val="22"/>
        </w:rPr>
        <w:t>initiates must drink a mixture of water and barley</w:t>
      </w:r>
      <w:r w:rsidR="00452EBF">
        <w:rPr>
          <w:sz w:val="22"/>
          <w:szCs w:val="22"/>
        </w:rPr>
        <w:t>, called kykeon</w:t>
      </w:r>
      <w:r w:rsidR="00190775">
        <w:rPr>
          <w:rStyle w:val="FootnoteReference"/>
          <w:sz w:val="22"/>
          <w:szCs w:val="22"/>
        </w:rPr>
        <w:footnoteReference w:id="19"/>
      </w:r>
      <w:r w:rsidR="007E08E6">
        <w:rPr>
          <w:sz w:val="22"/>
          <w:szCs w:val="22"/>
        </w:rPr>
        <w:t>. This follows what Demeter drank in the Homeric hymn in lines 206 to 210</w:t>
      </w:r>
      <w:r w:rsidR="00222BDC">
        <w:rPr>
          <w:rStyle w:val="FootnoteReference"/>
          <w:sz w:val="22"/>
          <w:szCs w:val="22"/>
        </w:rPr>
        <w:footnoteReference w:id="20"/>
      </w:r>
      <w:r w:rsidR="007E08E6">
        <w:rPr>
          <w:sz w:val="22"/>
          <w:szCs w:val="22"/>
        </w:rPr>
        <w:t>. In these lines Metaneira offered Demeter a cup of red wine</w:t>
      </w:r>
      <w:r w:rsidR="00222BDC">
        <w:rPr>
          <w:rStyle w:val="FootnoteReference"/>
          <w:sz w:val="22"/>
          <w:szCs w:val="22"/>
        </w:rPr>
        <w:footnoteReference w:id="21"/>
      </w:r>
      <w:r w:rsidR="007E08E6">
        <w:rPr>
          <w:sz w:val="22"/>
          <w:szCs w:val="22"/>
        </w:rPr>
        <w:t>. Demeter refused this red wine saying that she was not</w:t>
      </w:r>
      <w:r w:rsidR="005D75C8">
        <w:rPr>
          <w:sz w:val="22"/>
          <w:szCs w:val="22"/>
        </w:rPr>
        <w:t xml:space="preserve"> allowed</w:t>
      </w:r>
      <w:r w:rsidR="007E08E6">
        <w:rPr>
          <w:sz w:val="22"/>
          <w:szCs w:val="22"/>
        </w:rPr>
        <w:t xml:space="preserve"> to drink it, she then instructed Metaneira to mix water and barley for her to drink</w:t>
      </w:r>
      <w:r w:rsidR="00222BDC">
        <w:rPr>
          <w:rStyle w:val="FootnoteReference"/>
          <w:sz w:val="22"/>
          <w:szCs w:val="22"/>
        </w:rPr>
        <w:footnoteReference w:id="22"/>
      </w:r>
      <w:r w:rsidR="007E08E6">
        <w:rPr>
          <w:sz w:val="22"/>
          <w:szCs w:val="22"/>
        </w:rPr>
        <w:t>.</w:t>
      </w:r>
      <w:r w:rsidR="00971B8A">
        <w:rPr>
          <w:sz w:val="22"/>
          <w:szCs w:val="22"/>
        </w:rPr>
        <w:t xml:space="preserve"> </w:t>
      </w:r>
      <w:r w:rsidR="00452EBF">
        <w:rPr>
          <w:sz w:val="22"/>
          <w:szCs w:val="22"/>
        </w:rPr>
        <w:t>Another part of the initiation ritual is called aischrologia. This was where people would shout and hurl insults and vulgar language at initiates</w:t>
      </w:r>
      <w:r w:rsidR="00F6293C">
        <w:rPr>
          <w:rStyle w:val="FootnoteReference"/>
          <w:sz w:val="22"/>
          <w:szCs w:val="22"/>
        </w:rPr>
        <w:footnoteReference w:id="23"/>
      </w:r>
      <w:r w:rsidR="00452EBF">
        <w:rPr>
          <w:sz w:val="22"/>
          <w:szCs w:val="22"/>
        </w:rPr>
        <w:t>. This ritual aischrologia directly precedes the drinking of the kykeon</w:t>
      </w:r>
      <w:r w:rsidR="00ED3124">
        <w:rPr>
          <w:rStyle w:val="FootnoteReference"/>
          <w:sz w:val="22"/>
          <w:szCs w:val="22"/>
        </w:rPr>
        <w:footnoteReference w:id="24"/>
      </w:r>
      <w:r w:rsidR="00452EBF">
        <w:rPr>
          <w:sz w:val="22"/>
          <w:szCs w:val="22"/>
        </w:rPr>
        <w:t xml:space="preserve">. </w:t>
      </w:r>
      <w:r w:rsidR="0054666C">
        <w:rPr>
          <w:sz w:val="22"/>
          <w:szCs w:val="22"/>
        </w:rPr>
        <w:t>Aischrologia preceding the drinking of the kykeon directly links this part of the ritual to the Homeric hymn to Demeter as in the hymn on lines 202 to 205 Iamb is making fun of Demeter and making jokes at her expense</w:t>
      </w:r>
      <w:r w:rsidR="00222BDC">
        <w:rPr>
          <w:rStyle w:val="FootnoteReference"/>
          <w:sz w:val="22"/>
          <w:szCs w:val="22"/>
        </w:rPr>
        <w:footnoteReference w:id="25"/>
      </w:r>
      <w:r w:rsidR="0054666C">
        <w:rPr>
          <w:sz w:val="22"/>
          <w:szCs w:val="22"/>
        </w:rPr>
        <w:t>.</w:t>
      </w:r>
      <w:r w:rsidR="00826325">
        <w:rPr>
          <w:sz w:val="22"/>
          <w:szCs w:val="22"/>
        </w:rPr>
        <w:t xml:space="preserve"> This part of the rit</w:t>
      </w:r>
      <w:r w:rsidR="00D9080A">
        <w:rPr>
          <w:sz w:val="22"/>
          <w:szCs w:val="22"/>
        </w:rPr>
        <w:t xml:space="preserve">ual also directly links to the Homeric hymn to Demeter as it follows the story almost exactly, which suggests that new initiates are put into Demeter’s shoes to experience what she experiences throughout the Homeric hymn. </w:t>
      </w:r>
      <w:r w:rsidR="00385246">
        <w:rPr>
          <w:sz w:val="22"/>
          <w:szCs w:val="22"/>
        </w:rPr>
        <w:t>This direct link to the Homeric hymn shows that this myth is not of a specific time, therefor</w:t>
      </w:r>
      <w:r w:rsidR="00812082">
        <w:rPr>
          <w:sz w:val="22"/>
          <w:szCs w:val="22"/>
        </w:rPr>
        <w:t>e</w:t>
      </w:r>
      <w:r w:rsidR="00385246">
        <w:rPr>
          <w:sz w:val="22"/>
          <w:szCs w:val="22"/>
        </w:rPr>
        <w:t xml:space="preserve"> partially invalidating the statement.</w:t>
      </w:r>
    </w:p>
    <w:p w14:paraId="2E13382A" w14:textId="5858057A" w:rsidR="002405D2" w:rsidRDefault="00971B8A" w:rsidP="00F3138A">
      <w:pPr>
        <w:rPr>
          <w:sz w:val="22"/>
          <w:szCs w:val="22"/>
        </w:rPr>
      </w:pPr>
      <w:r>
        <w:rPr>
          <w:sz w:val="22"/>
          <w:szCs w:val="22"/>
        </w:rPr>
        <w:t xml:space="preserve">The entire Eleusinian following was based upon the Homeric hymn to Demeter. </w:t>
      </w:r>
      <w:r w:rsidR="00BC6207">
        <w:rPr>
          <w:sz w:val="22"/>
          <w:szCs w:val="22"/>
        </w:rPr>
        <w:t>Eleusis, a place fourteen miles</w:t>
      </w:r>
      <w:r w:rsidR="00C40856">
        <w:rPr>
          <w:sz w:val="22"/>
          <w:szCs w:val="22"/>
        </w:rPr>
        <w:t xml:space="preserve"> from</w:t>
      </w:r>
      <w:r w:rsidR="00BC6207">
        <w:rPr>
          <w:sz w:val="22"/>
          <w:szCs w:val="22"/>
        </w:rPr>
        <w:t xml:space="preserve"> Athens, was where Demeter stayed whilst looking for Persephone</w:t>
      </w:r>
      <w:r w:rsidR="00940266">
        <w:rPr>
          <w:rStyle w:val="FootnoteReference"/>
          <w:sz w:val="22"/>
          <w:szCs w:val="22"/>
        </w:rPr>
        <w:footnoteReference w:id="26"/>
      </w:r>
      <w:r w:rsidR="00BC6207">
        <w:rPr>
          <w:sz w:val="22"/>
          <w:szCs w:val="22"/>
        </w:rPr>
        <w:t xml:space="preserve">. Near the end of her stay at Eleusis, Demeter ordered for a large temple to be built in Eleusis. </w:t>
      </w:r>
      <w:r w:rsidR="00CE67AD">
        <w:rPr>
          <w:sz w:val="22"/>
          <w:szCs w:val="22"/>
        </w:rPr>
        <w:t>This is shown in lines 270 to 275 and lines 295 to 305</w:t>
      </w:r>
      <w:r w:rsidR="00952BC6">
        <w:rPr>
          <w:rStyle w:val="FootnoteReference"/>
          <w:sz w:val="22"/>
          <w:szCs w:val="22"/>
        </w:rPr>
        <w:footnoteReference w:id="27"/>
      </w:r>
      <w:r w:rsidR="00CE67AD">
        <w:rPr>
          <w:sz w:val="22"/>
          <w:szCs w:val="22"/>
        </w:rPr>
        <w:t xml:space="preserve">. </w:t>
      </w:r>
      <w:r w:rsidR="001D2AE2">
        <w:rPr>
          <w:sz w:val="22"/>
          <w:szCs w:val="22"/>
        </w:rPr>
        <w:t>According to George E. Mylonas the following began locally, but as time passed it grew larger and its influence grew outside of Eleusis</w:t>
      </w:r>
      <w:r w:rsidR="0029668E">
        <w:rPr>
          <w:rStyle w:val="FootnoteReference"/>
          <w:sz w:val="22"/>
          <w:szCs w:val="22"/>
        </w:rPr>
        <w:footnoteReference w:id="28"/>
      </w:r>
      <w:r w:rsidR="001D2AE2">
        <w:rPr>
          <w:sz w:val="22"/>
          <w:szCs w:val="22"/>
        </w:rPr>
        <w:t xml:space="preserve">. This influence expanded much further when the Romans adopted this following. </w:t>
      </w:r>
      <w:r w:rsidR="001E5F04">
        <w:rPr>
          <w:sz w:val="22"/>
          <w:szCs w:val="22"/>
        </w:rPr>
        <w:t xml:space="preserve">The further expansion was </w:t>
      </w:r>
      <w:r w:rsidR="00EF7D68">
        <w:rPr>
          <w:sz w:val="22"/>
          <w:szCs w:val="22"/>
        </w:rPr>
        <w:t xml:space="preserve">likely </w:t>
      </w:r>
      <w:r w:rsidR="001E5F04">
        <w:rPr>
          <w:sz w:val="22"/>
          <w:szCs w:val="22"/>
        </w:rPr>
        <w:t>hastened by the fact that the Roman empire was large and extensive.</w:t>
      </w:r>
      <w:r w:rsidR="00374916">
        <w:rPr>
          <w:sz w:val="22"/>
          <w:szCs w:val="22"/>
        </w:rPr>
        <w:t xml:space="preserve"> </w:t>
      </w:r>
      <w:r w:rsidR="007747FD">
        <w:rPr>
          <w:sz w:val="22"/>
          <w:szCs w:val="22"/>
        </w:rPr>
        <w:t xml:space="preserve">The </w:t>
      </w:r>
      <w:r w:rsidR="007747FD">
        <w:rPr>
          <w:sz w:val="22"/>
          <w:szCs w:val="22"/>
        </w:rPr>
        <w:lastRenderedPageBreak/>
        <w:t>Eleusinian following was so influential at that time, that the elites of the time were having statues of Demeter built</w:t>
      </w:r>
      <w:r w:rsidR="0029668E">
        <w:rPr>
          <w:rStyle w:val="FootnoteReference"/>
          <w:sz w:val="22"/>
          <w:szCs w:val="22"/>
        </w:rPr>
        <w:footnoteReference w:id="29"/>
      </w:r>
      <w:r w:rsidR="007747FD">
        <w:rPr>
          <w:sz w:val="22"/>
          <w:szCs w:val="22"/>
        </w:rPr>
        <w:t>. It was also so influential that everyone wanted to be initiated, from slaves to the elites of the time</w:t>
      </w:r>
      <w:r w:rsidR="0029668E">
        <w:rPr>
          <w:rStyle w:val="FootnoteReference"/>
          <w:sz w:val="22"/>
          <w:szCs w:val="22"/>
        </w:rPr>
        <w:footnoteReference w:id="30"/>
      </w:r>
      <w:r w:rsidR="007747FD">
        <w:rPr>
          <w:sz w:val="22"/>
          <w:szCs w:val="22"/>
        </w:rPr>
        <w:t>.</w:t>
      </w:r>
      <w:r w:rsidR="0008745A">
        <w:rPr>
          <w:sz w:val="22"/>
          <w:szCs w:val="22"/>
        </w:rPr>
        <w:t xml:space="preserve"> </w:t>
      </w:r>
      <w:r w:rsidR="000E2915">
        <w:rPr>
          <w:sz w:val="22"/>
          <w:szCs w:val="22"/>
        </w:rPr>
        <w:t>Mylonas</w:t>
      </w:r>
      <w:r w:rsidR="00120BBC">
        <w:rPr>
          <w:sz w:val="22"/>
          <w:szCs w:val="22"/>
        </w:rPr>
        <w:t xml:space="preserve">’ interpretation </w:t>
      </w:r>
      <w:r w:rsidR="000E2915">
        <w:rPr>
          <w:sz w:val="22"/>
          <w:szCs w:val="22"/>
        </w:rPr>
        <w:t>directly links the Homeric hymn to Demeter to multiple different aspects of the Eleusinian mysteries. This gives a wider interpretation of the links between the Eleusinian mysteries and the Homeric hymn to Demeter.</w:t>
      </w:r>
      <w:r w:rsidR="00DC678F">
        <w:rPr>
          <w:sz w:val="22"/>
          <w:szCs w:val="22"/>
        </w:rPr>
        <w:t xml:space="preserve"> Mylonas’ interpretation on the</w:t>
      </w:r>
      <w:r w:rsidR="0008745A">
        <w:rPr>
          <w:sz w:val="22"/>
          <w:szCs w:val="22"/>
        </w:rPr>
        <w:t xml:space="preserve"> influence of the Eleusinian following through time and </w:t>
      </w:r>
      <w:r w:rsidR="00273698">
        <w:rPr>
          <w:sz w:val="22"/>
          <w:szCs w:val="22"/>
        </w:rPr>
        <w:t xml:space="preserve">its influence outside Eleusis across the civilised world </w:t>
      </w:r>
      <w:r w:rsidR="00DC678F">
        <w:rPr>
          <w:sz w:val="22"/>
          <w:szCs w:val="22"/>
        </w:rPr>
        <w:t>supports the invalidation of the statement.</w:t>
      </w:r>
      <w:r w:rsidR="004823CB">
        <w:rPr>
          <w:sz w:val="22"/>
          <w:szCs w:val="22"/>
        </w:rPr>
        <w:t xml:space="preserve"> </w:t>
      </w:r>
      <w:r w:rsidR="00422E11">
        <w:rPr>
          <w:sz w:val="22"/>
          <w:szCs w:val="22"/>
        </w:rPr>
        <w:t>However, it could also be argued that the Eleusinian followings influence only partially invalidates the statement as even though the influence of this following was very widespread throughout the civilised world, the followings influence was centred around Eleusis. This would only partially invalidate the statement as the influence is not of a specific time, but it is of a specific place.</w:t>
      </w:r>
    </w:p>
    <w:p w14:paraId="44C42399" w14:textId="4F65C388" w:rsidR="00445BCE" w:rsidRDefault="00445BCE" w:rsidP="00F3138A">
      <w:pPr>
        <w:rPr>
          <w:sz w:val="22"/>
          <w:szCs w:val="22"/>
        </w:rPr>
      </w:pPr>
      <w:r>
        <w:rPr>
          <w:sz w:val="22"/>
          <w:szCs w:val="22"/>
        </w:rPr>
        <w:t xml:space="preserve">It was not only the influence of the Eleusinian following which makes the </w:t>
      </w:r>
      <w:r w:rsidR="00F15952">
        <w:rPr>
          <w:sz w:val="22"/>
          <w:szCs w:val="22"/>
        </w:rPr>
        <w:t>statement invalid, but also the time at which the</w:t>
      </w:r>
      <w:r w:rsidR="00CD367C">
        <w:rPr>
          <w:sz w:val="22"/>
          <w:szCs w:val="22"/>
        </w:rPr>
        <w:t xml:space="preserve"> following of Demeter</w:t>
      </w:r>
      <w:r w:rsidR="00F15952">
        <w:rPr>
          <w:sz w:val="22"/>
          <w:szCs w:val="22"/>
        </w:rPr>
        <w:t xml:space="preserve"> lasted. </w:t>
      </w:r>
      <w:r w:rsidR="00DF522E">
        <w:rPr>
          <w:sz w:val="22"/>
          <w:szCs w:val="22"/>
        </w:rPr>
        <w:t xml:space="preserve">According to </w:t>
      </w:r>
      <w:r w:rsidR="00F92DA6">
        <w:rPr>
          <w:sz w:val="22"/>
          <w:szCs w:val="22"/>
        </w:rPr>
        <w:t xml:space="preserve">an interpretation by </w:t>
      </w:r>
      <w:r w:rsidR="00DF522E">
        <w:rPr>
          <w:sz w:val="22"/>
          <w:szCs w:val="22"/>
        </w:rPr>
        <w:t>Mara Lynn Keller t</w:t>
      </w:r>
      <w:r w:rsidR="00F15952">
        <w:rPr>
          <w:sz w:val="22"/>
          <w:szCs w:val="22"/>
        </w:rPr>
        <w:t>he rites that were carried out in the temple at Eleusis lasted for around 2000 years, with the first building being founded around 1450 BCE</w:t>
      </w:r>
      <w:r w:rsidR="008E2432">
        <w:rPr>
          <w:rStyle w:val="FootnoteReference"/>
          <w:sz w:val="22"/>
          <w:szCs w:val="22"/>
        </w:rPr>
        <w:footnoteReference w:id="31"/>
      </w:r>
      <w:r w:rsidR="00F15952">
        <w:rPr>
          <w:sz w:val="22"/>
          <w:szCs w:val="22"/>
        </w:rPr>
        <w:t>.</w:t>
      </w:r>
      <w:r w:rsidR="002B6EB0">
        <w:rPr>
          <w:sz w:val="22"/>
          <w:szCs w:val="22"/>
        </w:rPr>
        <w:t xml:space="preserve"> The temple at Eleusis was de</w:t>
      </w:r>
      <w:r w:rsidR="00AA29B6">
        <w:rPr>
          <w:sz w:val="22"/>
          <w:szCs w:val="22"/>
        </w:rPr>
        <w:t>molished</w:t>
      </w:r>
      <w:r w:rsidR="002B6EB0">
        <w:rPr>
          <w:sz w:val="22"/>
          <w:szCs w:val="22"/>
        </w:rPr>
        <w:t xml:space="preserve"> in 395 CE to stop people worshiping any</w:t>
      </w:r>
      <w:r w:rsidR="00A3103D">
        <w:rPr>
          <w:sz w:val="22"/>
          <w:szCs w:val="22"/>
        </w:rPr>
        <w:t xml:space="preserve"> god or goddess</w:t>
      </w:r>
      <w:r w:rsidR="002B6EB0">
        <w:rPr>
          <w:sz w:val="22"/>
          <w:szCs w:val="22"/>
        </w:rPr>
        <w:t xml:space="preserve"> other than Christian </w:t>
      </w:r>
      <w:r w:rsidR="00A3103D">
        <w:rPr>
          <w:sz w:val="22"/>
          <w:szCs w:val="22"/>
        </w:rPr>
        <w:t>gods</w:t>
      </w:r>
      <w:r w:rsidR="00BE1901">
        <w:rPr>
          <w:rStyle w:val="FootnoteReference"/>
          <w:sz w:val="22"/>
          <w:szCs w:val="22"/>
        </w:rPr>
        <w:footnoteReference w:id="32"/>
      </w:r>
      <w:r w:rsidR="002B6EB0">
        <w:rPr>
          <w:sz w:val="22"/>
          <w:szCs w:val="22"/>
        </w:rPr>
        <w:t>. Even though the temple at Eleusis was destroyed, people continued to worship Demeter. Statues of Demeter have been found and decorated in Eleusis</w:t>
      </w:r>
      <w:r w:rsidR="004E1CBE">
        <w:rPr>
          <w:sz w:val="22"/>
          <w:szCs w:val="22"/>
        </w:rPr>
        <w:t xml:space="preserve"> </w:t>
      </w:r>
      <w:r w:rsidR="002B6EB0">
        <w:rPr>
          <w:sz w:val="22"/>
          <w:szCs w:val="22"/>
        </w:rPr>
        <w:t>up until the 19</w:t>
      </w:r>
      <w:r w:rsidR="002B6EB0" w:rsidRPr="002B6EB0">
        <w:rPr>
          <w:sz w:val="22"/>
          <w:szCs w:val="22"/>
          <w:vertAlign w:val="superscript"/>
        </w:rPr>
        <w:t>th</w:t>
      </w:r>
      <w:r w:rsidR="002B6EB0">
        <w:rPr>
          <w:sz w:val="22"/>
          <w:szCs w:val="22"/>
        </w:rPr>
        <w:t xml:space="preserve"> century, and more recently </w:t>
      </w:r>
      <w:r w:rsidR="004E1CBE">
        <w:rPr>
          <w:sz w:val="22"/>
          <w:szCs w:val="22"/>
        </w:rPr>
        <w:t>groups of women have been</w:t>
      </w:r>
      <w:r w:rsidR="003152D0">
        <w:rPr>
          <w:sz w:val="22"/>
          <w:szCs w:val="22"/>
        </w:rPr>
        <w:t xml:space="preserve"> arriving in</w:t>
      </w:r>
      <w:r w:rsidR="004E1CBE">
        <w:rPr>
          <w:sz w:val="22"/>
          <w:szCs w:val="22"/>
        </w:rPr>
        <w:t xml:space="preserve"> Eleusis to pay respects to Demeter</w:t>
      </w:r>
      <w:r w:rsidR="000E0AA4">
        <w:rPr>
          <w:rStyle w:val="FootnoteReference"/>
          <w:sz w:val="22"/>
          <w:szCs w:val="22"/>
        </w:rPr>
        <w:footnoteReference w:id="33"/>
      </w:r>
      <w:r w:rsidR="004E1CBE">
        <w:rPr>
          <w:sz w:val="22"/>
          <w:szCs w:val="22"/>
        </w:rPr>
        <w:t>.</w:t>
      </w:r>
      <w:r w:rsidR="00CD367C">
        <w:rPr>
          <w:sz w:val="22"/>
          <w:szCs w:val="22"/>
        </w:rPr>
        <w:t xml:space="preserve"> </w:t>
      </w:r>
      <w:r w:rsidR="003B318F">
        <w:rPr>
          <w:sz w:val="22"/>
          <w:szCs w:val="22"/>
        </w:rPr>
        <w:t>This further suggests that people still use the myth in the modern day and by paying respects to Demeter they are sympathetic of what Demeter experiences in the Homeric hymn.</w:t>
      </w:r>
      <w:r w:rsidR="003B318F">
        <w:rPr>
          <w:sz w:val="22"/>
          <w:szCs w:val="22"/>
        </w:rPr>
        <w:t xml:space="preserve"> </w:t>
      </w:r>
      <w:r w:rsidR="00CD367C">
        <w:rPr>
          <w:sz w:val="22"/>
          <w:szCs w:val="22"/>
        </w:rPr>
        <w:t xml:space="preserve">This makes the statement partially invalid </w:t>
      </w:r>
      <w:r w:rsidR="009A436B">
        <w:rPr>
          <w:sz w:val="22"/>
          <w:szCs w:val="22"/>
        </w:rPr>
        <w:t>due to the amount of time that the Eleusinian following lasted and the further amount of time that people in Eleusis worshiped Demeter.</w:t>
      </w:r>
      <w:r w:rsidR="006904D7">
        <w:rPr>
          <w:sz w:val="22"/>
          <w:szCs w:val="22"/>
        </w:rPr>
        <w:t xml:space="preserve"> </w:t>
      </w:r>
      <w:r w:rsidR="002E73BD">
        <w:rPr>
          <w:sz w:val="22"/>
          <w:szCs w:val="22"/>
        </w:rPr>
        <w:t>Also, the statement that the rites carried out at Eleusis lasted for around 2000 years show that myths are not a product of a specific time as multiple time periods and empires rose and fell within th</w:t>
      </w:r>
      <w:r w:rsidR="0034139D">
        <w:rPr>
          <w:sz w:val="22"/>
          <w:szCs w:val="22"/>
        </w:rPr>
        <w:t>is</w:t>
      </w:r>
      <w:r w:rsidR="002E73BD">
        <w:rPr>
          <w:sz w:val="22"/>
          <w:szCs w:val="22"/>
        </w:rPr>
        <w:t xml:space="preserve"> </w:t>
      </w:r>
      <w:proofErr w:type="gramStart"/>
      <w:r w:rsidR="002E73BD">
        <w:rPr>
          <w:sz w:val="22"/>
          <w:szCs w:val="22"/>
        </w:rPr>
        <w:t>time period</w:t>
      </w:r>
      <w:proofErr w:type="gramEnd"/>
      <w:r w:rsidR="002E73BD">
        <w:rPr>
          <w:sz w:val="22"/>
          <w:szCs w:val="22"/>
        </w:rPr>
        <w:t>.</w:t>
      </w:r>
      <w:r w:rsidR="00295B30">
        <w:rPr>
          <w:sz w:val="22"/>
          <w:szCs w:val="22"/>
        </w:rPr>
        <w:t xml:space="preserve"> </w:t>
      </w:r>
      <w:r w:rsidR="0015733B">
        <w:rPr>
          <w:sz w:val="22"/>
          <w:szCs w:val="22"/>
        </w:rPr>
        <w:t xml:space="preserve">However, there is partial validation of the statement as even though </w:t>
      </w:r>
      <w:r w:rsidR="004E3FDF">
        <w:rPr>
          <w:sz w:val="22"/>
          <w:szCs w:val="22"/>
        </w:rPr>
        <w:t>this myth is not a product of a specific time, both the myth of Demeter and Persephone and the Eleusinian following focus on Eleusis, a specific place.</w:t>
      </w:r>
      <w:r w:rsidR="00AE1EB1">
        <w:rPr>
          <w:sz w:val="22"/>
          <w:szCs w:val="22"/>
        </w:rPr>
        <w:t xml:space="preserve"> </w:t>
      </w:r>
    </w:p>
    <w:p w14:paraId="4EF6B760" w14:textId="186BCC30" w:rsidR="004823CB" w:rsidRDefault="0028621D" w:rsidP="00F3138A">
      <w:pPr>
        <w:rPr>
          <w:sz w:val="22"/>
          <w:szCs w:val="22"/>
        </w:rPr>
      </w:pPr>
      <w:r>
        <w:rPr>
          <w:sz w:val="22"/>
          <w:szCs w:val="22"/>
        </w:rPr>
        <w:t xml:space="preserve">However, </w:t>
      </w:r>
      <w:r w:rsidR="00B410D5">
        <w:rPr>
          <w:sz w:val="22"/>
          <w:szCs w:val="22"/>
        </w:rPr>
        <w:t xml:space="preserve">the Eleusinian mysteries </w:t>
      </w:r>
      <w:r>
        <w:rPr>
          <w:sz w:val="22"/>
          <w:szCs w:val="22"/>
        </w:rPr>
        <w:t xml:space="preserve">also </w:t>
      </w:r>
      <w:r w:rsidR="00B410D5">
        <w:rPr>
          <w:sz w:val="22"/>
          <w:szCs w:val="22"/>
        </w:rPr>
        <w:t>validate the statement due to the structure of the temple the people of Eleusis built. According to Mylonas the temple built at Eleusis matched with the one described in the Homeric hymn to Demeter</w:t>
      </w:r>
      <w:r w:rsidR="00AE79B0">
        <w:rPr>
          <w:rStyle w:val="FootnoteReference"/>
          <w:sz w:val="22"/>
          <w:szCs w:val="22"/>
        </w:rPr>
        <w:footnoteReference w:id="34"/>
      </w:r>
      <w:r w:rsidR="00B410D5">
        <w:rPr>
          <w:sz w:val="22"/>
          <w:szCs w:val="22"/>
        </w:rPr>
        <w:t>. The early temple that is built in Eleusis is described in lines 270 to 275 in the hymn</w:t>
      </w:r>
      <w:r w:rsidR="00952BC6">
        <w:rPr>
          <w:rStyle w:val="FootnoteReference"/>
          <w:sz w:val="22"/>
          <w:szCs w:val="22"/>
        </w:rPr>
        <w:footnoteReference w:id="35"/>
      </w:r>
      <w:r w:rsidR="00B410D5">
        <w:rPr>
          <w:sz w:val="22"/>
          <w:szCs w:val="22"/>
        </w:rPr>
        <w:t>. In those lines it s</w:t>
      </w:r>
      <w:r w:rsidR="004146EB">
        <w:rPr>
          <w:sz w:val="22"/>
          <w:szCs w:val="22"/>
        </w:rPr>
        <w:t>tates</w:t>
      </w:r>
      <w:r w:rsidR="00B410D5">
        <w:rPr>
          <w:sz w:val="22"/>
          <w:szCs w:val="22"/>
        </w:rPr>
        <w:t xml:space="preserve"> that the temple will have an altar at its base and that the temple shall be built on a prominent hill</w:t>
      </w:r>
      <w:r w:rsidR="00952BC6">
        <w:rPr>
          <w:rStyle w:val="FootnoteReference"/>
          <w:sz w:val="22"/>
          <w:szCs w:val="22"/>
        </w:rPr>
        <w:footnoteReference w:id="36"/>
      </w:r>
      <w:r w:rsidR="00B410D5">
        <w:rPr>
          <w:sz w:val="22"/>
          <w:szCs w:val="22"/>
        </w:rPr>
        <w:t xml:space="preserve">. </w:t>
      </w:r>
      <w:r>
        <w:rPr>
          <w:sz w:val="22"/>
          <w:szCs w:val="22"/>
        </w:rPr>
        <w:t xml:space="preserve">Mylonas also states that the date that the temple was built also matches to around the time the rites of </w:t>
      </w:r>
      <w:r>
        <w:rPr>
          <w:sz w:val="22"/>
          <w:szCs w:val="22"/>
        </w:rPr>
        <w:lastRenderedPageBreak/>
        <w:t>Demeter were introduced</w:t>
      </w:r>
      <w:r w:rsidR="00765902">
        <w:rPr>
          <w:rStyle w:val="FootnoteReference"/>
          <w:sz w:val="22"/>
          <w:szCs w:val="22"/>
        </w:rPr>
        <w:footnoteReference w:id="37"/>
      </w:r>
      <w:r>
        <w:rPr>
          <w:sz w:val="22"/>
          <w:szCs w:val="22"/>
        </w:rPr>
        <w:t xml:space="preserve">. </w:t>
      </w:r>
      <w:r w:rsidR="008D78BE">
        <w:rPr>
          <w:sz w:val="22"/>
          <w:szCs w:val="22"/>
        </w:rPr>
        <w:t xml:space="preserve">This gives the suggestion that the people of Eleusis used the </w:t>
      </w:r>
      <w:r w:rsidR="00A650EA">
        <w:rPr>
          <w:sz w:val="22"/>
          <w:szCs w:val="22"/>
        </w:rPr>
        <w:t xml:space="preserve">description in the </w:t>
      </w:r>
      <w:r w:rsidR="008D78BE">
        <w:rPr>
          <w:sz w:val="22"/>
          <w:szCs w:val="22"/>
        </w:rPr>
        <w:t xml:space="preserve">Homeric hymn to Demeter to build a temple </w:t>
      </w:r>
      <w:r w:rsidR="0045777F">
        <w:rPr>
          <w:sz w:val="22"/>
          <w:szCs w:val="22"/>
        </w:rPr>
        <w:t xml:space="preserve">in honour of Demeter and Persephone. </w:t>
      </w:r>
      <w:r>
        <w:rPr>
          <w:sz w:val="22"/>
          <w:szCs w:val="22"/>
        </w:rPr>
        <w:t>The structure and placement of the temple and the date of its building matching the time of the introduction of the rites of Demeter show that, to some extent, the myth of the Homeric hymn to Demeter is a product of a specific time and place.</w:t>
      </w:r>
    </w:p>
    <w:p w14:paraId="55287943" w14:textId="1CAFB298" w:rsidR="000B3E0B" w:rsidRDefault="00950F4D" w:rsidP="00F3138A">
      <w:pPr>
        <w:rPr>
          <w:sz w:val="22"/>
          <w:szCs w:val="22"/>
        </w:rPr>
      </w:pPr>
      <w:r>
        <w:rPr>
          <w:sz w:val="22"/>
          <w:szCs w:val="22"/>
        </w:rPr>
        <w:t>In conclusion, the statement ‘Myths are a product of a specific time and place’ is valid</w:t>
      </w:r>
      <w:r w:rsidR="005A6BEF">
        <w:rPr>
          <w:sz w:val="22"/>
          <w:szCs w:val="22"/>
        </w:rPr>
        <w:t xml:space="preserve"> to some extent</w:t>
      </w:r>
      <w:r>
        <w:rPr>
          <w:sz w:val="22"/>
          <w:szCs w:val="22"/>
        </w:rPr>
        <w:t xml:space="preserve">. </w:t>
      </w:r>
      <w:r w:rsidR="004C0DBA">
        <w:rPr>
          <w:sz w:val="22"/>
          <w:szCs w:val="22"/>
        </w:rPr>
        <w:t xml:space="preserve">The main reason that </w:t>
      </w:r>
      <w:r w:rsidR="00F1544F">
        <w:rPr>
          <w:sz w:val="22"/>
          <w:szCs w:val="22"/>
        </w:rPr>
        <w:t xml:space="preserve">it is validated is that both the Homeric hymn to Demeter and the Eleusinian following, its influence, and the building of the Eleusinian temple is all centred around the village of Eleusis. However, it is also invalid for multiple reasons. One reason is that the influence of the Eleusinian following, although centred </w:t>
      </w:r>
      <w:r w:rsidR="0086092F">
        <w:rPr>
          <w:sz w:val="22"/>
          <w:szCs w:val="22"/>
        </w:rPr>
        <w:t>around</w:t>
      </w:r>
      <w:r w:rsidR="00F1544F">
        <w:rPr>
          <w:sz w:val="22"/>
          <w:szCs w:val="22"/>
        </w:rPr>
        <w:t xml:space="preserve"> Eleusis, expanded across the civilised world; everyone from slaves to elites wanted to be initiated as part of the Eleusinian following</w:t>
      </w:r>
      <w:r w:rsidR="00243124">
        <w:rPr>
          <w:rStyle w:val="FootnoteReference"/>
          <w:sz w:val="22"/>
          <w:szCs w:val="22"/>
        </w:rPr>
        <w:footnoteReference w:id="38"/>
      </w:r>
      <w:r w:rsidR="00F1544F">
        <w:rPr>
          <w:sz w:val="22"/>
          <w:szCs w:val="22"/>
        </w:rPr>
        <w:t xml:space="preserve">. </w:t>
      </w:r>
      <w:r w:rsidR="001848C6">
        <w:rPr>
          <w:sz w:val="22"/>
          <w:szCs w:val="22"/>
        </w:rPr>
        <w:t>Also</w:t>
      </w:r>
      <w:r w:rsidR="0051551D">
        <w:rPr>
          <w:sz w:val="22"/>
          <w:szCs w:val="22"/>
        </w:rPr>
        <w:t>,</w:t>
      </w:r>
      <w:r w:rsidR="001848C6">
        <w:rPr>
          <w:sz w:val="22"/>
          <w:szCs w:val="22"/>
        </w:rPr>
        <w:t xml:space="preserve"> the rites to become initiated directly link to the Homeric hymn, which shows that the myth is not a product of a specific time.</w:t>
      </w:r>
      <w:r w:rsidR="00B30AE9">
        <w:rPr>
          <w:sz w:val="22"/>
          <w:szCs w:val="22"/>
        </w:rPr>
        <w:t xml:space="preserve"> Another reason is that the myths</w:t>
      </w:r>
      <w:r w:rsidR="004F7ED8">
        <w:rPr>
          <w:sz w:val="22"/>
          <w:szCs w:val="22"/>
        </w:rPr>
        <w:t>’</w:t>
      </w:r>
      <w:r w:rsidR="00B30AE9">
        <w:rPr>
          <w:sz w:val="22"/>
          <w:szCs w:val="22"/>
        </w:rPr>
        <w:t xml:space="preserve"> structure fitted into some of Vladimir Propps </w:t>
      </w:r>
      <w:r w:rsidR="0051551D">
        <w:rPr>
          <w:sz w:val="22"/>
          <w:szCs w:val="22"/>
        </w:rPr>
        <w:t>thirty-one</w:t>
      </w:r>
      <w:r w:rsidR="00B30AE9">
        <w:rPr>
          <w:sz w:val="22"/>
          <w:szCs w:val="22"/>
        </w:rPr>
        <w:t xml:space="preserve"> functions. However, it is important to note that due to having such a small sample size of myths, the statement cannot fully be evaluated.</w:t>
      </w:r>
      <w:r w:rsidR="00EB3941">
        <w:rPr>
          <w:sz w:val="22"/>
          <w:szCs w:val="22"/>
        </w:rPr>
        <w:t xml:space="preserve"> </w:t>
      </w:r>
    </w:p>
    <w:p w14:paraId="5CE5908E" w14:textId="77777777" w:rsidR="000B3E0B" w:rsidRDefault="000B3E0B" w:rsidP="00F3138A">
      <w:pPr>
        <w:rPr>
          <w:sz w:val="22"/>
          <w:szCs w:val="22"/>
        </w:rPr>
      </w:pPr>
    </w:p>
    <w:p w14:paraId="649AE163" w14:textId="77777777" w:rsidR="000B3E0B" w:rsidRDefault="000B3E0B" w:rsidP="00F3138A">
      <w:pPr>
        <w:rPr>
          <w:sz w:val="22"/>
          <w:szCs w:val="22"/>
        </w:rPr>
      </w:pPr>
    </w:p>
    <w:p w14:paraId="46AC5855" w14:textId="77777777" w:rsidR="000B3E0B" w:rsidRDefault="000B3E0B" w:rsidP="00F3138A">
      <w:pPr>
        <w:rPr>
          <w:sz w:val="22"/>
          <w:szCs w:val="22"/>
        </w:rPr>
      </w:pPr>
    </w:p>
    <w:p w14:paraId="0ABDAFE5" w14:textId="477F6C59" w:rsidR="00EB3941" w:rsidRPr="000B3E0B" w:rsidRDefault="00EB3941" w:rsidP="00F3138A">
      <w:pPr>
        <w:rPr>
          <w:sz w:val="22"/>
          <w:szCs w:val="22"/>
        </w:rPr>
      </w:pPr>
      <w:r w:rsidRPr="00EB3941">
        <w:rPr>
          <w:sz w:val="22"/>
          <w:szCs w:val="22"/>
          <w:u w:val="single"/>
        </w:rPr>
        <w:t>Bibliography</w:t>
      </w:r>
    </w:p>
    <w:p w14:paraId="0507EFD8" w14:textId="5C91A1C3" w:rsidR="001B39B6" w:rsidRDefault="001B39B6" w:rsidP="00EB3941">
      <w:pPr>
        <w:pStyle w:val="ListParagraph"/>
        <w:numPr>
          <w:ilvl w:val="0"/>
          <w:numId w:val="1"/>
        </w:numPr>
        <w:rPr>
          <w:sz w:val="22"/>
          <w:szCs w:val="22"/>
        </w:rPr>
      </w:pPr>
      <w:r>
        <w:rPr>
          <w:sz w:val="22"/>
          <w:szCs w:val="22"/>
        </w:rPr>
        <w:t xml:space="preserve">Cambridge Dictionary, </w:t>
      </w:r>
      <w:r>
        <w:rPr>
          <w:i/>
          <w:iCs/>
          <w:sz w:val="22"/>
          <w:szCs w:val="22"/>
        </w:rPr>
        <w:t>Myth</w:t>
      </w:r>
      <w:r>
        <w:rPr>
          <w:sz w:val="22"/>
          <w:szCs w:val="22"/>
        </w:rPr>
        <w:t>, Unknown, &lt;</w:t>
      </w:r>
      <w:hyperlink r:id="rId8" w:history="1">
        <w:r w:rsidRPr="00621309">
          <w:rPr>
            <w:rStyle w:val="Hyperlink"/>
            <w:sz w:val="22"/>
            <w:szCs w:val="22"/>
          </w:rPr>
          <w:t>https://dictionary.cambridge.org/dictionary/english/myth</w:t>
        </w:r>
      </w:hyperlink>
      <w:r>
        <w:rPr>
          <w:sz w:val="22"/>
          <w:szCs w:val="22"/>
        </w:rPr>
        <w:t>&gt;, [Accessed: 12</w:t>
      </w:r>
      <w:r w:rsidRPr="001B39B6">
        <w:rPr>
          <w:sz w:val="22"/>
          <w:szCs w:val="22"/>
          <w:vertAlign w:val="superscript"/>
        </w:rPr>
        <w:t>th</w:t>
      </w:r>
      <w:r>
        <w:rPr>
          <w:sz w:val="22"/>
          <w:szCs w:val="22"/>
        </w:rPr>
        <w:t xml:space="preserve"> March 2026]</w:t>
      </w:r>
    </w:p>
    <w:p w14:paraId="72BD7596" w14:textId="6EB4261F" w:rsidR="008357B2" w:rsidRPr="008357B2" w:rsidRDefault="008357B2" w:rsidP="008357B2">
      <w:pPr>
        <w:pStyle w:val="ListParagraph"/>
        <w:numPr>
          <w:ilvl w:val="0"/>
          <w:numId w:val="1"/>
        </w:numPr>
        <w:rPr>
          <w:sz w:val="22"/>
          <w:szCs w:val="22"/>
        </w:rPr>
      </w:pPr>
      <w:r>
        <w:rPr>
          <w:sz w:val="22"/>
          <w:szCs w:val="22"/>
        </w:rPr>
        <w:t>Dogra, Sapna, ‘</w:t>
      </w:r>
      <w:r w:rsidRPr="008357B2">
        <w:rPr>
          <w:sz w:val="22"/>
          <w:szCs w:val="22"/>
        </w:rPr>
        <w:t>The Thirty-One Functions in Vladimir Propp’s Morphology of the Folktale: An Outline and Recent Trends in the Applicability of the Proppian Taxonomic Model</w:t>
      </w:r>
      <w:r>
        <w:rPr>
          <w:sz w:val="22"/>
          <w:szCs w:val="22"/>
        </w:rPr>
        <w:t xml:space="preserve">’, </w:t>
      </w:r>
      <w:r>
        <w:rPr>
          <w:i/>
          <w:iCs/>
          <w:sz w:val="22"/>
          <w:szCs w:val="22"/>
        </w:rPr>
        <w:t>Rupkatha Journal on Interdisciplinary Studies in Humanities</w:t>
      </w:r>
      <w:r>
        <w:rPr>
          <w:sz w:val="22"/>
          <w:szCs w:val="22"/>
        </w:rPr>
        <w:t>, Vol. 9 No. 2, (2017), pp. 410-419, &lt;</w:t>
      </w:r>
      <w:hyperlink r:id="rId9" w:history="1">
        <w:r w:rsidRPr="00DB737A">
          <w:rPr>
            <w:rStyle w:val="Hyperlink"/>
            <w:sz w:val="22"/>
            <w:szCs w:val="22"/>
          </w:rPr>
          <w:t>https://www.researchgate.net/publication/319293980_The_Thirty-One_Functions_in_Vladimir_Propp's_Morphology_of_the_Folktale_An_Outline_and_Recent_Trends_in_the_Applicability_of_the_Proppian_Taxonomic_Model</w:t>
        </w:r>
      </w:hyperlink>
      <w:r>
        <w:rPr>
          <w:sz w:val="22"/>
          <w:szCs w:val="22"/>
        </w:rPr>
        <w:t>&gt;, [Accessed: 12</w:t>
      </w:r>
      <w:r w:rsidRPr="008357B2">
        <w:rPr>
          <w:sz w:val="22"/>
          <w:szCs w:val="22"/>
          <w:vertAlign w:val="superscript"/>
        </w:rPr>
        <w:t>th</w:t>
      </w:r>
      <w:r>
        <w:rPr>
          <w:sz w:val="22"/>
          <w:szCs w:val="22"/>
        </w:rPr>
        <w:t xml:space="preserve"> March 2026]</w:t>
      </w:r>
    </w:p>
    <w:p w14:paraId="52B25448" w14:textId="31F0FC33" w:rsidR="00765527" w:rsidRDefault="00765527" w:rsidP="00EB3941">
      <w:pPr>
        <w:pStyle w:val="ListParagraph"/>
        <w:numPr>
          <w:ilvl w:val="0"/>
          <w:numId w:val="1"/>
        </w:numPr>
        <w:rPr>
          <w:sz w:val="22"/>
          <w:szCs w:val="22"/>
        </w:rPr>
      </w:pPr>
      <w:r>
        <w:rPr>
          <w:sz w:val="22"/>
          <w:szCs w:val="22"/>
        </w:rPr>
        <w:t xml:space="preserve">Keller, Mara Lynn, ‘The Eleusinian Mysteries of Demeter and Persephone: Fertility, Sexuality and Rebirth’, </w:t>
      </w:r>
      <w:r>
        <w:rPr>
          <w:i/>
          <w:iCs/>
          <w:sz w:val="22"/>
          <w:szCs w:val="22"/>
        </w:rPr>
        <w:t>Journal of Feminist Studies in Religion</w:t>
      </w:r>
      <w:r>
        <w:rPr>
          <w:sz w:val="22"/>
          <w:szCs w:val="22"/>
        </w:rPr>
        <w:t xml:space="preserve">, Vol. 4 No. 1, </w:t>
      </w:r>
      <w:r w:rsidR="00681FB1">
        <w:rPr>
          <w:sz w:val="22"/>
          <w:szCs w:val="22"/>
        </w:rPr>
        <w:t>(1988), pp. 27-54, &lt;</w:t>
      </w:r>
      <w:hyperlink r:id="rId10" w:history="1">
        <w:r w:rsidR="00681FB1" w:rsidRPr="00621309">
          <w:rPr>
            <w:rStyle w:val="Hyperlink"/>
            <w:sz w:val="22"/>
            <w:szCs w:val="22"/>
          </w:rPr>
          <w:t>https://www.jstor.org/stable/25002068</w:t>
        </w:r>
      </w:hyperlink>
      <w:r w:rsidR="00681FB1">
        <w:rPr>
          <w:sz w:val="22"/>
          <w:szCs w:val="22"/>
        </w:rPr>
        <w:t>&gt;, [Accessed: 12</w:t>
      </w:r>
      <w:r w:rsidR="00681FB1" w:rsidRPr="00681FB1">
        <w:rPr>
          <w:sz w:val="22"/>
          <w:szCs w:val="22"/>
          <w:vertAlign w:val="superscript"/>
        </w:rPr>
        <w:t>th</w:t>
      </w:r>
      <w:r w:rsidR="00681FB1">
        <w:rPr>
          <w:sz w:val="22"/>
          <w:szCs w:val="22"/>
        </w:rPr>
        <w:t xml:space="preserve"> March 2026]</w:t>
      </w:r>
    </w:p>
    <w:p w14:paraId="45C56244" w14:textId="6309DFD9" w:rsidR="00C771C2" w:rsidRDefault="00C771C2" w:rsidP="00EB3941">
      <w:pPr>
        <w:pStyle w:val="ListParagraph"/>
        <w:numPr>
          <w:ilvl w:val="0"/>
          <w:numId w:val="1"/>
        </w:numPr>
        <w:rPr>
          <w:sz w:val="22"/>
          <w:szCs w:val="22"/>
        </w:rPr>
      </w:pPr>
      <w:r>
        <w:rPr>
          <w:sz w:val="22"/>
          <w:szCs w:val="22"/>
        </w:rPr>
        <w:t xml:space="preserve">Mylonas, George E., ‘Eleusis and the Eleusinian Mysteries’, </w:t>
      </w:r>
      <w:r>
        <w:rPr>
          <w:i/>
          <w:iCs/>
          <w:sz w:val="22"/>
          <w:szCs w:val="22"/>
        </w:rPr>
        <w:t>The Classical Journal</w:t>
      </w:r>
      <w:r>
        <w:rPr>
          <w:sz w:val="22"/>
          <w:szCs w:val="22"/>
        </w:rPr>
        <w:t>, Vol. 43 No. 3, (1947), pp. 130-146, &lt;</w:t>
      </w:r>
      <w:hyperlink r:id="rId11" w:history="1">
        <w:r w:rsidRPr="00621309">
          <w:rPr>
            <w:rStyle w:val="Hyperlink"/>
            <w:sz w:val="22"/>
            <w:szCs w:val="22"/>
          </w:rPr>
          <w:t>https://www.jstor.org/stable/3293727</w:t>
        </w:r>
      </w:hyperlink>
      <w:r>
        <w:rPr>
          <w:sz w:val="22"/>
          <w:szCs w:val="22"/>
        </w:rPr>
        <w:t xml:space="preserve">&gt;, </w:t>
      </w:r>
      <w:r w:rsidR="00D91AEB">
        <w:rPr>
          <w:sz w:val="22"/>
          <w:szCs w:val="22"/>
        </w:rPr>
        <w:t>[Accessed: 12</w:t>
      </w:r>
      <w:r w:rsidR="00D91AEB" w:rsidRPr="00D91AEB">
        <w:rPr>
          <w:sz w:val="22"/>
          <w:szCs w:val="22"/>
          <w:vertAlign w:val="superscript"/>
        </w:rPr>
        <w:t>th</w:t>
      </w:r>
      <w:r w:rsidR="00D91AEB">
        <w:rPr>
          <w:sz w:val="22"/>
          <w:szCs w:val="22"/>
        </w:rPr>
        <w:t xml:space="preserve"> March 2026]</w:t>
      </w:r>
    </w:p>
    <w:p w14:paraId="4893882E" w14:textId="105CC9B1" w:rsidR="00EB3941" w:rsidRDefault="00473A8F" w:rsidP="00EB3941">
      <w:pPr>
        <w:pStyle w:val="ListParagraph"/>
        <w:numPr>
          <w:ilvl w:val="0"/>
          <w:numId w:val="1"/>
        </w:numPr>
        <w:rPr>
          <w:sz w:val="22"/>
          <w:szCs w:val="22"/>
        </w:rPr>
      </w:pPr>
      <w:r>
        <w:rPr>
          <w:sz w:val="22"/>
          <w:szCs w:val="22"/>
        </w:rPr>
        <w:t xml:space="preserve">Nagy, Gregory, Center for Hellenic Studies, </w:t>
      </w:r>
      <w:r>
        <w:rPr>
          <w:i/>
          <w:iCs/>
          <w:sz w:val="22"/>
          <w:szCs w:val="22"/>
        </w:rPr>
        <w:t>Homeric Hymn to Demeter</w:t>
      </w:r>
      <w:r>
        <w:rPr>
          <w:sz w:val="22"/>
          <w:szCs w:val="22"/>
        </w:rPr>
        <w:t>, 2018, &lt;</w:t>
      </w:r>
      <w:hyperlink r:id="rId12" w:history="1">
        <w:r w:rsidRPr="00621309">
          <w:rPr>
            <w:rStyle w:val="Hyperlink"/>
            <w:sz w:val="22"/>
            <w:szCs w:val="22"/>
          </w:rPr>
          <w:t>https://chs.harvard.edu/primary-source/homeric-hymn-to-demeter-sb/</w:t>
        </w:r>
      </w:hyperlink>
      <w:r>
        <w:rPr>
          <w:sz w:val="22"/>
          <w:szCs w:val="22"/>
        </w:rPr>
        <w:t>&gt;, [Accessed: 12</w:t>
      </w:r>
      <w:r w:rsidRPr="00473A8F">
        <w:rPr>
          <w:sz w:val="22"/>
          <w:szCs w:val="22"/>
          <w:vertAlign w:val="superscript"/>
        </w:rPr>
        <w:t>th</w:t>
      </w:r>
      <w:r>
        <w:rPr>
          <w:sz w:val="22"/>
          <w:szCs w:val="22"/>
        </w:rPr>
        <w:t xml:space="preserve"> March 2026]</w:t>
      </w:r>
    </w:p>
    <w:p w14:paraId="72816D9D" w14:textId="7098DC09" w:rsidR="004334CD" w:rsidRDefault="004334CD" w:rsidP="00EB3941">
      <w:pPr>
        <w:pStyle w:val="ListParagraph"/>
        <w:numPr>
          <w:ilvl w:val="0"/>
          <w:numId w:val="1"/>
        </w:numPr>
        <w:rPr>
          <w:sz w:val="22"/>
          <w:szCs w:val="22"/>
        </w:rPr>
      </w:pPr>
      <w:r>
        <w:rPr>
          <w:sz w:val="22"/>
          <w:szCs w:val="22"/>
        </w:rPr>
        <w:lastRenderedPageBreak/>
        <w:t xml:space="preserve">Northern Virginia Community College, </w:t>
      </w:r>
      <w:r>
        <w:rPr>
          <w:i/>
          <w:iCs/>
          <w:sz w:val="22"/>
          <w:szCs w:val="22"/>
        </w:rPr>
        <w:t>Definition of Myth</w:t>
      </w:r>
      <w:r>
        <w:rPr>
          <w:sz w:val="22"/>
          <w:szCs w:val="22"/>
        </w:rPr>
        <w:t>, Unknown, &lt;</w:t>
      </w:r>
      <w:hyperlink r:id="rId13" w:history="1">
        <w:r w:rsidRPr="00621309">
          <w:rPr>
            <w:rStyle w:val="Hyperlink"/>
            <w:sz w:val="22"/>
            <w:szCs w:val="22"/>
          </w:rPr>
          <w:t>https://pressbooks.nvcc.edu/eng257/chapter/definition-of-myth/</w:t>
        </w:r>
      </w:hyperlink>
      <w:r>
        <w:rPr>
          <w:sz w:val="22"/>
          <w:szCs w:val="22"/>
        </w:rPr>
        <w:t>&gt;, [Accessed: 12</w:t>
      </w:r>
      <w:r w:rsidRPr="004334CD">
        <w:rPr>
          <w:sz w:val="22"/>
          <w:szCs w:val="22"/>
          <w:vertAlign w:val="superscript"/>
        </w:rPr>
        <w:t>th</w:t>
      </w:r>
      <w:r>
        <w:rPr>
          <w:sz w:val="22"/>
          <w:szCs w:val="22"/>
        </w:rPr>
        <w:t xml:space="preserve"> March 2026]</w:t>
      </w:r>
    </w:p>
    <w:p w14:paraId="719D7452" w14:textId="30CE2E2A" w:rsidR="000B3E0B" w:rsidRPr="007E2FE3" w:rsidRDefault="00753513" w:rsidP="007E2FE3">
      <w:pPr>
        <w:pStyle w:val="ListParagraph"/>
        <w:numPr>
          <w:ilvl w:val="0"/>
          <w:numId w:val="1"/>
        </w:numPr>
        <w:rPr>
          <w:sz w:val="22"/>
          <w:szCs w:val="22"/>
        </w:rPr>
      </w:pPr>
      <w:r>
        <w:rPr>
          <w:sz w:val="22"/>
          <w:szCs w:val="22"/>
        </w:rPr>
        <w:t xml:space="preserve">Rosen, Ralph M., ‘Hipponax Fr. 48 Dg. And the Eleusinian Kykeon’, </w:t>
      </w:r>
      <w:r>
        <w:rPr>
          <w:i/>
          <w:iCs/>
          <w:sz w:val="22"/>
          <w:szCs w:val="22"/>
        </w:rPr>
        <w:t>The American Journal of Philology</w:t>
      </w:r>
      <w:r>
        <w:rPr>
          <w:sz w:val="22"/>
          <w:szCs w:val="22"/>
        </w:rPr>
        <w:t>, Vol. 108 No. 3, (1987), pp. 416-426, &lt;</w:t>
      </w:r>
      <w:hyperlink r:id="rId14" w:history="1">
        <w:r w:rsidRPr="00621309">
          <w:rPr>
            <w:rStyle w:val="Hyperlink"/>
            <w:sz w:val="22"/>
            <w:szCs w:val="22"/>
          </w:rPr>
          <w:t>https://www.jstor.org/stable/294663</w:t>
        </w:r>
      </w:hyperlink>
      <w:r>
        <w:rPr>
          <w:sz w:val="22"/>
          <w:szCs w:val="22"/>
        </w:rPr>
        <w:t>&gt;, [Accessed: 12</w:t>
      </w:r>
      <w:r w:rsidRPr="00753513">
        <w:rPr>
          <w:sz w:val="22"/>
          <w:szCs w:val="22"/>
          <w:vertAlign w:val="superscript"/>
        </w:rPr>
        <w:t>th</w:t>
      </w:r>
      <w:r>
        <w:rPr>
          <w:sz w:val="22"/>
          <w:szCs w:val="22"/>
        </w:rPr>
        <w:t xml:space="preserve"> March 2026]</w:t>
      </w:r>
    </w:p>
    <w:sectPr w:rsidR="000B3E0B" w:rsidRPr="007E2F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5F5BA" w14:textId="77777777" w:rsidR="000B6E4D" w:rsidRDefault="000B6E4D" w:rsidP="005817A3">
      <w:pPr>
        <w:spacing w:after="0" w:line="240" w:lineRule="auto"/>
      </w:pPr>
      <w:r>
        <w:separator/>
      </w:r>
    </w:p>
  </w:endnote>
  <w:endnote w:type="continuationSeparator" w:id="0">
    <w:p w14:paraId="06C91471" w14:textId="77777777" w:rsidR="000B6E4D" w:rsidRDefault="000B6E4D" w:rsidP="00581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97421" w14:textId="77777777" w:rsidR="000B6E4D" w:rsidRDefault="000B6E4D" w:rsidP="005817A3">
      <w:pPr>
        <w:spacing w:after="0" w:line="240" w:lineRule="auto"/>
      </w:pPr>
      <w:r>
        <w:separator/>
      </w:r>
    </w:p>
  </w:footnote>
  <w:footnote w:type="continuationSeparator" w:id="0">
    <w:p w14:paraId="2686CE46" w14:textId="77777777" w:rsidR="000B6E4D" w:rsidRDefault="000B6E4D" w:rsidP="005817A3">
      <w:pPr>
        <w:spacing w:after="0" w:line="240" w:lineRule="auto"/>
      </w:pPr>
      <w:r>
        <w:continuationSeparator/>
      </w:r>
    </w:p>
  </w:footnote>
  <w:footnote w:id="1">
    <w:p w14:paraId="5B74210D" w14:textId="16028713" w:rsidR="005817A3" w:rsidRPr="00F82F8B" w:rsidRDefault="005817A3" w:rsidP="00F82F8B">
      <w:pPr>
        <w:rPr>
          <w:sz w:val="22"/>
          <w:szCs w:val="22"/>
        </w:rPr>
      </w:pPr>
      <w:r>
        <w:rPr>
          <w:rStyle w:val="FootnoteReference"/>
        </w:rPr>
        <w:footnoteRef/>
      </w:r>
      <w:r>
        <w:t xml:space="preserve"> </w:t>
      </w:r>
      <w:r w:rsidRPr="00511563">
        <w:rPr>
          <w:sz w:val="20"/>
          <w:szCs w:val="20"/>
        </w:rPr>
        <w:t xml:space="preserve">Cambridge Dictionary, </w:t>
      </w:r>
      <w:r w:rsidRPr="00511563">
        <w:rPr>
          <w:i/>
          <w:iCs/>
          <w:sz w:val="20"/>
          <w:szCs w:val="20"/>
        </w:rPr>
        <w:t>Myth</w:t>
      </w:r>
      <w:r w:rsidRPr="00511563">
        <w:rPr>
          <w:sz w:val="20"/>
          <w:szCs w:val="20"/>
        </w:rPr>
        <w:t>, Unknown, &lt;</w:t>
      </w:r>
      <w:hyperlink r:id="rId1" w:history="1">
        <w:r w:rsidRPr="00511563">
          <w:rPr>
            <w:rStyle w:val="Hyperlink"/>
            <w:sz w:val="20"/>
            <w:szCs w:val="20"/>
          </w:rPr>
          <w:t>https://dictionary.cambridge.org/dictionary/english/myth</w:t>
        </w:r>
      </w:hyperlink>
      <w:r w:rsidRPr="00511563">
        <w:rPr>
          <w:sz w:val="20"/>
          <w:szCs w:val="20"/>
        </w:rPr>
        <w:t>&gt;, [Accessed: 12</w:t>
      </w:r>
      <w:r w:rsidRPr="00511563">
        <w:rPr>
          <w:sz w:val="20"/>
          <w:szCs w:val="20"/>
          <w:vertAlign w:val="superscript"/>
        </w:rPr>
        <w:t>th</w:t>
      </w:r>
      <w:r w:rsidRPr="00511563">
        <w:rPr>
          <w:sz w:val="20"/>
          <w:szCs w:val="20"/>
        </w:rPr>
        <w:t xml:space="preserve"> March 2026]</w:t>
      </w:r>
    </w:p>
  </w:footnote>
  <w:footnote w:id="2">
    <w:p w14:paraId="1A116720" w14:textId="2E7CC0CF" w:rsidR="00F82F8B" w:rsidRPr="00F82F8B" w:rsidRDefault="00F82F8B" w:rsidP="00F82F8B">
      <w:pPr>
        <w:rPr>
          <w:sz w:val="22"/>
          <w:szCs w:val="22"/>
        </w:rPr>
      </w:pPr>
      <w:r>
        <w:rPr>
          <w:rStyle w:val="FootnoteReference"/>
        </w:rPr>
        <w:footnoteRef/>
      </w:r>
      <w:r>
        <w:t xml:space="preserve"> </w:t>
      </w:r>
      <w:r w:rsidRPr="00F82F8B">
        <w:rPr>
          <w:sz w:val="20"/>
          <w:szCs w:val="20"/>
        </w:rPr>
        <w:t xml:space="preserve">Northern Virginia Community College, </w:t>
      </w:r>
      <w:r w:rsidRPr="00F82F8B">
        <w:rPr>
          <w:i/>
          <w:iCs/>
          <w:sz w:val="20"/>
          <w:szCs w:val="20"/>
        </w:rPr>
        <w:t>Definition of Myth</w:t>
      </w:r>
      <w:r w:rsidRPr="00F82F8B">
        <w:rPr>
          <w:sz w:val="20"/>
          <w:szCs w:val="20"/>
        </w:rPr>
        <w:t>, Unknown, &lt;</w:t>
      </w:r>
      <w:hyperlink r:id="rId2" w:history="1">
        <w:r w:rsidRPr="00F82F8B">
          <w:rPr>
            <w:rStyle w:val="Hyperlink"/>
            <w:sz w:val="20"/>
            <w:szCs w:val="20"/>
          </w:rPr>
          <w:t>https://pressbooks.nvcc.edu/eng257/chapter/definition-of-myth/</w:t>
        </w:r>
      </w:hyperlink>
      <w:r w:rsidRPr="00F82F8B">
        <w:rPr>
          <w:sz w:val="20"/>
          <w:szCs w:val="20"/>
        </w:rPr>
        <w:t>&gt;, [Accessed: 12</w:t>
      </w:r>
      <w:r w:rsidRPr="00F82F8B">
        <w:rPr>
          <w:sz w:val="20"/>
          <w:szCs w:val="20"/>
          <w:vertAlign w:val="superscript"/>
        </w:rPr>
        <w:t>th</w:t>
      </w:r>
      <w:r w:rsidRPr="00F82F8B">
        <w:rPr>
          <w:sz w:val="20"/>
          <w:szCs w:val="20"/>
        </w:rPr>
        <w:t xml:space="preserve"> March 2026]</w:t>
      </w:r>
    </w:p>
  </w:footnote>
  <w:footnote w:id="3">
    <w:p w14:paraId="20049553" w14:textId="700B7D98" w:rsidR="00F82F8B" w:rsidRDefault="00F82F8B">
      <w:pPr>
        <w:pStyle w:val="FootnoteText"/>
      </w:pPr>
      <w:r>
        <w:rPr>
          <w:rStyle w:val="FootnoteReference"/>
        </w:rPr>
        <w:footnoteRef/>
      </w:r>
      <w:r>
        <w:t xml:space="preserve"> Ibid: Northern Virginia Community College, Unknown</w:t>
      </w:r>
    </w:p>
  </w:footnote>
  <w:footnote w:id="4">
    <w:p w14:paraId="36D9B0D8" w14:textId="53DAB9F1" w:rsidR="00F37262" w:rsidRDefault="00F37262">
      <w:pPr>
        <w:pStyle w:val="FootnoteText"/>
      </w:pPr>
      <w:r>
        <w:rPr>
          <w:rStyle w:val="FootnoteReference"/>
        </w:rPr>
        <w:footnoteRef/>
      </w:r>
      <w:r>
        <w:t xml:space="preserve"> From lecture slides, </w:t>
      </w:r>
      <w:r w:rsidR="00657FA1">
        <w:t>3</w:t>
      </w:r>
      <w:r w:rsidR="00657FA1" w:rsidRPr="00657FA1">
        <w:rPr>
          <w:vertAlign w:val="superscript"/>
        </w:rPr>
        <w:t>rd</w:t>
      </w:r>
      <w:r w:rsidR="00657FA1">
        <w:t xml:space="preserve"> March 2026</w:t>
      </w:r>
    </w:p>
  </w:footnote>
  <w:footnote w:id="5">
    <w:p w14:paraId="218FF5DB" w14:textId="39BC544B" w:rsidR="00AD2B4B" w:rsidRDefault="00AD2B4B">
      <w:pPr>
        <w:pStyle w:val="FootnoteText"/>
      </w:pPr>
      <w:r>
        <w:rPr>
          <w:rStyle w:val="FootnoteReference"/>
        </w:rPr>
        <w:footnoteRef/>
      </w:r>
      <w:r>
        <w:t xml:space="preserve"> Ibid: From lecture slides, 3</w:t>
      </w:r>
      <w:r w:rsidRPr="00657FA1">
        <w:rPr>
          <w:vertAlign w:val="superscript"/>
        </w:rPr>
        <w:t>rd</w:t>
      </w:r>
      <w:r>
        <w:t xml:space="preserve"> March 2026</w:t>
      </w:r>
    </w:p>
  </w:footnote>
  <w:footnote w:id="6">
    <w:p w14:paraId="12589E71" w14:textId="09EC87D9" w:rsidR="00AD2B4B" w:rsidRDefault="00AD2B4B">
      <w:pPr>
        <w:pStyle w:val="FootnoteText"/>
      </w:pPr>
      <w:r>
        <w:rPr>
          <w:rStyle w:val="FootnoteReference"/>
        </w:rPr>
        <w:footnoteRef/>
      </w:r>
      <w:r>
        <w:t xml:space="preserve"> Ibid: From lecture slides, 3</w:t>
      </w:r>
      <w:r w:rsidRPr="00657FA1">
        <w:rPr>
          <w:vertAlign w:val="superscript"/>
        </w:rPr>
        <w:t>rd</w:t>
      </w:r>
      <w:r>
        <w:t xml:space="preserve"> March 2026</w:t>
      </w:r>
    </w:p>
  </w:footnote>
  <w:footnote w:id="7">
    <w:p w14:paraId="55425358" w14:textId="220AF8F7" w:rsidR="00AD2B4B" w:rsidRDefault="00AD2B4B">
      <w:pPr>
        <w:pStyle w:val="FootnoteText"/>
      </w:pPr>
      <w:r>
        <w:rPr>
          <w:rStyle w:val="FootnoteReference"/>
        </w:rPr>
        <w:footnoteRef/>
      </w:r>
      <w:r>
        <w:t xml:space="preserve"> Ibid: From lecture slides, 3</w:t>
      </w:r>
      <w:r w:rsidRPr="00657FA1">
        <w:rPr>
          <w:vertAlign w:val="superscript"/>
        </w:rPr>
        <w:t>rd</w:t>
      </w:r>
      <w:r>
        <w:t xml:space="preserve"> March 2026</w:t>
      </w:r>
    </w:p>
  </w:footnote>
  <w:footnote w:id="8">
    <w:p w14:paraId="3BD937FC" w14:textId="52C0BBEB" w:rsidR="00280C8C" w:rsidRPr="008E2432" w:rsidRDefault="00280C8C" w:rsidP="008E2432">
      <w:pPr>
        <w:rPr>
          <w:sz w:val="22"/>
          <w:szCs w:val="22"/>
        </w:rPr>
      </w:pPr>
      <w:r>
        <w:rPr>
          <w:rStyle w:val="FootnoteReference"/>
        </w:rPr>
        <w:footnoteRef/>
      </w:r>
      <w:r w:rsidRPr="00280C8C">
        <w:rPr>
          <w:sz w:val="20"/>
          <w:szCs w:val="20"/>
        </w:rPr>
        <w:t xml:space="preserve"> Mara Lynn</w:t>
      </w:r>
      <w:r>
        <w:rPr>
          <w:sz w:val="20"/>
          <w:szCs w:val="20"/>
        </w:rPr>
        <w:t xml:space="preserve"> Keller</w:t>
      </w:r>
      <w:r w:rsidRPr="00280C8C">
        <w:rPr>
          <w:sz w:val="20"/>
          <w:szCs w:val="20"/>
        </w:rPr>
        <w:t xml:space="preserve">, ‘The Eleusinian Mysteries of Demeter and Persephone: Fertility, Sexuality and Rebirth’, </w:t>
      </w:r>
      <w:r w:rsidRPr="00280C8C">
        <w:rPr>
          <w:i/>
          <w:iCs/>
          <w:sz w:val="20"/>
          <w:szCs w:val="20"/>
        </w:rPr>
        <w:t>Journal of Feminist Studies in Religion</w:t>
      </w:r>
      <w:r w:rsidRPr="00280C8C">
        <w:rPr>
          <w:sz w:val="20"/>
          <w:szCs w:val="20"/>
        </w:rPr>
        <w:t xml:space="preserve">, Vol. 4 No. 1, (1988), pp. 27-54, </w:t>
      </w:r>
      <w:r>
        <w:rPr>
          <w:sz w:val="20"/>
          <w:szCs w:val="20"/>
        </w:rPr>
        <w:t xml:space="preserve">(p29), </w:t>
      </w:r>
      <w:r w:rsidRPr="00280C8C">
        <w:rPr>
          <w:sz w:val="20"/>
          <w:szCs w:val="20"/>
        </w:rPr>
        <w:t>&lt;</w:t>
      </w:r>
      <w:hyperlink r:id="rId3" w:history="1">
        <w:r w:rsidRPr="00280C8C">
          <w:rPr>
            <w:rStyle w:val="Hyperlink"/>
            <w:sz w:val="20"/>
            <w:szCs w:val="20"/>
          </w:rPr>
          <w:t>https://www.jstor.org/stable/25002068</w:t>
        </w:r>
      </w:hyperlink>
      <w:r w:rsidRPr="00280C8C">
        <w:rPr>
          <w:sz w:val="20"/>
          <w:szCs w:val="20"/>
        </w:rPr>
        <w:t>&gt;, [Accessed: 12</w:t>
      </w:r>
      <w:r w:rsidRPr="00280C8C">
        <w:rPr>
          <w:sz w:val="20"/>
          <w:szCs w:val="20"/>
          <w:vertAlign w:val="superscript"/>
        </w:rPr>
        <w:t>th</w:t>
      </w:r>
      <w:r w:rsidRPr="00280C8C">
        <w:rPr>
          <w:sz w:val="20"/>
          <w:szCs w:val="20"/>
        </w:rPr>
        <w:t xml:space="preserve"> March 2026]</w:t>
      </w:r>
    </w:p>
  </w:footnote>
  <w:footnote w:id="9">
    <w:p w14:paraId="7E2B1F12" w14:textId="1C794EE4" w:rsidR="00F608A6" w:rsidRPr="00F608A6" w:rsidRDefault="00F608A6" w:rsidP="00F608A6">
      <w:pPr>
        <w:rPr>
          <w:sz w:val="22"/>
          <w:szCs w:val="22"/>
        </w:rPr>
      </w:pPr>
      <w:r>
        <w:rPr>
          <w:rStyle w:val="FootnoteReference"/>
        </w:rPr>
        <w:footnoteRef/>
      </w:r>
      <w:r>
        <w:t xml:space="preserve"> </w:t>
      </w:r>
      <w:r w:rsidRPr="00503F2F">
        <w:rPr>
          <w:sz w:val="20"/>
          <w:szCs w:val="20"/>
        </w:rPr>
        <w:t>Gregory</w:t>
      </w:r>
      <w:r>
        <w:rPr>
          <w:sz w:val="20"/>
          <w:szCs w:val="20"/>
        </w:rPr>
        <w:t xml:space="preserve"> Nagy</w:t>
      </w:r>
      <w:r w:rsidRPr="00503F2F">
        <w:rPr>
          <w:sz w:val="20"/>
          <w:szCs w:val="20"/>
        </w:rPr>
        <w:t xml:space="preserve">, Center for Hellenic Studies, </w:t>
      </w:r>
      <w:r w:rsidRPr="00503F2F">
        <w:rPr>
          <w:i/>
          <w:iCs/>
          <w:sz w:val="20"/>
          <w:szCs w:val="20"/>
        </w:rPr>
        <w:t>Homeric Hymn to Demeter</w:t>
      </w:r>
      <w:r w:rsidRPr="00503F2F">
        <w:rPr>
          <w:sz w:val="20"/>
          <w:szCs w:val="20"/>
        </w:rPr>
        <w:t>, 2018, &lt;</w:t>
      </w:r>
      <w:hyperlink r:id="rId4" w:history="1">
        <w:r w:rsidRPr="00503F2F">
          <w:rPr>
            <w:rStyle w:val="Hyperlink"/>
            <w:sz w:val="20"/>
            <w:szCs w:val="20"/>
          </w:rPr>
          <w:t>https://chs.harvard.edu/primary-source/homeric-hymn-to-demeter-sb/</w:t>
        </w:r>
      </w:hyperlink>
      <w:r w:rsidRPr="00503F2F">
        <w:rPr>
          <w:sz w:val="20"/>
          <w:szCs w:val="20"/>
        </w:rPr>
        <w:t>&gt;, [Accessed: 12</w:t>
      </w:r>
      <w:r w:rsidRPr="00503F2F">
        <w:rPr>
          <w:sz w:val="20"/>
          <w:szCs w:val="20"/>
          <w:vertAlign w:val="superscript"/>
        </w:rPr>
        <w:t>th</w:t>
      </w:r>
      <w:r w:rsidRPr="00503F2F">
        <w:rPr>
          <w:sz w:val="20"/>
          <w:szCs w:val="20"/>
        </w:rPr>
        <w:t xml:space="preserve"> March 2026]</w:t>
      </w:r>
    </w:p>
  </w:footnote>
  <w:footnote w:id="10">
    <w:p w14:paraId="0667EFBB" w14:textId="77EB5756" w:rsidR="007E3DB3" w:rsidRDefault="007E3DB3">
      <w:pPr>
        <w:pStyle w:val="FootnoteText"/>
      </w:pPr>
      <w:r>
        <w:rPr>
          <w:rStyle w:val="FootnoteReference"/>
        </w:rPr>
        <w:footnoteRef/>
      </w:r>
      <w:r>
        <w:t xml:space="preserve"> </w:t>
      </w:r>
      <w:r w:rsidRPr="007E3DB3">
        <w:t>Ibid: Nagy, Center for Hellenic Studies, 2018</w:t>
      </w:r>
    </w:p>
  </w:footnote>
  <w:footnote w:id="11">
    <w:p w14:paraId="2965D070" w14:textId="2B150D7D" w:rsidR="003C6D12" w:rsidRPr="003C6D12" w:rsidRDefault="003C6D12" w:rsidP="003C6D12">
      <w:pPr>
        <w:rPr>
          <w:sz w:val="20"/>
          <w:szCs w:val="20"/>
        </w:rPr>
      </w:pPr>
      <w:r w:rsidRPr="003C6D12">
        <w:rPr>
          <w:rStyle w:val="FootnoteReference"/>
          <w:sz w:val="20"/>
          <w:szCs w:val="20"/>
        </w:rPr>
        <w:footnoteRef/>
      </w:r>
      <w:r w:rsidRPr="003C6D12">
        <w:rPr>
          <w:sz w:val="20"/>
          <w:szCs w:val="20"/>
        </w:rPr>
        <w:t xml:space="preserve"> Sapna</w:t>
      </w:r>
      <w:r>
        <w:rPr>
          <w:sz w:val="20"/>
          <w:szCs w:val="20"/>
        </w:rPr>
        <w:t xml:space="preserve"> Dogra</w:t>
      </w:r>
      <w:r w:rsidRPr="003C6D12">
        <w:rPr>
          <w:sz w:val="20"/>
          <w:szCs w:val="20"/>
        </w:rPr>
        <w:t xml:space="preserve">, ‘The Thirty-One Functions in Vladimir Propp’s Morphology of the Folktale: An Outline and Recent Trends in the Applicability of the Proppian Taxonomic Model’, </w:t>
      </w:r>
      <w:r w:rsidRPr="003C6D12">
        <w:rPr>
          <w:i/>
          <w:iCs/>
          <w:sz w:val="20"/>
          <w:szCs w:val="20"/>
        </w:rPr>
        <w:t>Rupkatha Journal on Interdisciplinary Studies in Humanities</w:t>
      </w:r>
      <w:r w:rsidRPr="003C6D12">
        <w:rPr>
          <w:sz w:val="20"/>
          <w:szCs w:val="20"/>
        </w:rPr>
        <w:t xml:space="preserve">, Vol. 9 No. 2, (2017), pp. 410-419, </w:t>
      </w:r>
      <w:r w:rsidR="004B40C0">
        <w:rPr>
          <w:sz w:val="20"/>
          <w:szCs w:val="20"/>
        </w:rPr>
        <w:t xml:space="preserve">(p411), </w:t>
      </w:r>
      <w:r w:rsidRPr="003C6D12">
        <w:rPr>
          <w:sz w:val="20"/>
          <w:szCs w:val="20"/>
        </w:rPr>
        <w:t>&lt;</w:t>
      </w:r>
      <w:hyperlink r:id="rId5" w:history="1">
        <w:r w:rsidRPr="003C6D12">
          <w:rPr>
            <w:rStyle w:val="Hyperlink"/>
            <w:sz w:val="20"/>
            <w:szCs w:val="20"/>
          </w:rPr>
          <w:t>https://www.researchgate.net/publication/319293980_The_Thirty-One_Functions_in_Vladimir_Propp's_Morphology_of_the_Folktale_An_Outline_and_Recent_Trends_in_the_Applicability_of_the_Proppian_Taxonomic_Model</w:t>
        </w:r>
      </w:hyperlink>
      <w:r w:rsidRPr="003C6D12">
        <w:rPr>
          <w:sz w:val="20"/>
          <w:szCs w:val="20"/>
        </w:rPr>
        <w:t>&gt;, [Accessed: 12</w:t>
      </w:r>
      <w:r w:rsidRPr="003C6D12">
        <w:rPr>
          <w:sz w:val="20"/>
          <w:szCs w:val="20"/>
          <w:vertAlign w:val="superscript"/>
        </w:rPr>
        <w:t>th</w:t>
      </w:r>
      <w:r w:rsidRPr="003C6D12">
        <w:rPr>
          <w:sz w:val="20"/>
          <w:szCs w:val="20"/>
        </w:rPr>
        <w:t xml:space="preserve"> March 2026]</w:t>
      </w:r>
    </w:p>
  </w:footnote>
  <w:footnote w:id="12">
    <w:p w14:paraId="49D610F2" w14:textId="30C711ED" w:rsidR="00691945" w:rsidRDefault="00691945">
      <w:pPr>
        <w:pStyle w:val="FootnoteText"/>
      </w:pPr>
      <w:r>
        <w:rPr>
          <w:rStyle w:val="FootnoteReference"/>
        </w:rPr>
        <w:footnoteRef/>
      </w:r>
      <w:r>
        <w:t xml:space="preserve"> Ibid: Dogra, </w:t>
      </w:r>
      <w:r w:rsidRPr="003C6D12">
        <w:t>‘The Thirty-One Functions in Vladimir Propp’s Morphology of the Folktale: An Outline and Recent Trends in the Applicability of the Proppian Taxonomic Model’,</w:t>
      </w:r>
      <w:r>
        <w:t xml:space="preserve"> p412</w:t>
      </w:r>
    </w:p>
  </w:footnote>
  <w:footnote w:id="13">
    <w:p w14:paraId="23214124" w14:textId="7EBE8152" w:rsidR="00503F2F" w:rsidRPr="00503F2F" w:rsidRDefault="00503F2F" w:rsidP="00503F2F">
      <w:pPr>
        <w:rPr>
          <w:sz w:val="22"/>
          <w:szCs w:val="22"/>
        </w:rPr>
      </w:pPr>
      <w:r>
        <w:rPr>
          <w:rStyle w:val="FootnoteReference"/>
        </w:rPr>
        <w:footnoteRef/>
      </w:r>
      <w:r>
        <w:t xml:space="preserve"> </w:t>
      </w:r>
      <w:r w:rsidR="007E3DB3" w:rsidRPr="007E3DB3">
        <w:rPr>
          <w:sz w:val="20"/>
          <w:szCs w:val="20"/>
        </w:rPr>
        <w:t>Ibid: Nagy, Center for Hellenic Studies, 2018</w:t>
      </w:r>
    </w:p>
  </w:footnote>
  <w:footnote w:id="14">
    <w:p w14:paraId="0C910E8C" w14:textId="0BA899E5" w:rsidR="00691945" w:rsidRDefault="00691945">
      <w:pPr>
        <w:pStyle w:val="FootnoteText"/>
      </w:pPr>
      <w:r>
        <w:rPr>
          <w:rStyle w:val="FootnoteReference"/>
        </w:rPr>
        <w:footnoteRef/>
      </w:r>
      <w:r>
        <w:t xml:space="preserve"> Ibid: Dogra, </w:t>
      </w:r>
      <w:r w:rsidRPr="003C6D12">
        <w:t>‘The Thirty-One Functions in Vladimir Propp’s Morphology of the Folktale: An Outline and Recent Trends in the Applicability of the Proppian Taxonomic Model’,</w:t>
      </w:r>
      <w:r>
        <w:t xml:space="preserve"> p412</w:t>
      </w:r>
    </w:p>
  </w:footnote>
  <w:footnote w:id="15">
    <w:p w14:paraId="74EF88DA" w14:textId="39CB5BBD" w:rsidR="00FA7CD0" w:rsidRDefault="00FA7CD0">
      <w:pPr>
        <w:pStyle w:val="FootnoteText"/>
      </w:pPr>
      <w:r>
        <w:rPr>
          <w:rStyle w:val="FootnoteReference"/>
        </w:rPr>
        <w:footnoteRef/>
      </w:r>
      <w:r>
        <w:t xml:space="preserve"> Ibid: Nagy, Center for Hellenic Studies, 2018</w:t>
      </w:r>
    </w:p>
  </w:footnote>
  <w:footnote w:id="16">
    <w:p w14:paraId="3F94EADC" w14:textId="0D9A1B50" w:rsidR="00691945" w:rsidRDefault="00691945">
      <w:pPr>
        <w:pStyle w:val="FootnoteText"/>
      </w:pPr>
      <w:r>
        <w:rPr>
          <w:rStyle w:val="FootnoteReference"/>
        </w:rPr>
        <w:footnoteRef/>
      </w:r>
      <w:r>
        <w:t xml:space="preserve"> Ibid: Dogra, </w:t>
      </w:r>
      <w:r w:rsidRPr="003C6D12">
        <w:t>‘The Thirty-One Functions in Vladimir Propp’s Morphology of the Folktale: An Outline and Recent Trends in the Applicability of the Proppian Taxonomic Model’,</w:t>
      </w:r>
      <w:r>
        <w:t xml:space="preserve"> p413</w:t>
      </w:r>
    </w:p>
  </w:footnote>
  <w:footnote w:id="17">
    <w:p w14:paraId="4C8DB011" w14:textId="396E4D8A" w:rsidR="0016783E" w:rsidRDefault="0016783E">
      <w:pPr>
        <w:pStyle w:val="FootnoteText"/>
      </w:pPr>
      <w:r>
        <w:rPr>
          <w:rStyle w:val="FootnoteReference"/>
        </w:rPr>
        <w:footnoteRef/>
      </w:r>
      <w:r>
        <w:t xml:space="preserve"> Ibid: Nagy, Center for Hellenic Studies, 2018</w:t>
      </w:r>
    </w:p>
  </w:footnote>
  <w:footnote w:id="18">
    <w:p w14:paraId="488D8F4C" w14:textId="23AA61D2" w:rsidR="00F25418" w:rsidRDefault="00F25418">
      <w:pPr>
        <w:pStyle w:val="FootnoteText"/>
      </w:pPr>
      <w:r>
        <w:rPr>
          <w:rStyle w:val="FootnoteReference"/>
        </w:rPr>
        <w:footnoteRef/>
      </w:r>
      <w:r>
        <w:t xml:space="preserve"> </w:t>
      </w:r>
      <w:r w:rsidRPr="00F25418">
        <w:t>Ibid: Nagy, Center for Hellenic Studies, 2018</w:t>
      </w:r>
    </w:p>
  </w:footnote>
  <w:footnote w:id="19">
    <w:p w14:paraId="0ACAE781" w14:textId="5C00B1C5" w:rsidR="00190775" w:rsidRDefault="00190775">
      <w:pPr>
        <w:pStyle w:val="FootnoteText"/>
      </w:pPr>
      <w:r>
        <w:rPr>
          <w:rStyle w:val="FootnoteReference"/>
        </w:rPr>
        <w:footnoteRef/>
      </w:r>
      <w:r>
        <w:t xml:space="preserve"> Ibid: Keller, </w:t>
      </w:r>
      <w:r w:rsidRPr="00280C8C">
        <w:t>‘The Eleusinian Mysteries of Demeter and Persephone: Fertility, Sexuality and Rebirth’,</w:t>
      </w:r>
      <w:r>
        <w:t xml:space="preserve"> p52</w:t>
      </w:r>
    </w:p>
  </w:footnote>
  <w:footnote w:id="20">
    <w:p w14:paraId="13CC819A" w14:textId="2F71C60C" w:rsidR="00222BDC" w:rsidRDefault="00222BDC">
      <w:pPr>
        <w:pStyle w:val="FootnoteText"/>
      </w:pPr>
      <w:r>
        <w:rPr>
          <w:rStyle w:val="FootnoteReference"/>
        </w:rPr>
        <w:footnoteRef/>
      </w:r>
      <w:r>
        <w:t xml:space="preserve"> </w:t>
      </w:r>
      <w:r w:rsidRPr="00222BDC">
        <w:t>Ibid: Nagy, Center for Hellenic Studies, 2018</w:t>
      </w:r>
    </w:p>
  </w:footnote>
  <w:footnote w:id="21">
    <w:p w14:paraId="038DED43" w14:textId="2A80F3E3" w:rsidR="00222BDC" w:rsidRDefault="00222BDC">
      <w:pPr>
        <w:pStyle w:val="FootnoteText"/>
      </w:pPr>
      <w:r>
        <w:rPr>
          <w:rStyle w:val="FootnoteReference"/>
        </w:rPr>
        <w:footnoteRef/>
      </w:r>
      <w:r>
        <w:t xml:space="preserve"> </w:t>
      </w:r>
      <w:r w:rsidRPr="00222BDC">
        <w:t>Ibid: Nagy, Center for Hellenic Studies, 2018</w:t>
      </w:r>
    </w:p>
  </w:footnote>
  <w:footnote w:id="22">
    <w:p w14:paraId="7AC3E1BA" w14:textId="12818F08" w:rsidR="00222BDC" w:rsidRDefault="00222BDC">
      <w:pPr>
        <w:pStyle w:val="FootnoteText"/>
      </w:pPr>
      <w:r>
        <w:rPr>
          <w:rStyle w:val="FootnoteReference"/>
        </w:rPr>
        <w:footnoteRef/>
      </w:r>
      <w:r>
        <w:t xml:space="preserve"> </w:t>
      </w:r>
      <w:r w:rsidRPr="00222BDC">
        <w:t>Ibid: Nagy, Center for Hellenic Studies, 2018</w:t>
      </w:r>
    </w:p>
  </w:footnote>
  <w:footnote w:id="23">
    <w:p w14:paraId="4DF050D9" w14:textId="3765D639" w:rsidR="00F6293C" w:rsidRPr="00F6293C" w:rsidRDefault="00F6293C" w:rsidP="00F6293C">
      <w:pPr>
        <w:rPr>
          <w:sz w:val="22"/>
          <w:szCs w:val="22"/>
        </w:rPr>
      </w:pPr>
      <w:r>
        <w:rPr>
          <w:rStyle w:val="FootnoteReference"/>
        </w:rPr>
        <w:footnoteRef/>
      </w:r>
      <w:r>
        <w:t xml:space="preserve"> </w:t>
      </w:r>
      <w:r w:rsidRPr="00F6293C">
        <w:rPr>
          <w:sz w:val="20"/>
          <w:szCs w:val="20"/>
        </w:rPr>
        <w:t>Ralph M.</w:t>
      </w:r>
      <w:r>
        <w:rPr>
          <w:sz w:val="20"/>
          <w:szCs w:val="20"/>
        </w:rPr>
        <w:t xml:space="preserve"> Rosen</w:t>
      </w:r>
      <w:r w:rsidRPr="00F6293C">
        <w:rPr>
          <w:sz w:val="20"/>
          <w:szCs w:val="20"/>
        </w:rPr>
        <w:t xml:space="preserve">, ‘Hipponax Fr. 48 Dg. And the Eleusinian Kykeon’, </w:t>
      </w:r>
      <w:r w:rsidRPr="00F6293C">
        <w:rPr>
          <w:i/>
          <w:iCs/>
          <w:sz w:val="20"/>
          <w:szCs w:val="20"/>
        </w:rPr>
        <w:t>The American Journal of Philology</w:t>
      </w:r>
      <w:r w:rsidRPr="00F6293C">
        <w:rPr>
          <w:sz w:val="20"/>
          <w:szCs w:val="20"/>
        </w:rPr>
        <w:t>, Vol. 108 No. 3, (1987), pp. 416-426,</w:t>
      </w:r>
      <w:r>
        <w:rPr>
          <w:sz w:val="20"/>
          <w:szCs w:val="20"/>
        </w:rPr>
        <w:t xml:space="preserve"> (p419),</w:t>
      </w:r>
      <w:r w:rsidRPr="00F6293C">
        <w:rPr>
          <w:sz w:val="20"/>
          <w:szCs w:val="20"/>
        </w:rPr>
        <w:t xml:space="preserve"> &lt;</w:t>
      </w:r>
      <w:hyperlink r:id="rId6" w:history="1">
        <w:r w:rsidRPr="00F6293C">
          <w:rPr>
            <w:rStyle w:val="Hyperlink"/>
            <w:sz w:val="20"/>
            <w:szCs w:val="20"/>
          </w:rPr>
          <w:t>https://www.jstor.org/stable/294663</w:t>
        </w:r>
      </w:hyperlink>
      <w:r w:rsidRPr="00F6293C">
        <w:rPr>
          <w:sz w:val="20"/>
          <w:szCs w:val="20"/>
        </w:rPr>
        <w:t>&gt;, [Accessed: 12</w:t>
      </w:r>
      <w:r w:rsidRPr="00F6293C">
        <w:rPr>
          <w:sz w:val="20"/>
          <w:szCs w:val="20"/>
          <w:vertAlign w:val="superscript"/>
        </w:rPr>
        <w:t>th</w:t>
      </w:r>
      <w:r w:rsidRPr="00F6293C">
        <w:rPr>
          <w:sz w:val="20"/>
          <w:szCs w:val="20"/>
        </w:rPr>
        <w:t xml:space="preserve"> March 2026]</w:t>
      </w:r>
    </w:p>
  </w:footnote>
  <w:footnote w:id="24">
    <w:p w14:paraId="1974F1FC" w14:textId="00E0A77C" w:rsidR="00ED3124" w:rsidRDefault="00ED3124">
      <w:pPr>
        <w:pStyle w:val="FootnoteText"/>
      </w:pPr>
      <w:r>
        <w:rPr>
          <w:rStyle w:val="FootnoteReference"/>
        </w:rPr>
        <w:footnoteRef/>
      </w:r>
      <w:r>
        <w:t xml:space="preserve"> Ibid: Rosen, ‘Hipponax Fr. 48 Dg. And the Eleusinian Kykeon’, p419</w:t>
      </w:r>
    </w:p>
  </w:footnote>
  <w:footnote w:id="25">
    <w:p w14:paraId="2FA0FB60" w14:textId="750C5D29" w:rsidR="00222BDC" w:rsidRDefault="00222BDC">
      <w:pPr>
        <w:pStyle w:val="FootnoteText"/>
      </w:pPr>
      <w:r>
        <w:rPr>
          <w:rStyle w:val="FootnoteReference"/>
        </w:rPr>
        <w:footnoteRef/>
      </w:r>
      <w:r>
        <w:t xml:space="preserve"> </w:t>
      </w:r>
      <w:r w:rsidRPr="00222BDC">
        <w:t>Ibid: Nagy, Center for Hellenic Studies, 2018</w:t>
      </w:r>
    </w:p>
  </w:footnote>
  <w:footnote w:id="26">
    <w:p w14:paraId="1B3AAB22" w14:textId="578B2806" w:rsidR="00940266" w:rsidRPr="00940266" w:rsidRDefault="00940266" w:rsidP="00940266">
      <w:pPr>
        <w:rPr>
          <w:sz w:val="22"/>
          <w:szCs w:val="22"/>
        </w:rPr>
      </w:pPr>
      <w:r>
        <w:rPr>
          <w:rStyle w:val="FootnoteReference"/>
        </w:rPr>
        <w:footnoteRef/>
      </w:r>
      <w:r w:rsidRPr="00940266">
        <w:rPr>
          <w:sz w:val="20"/>
          <w:szCs w:val="20"/>
        </w:rPr>
        <w:t xml:space="preserve"> Mylonas, George E., ‘Eleusis and the Eleusinian Mysteries’, </w:t>
      </w:r>
      <w:r w:rsidRPr="00940266">
        <w:rPr>
          <w:i/>
          <w:iCs/>
          <w:sz w:val="20"/>
          <w:szCs w:val="20"/>
        </w:rPr>
        <w:t>The Classical Journal</w:t>
      </w:r>
      <w:r w:rsidRPr="00940266">
        <w:rPr>
          <w:sz w:val="20"/>
          <w:szCs w:val="20"/>
        </w:rPr>
        <w:t xml:space="preserve">, Vol. 43 No. 3, (1947), pp. 130-146, </w:t>
      </w:r>
      <w:r w:rsidR="00392B95">
        <w:rPr>
          <w:sz w:val="20"/>
          <w:szCs w:val="20"/>
        </w:rPr>
        <w:t xml:space="preserve">(p131), </w:t>
      </w:r>
      <w:r w:rsidRPr="00940266">
        <w:rPr>
          <w:sz w:val="20"/>
          <w:szCs w:val="20"/>
        </w:rPr>
        <w:t>&lt;</w:t>
      </w:r>
      <w:hyperlink r:id="rId7" w:history="1">
        <w:r w:rsidRPr="00940266">
          <w:rPr>
            <w:rStyle w:val="Hyperlink"/>
            <w:sz w:val="20"/>
            <w:szCs w:val="20"/>
          </w:rPr>
          <w:t>https://www.jstor.org/stable/3293727</w:t>
        </w:r>
      </w:hyperlink>
      <w:r w:rsidRPr="00940266">
        <w:rPr>
          <w:sz w:val="20"/>
          <w:szCs w:val="20"/>
        </w:rPr>
        <w:t>&gt;, [Accessed: 12</w:t>
      </w:r>
      <w:r w:rsidRPr="00940266">
        <w:rPr>
          <w:sz w:val="20"/>
          <w:szCs w:val="20"/>
          <w:vertAlign w:val="superscript"/>
        </w:rPr>
        <w:t>th</w:t>
      </w:r>
      <w:r w:rsidRPr="00940266">
        <w:rPr>
          <w:sz w:val="20"/>
          <w:szCs w:val="20"/>
        </w:rPr>
        <w:t xml:space="preserve"> March 2026]</w:t>
      </w:r>
    </w:p>
  </w:footnote>
  <w:footnote w:id="27">
    <w:p w14:paraId="16F4A44E" w14:textId="2845673B" w:rsidR="00952BC6" w:rsidRDefault="00952BC6">
      <w:pPr>
        <w:pStyle w:val="FootnoteText"/>
      </w:pPr>
      <w:r>
        <w:rPr>
          <w:rStyle w:val="FootnoteReference"/>
        </w:rPr>
        <w:footnoteRef/>
      </w:r>
      <w:r>
        <w:t xml:space="preserve"> </w:t>
      </w:r>
      <w:r w:rsidRPr="00952BC6">
        <w:t>Ibid: Nagy, Center for Hellenic Studies, 2018</w:t>
      </w:r>
    </w:p>
  </w:footnote>
  <w:footnote w:id="28">
    <w:p w14:paraId="5DA3E1A1" w14:textId="41107D28" w:rsidR="0029668E" w:rsidRDefault="0029668E">
      <w:pPr>
        <w:pStyle w:val="FootnoteText"/>
      </w:pPr>
      <w:r>
        <w:rPr>
          <w:rStyle w:val="FootnoteReference"/>
        </w:rPr>
        <w:footnoteRef/>
      </w:r>
      <w:r>
        <w:t xml:space="preserve"> Ibid: Mylonas, ‘Eleusis and the Eleusinian Mysteries’, p132</w:t>
      </w:r>
    </w:p>
  </w:footnote>
  <w:footnote w:id="29">
    <w:p w14:paraId="51BAD4E7" w14:textId="1D69EC58" w:rsidR="0029668E" w:rsidRDefault="0029668E">
      <w:pPr>
        <w:pStyle w:val="FootnoteText"/>
      </w:pPr>
      <w:r>
        <w:rPr>
          <w:rStyle w:val="FootnoteReference"/>
        </w:rPr>
        <w:footnoteRef/>
      </w:r>
      <w:r>
        <w:t xml:space="preserve"> Ibid: Mylonas, ‘Eleusis and the Eleusinian Mysteries’, p132</w:t>
      </w:r>
    </w:p>
  </w:footnote>
  <w:footnote w:id="30">
    <w:p w14:paraId="2B446296" w14:textId="6F0A2451" w:rsidR="0029668E" w:rsidRDefault="0029668E">
      <w:pPr>
        <w:pStyle w:val="FootnoteText"/>
      </w:pPr>
      <w:r>
        <w:rPr>
          <w:rStyle w:val="FootnoteReference"/>
        </w:rPr>
        <w:footnoteRef/>
      </w:r>
      <w:r>
        <w:t xml:space="preserve"> Ibid: Mylonas, ‘Eleusis and the Eleusinian Mysteries’, p132</w:t>
      </w:r>
    </w:p>
  </w:footnote>
  <w:footnote w:id="31">
    <w:p w14:paraId="6D3344F9" w14:textId="406C31F4" w:rsidR="008E2432" w:rsidRDefault="008E2432">
      <w:pPr>
        <w:pStyle w:val="FootnoteText"/>
      </w:pPr>
      <w:r>
        <w:rPr>
          <w:rStyle w:val="FootnoteReference"/>
        </w:rPr>
        <w:footnoteRef/>
      </w:r>
      <w:r>
        <w:t xml:space="preserve"> Ibid: Keller, </w:t>
      </w:r>
      <w:r w:rsidRPr="00280C8C">
        <w:t>‘The Eleusinian Mysteries of Demeter and Persephone: Fertility, Sexuality and Rebirth’,</w:t>
      </w:r>
      <w:r>
        <w:t xml:space="preserve"> p29</w:t>
      </w:r>
    </w:p>
  </w:footnote>
  <w:footnote w:id="32">
    <w:p w14:paraId="58DD7352" w14:textId="5AF8A75A" w:rsidR="00BE1901" w:rsidRDefault="00BE1901">
      <w:pPr>
        <w:pStyle w:val="FootnoteText"/>
      </w:pPr>
      <w:r>
        <w:rPr>
          <w:rStyle w:val="FootnoteReference"/>
        </w:rPr>
        <w:footnoteRef/>
      </w:r>
      <w:r>
        <w:t xml:space="preserve"> Ibid: Keller, </w:t>
      </w:r>
      <w:r w:rsidRPr="00280C8C">
        <w:t>‘The Eleusinian Mysteries of Demeter and Persephone: Fertility, Sexuality and Rebirth’,</w:t>
      </w:r>
      <w:r>
        <w:t xml:space="preserve"> p30</w:t>
      </w:r>
    </w:p>
  </w:footnote>
  <w:footnote w:id="33">
    <w:p w14:paraId="4ABD67F7" w14:textId="30C76835" w:rsidR="000E0AA4" w:rsidRDefault="000E0AA4">
      <w:pPr>
        <w:pStyle w:val="FootnoteText"/>
      </w:pPr>
      <w:r>
        <w:rPr>
          <w:rStyle w:val="FootnoteReference"/>
        </w:rPr>
        <w:footnoteRef/>
      </w:r>
      <w:r>
        <w:t xml:space="preserve"> Ibid: Keller, </w:t>
      </w:r>
      <w:r w:rsidRPr="00280C8C">
        <w:t>‘The Eleusinian Mysteries of Demeter and Persephone: Fertility, Sexuality and Rebirth’,</w:t>
      </w:r>
      <w:r>
        <w:t xml:space="preserve"> p30</w:t>
      </w:r>
    </w:p>
  </w:footnote>
  <w:footnote w:id="34">
    <w:p w14:paraId="5D9589CA" w14:textId="5EADD14A" w:rsidR="00AE79B0" w:rsidRDefault="00AE79B0">
      <w:pPr>
        <w:pStyle w:val="FootnoteText"/>
      </w:pPr>
      <w:r>
        <w:rPr>
          <w:rStyle w:val="FootnoteReference"/>
        </w:rPr>
        <w:footnoteRef/>
      </w:r>
      <w:r>
        <w:t xml:space="preserve"> Ibid: Mylonas, ‘Eleusis and the Eleusinian Mysteries’, p135</w:t>
      </w:r>
    </w:p>
  </w:footnote>
  <w:footnote w:id="35">
    <w:p w14:paraId="02E52A1B" w14:textId="6E32CDC9" w:rsidR="00952BC6" w:rsidRDefault="00952BC6">
      <w:pPr>
        <w:pStyle w:val="FootnoteText"/>
      </w:pPr>
      <w:r>
        <w:rPr>
          <w:rStyle w:val="FootnoteReference"/>
        </w:rPr>
        <w:footnoteRef/>
      </w:r>
      <w:r>
        <w:t xml:space="preserve"> </w:t>
      </w:r>
      <w:r w:rsidRPr="00952BC6">
        <w:t>Ibid: Nagy, Center for Hellenic Studies, 2018</w:t>
      </w:r>
    </w:p>
  </w:footnote>
  <w:footnote w:id="36">
    <w:p w14:paraId="1B54572A" w14:textId="09C8BA6F" w:rsidR="00952BC6" w:rsidRDefault="00952BC6">
      <w:pPr>
        <w:pStyle w:val="FootnoteText"/>
      </w:pPr>
      <w:r>
        <w:rPr>
          <w:rStyle w:val="FootnoteReference"/>
        </w:rPr>
        <w:footnoteRef/>
      </w:r>
      <w:r>
        <w:t xml:space="preserve"> </w:t>
      </w:r>
      <w:r w:rsidRPr="00952BC6">
        <w:t>Ibid: Nagy, Center for Hellenic Studies, 2018</w:t>
      </w:r>
    </w:p>
  </w:footnote>
  <w:footnote w:id="37">
    <w:p w14:paraId="72FCDEAC" w14:textId="1A965E34" w:rsidR="00765902" w:rsidRDefault="00765902">
      <w:pPr>
        <w:pStyle w:val="FootnoteText"/>
      </w:pPr>
      <w:r>
        <w:rPr>
          <w:rStyle w:val="FootnoteReference"/>
        </w:rPr>
        <w:footnoteRef/>
      </w:r>
      <w:r>
        <w:t xml:space="preserve"> Ibid: Mylonas, ‘Eleusis and the Eleusinian Mysteries’, p135</w:t>
      </w:r>
    </w:p>
  </w:footnote>
  <w:footnote w:id="38">
    <w:p w14:paraId="1B6337E1" w14:textId="36CE36FC" w:rsidR="00243124" w:rsidRDefault="00243124">
      <w:pPr>
        <w:pStyle w:val="FootnoteText"/>
      </w:pPr>
      <w:r>
        <w:rPr>
          <w:rStyle w:val="FootnoteReference"/>
        </w:rPr>
        <w:footnoteRef/>
      </w:r>
      <w:r>
        <w:t xml:space="preserve"> </w:t>
      </w:r>
      <w:r>
        <w:t>Ibid: Mylonas, ‘Eleusis and the Eleusinian Mysteries’, p132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117E70"/>
    <w:multiLevelType w:val="hybridMultilevel"/>
    <w:tmpl w:val="CE309F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2438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38A"/>
    <w:rsid w:val="0002264B"/>
    <w:rsid w:val="000364F1"/>
    <w:rsid w:val="00055727"/>
    <w:rsid w:val="0008169A"/>
    <w:rsid w:val="00084D9A"/>
    <w:rsid w:val="0008745A"/>
    <w:rsid w:val="000B3E0B"/>
    <w:rsid w:val="000B6E4D"/>
    <w:rsid w:val="000B72F0"/>
    <w:rsid w:val="000E0AA4"/>
    <w:rsid w:val="000E2915"/>
    <w:rsid w:val="00100D27"/>
    <w:rsid w:val="00106E65"/>
    <w:rsid w:val="001167B7"/>
    <w:rsid w:val="00120BBC"/>
    <w:rsid w:val="00124382"/>
    <w:rsid w:val="00124581"/>
    <w:rsid w:val="0015733B"/>
    <w:rsid w:val="0016783E"/>
    <w:rsid w:val="001736A2"/>
    <w:rsid w:val="00175E54"/>
    <w:rsid w:val="001848C6"/>
    <w:rsid w:val="00185438"/>
    <w:rsid w:val="00190775"/>
    <w:rsid w:val="001B39B6"/>
    <w:rsid w:val="001D2AE2"/>
    <w:rsid w:val="001D7B14"/>
    <w:rsid w:val="001E5F04"/>
    <w:rsid w:val="00222BDC"/>
    <w:rsid w:val="00231806"/>
    <w:rsid w:val="002361C3"/>
    <w:rsid w:val="002405D2"/>
    <w:rsid w:val="00243124"/>
    <w:rsid w:val="002511DC"/>
    <w:rsid w:val="00273698"/>
    <w:rsid w:val="00280C8C"/>
    <w:rsid w:val="0028621D"/>
    <w:rsid w:val="00295B30"/>
    <w:rsid w:val="0029668E"/>
    <w:rsid w:val="002B6EB0"/>
    <w:rsid w:val="002C329E"/>
    <w:rsid w:val="002C4704"/>
    <w:rsid w:val="002D7506"/>
    <w:rsid w:val="002E73BD"/>
    <w:rsid w:val="003152D0"/>
    <w:rsid w:val="0034139D"/>
    <w:rsid w:val="00374916"/>
    <w:rsid w:val="00385246"/>
    <w:rsid w:val="00392B95"/>
    <w:rsid w:val="003B318F"/>
    <w:rsid w:val="003C6D12"/>
    <w:rsid w:val="003D1F53"/>
    <w:rsid w:val="004146EB"/>
    <w:rsid w:val="00422E11"/>
    <w:rsid w:val="004334CD"/>
    <w:rsid w:val="0044513E"/>
    <w:rsid w:val="00445BCE"/>
    <w:rsid w:val="00447354"/>
    <w:rsid w:val="00452EBF"/>
    <w:rsid w:val="004556EB"/>
    <w:rsid w:val="0045777F"/>
    <w:rsid w:val="004657FA"/>
    <w:rsid w:val="00473A8F"/>
    <w:rsid w:val="004823CB"/>
    <w:rsid w:val="00483E19"/>
    <w:rsid w:val="00486F32"/>
    <w:rsid w:val="004958DB"/>
    <w:rsid w:val="00497E6B"/>
    <w:rsid w:val="004B40C0"/>
    <w:rsid w:val="004C0DBA"/>
    <w:rsid w:val="004E1CBE"/>
    <w:rsid w:val="004E3FDF"/>
    <w:rsid w:val="004F7ED8"/>
    <w:rsid w:val="00503F2F"/>
    <w:rsid w:val="00511563"/>
    <w:rsid w:val="00512CE2"/>
    <w:rsid w:val="0051551D"/>
    <w:rsid w:val="005158FA"/>
    <w:rsid w:val="00527D40"/>
    <w:rsid w:val="0054666C"/>
    <w:rsid w:val="00547B7B"/>
    <w:rsid w:val="00550F31"/>
    <w:rsid w:val="005817A3"/>
    <w:rsid w:val="005849E8"/>
    <w:rsid w:val="005A1D9C"/>
    <w:rsid w:val="005A6BEF"/>
    <w:rsid w:val="005B284B"/>
    <w:rsid w:val="005B4852"/>
    <w:rsid w:val="005C30E4"/>
    <w:rsid w:val="005D75C8"/>
    <w:rsid w:val="006244B9"/>
    <w:rsid w:val="006257BC"/>
    <w:rsid w:val="00644490"/>
    <w:rsid w:val="00657FA1"/>
    <w:rsid w:val="00681FB1"/>
    <w:rsid w:val="006904D7"/>
    <w:rsid w:val="00691945"/>
    <w:rsid w:val="006D4ECC"/>
    <w:rsid w:val="00753513"/>
    <w:rsid w:val="007644BE"/>
    <w:rsid w:val="00765527"/>
    <w:rsid w:val="00765902"/>
    <w:rsid w:val="007747FD"/>
    <w:rsid w:val="007B2E67"/>
    <w:rsid w:val="007C331B"/>
    <w:rsid w:val="007D0C4D"/>
    <w:rsid w:val="007E08E6"/>
    <w:rsid w:val="007E2FE3"/>
    <w:rsid w:val="007E3DB3"/>
    <w:rsid w:val="007F42F6"/>
    <w:rsid w:val="007F5BE7"/>
    <w:rsid w:val="007F6CDC"/>
    <w:rsid w:val="00801768"/>
    <w:rsid w:val="00812082"/>
    <w:rsid w:val="00826325"/>
    <w:rsid w:val="008357B2"/>
    <w:rsid w:val="0086092F"/>
    <w:rsid w:val="008614F0"/>
    <w:rsid w:val="00877B97"/>
    <w:rsid w:val="008A6AD8"/>
    <w:rsid w:val="008C6183"/>
    <w:rsid w:val="008D78BE"/>
    <w:rsid w:val="008E2432"/>
    <w:rsid w:val="008F1CAB"/>
    <w:rsid w:val="008F5239"/>
    <w:rsid w:val="00915A3B"/>
    <w:rsid w:val="00923BCB"/>
    <w:rsid w:val="00940266"/>
    <w:rsid w:val="00942700"/>
    <w:rsid w:val="00950F4D"/>
    <w:rsid w:val="00952BC6"/>
    <w:rsid w:val="009643DE"/>
    <w:rsid w:val="00971B8A"/>
    <w:rsid w:val="009A436B"/>
    <w:rsid w:val="009B0249"/>
    <w:rsid w:val="009D495A"/>
    <w:rsid w:val="009F1F34"/>
    <w:rsid w:val="009F2F2B"/>
    <w:rsid w:val="00A0071E"/>
    <w:rsid w:val="00A06744"/>
    <w:rsid w:val="00A3103D"/>
    <w:rsid w:val="00A545B6"/>
    <w:rsid w:val="00A650EA"/>
    <w:rsid w:val="00A743F3"/>
    <w:rsid w:val="00AA29B6"/>
    <w:rsid w:val="00AA3B1F"/>
    <w:rsid w:val="00AC4913"/>
    <w:rsid w:val="00AC63D9"/>
    <w:rsid w:val="00AD2B4B"/>
    <w:rsid w:val="00AE1EB1"/>
    <w:rsid w:val="00AE79B0"/>
    <w:rsid w:val="00B30AE9"/>
    <w:rsid w:val="00B410D5"/>
    <w:rsid w:val="00B52E6D"/>
    <w:rsid w:val="00B562EE"/>
    <w:rsid w:val="00B8281D"/>
    <w:rsid w:val="00BC6207"/>
    <w:rsid w:val="00BE1901"/>
    <w:rsid w:val="00C003EA"/>
    <w:rsid w:val="00C1550B"/>
    <w:rsid w:val="00C40856"/>
    <w:rsid w:val="00C771C2"/>
    <w:rsid w:val="00C95819"/>
    <w:rsid w:val="00C974C8"/>
    <w:rsid w:val="00CB0884"/>
    <w:rsid w:val="00CB4762"/>
    <w:rsid w:val="00CD367C"/>
    <w:rsid w:val="00CE67AD"/>
    <w:rsid w:val="00CF43E8"/>
    <w:rsid w:val="00CF5DF1"/>
    <w:rsid w:val="00CF682D"/>
    <w:rsid w:val="00D24461"/>
    <w:rsid w:val="00D320D1"/>
    <w:rsid w:val="00D9080A"/>
    <w:rsid w:val="00D91AEB"/>
    <w:rsid w:val="00D95968"/>
    <w:rsid w:val="00D95BE1"/>
    <w:rsid w:val="00DC678F"/>
    <w:rsid w:val="00DF522E"/>
    <w:rsid w:val="00E12925"/>
    <w:rsid w:val="00E22C57"/>
    <w:rsid w:val="00E325A6"/>
    <w:rsid w:val="00E44F94"/>
    <w:rsid w:val="00E55B0B"/>
    <w:rsid w:val="00E64ED1"/>
    <w:rsid w:val="00E733CA"/>
    <w:rsid w:val="00E978A9"/>
    <w:rsid w:val="00EB3941"/>
    <w:rsid w:val="00ED3124"/>
    <w:rsid w:val="00EF7D68"/>
    <w:rsid w:val="00F03431"/>
    <w:rsid w:val="00F1450D"/>
    <w:rsid w:val="00F1544F"/>
    <w:rsid w:val="00F15952"/>
    <w:rsid w:val="00F22CEB"/>
    <w:rsid w:val="00F25418"/>
    <w:rsid w:val="00F3138A"/>
    <w:rsid w:val="00F3170C"/>
    <w:rsid w:val="00F37262"/>
    <w:rsid w:val="00F608A6"/>
    <w:rsid w:val="00F6293C"/>
    <w:rsid w:val="00F82F8B"/>
    <w:rsid w:val="00F92DA6"/>
    <w:rsid w:val="00FA7CD0"/>
    <w:rsid w:val="00FB1FF1"/>
    <w:rsid w:val="00FE40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89E35"/>
  <w15:chartTrackingRefBased/>
  <w15:docId w15:val="{E4E1A386-0A4C-4EA4-85E8-C536F4A35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1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1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1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1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1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1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1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1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1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1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38A"/>
    <w:rPr>
      <w:rFonts w:eastAsiaTheme="majorEastAsia" w:cstheme="majorBidi"/>
      <w:color w:val="272727" w:themeColor="text1" w:themeTint="D8"/>
    </w:rPr>
  </w:style>
  <w:style w:type="paragraph" w:styleId="Title">
    <w:name w:val="Title"/>
    <w:basedOn w:val="Normal"/>
    <w:next w:val="Normal"/>
    <w:link w:val="TitleChar"/>
    <w:uiPriority w:val="10"/>
    <w:qFormat/>
    <w:rsid w:val="00F31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38A"/>
    <w:pPr>
      <w:spacing w:before="160"/>
      <w:jc w:val="center"/>
    </w:pPr>
    <w:rPr>
      <w:i/>
      <w:iCs/>
      <w:color w:val="404040" w:themeColor="text1" w:themeTint="BF"/>
    </w:rPr>
  </w:style>
  <w:style w:type="character" w:customStyle="1" w:styleId="QuoteChar">
    <w:name w:val="Quote Char"/>
    <w:basedOn w:val="DefaultParagraphFont"/>
    <w:link w:val="Quote"/>
    <w:uiPriority w:val="29"/>
    <w:rsid w:val="00F3138A"/>
    <w:rPr>
      <w:i/>
      <w:iCs/>
      <w:color w:val="404040" w:themeColor="text1" w:themeTint="BF"/>
    </w:rPr>
  </w:style>
  <w:style w:type="paragraph" w:styleId="ListParagraph">
    <w:name w:val="List Paragraph"/>
    <w:basedOn w:val="Normal"/>
    <w:uiPriority w:val="34"/>
    <w:qFormat/>
    <w:rsid w:val="00F3138A"/>
    <w:pPr>
      <w:ind w:left="720"/>
      <w:contextualSpacing/>
    </w:pPr>
  </w:style>
  <w:style w:type="character" w:styleId="IntenseEmphasis">
    <w:name w:val="Intense Emphasis"/>
    <w:basedOn w:val="DefaultParagraphFont"/>
    <w:uiPriority w:val="21"/>
    <w:qFormat/>
    <w:rsid w:val="00F3138A"/>
    <w:rPr>
      <w:i/>
      <w:iCs/>
      <w:color w:val="0F4761" w:themeColor="accent1" w:themeShade="BF"/>
    </w:rPr>
  </w:style>
  <w:style w:type="paragraph" w:styleId="IntenseQuote">
    <w:name w:val="Intense Quote"/>
    <w:basedOn w:val="Normal"/>
    <w:next w:val="Normal"/>
    <w:link w:val="IntenseQuoteChar"/>
    <w:uiPriority w:val="30"/>
    <w:qFormat/>
    <w:rsid w:val="00F31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138A"/>
    <w:rPr>
      <w:i/>
      <w:iCs/>
      <w:color w:val="0F4761" w:themeColor="accent1" w:themeShade="BF"/>
    </w:rPr>
  </w:style>
  <w:style w:type="character" w:styleId="IntenseReference">
    <w:name w:val="Intense Reference"/>
    <w:basedOn w:val="DefaultParagraphFont"/>
    <w:uiPriority w:val="32"/>
    <w:qFormat/>
    <w:rsid w:val="00F3138A"/>
    <w:rPr>
      <w:b/>
      <w:bCs/>
      <w:smallCaps/>
      <w:color w:val="0F4761" w:themeColor="accent1" w:themeShade="BF"/>
      <w:spacing w:val="5"/>
    </w:rPr>
  </w:style>
  <w:style w:type="character" w:styleId="Hyperlink">
    <w:name w:val="Hyperlink"/>
    <w:basedOn w:val="DefaultParagraphFont"/>
    <w:uiPriority w:val="99"/>
    <w:unhideWhenUsed/>
    <w:rsid w:val="00473A8F"/>
    <w:rPr>
      <w:color w:val="467886" w:themeColor="hyperlink"/>
      <w:u w:val="single"/>
    </w:rPr>
  </w:style>
  <w:style w:type="character" w:styleId="UnresolvedMention">
    <w:name w:val="Unresolved Mention"/>
    <w:basedOn w:val="DefaultParagraphFont"/>
    <w:uiPriority w:val="99"/>
    <w:semiHidden/>
    <w:unhideWhenUsed/>
    <w:rsid w:val="00473A8F"/>
    <w:rPr>
      <w:color w:val="605E5C"/>
      <w:shd w:val="clear" w:color="auto" w:fill="E1DFDD"/>
    </w:rPr>
  </w:style>
  <w:style w:type="paragraph" w:styleId="FootnoteText">
    <w:name w:val="footnote text"/>
    <w:basedOn w:val="Normal"/>
    <w:link w:val="FootnoteTextChar"/>
    <w:uiPriority w:val="99"/>
    <w:semiHidden/>
    <w:unhideWhenUsed/>
    <w:rsid w:val="005817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17A3"/>
    <w:rPr>
      <w:sz w:val="20"/>
      <w:szCs w:val="20"/>
    </w:rPr>
  </w:style>
  <w:style w:type="character" w:styleId="FootnoteReference">
    <w:name w:val="footnote reference"/>
    <w:basedOn w:val="DefaultParagraphFont"/>
    <w:uiPriority w:val="99"/>
    <w:semiHidden/>
    <w:unhideWhenUsed/>
    <w:rsid w:val="005817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myth" TargetMode="External"/><Relationship Id="rId13" Type="http://schemas.openxmlformats.org/officeDocument/2006/relationships/hyperlink" Target="https://pressbooks.nvcc.edu/eng257/chapter/definition-of-myt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s.harvard.edu/primary-source/homeric-hymn-to-demeter-s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329372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stor.org/stable/25002068" TargetMode="External"/><Relationship Id="rId4" Type="http://schemas.openxmlformats.org/officeDocument/2006/relationships/settings" Target="settings.xml"/><Relationship Id="rId9" Type="http://schemas.openxmlformats.org/officeDocument/2006/relationships/hyperlink" Target="https://www.researchgate.net/publication/319293980_The_Thirty-One_Functions_in_Vladimir_Propp's_Morphology_of_the_Folktale_An_Outline_and_Recent_Trends_in_the_Applicability_of_the_Proppian_Taxonomic_Model" TargetMode="External"/><Relationship Id="rId14" Type="http://schemas.openxmlformats.org/officeDocument/2006/relationships/hyperlink" Target="https://www.jstor.org/stable/29466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25002068" TargetMode="External"/><Relationship Id="rId7" Type="http://schemas.openxmlformats.org/officeDocument/2006/relationships/hyperlink" Target="https://www.jstor.org/stable/3293727" TargetMode="External"/><Relationship Id="rId2" Type="http://schemas.openxmlformats.org/officeDocument/2006/relationships/hyperlink" Target="https://pressbooks.nvcc.edu/eng257/chapter/definition-of-myth/" TargetMode="External"/><Relationship Id="rId1" Type="http://schemas.openxmlformats.org/officeDocument/2006/relationships/hyperlink" Target="https://dictionary.cambridge.org/dictionary/english/myth" TargetMode="External"/><Relationship Id="rId6" Type="http://schemas.openxmlformats.org/officeDocument/2006/relationships/hyperlink" Target="https://www.jstor.org/stable/294663" TargetMode="External"/><Relationship Id="rId5" Type="http://schemas.openxmlformats.org/officeDocument/2006/relationships/hyperlink" Target="https://www.researchgate.net/publication/319293980_The_Thirty-One_Functions_in_Vladimir_Propp's_Morphology_of_the_Folktale_An_Outline_and_Recent_Trends_in_the_Applicability_of_the_Proppian_Taxonomic_Model" TargetMode="External"/><Relationship Id="rId4" Type="http://schemas.openxmlformats.org/officeDocument/2006/relationships/hyperlink" Target="https://chs.harvard.edu/primary-source/homeric-hymn-to-demeter-s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9CE49-5D63-4F8F-B751-7D092F5AD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6</Pages>
  <Words>2365</Words>
  <Characters>11853</Characters>
  <Application>Microsoft Office Word</Application>
  <DocSecurity>0</DocSecurity>
  <Lines>171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136</cp:revision>
  <dcterms:created xsi:type="dcterms:W3CDTF">2026-03-04T16:04:00Z</dcterms:created>
  <dcterms:modified xsi:type="dcterms:W3CDTF">2026-03-29T15:00:00Z</dcterms:modified>
</cp:coreProperties>
</file>