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68878" w14:textId="724A9733" w:rsidR="005B0EDF" w:rsidRDefault="001D7EA9">
      <w:r>
        <w:t>Part 3</w:t>
      </w:r>
    </w:p>
    <w:p w14:paraId="329783DA" w14:textId="79AA13A4" w:rsidR="001D7EA9" w:rsidRDefault="001D7EA9"/>
    <w:p w14:paraId="0CC0656E" w14:textId="24C11120" w:rsidR="001D7EA9" w:rsidRDefault="001D7EA9">
      <w:r>
        <w:t>A Critical Review</w:t>
      </w:r>
    </w:p>
    <w:p w14:paraId="1DBAB086" w14:textId="1E12CB7D" w:rsidR="001D7EA9" w:rsidRDefault="001D7EA9"/>
    <w:p w14:paraId="45C4E72E" w14:textId="23764601" w:rsidR="001D7EA9" w:rsidRDefault="001D7EA9" w:rsidP="00F7499C">
      <w:pPr>
        <w:spacing w:line="360" w:lineRule="auto"/>
      </w:pPr>
      <w:r>
        <w:t>The article “Teaching Assistants’ Experience of Inclusive Education” by Suzanne Mackenzie is based on research examining the role of teaching assistants working with children with special educational needs. The intention of the article is to</w:t>
      </w:r>
      <w:r w:rsidR="00022271">
        <w:t xml:space="preserve"> examine the experience and</w:t>
      </w:r>
      <w:r>
        <w:t xml:space="preserve"> scrutinise the strain on teaching assistants working in inclusion.</w:t>
      </w:r>
      <w:r w:rsidR="00022271">
        <w:t xml:space="preserve"> </w:t>
      </w:r>
      <w:r>
        <w:t>The article gives a clear insight of the challenges TA</w:t>
      </w:r>
      <w:r w:rsidR="00022271">
        <w:t>s</w:t>
      </w:r>
      <w:r>
        <w:t xml:space="preserve"> face in their </w:t>
      </w:r>
      <w:r w:rsidR="00022271">
        <w:t xml:space="preserve">role </w:t>
      </w:r>
      <w:proofErr w:type="gramStart"/>
      <w:r w:rsidR="00022271">
        <w:t>on a daily basis</w:t>
      </w:r>
      <w:proofErr w:type="gramEnd"/>
      <w:r>
        <w:t>. It also examines the positions of TAs working in mainstream education supporting children with medical, special educational and behavioural needs</w:t>
      </w:r>
      <w:r w:rsidR="00022271">
        <w:t>;</w:t>
      </w:r>
      <w:r>
        <w:t xml:space="preserve"> Mackenzie’s intention is to highlight the strain between TAs and the system policies. Five T</w:t>
      </w:r>
      <w:r w:rsidR="00022271">
        <w:t>A</w:t>
      </w:r>
      <w:r>
        <w:t>s, all with different backgrounds and reasons for working in inclusive education</w:t>
      </w:r>
      <w:r w:rsidR="00022271">
        <w:t>,</w:t>
      </w:r>
      <w:r>
        <w:t xml:space="preserve"> were interviewed by Mackenzie</w:t>
      </w:r>
      <w:r w:rsidR="00022271">
        <w:t>;</w:t>
      </w:r>
      <w:r>
        <w:t xml:space="preserve"> </w:t>
      </w:r>
      <w:r w:rsidR="00022271">
        <w:t>e</w:t>
      </w:r>
      <w:r>
        <w:t>ach one describes the different challenges they face, either with the behaviour or needs of the children and the teaching staff</w:t>
      </w:r>
      <w:r w:rsidR="00022271">
        <w:t xml:space="preserve">. </w:t>
      </w:r>
      <w:r>
        <w:t>One teaching assistant in the Early Years sector is convinced that the burden that teachers</w:t>
      </w:r>
      <w:r w:rsidR="00F7499C">
        <w:t xml:space="preserve"> encounter is a major factor in the poor standards in the classroom. </w:t>
      </w:r>
    </w:p>
    <w:p w14:paraId="531FB36C" w14:textId="707D08B1" w:rsidR="00F7499C" w:rsidRDefault="00F7499C" w:rsidP="00F7499C">
      <w:pPr>
        <w:ind w:left="567" w:right="567"/>
      </w:pPr>
      <w:r>
        <w:t>“A lot of teachers, especially in this country feel so much pressure to h</w:t>
      </w:r>
      <w:r w:rsidR="009A43A3">
        <w:t>i</w:t>
      </w:r>
      <w:r>
        <w:t>t those league tables and prove that they are doing all these things that they think, ‘I haven’t got time to deal with the SEN children’”. Jill, as cited by Mackenzie (20</w:t>
      </w:r>
      <w:r w:rsidR="00D44AB8">
        <w:t>1</w:t>
      </w:r>
      <w:r>
        <w:t>1).</w:t>
      </w:r>
    </w:p>
    <w:p w14:paraId="32C8D62C" w14:textId="14629B9D" w:rsidR="00B70502" w:rsidRDefault="00F7499C" w:rsidP="00B70502">
      <w:pPr>
        <w:spacing w:line="360" w:lineRule="auto"/>
      </w:pPr>
      <w:r>
        <w:t xml:space="preserve">On balance, the TAs found their jobs rewarding, but shared the same view that inclusion in education had its flaws and that more adequate training should be given. Una, a teaching assistant in Essex </w:t>
      </w:r>
      <w:r w:rsidR="00022271">
        <w:t>with 9 years’ experience,</w:t>
      </w:r>
      <w:r>
        <w:t xml:space="preserve"> describes how the “issues with children</w:t>
      </w:r>
      <w:r w:rsidR="00D44AB8">
        <w:t>’</w:t>
      </w:r>
      <w:r>
        <w:t>s behaviour makes her</w:t>
      </w:r>
      <w:r w:rsidR="00D44AB8">
        <w:t xml:space="preserve"> job more challenging”</w:t>
      </w:r>
      <w:r w:rsidR="00022271">
        <w:t>. Despite this, she claims she “loves” her job even though the pupils can drive her “around the twist”.</w:t>
      </w:r>
      <w:r w:rsidR="00D44AB8">
        <w:t xml:space="preserve"> Una, as cited by Mackenzie (2011).</w:t>
      </w:r>
      <w:r w:rsidR="00022271">
        <w:t xml:space="preserve"> </w:t>
      </w:r>
      <w:r w:rsidR="00B70502">
        <w:t xml:space="preserve">Overall, </w:t>
      </w:r>
      <w:r w:rsidR="00F7317B">
        <w:t>it is clear the TAs interviewed felt Inclusion in Education Policies needed to be addressed for inclusion to be successful and avoid tensions and ambiguity.</w:t>
      </w:r>
    </w:p>
    <w:p w14:paraId="28917567" w14:textId="16928A42" w:rsidR="009E25BC" w:rsidRDefault="005D0FFA" w:rsidP="00B70502">
      <w:pPr>
        <w:spacing w:line="360" w:lineRule="auto"/>
      </w:pPr>
      <w:r>
        <w:t xml:space="preserve">The structure of the article </w:t>
      </w:r>
      <w:r w:rsidR="00ED2557">
        <w:t>has been</w:t>
      </w:r>
      <w:r>
        <w:t xml:space="preserve"> done in deliberate man</w:t>
      </w:r>
      <w:r w:rsidR="000D7AA2">
        <w:t>ner</w:t>
      </w:r>
      <w:r>
        <w:t xml:space="preserve"> to engage the reader</w:t>
      </w:r>
      <w:r w:rsidR="003D716C">
        <w:t xml:space="preserve"> to the negative points raised. </w:t>
      </w:r>
      <w:r w:rsidR="00F7317B">
        <w:t xml:space="preserve">The introduction of this article addresses the topic and draws focus to “tensions and contradictions”. Mackenzie (2011). The policy context explains the need for teaching assistants. In 2000 the DCSF made a National Curriculum Statutory Inclusion Statement which resulted in the increased need for teaching assistants working in mainstream and special schools. Mackenzie highlights the increase of over 100,000 TA’s in just a decade in English schools. </w:t>
      </w:r>
      <w:r>
        <w:t>The voice of the TA is a lengthy piece which suggests Mackenzie’s focus is on the TAs and not necessarily the policies and legislations</w:t>
      </w:r>
      <w:r w:rsidR="00ED5A5E">
        <w:t xml:space="preserve">. Throughout the writer is attempting to persuade the reader that inclusion in education is not working </w:t>
      </w:r>
      <w:proofErr w:type="gramStart"/>
      <w:r w:rsidR="00ED5A5E">
        <w:t>o</w:t>
      </w:r>
      <w:r w:rsidR="00862FA9">
        <w:t xml:space="preserve">n </w:t>
      </w:r>
      <w:r w:rsidR="000D7AA2">
        <w:t>the</w:t>
      </w:r>
      <w:r w:rsidR="00862FA9">
        <w:t xml:space="preserve"> </w:t>
      </w:r>
      <w:r w:rsidR="00ED5A5E">
        <w:t>whole</w:t>
      </w:r>
      <w:proofErr w:type="gramEnd"/>
      <w:r w:rsidR="00ED5A5E">
        <w:t>.</w:t>
      </w:r>
      <w:r w:rsidR="000D7AA2">
        <w:t xml:space="preserve"> Jane began working as a teaching assistant supporting a child returning </w:t>
      </w:r>
      <w:r w:rsidR="000D7AA2">
        <w:lastRenderedPageBreak/>
        <w:t>to school after illness, she says that one of the most uncomfortable aspects of her job is “her relationship with others”. She was especially concerned with the “stupid politics” Jane, as cited by Mackenzie (2007)</w:t>
      </w:r>
      <w:r w:rsidR="008F7226">
        <w:t>.</w:t>
      </w:r>
      <w:r w:rsidR="00ED5A5E">
        <w:t xml:space="preserve"> Mackenzie’s study collaborates with </w:t>
      </w:r>
      <w:r w:rsidR="009E25BC">
        <w:t>that of Sikes et al (2007).</w:t>
      </w:r>
    </w:p>
    <w:p w14:paraId="6047D05C" w14:textId="70B9D969" w:rsidR="009E25BC" w:rsidRDefault="009E25BC" w:rsidP="009E25BC">
      <w:pPr>
        <w:spacing w:line="240" w:lineRule="auto"/>
        <w:ind w:left="567" w:right="567"/>
      </w:pPr>
      <w:r>
        <w:t>In England, teachers and teachers’ assistants are required to implement inclusion but, in the absence of any universal definition of what the term means, the way in which they enact it varies depending on their understanding of this concept.</w:t>
      </w:r>
    </w:p>
    <w:p w14:paraId="2FC917A6" w14:textId="3661E1F2" w:rsidR="009E25BC" w:rsidRDefault="009E25BC" w:rsidP="00B70502">
      <w:pPr>
        <w:spacing w:line="360" w:lineRule="auto"/>
      </w:pPr>
      <w:r>
        <w:t xml:space="preserve">                                                                                                                                    Sikes et al (2007).</w:t>
      </w:r>
    </w:p>
    <w:p w14:paraId="678BDD05" w14:textId="77777777" w:rsidR="00093FFC" w:rsidRDefault="00ED5A5E" w:rsidP="00B70502">
      <w:pPr>
        <w:spacing w:line="360" w:lineRule="auto"/>
      </w:pPr>
      <w:r>
        <w:t xml:space="preserve"> However, Mackenzie found that she did not receive any positive feedback unlike </w:t>
      </w:r>
      <w:proofErr w:type="spellStart"/>
      <w:r>
        <w:t>Devecchi</w:t>
      </w:r>
      <w:proofErr w:type="spellEnd"/>
      <w:r>
        <w:t xml:space="preserve"> and Rouse’s (2010) study</w:t>
      </w:r>
      <w:r w:rsidR="009A43A3">
        <w:t xml:space="preserve">, claiming </w:t>
      </w:r>
      <w:r w:rsidR="00DB633D">
        <w:t>“collaborative practices were established to support children with SEN” (</w:t>
      </w:r>
      <w:proofErr w:type="spellStart"/>
      <w:r w:rsidR="00DB633D">
        <w:t>Devecchi</w:t>
      </w:r>
      <w:proofErr w:type="spellEnd"/>
      <w:r w:rsidR="00DB633D">
        <w:t xml:space="preserve"> and Rouse 2010).</w:t>
      </w:r>
      <w:r>
        <w:t xml:space="preserve"> Following on from that</w:t>
      </w:r>
      <w:r w:rsidR="00DB633D">
        <w:t xml:space="preserve">, in the </w:t>
      </w:r>
      <w:r>
        <w:t>methodology we discover that all teaching assistants work in schools in east London. Interviews included focus groups as well as individuals of varied professions. Out of all interviewed 13 were teaching assistants, Mackenzie states that she “tried to apply a general overarching criterion for the selection of the stories” (Mackenzie 2011) this mirrors her own definition of what she finds interesting and significant. Ethical issues are raised about the privacy of the focus groups. In this study it is revealed that numerous interviewees were acquaintances</w:t>
      </w:r>
      <w:r w:rsidR="00235DF8">
        <w:t>;</w:t>
      </w:r>
      <w:r>
        <w:t xml:space="preserve"> </w:t>
      </w:r>
      <w:r w:rsidR="009A43A3">
        <w:t>t</w:t>
      </w:r>
      <w:r>
        <w:t>his could imply that the information received is bias. The finding</w:t>
      </w:r>
      <w:r w:rsidR="003E30FA">
        <w:t xml:space="preserve">s </w:t>
      </w:r>
      <w:r>
        <w:t>section gives us the background information of the five featured teaching assistants</w:t>
      </w:r>
      <w:r w:rsidR="009A43A3">
        <w:t>; w</w:t>
      </w:r>
      <w:r>
        <w:t xml:space="preserve">e learn about their issues within the workplace and reasons for working in SEN. </w:t>
      </w:r>
      <w:r w:rsidR="003E30FA">
        <w:t xml:space="preserve">Angela found her role “isolating” and “physically and emotionally demanding” (Angela, as cited by Mackenzie 2011). </w:t>
      </w:r>
      <w:r w:rsidR="00A66BA1">
        <w:t>In general, I believe the research has had a negative outcome, suggesting that teachers working</w:t>
      </w:r>
      <w:r w:rsidR="00862FA9">
        <w:t xml:space="preserve"> in</w:t>
      </w:r>
      <w:r w:rsidR="00A66BA1">
        <w:t xml:space="preserve"> </w:t>
      </w:r>
      <w:r w:rsidR="00862FA9">
        <w:t>mainstream schools are finding it difficult to “include” children with SEN; “Teachers were sometimes negative and un co-operative about including children with special educational needs”</w:t>
      </w:r>
      <w:r w:rsidR="00E92EA7">
        <w:t xml:space="preserve"> </w:t>
      </w:r>
      <w:r w:rsidR="00862FA9">
        <w:t>(Moira, as cited by Mackenzie 2001).</w:t>
      </w:r>
      <w:r w:rsidR="00E92EA7">
        <w:t xml:space="preserve"> Repeatedly, this article</w:t>
      </w:r>
      <w:r w:rsidR="005279B7">
        <w:t xml:space="preserve"> </w:t>
      </w:r>
      <w:r w:rsidR="00E92EA7">
        <w:t>draw</w:t>
      </w:r>
      <w:r w:rsidR="005279B7">
        <w:t>s</w:t>
      </w:r>
      <w:r w:rsidR="00E92EA7">
        <w:t xml:space="preserve"> on the negative aspects of inclusion in education</w:t>
      </w:r>
      <w:r w:rsidR="00075DEA">
        <w:t xml:space="preserve">; the confusing facet of SEN </w:t>
      </w:r>
      <w:r w:rsidR="007A1A79">
        <w:t>without a logical and direct system.</w:t>
      </w:r>
    </w:p>
    <w:p w14:paraId="49B9427E" w14:textId="73FEF116" w:rsidR="00F7317B" w:rsidRDefault="00E93874" w:rsidP="00B70502">
      <w:pPr>
        <w:spacing w:line="360" w:lineRule="auto"/>
      </w:pPr>
      <w:r>
        <w:t xml:space="preserve"> This article is misleading and invalid, the conclusion that inclusion in education has i</w:t>
      </w:r>
      <w:r w:rsidR="00093FFC">
        <w:t>t</w:t>
      </w:r>
      <w:r>
        <w:t xml:space="preserve">s flaws is </w:t>
      </w:r>
      <w:r w:rsidR="00093FFC">
        <w:t>un reliable with the research that has been undertaken. In my experience as a teaching assistant in a mainstream school, I believe that inclusion in education does work</w:t>
      </w:r>
      <w:r w:rsidR="00956BE4">
        <w:t>; the</w:t>
      </w:r>
      <w:r w:rsidR="00093FFC">
        <w:t xml:space="preserve"> teachers</w:t>
      </w:r>
      <w:r w:rsidR="00956BE4">
        <w:t xml:space="preserve"> I work with</w:t>
      </w:r>
      <w:r w:rsidR="00093FFC">
        <w:t xml:space="preserve"> do their utmost to “include” all pupils in lessons</w:t>
      </w:r>
      <w:r w:rsidR="005A0A9B">
        <w:t xml:space="preserve"> where possible </w:t>
      </w:r>
      <w:r w:rsidR="00093FFC">
        <w:t>and are very grateful for the assistance they receive from a TA in their lessons</w:t>
      </w:r>
      <w:r w:rsidR="00956BE4">
        <w:t>.</w:t>
      </w:r>
      <w:r w:rsidR="00093FFC">
        <w:t xml:space="preserve"> There is never any ambiguity with</w:t>
      </w:r>
      <w:r w:rsidR="00956BE4">
        <w:t>in</w:t>
      </w:r>
      <w:r w:rsidR="00093FFC">
        <w:t xml:space="preserve"> the SEN department</w:t>
      </w:r>
      <w:r w:rsidR="00103401">
        <w:t>, in fact there is an Inclusion briefing once a week</w:t>
      </w:r>
      <w:r w:rsidR="008C6742">
        <w:t xml:space="preserve"> to keep teachers</w:t>
      </w:r>
      <w:r w:rsidR="00956BE4">
        <w:t xml:space="preserve"> and support staff</w:t>
      </w:r>
      <w:r w:rsidR="008C6742">
        <w:t xml:space="preserve"> updated on SEN practices. </w:t>
      </w:r>
      <w:r w:rsidR="009F09F6">
        <w:t xml:space="preserve">This assists with the implementation of differentiation and inclusion </w:t>
      </w:r>
      <w:r w:rsidR="00391C23">
        <w:t>of all pupils in lessons, whether medical, behavioural or special educational needs. Therefore, allowing the development of social skills, teamwork and strengthening self confidence which benefits the children and their parents.</w:t>
      </w:r>
      <w:bookmarkStart w:id="0" w:name="_GoBack"/>
      <w:bookmarkEnd w:id="0"/>
    </w:p>
    <w:p w14:paraId="62EC0058" w14:textId="77777777" w:rsidR="00C31E33" w:rsidRDefault="00C31E33" w:rsidP="00C31E33">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Pr>
          <w:rFonts w:ascii="Open Sans" w:eastAsia="Times New Roman" w:hAnsi="Open Sans" w:cs="Arial"/>
          <w:b/>
          <w:bCs/>
          <w:color w:val="000000"/>
          <w:sz w:val="36"/>
          <w:szCs w:val="36"/>
          <w:lang w:val="en" w:eastAsia="en-GB"/>
        </w:rPr>
        <w:t xml:space="preserve"> </w:t>
      </w:r>
    </w:p>
    <w:p w14:paraId="4EBC2EFD" w14:textId="114D70C5" w:rsidR="00C31E33" w:rsidRPr="00C31E33" w:rsidRDefault="00C31E33" w:rsidP="00C31E33">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sidRPr="00C31E33">
        <w:rPr>
          <w:rFonts w:ascii="Open Sans" w:eastAsia="Times New Roman" w:hAnsi="Open Sans" w:cs="Arial"/>
          <w:b/>
          <w:bCs/>
          <w:color w:val="000000"/>
          <w:sz w:val="36"/>
          <w:szCs w:val="36"/>
          <w:lang w:val="en" w:eastAsia="en-GB"/>
        </w:rPr>
        <w:t>References</w:t>
      </w:r>
    </w:p>
    <w:p w14:paraId="24637DE0" w14:textId="77777777" w:rsidR="00C31E33" w:rsidRPr="00C31E33" w:rsidRDefault="00C31E33" w:rsidP="00C31E33">
      <w:pPr>
        <w:shd w:val="clear" w:color="auto" w:fill="FFFFFF"/>
        <w:spacing w:after="150" w:line="240" w:lineRule="auto"/>
        <w:rPr>
          <w:rFonts w:ascii="Open Sans" w:eastAsia="Times New Roman" w:hAnsi="Open Sans" w:cs="Arial"/>
          <w:color w:val="000000"/>
          <w:sz w:val="24"/>
          <w:szCs w:val="24"/>
          <w:lang w:val="en" w:eastAsia="en-GB"/>
        </w:rPr>
      </w:pPr>
      <w:r w:rsidRPr="00C31E33">
        <w:rPr>
          <w:rFonts w:ascii="Open Sans" w:eastAsia="Times New Roman" w:hAnsi="Open Sans" w:cs="Arial"/>
          <w:color w:val="000000"/>
          <w:sz w:val="24"/>
          <w:szCs w:val="24"/>
          <w:lang w:val="en" w:eastAsia="en-GB"/>
        </w:rPr>
        <w:t xml:space="preserve">DEVECCHI, C. and ROUSE, M. (2010). An exploration of the features of effective collaboration between teachers and teaching assistants in secondary schools. </w:t>
      </w:r>
      <w:r w:rsidRPr="00C31E33">
        <w:rPr>
          <w:rFonts w:ascii="Open Sans" w:eastAsia="Times New Roman" w:hAnsi="Open Sans" w:cs="Arial"/>
          <w:i/>
          <w:iCs/>
          <w:color w:val="000000"/>
          <w:sz w:val="24"/>
          <w:szCs w:val="24"/>
          <w:lang w:val="en" w:eastAsia="en-GB"/>
        </w:rPr>
        <w:t>Support for Learning</w:t>
      </w:r>
      <w:r w:rsidRPr="00C31E33">
        <w:rPr>
          <w:rFonts w:ascii="Open Sans" w:eastAsia="Times New Roman" w:hAnsi="Open Sans" w:cs="Arial"/>
          <w:color w:val="000000"/>
          <w:sz w:val="24"/>
          <w:szCs w:val="24"/>
          <w:lang w:val="en" w:eastAsia="en-GB"/>
        </w:rPr>
        <w:t>, 25(2), pp.91-99.</w:t>
      </w:r>
    </w:p>
    <w:p w14:paraId="17E0BC51" w14:textId="77777777" w:rsidR="00C31E33" w:rsidRPr="00C31E33" w:rsidRDefault="00C31E33" w:rsidP="00C31E33">
      <w:pPr>
        <w:shd w:val="clear" w:color="auto" w:fill="FFFFFF"/>
        <w:spacing w:after="150" w:line="240" w:lineRule="auto"/>
        <w:rPr>
          <w:rFonts w:ascii="Open Sans" w:eastAsia="Times New Roman" w:hAnsi="Open Sans" w:cs="Arial"/>
          <w:color w:val="000000"/>
          <w:sz w:val="24"/>
          <w:szCs w:val="24"/>
          <w:lang w:val="en" w:eastAsia="en-GB"/>
        </w:rPr>
      </w:pPr>
      <w:r w:rsidRPr="00C31E33">
        <w:rPr>
          <w:rFonts w:ascii="Open Sans" w:eastAsia="Times New Roman" w:hAnsi="Open Sans" w:cs="Arial"/>
          <w:color w:val="000000"/>
          <w:sz w:val="24"/>
          <w:szCs w:val="24"/>
          <w:lang w:val="en" w:eastAsia="en-GB"/>
        </w:rPr>
        <w:t>MACKENZIE, S. (2011). ‘Yes, but</w:t>
      </w:r>
      <w:r w:rsidRPr="00C31E33">
        <w:rPr>
          <w:rFonts w:ascii="Open Sans" w:eastAsia="Times New Roman" w:hAnsi="Open Sans" w:cs="Arial"/>
          <w:color w:val="000000"/>
          <w:sz w:val="24"/>
          <w:szCs w:val="24"/>
          <w:lang w:val="en" w:eastAsia="en-GB"/>
        </w:rPr>
        <w:t> </w:t>
      </w:r>
      <w:r w:rsidRPr="00C31E33">
        <w:rPr>
          <w:rFonts w:ascii="Open Sans" w:eastAsia="Times New Roman" w:hAnsi="Open Sans" w:cs="Arial"/>
          <w:color w:val="000000"/>
          <w:sz w:val="24"/>
          <w:szCs w:val="24"/>
          <w:lang w:val="en" w:eastAsia="en-GB"/>
        </w:rPr>
        <w:t>.</w:t>
      </w:r>
      <w:r w:rsidRPr="00C31E33">
        <w:rPr>
          <w:rFonts w:ascii="Open Sans" w:eastAsia="Times New Roman" w:hAnsi="Open Sans" w:cs="Arial"/>
          <w:color w:val="000000"/>
          <w:sz w:val="24"/>
          <w:szCs w:val="24"/>
          <w:lang w:val="en" w:eastAsia="en-GB"/>
        </w:rPr>
        <w:t> </w:t>
      </w:r>
      <w:r w:rsidRPr="00C31E33">
        <w:rPr>
          <w:rFonts w:ascii="Open Sans" w:eastAsia="Times New Roman" w:hAnsi="Open Sans" w:cs="Arial"/>
          <w:color w:val="000000"/>
          <w:sz w:val="24"/>
          <w:szCs w:val="24"/>
          <w:lang w:val="en" w:eastAsia="en-GB"/>
        </w:rPr>
        <w:t>.</w:t>
      </w:r>
      <w:r w:rsidRPr="00C31E33">
        <w:rPr>
          <w:rFonts w:ascii="Open Sans" w:eastAsia="Times New Roman" w:hAnsi="Open Sans" w:cs="Arial"/>
          <w:color w:val="000000"/>
          <w:sz w:val="24"/>
          <w:szCs w:val="24"/>
          <w:lang w:val="en" w:eastAsia="en-GB"/>
        </w:rPr>
        <w:t> </w:t>
      </w:r>
      <w:r w:rsidRPr="00C31E33">
        <w:rPr>
          <w:rFonts w:ascii="Open Sans" w:eastAsia="Times New Roman" w:hAnsi="Open Sans" w:cs="Arial"/>
          <w:color w:val="000000"/>
          <w:sz w:val="24"/>
          <w:szCs w:val="24"/>
          <w:lang w:val="en" w:eastAsia="en-GB"/>
        </w:rPr>
        <w:t xml:space="preserve">.’: rhetoric, reality and resistance in teaching assistants' experiences of inclusive education. </w:t>
      </w:r>
      <w:r w:rsidRPr="00C31E33">
        <w:rPr>
          <w:rFonts w:ascii="Open Sans" w:eastAsia="Times New Roman" w:hAnsi="Open Sans" w:cs="Arial"/>
          <w:i/>
          <w:iCs/>
          <w:color w:val="000000"/>
          <w:sz w:val="24"/>
          <w:szCs w:val="24"/>
          <w:lang w:val="en" w:eastAsia="en-GB"/>
        </w:rPr>
        <w:t>Support for Learning</w:t>
      </w:r>
      <w:r w:rsidRPr="00C31E33">
        <w:rPr>
          <w:rFonts w:ascii="Open Sans" w:eastAsia="Times New Roman" w:hAnsi="Open Sans" w:cs="Arial"/>
          <w:color w:val="000000"/>
          <w:sz w:val="24"/>
          <w:szCs w:val="24"/>
          <w:lang w:val="en" w:eastAsia="en-GB"/>
        </w:rPr>
        <w:t>, 26(2), pp.64-71.</w:t>
      </w:r>
    </w:p>
    <w:p w14:paraId="23A51CE9" w14:textId="77777777" w:rsidR="00C31E33" w:rsidRPr="00C31E33" w:rsidRDefault="00C31E33" w:rsidP="00C31E33">
      <w:pPr>
        <w:shd w:val="clear" w:color="auto" w:fill="FFFFFF"/>
        <w:spacing w:line="240" w:lineRule="auto"/>
        <w:rPr>
          <w:rFonts w:ascii="Open Sans" w:eastAsia="Times New Roman" w:hAnsi="Open Sans" w:cs="Arial"/>
          <w:color w:val="000000"/>
          <w:sz w:val="24"/>
          <w:szCs w:val="24"/>
          <w:lang w:val="en" w:eastAsia="en-GB"/>
        </w:rPr>
      </w:pPr>
      <w:r w:rsidRPr="00C31E33">
        <w:rPr>
          <w:rFonts w:ascii="Open Sans" w:eastAsia="Times New Roman" w:hAnsi="Open Sans" w:cs="Arial"/>
          <w:color w:val="000000"/>
          <w:sz w:val="24"/>
          <w:szCs w:val="24"/>
          <w:lang w:val="en" w:eastAsia="en-GB"/>
        </w:rPr>
        <w:t xml:space="preserve">Sikes, P., Lawson, H. and Parker, M. (2007). Voices on: teachers and teaching assistants talk about inclusion. </w:t>
      </w:r>
      <w:r w:rsidRPr="00C31E33">
        <w:rPr>
          <w:rFonts w:ascii="Open Sans" w:eastAsia="Times New Roman" w:hAnsi="Open Sans" w:cs="Arial"/>
          <w:i/>
          <w:iCs/>
          <w:color w:val="000000"/>
          <w:sz w:val="24"/>
          <w:szCs w:val="24"/>
          <w:lang w:val="en" w:eastAsia="en-GB"/>
        </w:rPr>
        <w:t>International Journal of Inclusive Education</w:t>
      </w:r>
      <w:r w:rsidRPr="00C31E33">
        <w:rPr>
          <w:rFonts w:ascii="Open Sans" w:eastAsia="Times New Roman" w:hAnsi="Open Sans" w:cs="Arial"/>
          <w:color w:val="000000"/>
          <w:sz w:val="24"/>
          <w:szCs w:val="24"/>
          <w:lang w:val="en" w:eastAsia="en-GB"/>
        </w:rPr>
        <w:t>, 11(3), pp.355-370.</w:t>
      </w:r>
    </w:p>
    <w:p w14:paraId="7E43CD29" w14:textId="77777777" w:rsidR="00F7317B" w:rsidRDefault="00F7317B" w:rsidP="00B70502">
      <w:pPr>
        <w:spacing w:line="360" w:lineRule="auto"/>
      </w:pPr>
    </w:p>
    <w:sectPr w:rsidR="00F73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EA9"/>
    <w:rsid w:val="000217E4"/>
    <w:rsid w:val="00022271"/>
    <w:rsid w:val="00075DEA"/>
    <w:rsid w:val="00093FFC"/>
    <w:rsid w:val="000D7AA2"/>
    <w:rsid w:val="00103401"/>
    <w:rsid w:val="001D7EA9"/>
    <w:rsid w:val="00235DF8"/>
    <w:rsid w:val="002B0098"/>
    <w:rsid w:val="00391C23"/>
    <w:rsid w:val="00396ACD"/>
    <w:rsid w:val="003D716C"/>
    <w:rsid w:val="003E30FA"/>
    <w:rsid w:val="005279B7"/>
    <w:rsid w:val="005A0A9B"/>
    <w:rsid w:val="005B0EDF"/>
    <w:rsid w:val="005D0FFA"/>
    <w:rsid w:val="006A738F"/>
    <w:rsid w:val="007A1A79"/>
    <w:rsid w:val="00862FA9"/>
    <w:rsid w:val="008664D4"/>
    <w:rsid w:val="008C6742"/>
    <w:rsid w:val="008F7226"/>
    <w:rsid w:val="00956BE4"/>
    <w:rsid w:val="009A43A3"/>
    <w:rsid w:val="009E25BC"/>
    <w:rsid w:val="009F09F6"/>
    <w:rsid w:val="00A11EC3"/>
    <w:rsid w:val="00A62193"/>
    <w:rsid w:val="00A636A6"/>
    <w:rsid w:val="00A66BA1"/>
    <w:rsid w:val="00A82505"/>
    <w:rsid w:val="00AE4159"/>
    <w:rsid w:val="00B54D3A"/>
    <w:rsid w:val="00B70502"/>
    <w:rsid w:val="00BA0B92"/>
    <w:rsid w:val="00C31E33"/>
    <w:rsid w:val="00CF6AE6"/>
    <w:rsid w:val="00D44AB8"/>
    <w:rsid w:val="00DB633D"/>
    <w:rsid w:val="00DE3E2D"/>
    <w:rsid w:val="00E86728"/>
    <w:rsid w:val="00E92EA7"/>
    <w:rsid w:val="00E93874"/>
    <w:rsid w:val="00ED2557"/>
    <w:rsid w:val="00ED5A5E"/>
    <w:rsid w:val="00F7317B"/>
    <w:rsid w:val="00F74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4310"/>
  <w15:chartTrackingRefBased/>
  <w15:docId w15:val="{62208326-0B6D-49A5-99D6-7A84C267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31E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67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728"/>
    <w:rPr>
      <w:rFonts w:ascii="Segoe UI" w:hAnsi="Segoe UI" w:cs="Segoe UI"/>
      <w:sz w:val="18"/>
      <w:szCs w:val="18"/>
    </w:rPr>
  </w:style>
  <w:style w:type="character" w:customStyle="1" w:styleId="Heading2Char">
    <w:name w:val="Heading 2 Char"/>
    <w:basedOn w:val="DefaultParagraphFont"/>
    <w:link w:val="Heading2"/>
    <w:uiPriority w:val="9"/>
    <w:rsid w:val="00C31E3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31E33"/>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030516">
      <w:bodyDiv w:val="1"/>
      <w:marLeft w:val="0"/>
      <w:marRight w:val="0"/>
      <w:marTop w:val="0"/>
      <w:marBottom w:val="0"/>
      <w:divBdr>
        <w:top w:val="none" w:sz="0" w:space="0" w:color="auto"/>
        <w:left w:val="none" w:sz="0" w:space="0" w:color="auto"/>
        <w:bottom w:val="none" w:sz="0" w:space="0" w:color="auto"/>
        <w:right w:val="none" w:sz="0" w:space="0" w:color="auto"/>
      </w:divBdr>
      <w:divsChild>
        <w:div w:id="1424692775">
          <w:marLeft w:val="0"/>
          <w:marRight w:val="0"/>
          <w:marTop w:val="0"/>
          <w:marBottom w:val="0"/>
          <w:divBdr>
            <w:top w:val="none" w:sz="0" w:space="0" w:color="auto"/>
            <w:left w:val="none" w:sz="0" w:space="0" w:color="auto"/>
            <w:bottom w:val="none" w:sz="0" w:space="0" w:color="auto"/>
            <w:right w:val="none" w:sz="0" w:space="0" w:color="auto"/>
          </w:divBdr>
          <w:divsChild>
            <w:div w:id="1308247137">
              <w:marLeft w:val="0"/>
              <w:marRight w:val="0"/>
              <w:marTop w:val="0"/>
              <w:marBottom w:val="0"/>
              <w:divBdr>
                <w:top w:val="none" w:sz="0" w:space="0" w:color="auto"/>
                <w:left w:val="none" w:sz="0" w:space="0" w:color="auto"/>
                <w:bottom w:val="none" w:sz="0" w:space="0" w:color="auto"/>
                <w:right w:val="none" w:sz="0" w:space="0" w:color="auto"/>
              </w:divBdr>
              <w:divsChild>
                <w:div w:id="1267467893">
                  <w:marLeft w:val="-225"/>
                  <w:marRight w:val="-225"/>
                  <w:marTop w:val="0"/>
                  <w:marBottom w:val="0"/>
                  <w:divBdr>
                    <w:top w:val="none" w:sz="0" w:space="0" w:color="auto"/>
                    <w:left w:val="none" w:sz="0" w:space="0" w:color="auto"/>
                    <w:bottom w:val="none" w:sz="0" w:space="0" w:color="auto"/>
                    <w:right w:val="none" w:sz="0" w:space="0" w:color="auto"/>
                  </w:divBdr>
                  <w:divsChild>
                    <w:div w:id="294721683">
                      <w:marLeft w:val="0"/>
                      <w:marRight w:val="0"/>
                      <w:marTop w:val="0"/>
                      <w:marBottom w:val="0"/>
                      <w:divBdr>
                        <w:top w:val="none" w:sz="0" w:space="0" w:color="auto"/>
                        <w:left w:val="none" w:sz="0" w:space="0" w:color="auto"/>
                        <w:bottom w:val="none" w:sz="0" w:space="0" w:color="auto"/>
                        <w:right w:val="none" w:sz="0" w:space="0" w:color="auto"/>
                      </w:divBdr>
                      <w:divsChild>
                        <w:div w:id="261493261">
                          <w:marLeft w:val="0"/>
                          <w:marRight w:val="0"/>
                          <w:marTop w:val="0"/>
                          <w:marBottom w:val="0"/>
                          <w:divBdr>
                            <w:top w:val="none" w:sz="0" w:space="0" w:color="auto"/>
                            <w:left w:val="none" w:sz="0" w:space="0" w:color="auto"/>
                            <w:bottom w:val="none" w:sz="0" w:space="0" w:color="auto"/>
                            <w:right w:val="none" w:sz="0" w:space="0" w:color="auto"/>
                          </w:divBdr>
                          <w:divsChild>
                            <w:div w:id="1221862092">
                              <w:marLeft w:val="0"/>
                              <w:marRight w:val="0"/>
                              <w:marTop w:val="0"/>
                              <w:marBottom w:val="0"/>
                              <w:divBdr>
                                <w:top w:val="none" w:sz="0" w:space="0" w:color="auto"/>
                                <w:left w:val="none" w:sz="0" w:space="0" w:color="auto"/>
                                <w:bottom w:val="none" w:sz="0" w:space="0" w:color="auto"/>
                                <w:right w:val="none" w:sz="0" w:space="0" w:color="auto"/>
                              </w:divBdr>
                              <w:divsChild>
                                <w:div w:id="939752629">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E4A3EDEC</Template>
  <TotalTime>1</TotalTime>
  <Pages>3</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cp:lastPrinted>2018-10-24T14:57:00Z</cp:lastPrinted>
  <dcterms:created xsi:type="dcterms:W3CDTF">2018-10-24T16:04:00Z</dcterms:created>
  <dcterms:modified xsi:type="dcterms:W3CDTF">2018-10-24T16:04:00Z</dcterms:modified>
</cp:coreProperties>
</file>