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54C5F" w14:textId="12FC2648" w:rsidR="002A282A" w:rsidRPr="002A282A" w:rsidRDefault="002A282A" w:rsidP="002A282A">
      <w:pPr>
        <w:jc w:val="center"/>
        <w:rPr>
          <w:b/>
          <w:color w:val="1F4E79"/>
          <w:sz w:val="32"/>
          <w:szCs w:val="32"/>
          <w:lang w:val="en-IN"/>
        </w:rPr>
      </w:pPr>
      <w:r w:rsidRPr="002A282A">
        <w:rPr>
          <w:b/>
          <w:color w:val="1F4E79"/>
          <w:sz w:val="32"/>
          <w:szCs w:val="32"/>
          <w:lang w:val="en-IN"/>
        </w:rPr>
        <w:drawing>
          <wp:inline distT="0" distB="0" distL="0" distR="0" wp14:anchorId="665E10BF" wp14:editId="66A64043">
            <wp:extent cx="2857500" cy="1276350"/>
            <wp:effectExtent l="0" t="0" r="0" b="0"/>
            <wp:docPr id="1328319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276350"/>
                    </a:xfrm>
                    <a:prstGeom prst="rect">
                      <a:avLst/>
                    </a:prstGeom>
                    <a:noFill/>
                    <a:ln>
                      <a:noFill/>
                    </a:ln>
                  </pic:spPr>
                </pic:pic>
              </a:graphicData>
            </a:graphic>
          </wp:inline>
        </w:drawing>
      </w:r>
    </w:p>
    <w:p w14:paraId="750749C6" w14:textId="231AA30C" w:rsidR="00CB7B64" w:rsidRPr="00CB7B64" w:rsidRDefault="008F5BCA" w:rsidP="00CA0743">
      <w:pPr>
        <w:rPr>
          <w:b/>
          <w:color w:val="1F4E79"/>
          <w:sz w:val="32"/>
          <w:szCs w:val="32"/>
        </w:rPr>
      </w:pPr>
      <w:r w:rsidRPr="00CB7B64">
        <w:rPr>
          <w:b/>
          <w:color w:val="1F4E79"/>
          <w:sz w:val="32"/>
          <w:szCs w:val="32"/>
        </w:rPr>
        <w:t>H</w:t>
      </w:r>
      <w:r w:rsidR="00E36421" w:rsidRPr="00CB7B64">
        <w:rPr>
          <w:b/>
          <w:color w:val="1F4E79"/>
          <w:sz w:val="32"/>
          <w:szCs w:val="32"/>
        </w:rPr>
        <w:t>EALTH CARE SYSTEM ORGANISATION A</w:t>
      </w:r>
      <w:r w:rsidR="001C319D" w:rsidRPr="00CB7B64">
        <w:rPr>
          <w:b/>
          <w:color w:val="1F4E79"/>
          <w:sz w:val="32"/>
          <w:szCs w:val="32"/>
        </w:rPr>
        <w:t>ND LEADERSHIP</w:t>
      </w:r>
    </w:p>
    <w:p w14:paraId="7FD578E4" w14:textId="6D2C40FB" w:rsidR="006E7D50" w:rsidRPr="00CB7B64" w:rsidRDefault="00D32849" w:rsidP="00E62AAD">
      <w:pPr>
        <w:jc w:val="center"/>
        <w:rPr>
          <w:bCs/>
          <w:szCs w:val="24"/>
        </w:rPr>
      </w:pPr>
      <w:r w:rsidRPr="00CB7B64">
        <w:rPr>
          <w:b/>
          <w:szCs w:val="24"/>
        </w:rPr>
        <w:t>CASE REPORT</w:t>
      </w:r>
      <w:r w:rsidR="00F87363" w:rsidRPr="00CB7B64">
        <w:rPr>
          <w:b/>
          <w:szCs w:val="24"/>
        </w:rPr>
        <w:t xml:space="preserve">: </w:t>
      </w:r>
      <w:r w:rsidR="00F87363" w:rsidRPr="00CB7B64">
        <w:rPr>
          <w:bCs/>
          <w:szCs w:val="24"/>
        </w:rPr>
        <w:t>L</w:t>
      </w:r>
      <w:r w:rsidR="001C319D" w:rsidRPr="00CB7B64">
        <w:rPr>
          <w:bCs/>
          <w:szCs w:val="24"/>
        </w:rPr>
        <w:t>EADERSHIP</w:t>
      </w:r>
      <w:r w:rsidR="0004157D" w:rsidRPr="00CB7B64">
        <w:rPr>
          <w:bCs/>
          <w:szCs w:val="24"/>
        </w:rPr>
        <w:t>, GOVERNANCE AND SYSTEM FAILURE IN THE INFANT</w:t>
      </w:r>
      <w:r w:rsidRPr="00CB7B64">
        <w:rPr>
          <w:bCs/>
          <w:szCs w:val="24"/>
        </w:rPr>
        <w:t xml:space="preserve"> MORPHINE OVERDOSE CASE</w:t>
      </w:r>
    </w:p>
    <w:p w14:paraId="78D79D7B" w14:textId="2002CC5D" w:rsidR="00E87D78" w:rsidRPr="00CB7B64" w:rsidRDefault="00D32849" w:rsidP="00E62AAD">
      <w:pPr>
        <w:jc w:val="center"/>
        <w:rPr>
          <w:szCs w:val="24"/>
        </w:rPr>
      </w:pPr>
      <w:r w:rsidRPr="00CB7B64">
        <w:rPr>
          <w:b/>
          <w:bCs/>
          <w:szCs w:val="24"/>
        </w:rPr>
        <w:t xml:space="preserve">SELECTED CASE </w:t>
      </w:r>
      <w:proofErr w:type="gramStart"/>
      <w:r w:rsidRPr="00CB7B64">
        <w:rPr>
          <w:b/>
          <w:bCs/>
          <w:szCs w:val="24"/>
        </w:rPr>
        <w:t>STUDY</w:t>
      </w:r>
      <w:r w:rsidR="00891D17" w:rsidRPr="00CB7B64">
        <w:rPr>
          <w:b/>
          <w:bCs/>
          <w:szCs w:val="24"/>
        </w:rPr>
        <w:t xml:space="preserve"> </w:t>
      </w:r>
      <w:r w:rsidR="00F87363" w:rsidRPr="00CB7B64">
        <w:rPr>
          <w:b/>
          <w:bCs/>
          <w:szCs w:val="24"/>
        </w:rPr>
        <w:t>:</w:t>
      </w:r>
      <w:proofErr w:type="gramEnd"/>
      <w:r w:rsidR="00F87363" w:rsidRPr="00CB7B64">
        <w:rPr>
          <w:szCs w:val="24"/>
        </w:rPr>
        <w:t xml:space="preserve"> </w:t>
      </w:r>
      <w:r w:rsidRPr="00CB7B64">
        <w:rPr>
          <w:szCs w:val="24"/>
        </w:rPr>
        <w:t xml:space="preserve">INFANT MORPHINE </w:t>
      </w:r>
      <w:r w:rsidR="00CB7B64" w:rsidRPr="00CB7B64">
        <w:rPr>
          <w:szCs w:val="24"/>
        </w:rPr>
        <w:t>OVERDOSE IN NORTH EAST AND YORKSHIRE</w:t>
      </w:r>
    </w:p>
    <w:p w14:paraId="6E15731D" w14:textId="5A2BDE71" w:rsidR="00891D17" w:rsidRPr="00CB7B64" w:rsidRDefault="001778A0" w:rsidP="00E62AAD">
      <w:pPr>
        <w:jc w:val="center"/>
        <w:rPr>
          <w:szCs w:val="24"/>
        </w:rPr>
      </w:pPr>
      <w:r w:rsidRPr="00CB7B64">
        <w:rPr>
          <w:b/>
          <w:bCs/>
          <w:szCs w:val="24"/>
        </w:rPr>
        <w:t xml:space="preserve">MODULE </w:t>
      </w:r>
      <w:proofErr w:type="gramStart"/>
      <w:r w:rsidRPr="00CB7B64">
        <w:rPr>
          <w:b/>
          <w:bCs/>
          <w:szCs w:val="24"/>
        </w:rPr>
        <w:t>CODE</w:t>
      </w:r>
      <w:r w:rsidRPr="00CB7B64">
        <w:rPr>
          <w:szCs w:val="24"/>
        </w:rPr>
        <w:t xml:space="preserve"> :</w:t>
      </w:r>
      <w:proofErr w:type="gramEnd"/>
      <w:r w:rsidRPr="00CB7B64">
        <w:rPr>
          <w:szCs w:val="24"/>
        </w:rPr>
        <w:t xml:space="preserve"> LCHS7002</w:t>
      </w:r>
    </w:p>
    <w:p w14:paraId="51FD401F" w14:textId="77777777" w:rsidR="001D6509" w:rsidRPr="00CB7B64" w:rsidRDefault="001778A0" w:rsidP="00E62AAD">
      <w:pPr>
        <w:jc w:val="center"/>
        <w:rPr>
          <w:szCs w:val="24"/>
        </w:rPr>
      </w:pPr>
      <w:r w:rsidRPr="00CB7B64">
        <w:rPr>
          <w:b/>
          <w:bCs/>
          <w:szCs w:val="24"/>
        </w:rPr>
        <w:t xml:space="preserve">LECTURER </w:t>
      </w:r>
      <w:proofErr w:type="gramStart"/>
      <w:r w:rsidRPr="00CB7B64">
        <w:rPr>
          <w:b/>
          <w:bCs/>
          <w:szCs w:val="24"/>
        </w:rPr>
        <w:t>NAME</w:t>
      </w:r>
      <w:r w:rsidRPr="00CB7B64">
        <w:rPr>
          <w:szCs w:val="24"/>
        </w:rPr>
        <w:t xml:space="preserve"> :</w:t>
      </w:r>
      <w:proofErr w:type="gramEnd"/>
      <w:r w:rsidRPr="00CB7B64">
        <w:rPr>
          <w:szCs w:val="24"/>
        </w:rPr>
        <w:t xml:space="preserve"> SHAILA </w:t>
      </w:r>
      <w:r w:rsidR="001369B6" w:rsidRPr="00CB7B64">
        <w:rPr>
          <w:szCs w:val="24"/>
        </w:rPr>
        <w:t>HUSSAIN</w:t>
      </w:r>
    </w:p>
    <w:p w14:paraId="2668F3A5" w14:textId="77777777" w:rsidR="001762E4" w:rsidRDefault="001369B6" w:rsidP="00E62AAD">
      <w:pPr>
        <w:jc w:val="center"/>
        <w:rPr>
          <w:szCs w:val="24"/>
        </w:rPr>
      </w:pPr>
      <w:r w:rsidRPr="00CB7B64">
        <w:rPr>
          <w:szCs w:val="24"/>
        </w:rPr>
        <w:br/>
      </w:r>
      <w:r w:rsidRPr="001762E4">
        <w:rPr>
          <w:b/>
          <w:bCs/>
          <w:szCs w:val="24"/>
        </w:rPr>
        <w:t xml:space="preserve">STUDENT </w:t>
      </w:r>
      <w:proofErr w:type="gramStart"/>
      <w:r w:rsidRPr="001762E4">
        <w:rPr>
          <w:b/>
          <w:bCs/>
          <w:szCs w:val="24"/>
        </w:rPr>
        <w:t xml:space="preserve">NAME </w:t>
      </w:r>
      <w:r w:rsidRPr="00CB7B64">
        <w:rPr>
          <w:szCs w:val="24"/>
        </w:rPr>
        <w:t>:</w:t>
      </w:r>
      <w:proofErr w:type="gramEnd"/>
      <w:r w:rsidRPr="00CB7B64">
        <w:rPr>
          <w:szCs w:val="24"/>
        </w:rPr>
        <w:t xml:space="preserve"> AMIBEN </w:t>
      </w:r>
      <w:r w:rsidR="001D6509" w:rsidRPr="00CB7B64">
        <w:rPr>
          <w:szCs w:val="24"/>
        </w:rPr>
        <w:t>KINTESHKUMAR PATEL</w:t>
      </w:r>
    </w:p>
    <w:p w14:paraId="33F37C63" w14:textId="2357B58B" w:rsidR="001778A0" w:rsidRPr="00CB7B64" w:rsidRDefault="001D6509" w:rsidP="001762E4">
      <w:pPr>
        <w:jc w:val="center"/>
        <w:rPr>
          <w:szCs w:val="24"/>
        </w:rPr>
      </w:pPr>
      <w:r w:rsidRPr="001762E4">
        <w:rPr>
          <w:b/>
          <w:bCs/>
          <w:szCs w:val="24"/>
        </w:rPr>
        <w:t xml:space="preserve">STUDENT </w:t>
      </w:r>
      <w:proofErr w:type="gramStart"/>
      <w:r w:rsidRPr="001762E4">
        <w:rPr>
          <w:b/>
          <w:bCs/>
          <w:szCs w:val="24"/>
        </w:rPr>
        <w:t>ID</w:t>
      </w:r>
      <w:r w:rsidRPr="00CB7B64">
        <w:rPr>
          <w:szCs w:val="24"/>
        </w:rPr>
        <w:t xml:space="preserve"> :</w:t>
      </w:r>
      <w:proofErr w:type="gramEnd"/>
      <w:r w:rsidRPr="00CB7B64">
        <w:rPr>
          <w:szCs w:val="24"/>
        </w:rPr>
        <w:t xml:space="preserve"> 2526924</w:t>
      </w:r>
    </w:p>
    <w:p w14:paraId="7C78F0EF" w14:textId="5CF869F7" w:rsidR="00E87D78" w:rsidRPr="00CB7B64" w:rsidRDefault="00E87D78" w:rsidP="00E62AAD">
      <w:pPr>
        <w:spacing w:line="276" w:lineRule="auto"/>
        <w:jc w:val="center"/>
        <w:rPr>
          <w:szCs w:val="24"/>
        </w:rPr>
      </w:pPr>
      <w:r w:rsidRPr="00CB7B64">
        <w:rPr>
          <w:szCs w:val="24"/>
        </w:rPr>
        <w:br w:type="page"/>
      </w:r>
    </w:p>
    <w:sdt>
      <w:sdtPr>
        <w:rPr>
          <w:rFonts w:eastAsia="Calibri" w:cstheme="minorBidi"/>
          <w:b w:val="0"/>
          <w:bCs w:val="0"/>
          <w:color w:val="auto"/>
          <w:sz w:val="24"/>
          <w:szCs w:val="22"/>
        </w:rPr>
        <w:id w:val="492767993"/>
        <w:docPartObj>
          <w:docPartGallery w:val="Table of Contents"/>
          <w:docPartUnique/>
        </w:docPartObj>
      </w:sdtPr>
      <w:sdtEndPr>
        <w:rPr>
          <w:noProof/>
        </w:rPr>
      </w:sdtEndPr>
      <w:sdtContent>
        <w:p w14:paraId="31FABDDB" w14:textId="0B7B27BA" w:rsidR="00E87D78" w:rsidRDefault="00E87D78">
          <w:pPr>
            <w:pStyle w:val="TOCHeading"/>
          </w:pPr>
          <w:r>
            <w:t>Table of Contents</w:t>
          </w:r>
        </w:p>
        <w:p w14:paraId="619AE941" w14:textId="432ED4DB" w:rsidR="00622321" w:rsidRDefault="00E87D78">
          <w:pPr>
            <w:pStyle w:val="TOC1"/>
            <w:tabs>
              <w:tab w:val="right" w:leader="dot" w:pos="9736"/>
            </w:tabs>
            <w:rPr>
              <w:rFonts w:asciiTheme="minorHAnsi" w:eastAsiaTheme="minorEastAsia" w:hAnsiTheme="minorHAnsi"/>
              <w:noProof/>
              <w:kern w:val="2"/>
              <w:szCs w:val="21"/>
              <w:lang w:val="en-IN" w:eastAsia="en-IN" w:bidi="hi-IN"/>
              <w14:ligatures w14:val="standardContextual"/>
            </w:rPr>
          </w:pPr>
          <w:r>
            <w:fldChar w:fldCharType="begin"/>
          </w:r>
          <w:r>
            <w:instrText xml:space="preserve"> TOC \o "1-3" \h \z \u </w:instrText>
          </w:r>
          <w:r>
            <w:fldChar w:fldCharType="separate"/>
          </w:r>
          <w:hyperlink w:anchor="_Toc227594980" w:history="1">
            <w:r w:rsidR="00622321" w:rsidRPr="003744A6">
              <w:rPr>
                <w:rStyle w:val="Hyperlink"/>
                <w:noProof/>
              </w:rPr>
              <w:t>Introduction</w:t>
            </w:r>
            <w:r w:rsidR="00622321">
              <w:rPr>
                <w:noProof/>
                <w:webHidden/>
              </w:rPr>
              <w:tab/>
            </w:r>
            <w:r w:rsidR="00622321">
              <w:rPr>
                <w:noProof/>
                <w:webHidden/>
              </w:rPr>
              <w:fldChar w:fldCharType="begin"/>
            </w:r>
            <w:r w:rsidR="00622321">
              <w:rPr>
                <w:noProof/>
                <w:webHidden/>
              </w:rPr>
              <w:instrText xml:space="preserve"> PAGEREF _Toc227594980 \h </w:instrText>
            </w:r>
            <w:r w:rsidR="00622321">
              <w:rPr>
                <w:noProof/>
                <w:webHidden/>
              </w:rPr>
            </w:r>
            <w:r w:rsidR="00622321">
              <w:rPr>
                <w:noProof/>
                <w:webHidden/>
              </w:rPr>
              <w:fldChar w:fldCharType="separate"/>
            </w:r>
            <w:r w:rsidR="00622321">
              <w:rPr>
                <w:noProof/>
                <w:webHidden/>
              </w:rPr>
              <w:t>3</w:t>
            </w:r>
            <w:r w:rsidR="00622321">
              <w:rPr>
                <w:noProof/>
                <w:webHidden/>
              </w:rPr>
              <w:fldChar w:fldCharType="end"/>
            </w:r>
          </w:hyperlink>
        </w:p>
        <w:p w14:paraId="0EF35A0D" w14:textId="3FF91241" w:rsidR="00622321" w:rsidRDefault="00622321">
          <w:pPr>
            <w:pStyle w:val="TOC1"/>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1" w:history="1">
            <w:r w:rsidRPr="003744A6">
              <w:rPr>
                <w:rStyle w:val="Hyperlink"/>
                <w:noProof/>
              </w:rPr>
              <w:t>Main Body and Analysis</w:t>
            </w:r>
            <w:r>
              <w:rPr>
                <w:noProof/>
                <w:webHidden/>
              </w:rPr>
              <w:tab/>
            </w:r>
            <w:r>
              <w:rPr>
                <w:noProof/>
                <w:webHidden/>
              </w:rPr>
              <w:fldChar w:fldCharType="begin"/>
            </w:r>
            <w:r>
              <w:rPr>
                <w:noProof/>
                <w:webHidden/>
              </w:rPr>
              <w:instrText xml:space="preserve"> PAGEREF _Toc227594981 \h </w:instrText>
            </w:r>
            <w:r>
              <w:rPr>
                <w:noProof/>
                <w:webHidden/>
              </w:rPr>
            </w:r>
            <w:r>
              <w:rPr>
                <w:noProof/>
                <w:webHidden/>
              </w:rPr>
              <w:fldChar w:fldCharType="separate"/>
            </w:r>
            <w:r>
              <w:rPr>
                <w:noProof/>
                <w:webHidden/>
              </w:rPr>
              <w:t>4</w:t>
            </w:r>
            <w:r>
              <w:rPr>
                <w:noProof/>
                <w:webHidden/>
              </w:rPr>
              <w:fldChar w:fldCharType="end"/>
            </w:r>
          </w:hyperlink>
        </w:p>
        <w:p w14:paraId="28D26CBB" w14:textId="5626415D" w:rsidR="00622321" w:rsidRDefault="00622321">
          <w:pPr>
            <w:pStyle w:val="TOC2"/>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2" w:history="1">
            <w:r w:rsidRPr="003744A6">
              <w:rPr>
                <w:rStyle w:val="Hyperlink"/>
                <w:noProof/>
              </w:rPr>
              <w:t>a. Identifying the problem and setting the system context: applying systems thinking and the rich picture</w:t>
            </w:r>
            <w:r>
              <w:rPr>
                <w:noProof/>
                <w:webHidden/>
              </w:rPr>
              <w:tab/>
            </w:r>
            <w:r>
              <w:rPr>
                <w:noProof/>
                <w:webHidden/>
              </w:rPr>
              <w:fldChar w:fldCharType="begin"/>
            </w:r>
            <w:r>
              <w:rPr>
                <w:noProof/>
                <w:webHidden/>
              </w:rPr>
              <w:instrText xml:space="preserve"> PAGEREF _Toc227594982 \h </w:instrText>
            </w:r>
            <w:r>
              <w:rPr>
                <w:noProof/>
                <w:webHidden/>
              </w:rPr>
            </w:r>
            <w:r>
              <w:rPr>
                <w:noProof/>
                <w:webHidden/>
              </w:rPr>
              <w:fldChar w:fldCharType="separate"/>
            </w:r>
            <w:r>
              <w:rPr>
                <w:noProof/>
                <w:webHidden/>
              </w:rPr>
              <w:t>4</w:t>
            </w:r>
            <w:r>
              <w:rPr>
                <w:noProof/>
                <w:webHidden/>
              </w:rPr>
              <w:fldChar w:fldCharType="end"/>
            </w:r>
          </w:hyperlink>
        </w:p>
        <w:p w14:paraId="2BA20AC4" w14:textId="52FA68E9" w:rsidR="00622321" w:rsidRDefault="00622321">
          <w:pPr>
            <w:pStyle w:val="TOC2"/>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3" w:history="1">
            <w:r w:rsidRPr="003744A6">
              <w:rPr>
                <w:rStyle w:val="Hyperlink"/>
                <w:noProof/>
              </w:rPr>
              <w:t>b. Centralisation or decentralisation within the case study</w:t>
            </w:r>
            <w:r>
              <w:rPr>
                <w:noProof/>
                <w:webHidden/>
              </w:rPr>
              <w:tab/>
            </w:r>
            <w:r>
              <w:rPr>
                <w:noProof/>
                <w:webHidden/>
              </w:rPr>
              <w:fldChar w:fldCharType="begin"/>
            </w:r>
            <w:r>
              <w:rPr>
                <w:noProof/>
                <w:webHidden/>
              </w:rPr>
              <w:instrText xml:space="preserve"> PAGEREF _Toc227594983 \h </w:instrText>
            </w:r>
            <w:r>
              <w:rPr>
                <w:noProof/>
                <w:webHidden/>
              </w:rPr>
            </w:r>
            <w:r>
              <w:rPr>
                <w:noProof/>
                <w:webHidden/>
              </w:rPr>
              <w:fldChar w:fldCharType="separate"/>
            </w:r>
            <w:r>
              <w:rPr>
                <w:noProof/>
                <w:webHidden/>
              </w:rPr>
              <w:t>7</w:t>
            </w:r>
            <w:r>
              <w:rPr>
                <w:noProof/>
                <w:webHidden/>
              </w:rPr>
              <w:fldChar w:fldCharType="end"/>
            </w:r>
          </w:hyperlink>
        </w:p>
        <w:p w14:paraId="0283C9F6" w14:textId="3228A95F" w:rsidR="00622321" w:rsidRDefault="00622321">
          <w:pPr>
            <w:pStyle w:val="TOC2"/>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4" w:history="1">
            <w:r w:rsidRPr="003744A6">
              <w:rPr>
                <w:rStyle w:val="Hyperlink"/>
                <w:noProof/>
              </w:rPr>
              <w:t>c. Leadership theories and application to the case study</w:t>
            </w:r>
            <w:r>
              <w:rPr>
                <w:noProof/>
                <w:webHidden/>
              </w:rPr>
              <w:tab/>
            </w:r>
            <w:r>
              <w:rPr>
                <w:noProof/>
                <w:webHidden/>
              </w:rPr>
              <w:fldChar w:fldCharType="begin"/>
            </w:r>
            <w:r>
              <w:rPr>
                <w:noProof/>
                <w:webHidden/>
              </w:rPr>
              <w:instrText xml:space="preserve"> PAGEREF _Toc227594984 \h </w:instrText>
            </w:r>
            <w:r>
              <w:rPr>
                <w:noProof/>
                <w:webHidden/>
              </w:rPr>
            </w:r>
            <w:r>
              <w:rPr>
                <w:noProof/>
                <w:webHidden/>
              </w:rPr>
              <w:fldChar w:fldCharType="separate"/>
            </w:r>
            <w:r>
              <w:rPr>
                <w:noProof/>
                <w:webHidden/>
              </w:rPr>
              <w:t>8</w:t>
            </w:r>
            <w:r>
              <w:rPr>
                <w:noProof/>
                <w:webHidden/>
              </w:rPr>
              <w:fldChar w:fldCharType="end"/>
            </w:r>
          </w:hyperlink>
        </w:p>
        <w:p w14:paraId="14E7A428" w14:textId="768B0181" w:rsidR="00622321" w:rsidRDefault="00622321">
          <w:pPr>
            <w:pStyle w:val="TOC2"/>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5" w:history="1">
            <w:r w:rsidRPr="003744A6">
              <w:rPr>
                <w:rStyle w:val="Hyperlink"/>
                <w:noProof/>
              </w:rPr>
              <w:t>d. Improvement and lessons learned</w:t>
            </w:r>
            <w:r>
              <w:rPr>
                <w:noProof/>
                <w:webHidden/>
              </w:rPr>
              <w:tab/>
            </w:r>
            <w:r>
              <w:rPr>
                <w:noProof/>
                <w:webHidden/>
              </w:rPr>
              <w:fldChar w:fldCharType="begin"/>
            </w:r>
            <w:r>
              <w:rPr>
                <w:noProof/>
                <w:webHidden/>
              </w:rPr>
              <w:instrText xml:space="preserve"> PAGEREF _Toc227594985 \h </w:instrText>
            </w:r>
            <w:r>
              <w:rPr>
                <w:noProof/>
                <w:webHidden/>
              </w:rPr>
            </w:r>
            <w:r>
              <w:rPr>
                <w:noProof/>
                <w:webHidden/>
              </w:rPr>
              <w:fldChar w:fldCharType="separate"/>
            </w:r>
            <w:r>
              <w:rPr>
                <w:noProof/>
                <w:webHidden/>
              </w:rPr>
              <w:t>11</w:t>
            </w:r>
            <w:r>
              <w:rPr>
                <w:noProof/>
                <w:webHidden/>
              </w:rPr>
              <w:fldChar w:fldCharType="end"/>
            </w:r>
          </w:hyperlink>
        </w:p>
        <w:p w14:paraId="15915872" w14:textId="30FFEDF2" w:rsidR="00622321" w:rsidRDefault="00622321">
          <w:pPr>
            <w:pStyle w:val="TOC1"/>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6" w:history="1">
            <w:r w:rsidRPr="003744A6">
              <w:rPr>
                <w:rStyle w:val="Hyperlink"/>
                <w:noProof/>
              </w:rPr>
              <w:t>Recommendations</w:t>
            </w:r>
            <w:r>
              <w:rPr>
                <w:noProof/>
                <w:webHidden/>
              </w:rPr>
              <w:tab/>
            </w:r>
            <w:r>
              <w:rPr>
                <w:noProof/>
                <w:webHidden/>
              </w:rPr>
              <w:fldChar w:fldCharType="begin"/>
            </w:r>
            <w:r>
              <w:rPr>
                <w:noProof/>
                <w:webHidden/>
              </w:rPr>
              <w:instrText xml:space="preserve"> PAGEREF _Toc227594986 \h </w:instrText>
            </w:r>
            <w:r>
              <w:rPr>
                <w:noProof/>
                <w:webHidden/>
              </w:rPr>
            </w:r>
            <w:r>
              <w:rPr>
                <w:noProof/>
                <w:webHidden/>
              </w:rPr>
              <w:fldChar w:fldCharType="separate"/>
            </w:r>
            <w:r>
              <w:rPr>
                <w:noProof/>
                <w:webHidden/>
              </w:rPr>
              <w:t>13</w:t>
            </w:r>
            <w:r>
              <w:rPr>
                <w:noProof/>
                <w:webHidden/>
              </w:rPr>
              <w:fldChar w:fldCharType="end"/>
            </w:r>
          </w:hyperlink>
        </w:p>
        <w:p w14:paraId="03FAC397" w14:textId="02CC4C37" w:rsidR="00622321" w:rsidRDefault="00622321">
          <w:pPr>
            <w:pStyle w:val="TOC1"/>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7" w:history="1">
            <w:r w:rsidRPr="003744A6">
              <w:rPr>
                <w:rStyle w:val="Hyperlink"/>
                <w:noProof/>
              </w:rPr>
              <w:t>Conclusion</w:t>
            </w:r>
            <w:r>
              <w:rPr>
                <w:noProof/>
                <w:webHidden/>
              </w:rPr>
              <w:tab/>
            </w:r>
            <w:r>
              <w:rPr>
                <w:noProof/>
                <w:webHidden/>
              </w:rPr>
              <w:fldChar w:fldCharType="begin"/>
            </w:r>
            <w:r>
              <w:rPr>
                <w:noProof/>
                <w:webHidden/>
              </w:rPr>
              <w:instrText xml:space="preserve"> PAGEREF _Toc227594987 \h </w:instrText>
            </w:r>
            <w:r>
              <w:rPr>
                <w:noProof/>
                <w:webHidden/>
              </w:rPr>
            </w:r>
            <w:r>
              <w:rPr>
                <w:noProof/>
                <w:webHidden/>
              </w:rPr>
              <w:fldChar w:fldCharType="separate"/>
            </w:r>
            <w:r>
              <w:rPr>
                <w:noProof/>
                <w:webHidden/>
              </w:rPr>
              <w:t>14</w:t>
            </w:r>
            <w:r>
              <w:rPr>
                <w:noProof/>
                <w:webHidden/>
              </w:rPr>
              <w:fldChar w:fldCharType="end"/>
            </w:r>
          </w:hyperlink>
        </w:p>
        <w:p w14:paraId="462E37D8" w14:textId="45E44B9F" w:rsidR="00622321" w:rsidRDefault="00622321">
          <w:pPr>
            <w:pStyle w:val="TOC1"/>
            <w:tabs>
              <w:tab w:val="right" w:leader="dot" w:pos="9736"/>
            </w:tabs>
            <w:rPr>
              <w:rFonts w:asciiTheme="minorHAnsi" w:eastAsiaTheme="minorEastAsia" w:hAnsiTheme="minorHAnsi"/>
              <w:noProof/>
              <w:kern w:val="2"/>
              <w:szCs w:val="21"/>
              <w:lang w:val="en-IN" w:eastAsia="en-IN" w:bidi="hi-IN"/>
              <w14:ligatures w14:val="standardContextual"/>
            </w:rPr>
          </w:pPr>
          <w:hyperlink w:anchor="_Toc227594988" w:history="1">
            <w:r w:rsidRPr="003744A6">
              <w:rPr>
                <w:rStyle w:val="Hyperlink"/>
                <w:noProof/>
              </w:rPr>
              <w:t>Reference List</w:t>
            </w:r>
            <w:r>
              <w:rPr>
                <w:noProof/>
                <w:webHidden/>
              </w:rPr>
              <w:tab/>
            </w:r>
            <w:r>
              <w:rPr>
                <w:noProof/>
                <w:webHidden/>
              </w:rPr>
              <w:fldChar w:fldCharType="begin"/>
            </w:r>
            <w:r>
              <w:rPr>
                <w:noProof/>
                <w:webHidden/>
              </w:rPr>
              <w:instrText xml:space="preserve"> PAGEREF _Toc227594988 \h </w:instrText>
            </w:r>
            <w:r>
              <w:rPr>
                <w:noProof/>
                <w:webHidden/>
              </w:rPr>
            </w:r>
            <w:r>
              <w:rPr>
                <w:noProof/>
                <w:webHidden/>
              </w:rPr>
              <w:fldChar w:fldCharType="separate"/>
            </w:r>
            <w:r>
              <w:rPr>
                <w:noProof/>
                <w:webHidden/>
              </w:rPr>
              <w:t>16</w:t>
            </w:r>
            <w:r>
              <w:rPr>
                <w:noProof/>
                <w:webHidden/>
              </w:rPr>
              <w:fldChar w:fldCharType="end"/>
            </w:r>
          </w:hyperlink>
        </w:p>
        <w:p w14:paraId="7B523633" w14:textId="762137F3" w:rsidR="00E87D78" w:rsidRDefault="00E87D78">
          <w:r>
            <w:rPr>
              <w:b/>
              <w:bCs/>
              <w:noProof/>
            </w:rPr>
            <w:fldChar w:fldCharType="end"/>
          </w:r>
        </w:p>
      </w:sdtContent>
    </w:sdt>
    <w:p w14:paraId="5F74D291" w14:textId="77777777" w:rsidR="006E7D50" w:rsidRDefault="006E7D50" w:rsidP="00E87D78"/>
    <w:p w14:paraId="54214556" w14:textId="77777777" w:rsidR="00DE5F78" w:rsidRDefault="00DE5F78">
      <w:pPr>
        <w:rPr>
          <w:rFonts w:asciiTheme="majorHAnsi" w:eastAsiaTheme="majorEastAsia" w:hAnsiTheme="majorHAnsi" w:cstheme="majorBidi"/>
          <w:b/>
          <w:bCs/>
          <w:color w:val="1F4E79"/>
          <w:sz w:val="30"/>
          <w:szCs w:val="28"/>
        </w:rPr>
      </w:pPr>
      <w:r>
        <w:br w:type="page"/>
      </w:r>
    </w:p>
    <w:p w14:paraId="6477839C" w14:textId="1F77DB35" w:rsidR="006E7D50" w:rsidRDefault="00F87363">
      <w:pPr>
        <w:pStyle w:val="Heading1"/>
      </w:pPr>
      <w:bookmarkStart w:id="0" w:name="_Toc227594980"/>
      <w:r>
        <w:lastRenderedPageBreak/>
        <w:t>Introduction</w:t>
      </w:r>
      <w:bookmarkEnd w:id="0"/>
    </w:p>
    <w:p w14:paraId="19E20C19" w14:textId="5C9BEFD6" w:rsidR="0071018C" w:rsidRDefault="0071018C" w:rsidP="0071018C">
      <w:pPr>
        <w:spacing w:after="140"/>
      </w:pPr>
      <w:r>
        <w:t xml:space="preserve">This report discusses the case of </w:t>
      </w:r>
      <w:proofErr w:type="spellStart"/>
      <w:r>
        <w:t>organisational</w:t>
      </w:r>
      <w:proofErr w:type="spellEnd"/>
      <w:r>
        <w:t xml:space="preserve"> change in response to serious patient-safety failure: the case of infant morphine overdose in NHS England North East and Yorkshire. The case was of a </w:t>
      </w:r>
      <w:proofErr w:type="gramStart"/>
      <w:r>
        <w:t>4 week old</w:t>
      </w:r>
      <w:proofErr w:type="gramEnd"/>
      <w:r>
        <w:t xml:space="preserve"> baby admitted to the Accident and Emergency with morphine sulphate oral solution having an approximate dose of twenty times the required dose. The family was given 10 mg/5ml oral solution rather than the planned 100 micrograms/ml oral solution, despite the fact that the lower strength formulation was being managed regionally as a hospital-only red drug, which should have ordinarily been under specialist control (NHS England North East and Yorkshire, 2023).</w:t>
      </w:r>
      <w:r w:rsidR="00E85175">
        <w:t xml:space="preserve"> </w:t>
      </w:r>
      <w:r>
        <w:t xml:space="preserve">The case is significant since it was not reported as a single accident. According to the regional case-study summary, this was the fifth such incident in the past since 2018 and that one of the earlier cases had led to the death of a baby. That trend indicates that the incident must be viewed as a sign of recurring system vulnerability, ineffective </w:t>
      </w:r>
      <w:proofErr w:type="spellStart"/>
      <w:r>
        <w:t>organisational</w:t>
      </w:r>
      <w:proofErr w:type="spellEnd"/>
      <w:r>
        <w:t xml:space="preserve"> learning, and insufficient control over high-risk medicines across care boundaries instead of an individual error on the part of a single individual (NHS England North East and Yorkshire, 2023).</w:t>
      </w:r>
    </w:p>
    <w:p w14:paraId="0A761497" w14:textId="6A2A3DBA" w:rsidR="0071018C" w:rsidRDefault="0071018C" w:rsidP="0071018C">
      <w:pPr>
        <w:spacing w:after="140"/>
      </w:pPr>
      <w:r>
        <w:t xml:space="preserve">The leadership in health and social care may be conceived as the process of exerting the influence on people and systems to accomplish the shared goals, particularly, the safe, effective, and accountable care. Leadership has no limits in the modern healthcare practice, especially when it comes to managerial positions. It is practiced by enacting escalation, communication, risk ownership, oversight, and capacity to transform learning into routine practice. Recent surveys indicate that the leadership style is a determinant of the patient-safety culture, quality of care, staff engagement, and the overall willingness of </w:t>
      </w:r>
      <w:proofErr w:type="spellStart"/>
      <w:r>
        <w:t>organisations</w:t>
      </w:r>
      <w:proofErr w:type="spellEnd"/>
      <w:r>
        <w:t xml:space="preserve"> to embrace change (</w:t>
      </w:r>
      <w:proofErr w:type="spellStart"/>
      <w:r>
        <w:t>Specchia</w:t>
      </w:r>
      <w:proofErr w:type="spellEnd"/>
      <w:r>
        <w:t xml:space="preserve"> et al., 2025).</w:t>
      </w:r>
      <w:r w:rsidR="00E85175">
        <w:t xml:space="preserve"> </w:t>
      </w:r>
      <w:r>
        <w:t xml:space="preserve">This case also revolves around </w:t>
      </w:r>
      <w:proofErr w:type="spellStart"/>
      <w:r>
        <w:t>centralisation</w:t>
      </w:r>
      <w:proofErr w:type="spellEnd"/>
      <w:r>
        <w:t xml:space="preserve"> and </w:t>
      </w:r>
      <w:proofErr w:type="spellStart"/>
      <w:r>
        <w:t>decentralisation</w:t>
      </w:r>
      <w:proofErr w:type="spellEnd"/>
      <w:r>
        <w:t xml:space="preserve">. </w:t>
      </w:r>
      <w:proofErr w:type="spellStart"/>
      <w:r>
        <w:t>Centralisation</w:t>
      </w:r>
      <w:proofErr w:type="spellEnd"/>
      <w:r>
        <w:t xml:space="preserve"> describes authority and decision-making being focused at the higher levels or specialist levels and </w:t>
      </w:r>
      <w:proofErr w:type="spellStart"/>
      <w:r>
        <w:t>decentralisation</w:t>
      </w:r>
      <w:proofErr w:type="spellEnd"/>
      <w:r>
        <w:t xml:space="preserve"> describes the distribution of authority to the local teams and the </w:t>
      </w:r>
      <w:proofErr w:type="gramStart"/>
      <w:r>
        <w:t>front line</w:t>
      </w:r>
      <w:proofErr w:type="gramEnd"/>
      <w:r>
        <w:t xml:space="preserve"> professionals. </w:t>
      </w:r>
      <w:proofErr w:type="spellStart"/>
      <w:r>
        <w:t>Centralised</w:t>
      </w:r>
      <w:proofErr w:type="spellEnd"/>
      <w:r>
        <w:t xml:space="preserve"> control in health systems may decrease high-risk variation in key areas like medicines governance, whereas </w:t>
      </w:r>
      <w:proofErr w:type="spellStart"/>
      <w:r>
        <w:t>decentralisation</w:t>
      </w:r>
      <w:proofErr w:type="spellEnd"/>
      <w:r>
        <w:t xml:space="preserve"> may enhance the responsiveness and flexibility of local areas. However, in cases where the two arrangements are misaligned, patients can become vulnerable to unsafe service interface gaps. Recent surveys indicate that the impacts of </w:t>
      </w:r>
      <w:proofErr w:type="spellStart"/>
      <w:r>
        <w:t>decentralisation</w:t>
      </w:r>
      <w:proofErr w:type="spellEnd"/>
      <w:r>
        <w:t xml:space="preserve"> on efficiency, effectiveness, and equity are largely determined by the quality of governance, the strength of implementation, and accountability measures (Kwon and Kim, 2024).</w:t>
      </w:r>
    </w:p>
    <w:p w14:paraId="729669DF" w14:textId="41E9D82B" w:rsidR="006E7D50" w:rsidRDefault="0071018C" w:rsidP="0071018C">
      <w:pPr>
        <w:spacing w:after="140"/>
      </w:pPr>
      <w:r>
        <w:lastRenderedPageBreak/>
        <w:t xml:space="preserve">There are various theories of leadership that assist in the analysis. Transactional leadership focuses on adherence, domination and performance in comparison to the set processes. Transformational leadership </w:t>
      </w:r>
      <w:proofErr w:type="spellStart"/>
      <w:r>
        <w:t>emphasises</w:t>
      </w:r>
      <w:proofErr w:type="spellEnd"/>
      <w:r>
        <w:t xml:space="preserve"> shared purpose, motivation, and culture change. Situational leadership states that the </w:t>
      </w:r>
      <w:proofErr w:type="spellStart"/>
      <w:r>
        <w:t>behaviour</w:t>
      </w:r>
      <w:proofErr w:type="spellEnd"/>
      <w:r>
        <w:t xml:space="preserve"> of leadership should vary based on context and level of risk. During high-risk care transitions, transactional leadership might not adequately address ambiguity, communication breakdown, and human factors, whereas adaptive and transformational leadership is more likely to facilitate anticipation, collaboration, and safe redesign (Singh, </w:t>
      </w:r>
      <w:proofErr w:type="spellStart"/>
      <w:r>
        <w:t>Yeravdekar</w:t>
      </w:r>
      <w:proofErr w:type="spellEnd"/>
      <w:r>
        <w:t xml:space="preserve"> and Jadhav, 2024).</w:t>
      </w:r>
      <w:r w:rsidR="00E85175">
        <w:t xml:space="preserve"> </w:t>
      </w:r>
      <w:r>
        <w:t xml:space="preserve">Five interconnected objectives are thus covered in this report. It firstly defines the problem and puts it in a broader system context through systems thinking and a rich picture. Second, it assesses whether the case is </w:t>
      </w:r>
      <w:proofErr w:type="spellStart"/>
      <w:r>
        <w:t>centralised</w:t>
      </w:r>
      <w:proofErr w:type="spellEnd"/>
      <w:r>
        <w:t xml:space="preserve">, </w:t>
      </w:r>
      <w:proofErr w:type="spellStart"/>
      <w:r>
        <w:t>decentralised</w:t>
      </w:r>
      <w:proofErr w:type="spellEnd"/>
      <w:r>
        <w:t xml:space="preserve">, or hybrid governance. Third, it uses theories of leadership to inform how leadership facilitated or impeded safe care. Fourth, it looks at areas of improvement and learnings to other </w:t>
      </w:r>
      <w:proofErr w:type="spellStart"/>
      <w:r>
        <w:t>organisations</w:t>
      </w:r>
      <w:proofErr w:type="spellEnd"/>
      <w:r>
        <w:t>. Lastly, it provides viable suggestions to achieve long-term governance, communication, efficiency, and learning</w:t>
      </w:r>
      <w:r w:rsidR="00F87363">
        <w:t>.</w:t>
      </w:r>
    </w:p>
    <w:p w14:paraId="40EA4263" w14:textId="2829A826" w:rsidR="003618DE" w:rsidRDefault="003618DE" w:rsidP="003618DE">
      <w:pPr>
        <w:pStyle w:val="Heading1"/>
      </w:pPr>
      <w:bookmarkStart w:id="1" w:name="_Toc227594981"/>
      <w:r>
        <w:t>Main Body and Analysis</w:t>
      </w:r>
      <w:bookmarkEnd w:id="1"/>
    </w:p>
    <w:p w14:paraId="0F688F2B" w14:textId="77777777" w:rsidR="006E7D50" w:rsidRDefault="00F87363">
      <w:pPr>
        <w:pStyle w:val="Heading2"/>
      </w:pPr>
      <w:bookmarkStart w:id="2" w:name="_Toc227594982"/>
      <w:r>
        <w:t>a. Identifying the problem and setting the system context: applying systems thinking and the rich picture</w:t>
      </w:r>
      <w:bookmarkEnd w:id="2"/>
    </w:p>
    <w:p w14:paraId="54C34A07" w14:textId="189985CB" w:rsidR="00D300CE" w:rsidRDefault="00D300CE" w:rsidP="00D300CE">
      <w:pPr>
        <w:spacing w:after="140"/>
      </w:pPr>
      <w:r>
        <w:t xml:space="preserve">The </w:t>
      </w:r>
      <w:proofErr w:type="gramStart"/>
      <w:r>
        <w:t>short term</w:t>
      </w:r>
      <w:proofErr w:type="gramEnd"/>
      <w:r>
        <w:t xml:space="preserve"> issue in this instance was a serious medication error, yet the underlying issue was a series of system breakdowns across the discharge, prescribing, dispensing, counselling and follow-up. The hospital had already provided the proper low-strength morphine formulation, but the handwritten discharge report to primary care was not clear. The GP then ordered morphine in micrograms but lacked a strong mechanism to make sure that the right specialist formulation was obtained. The community pharmacy provided a higher concentration, and the family had been using a known amount of liquid since the concentration change had not been well explained (NHS England North East and Yorkshire, 2023).</w:t>
      </w:r>
      <w:r w:rsidR="00E85175">
        <w:t xml:space="preserve"> </w:t>
      </w:r>
      <w:r>
        <w:t>It requires a systems perspective since no individual professional was in charge of the entire pathway. Rather, the baby was found in a network of interdependent actors, such as the hospital neonatal team, discharge documentation, the GP practice, prescribing systems, the community pharmacy, the family, and the emergency services. The literature on systems thinking contends that such safety issues occur when the components that are interdependent are loosely coupled, when local solutions only redistribute risk instead of eliminating it, and when feedback loops fail to reach the appropriate decision-makers promptly (Thelen et al., 2023).</w:t>
      </w:r>
    </w:p>
    <w:p w14:paraId="7370A4AC" w14:textId="15249EDB" w:rsidR="00D300CE" w:rsidRDefault="00D300CE" w:rsidP="00D300CE">
      <w:pPr>
        <w:spacing w:after="140"/>
      </w:pPr>
      <w:r>
        <w:lastRenderedPageBreak/>
        <w:t>The case is also of global significance. According to the World Health Organization, unsafe medication practice and medication errors have continued to be a major cause of preventable harm and estimates the global cost of medication error to be 42 billion US dollars a year. That number shows that medication safety is not a marginal topic, but a significant systems challenge that influences the quality of care, its efficiency, and public trust both on a national and global scale (World Health Organization, 2024).</w:t>
      </w:r>
      <w:r w:rsidR="00E85175">
        <w:t xml:space="preserve"> </w:t>
      </w:r>
      <w:r>
        <w:t xml:space="preserve">Recent evidence on transitions of care supports the same argument. Jošt et al. (2024) reported a pragmatic clinical trial that medication transitions continue to be a core location of avoidable error and unwarranted healthcare utilization, and that medication discrepancies studies in older adults have shown that unintended discrepancies in care transitions are frequent and can heighten the risk of post-discharge emergency attendance (Jošt et al., 2024). The same issues can be observed in the context of </w:t>
      </w:r>
      <w:proofErr w:type="spellStart"/>
      <w:r>
        <w:t>paediatrics</w:t>
      </w:r>
      <w:proofErr w:type="spellEnd"/>
      <w:r>
        <w:t>, where the emergency and discharge processes are likely to be especially susceptible to dosage, reconciliation, and communication errors (</w:t>
      </w:r>
      <w:proofErr w:type="spellStart"/>
      <w:r>
        <w:t>Alsabri</w:t>
      </w:r>
      <w:proofErr w:type="spellEnd"/>
      <w:r>
        <w:t xml:space="preserve"> et al., 2024).</w:t>
      </w:r>
    </w:p>
    <w:p w14:paraId="5FC75EE5" w14:textId="0E095FA5" w:rsidR="00D300CE" w:rsidRDefault="00D300CE" w:rsidP="00D300CE">
      <w:pPr>
        <w:spacing w:after="140"/>
      </w:pPr>
      <w:r>
        <w:t xml:space="preserve">On the national level, the NHS Staff Survey 2024 indicates the </w:t>
      </w:r>
      <w:proofErr w:type="spellStart"/>
      <w:r>
        <w:t>organisational</w:t>
      </w:r>
      <w:proofErr w:type="spellEnd"/>
      <w:r>
        <w:t xml:space="preserve"> background within which safety issues are handled. Over 1.5 million NHS workers in England were invited to participate in the survey and 774,828 employees responded, which provides a response rate of 50 percent. The patient-safety section reported that over eight in ten staff thought that their </w:t>
      </w:r>
      <w:proofErr w:type="spellStart"/>
      <w:r>
        <w:t>organisation</w:t>
      </w:r>
      <w:proofErr w:type="spellEnd"/>
      <w:r>
        <w:t xml:space="preserve"> promoted reporting of errors, near misses and incidents, but only six in ten staff thought that staff involved in such incidents were treated fairly. About one-third of the staff reported experiencing errors, near misses, or incidents that could have injured staff or patients within the last month, indicating that safety issues are still very visible in the day-to-day work of the NHS (NHS Staff Survey, 2024).</w:t>
      </w:r>
      <w:r w:rsidR="00E85175">
        <w:t xml:space="preserve"> </w:t>
      </w:r>
      <w:r>
        <w:t>Such national results are significant to this case as they demonstrate that formal promotion of reporting incidents does not necessarily result in a completely safe culture. Unless the staff can receive timely, fair and useful feedback to their concerns, the warning signs can still be missed in time to stop unsafe processes. This is supported by the psychological safety literature that indicates that employees would be more willing to recognize and communicate issues when teams endorse an open challenge, respectful response, and collaborative problem-solving (Montgomery et al., 2025).</w:t>
      </w:r>
    </w:p>
    <w:p w14:paraId="1A95FAD8" w14:textId="17B6EB25" w:rsidR="006E7D50" w:rsidRDefault="00D300CE">
      <w:pPr>
        <w:spacing w:after="140"/>
      </w:pPr>
      <w:r>
        <w:t xml:space="preserve">The level of governance that affected the situation was the local and the regional. The trust, GP practice and community pharmacy each had their own processes on a local basis. The medicine was a red drug regionally, which indicated official prescribing limitations. However, since the medicine was transferred between a hospital and a community environment, the real safety of the pathway relied upon the interaction of the structures in practice. Boddy and Avery explain that the interface between </w:t>
      </w:r>
      <w:r>
        <w:lastRenderedPageBreak/>
        <w:t>primary and secondary care is a heterogeneous system that can produce unnecessary of additional harm and workload when information sharing is not well-developed, which perfectly fits this scenario (Boddy and Avery, 2024).</w:t>
      </w:r>
    </w:p>
    <w:tbl>
      <w:tblPr>
        <w:tblStyle w:val="TableGrid"/>
        <w:tblW w:w="0" w:type="auto"/>
        <w:jc w:val="center"/>
        <w:tblLook w:val="04A0" w:firstRow="1" w:lastRow="0" w:firstColumn="1" w:lastColumn="0" w:noHBand="0" w:noVBand="1"/>
      </w:tblPr>
      <w:tblGrid>
        <w:gridCol w:w="3245"/>
        <w:gridCol w:w="3245"/>
        <w:gridCol w:w="3246"/>
      </w:tblGrid>
      <w:tr w:rsidR="00E13ADA" w14:paraId="1563F750" w14:textId="77777777" w:rsidTr="00E13ADA">
        <w:trPr>
          <w:jc w:val="center"/>
        </w:trPr>
        <w:tc>
          <w:tcPr>
            <w:tcW w:w="3245" w:type="dxa"/>
            <w:shd w:val="clear" w:color="auto" w:fill="D9EAF7"/>
          </w:tcPr>
          <w:p w14:paraId="06C4FE8C" w14:textId="77777777" w:rsidR="00E13ADA" w:rsidRDefault="00E13ADA" w:rsidP="00E13ADA">
            <w:r>
              <w:t>System actor / process</w:t>
            </w:r>
          </w:p>
        </w:tc>
        <w:tc>
          <w:tcPr>
            <w:tcW w:w="3245" w:type="dxa"/>
            <w:shd w:val="clear" w:color="auto" w:fill="D9EAF7"/>
          </w:tcPr>
          <w:p w14:paraId="4E65FEAD" w14:textId="2DEAC477" w:rsidR="00E13ADA" w:rsidRDefault="00E13ADA" w:rsidP="00E13ADA">
            <w:r w:rsidRPr="000967CE">
              <w:t>What ought to have been the case.</w:t>
            </w:r>
          </w:p>
        </w:tc>
        <w:tc>
          <w:tcPr>
            <w:tcW w:w="3246" w:type="dxa"/>
            <w:shd w:val="clear" w:color="auto" w:fill="D9EAF7"/>
          </w:tcPr>
          <w:p w14:paraId="39E80711" w14:textId="7E6C9423" w:rsidR="00E13ADA" w:rsidRDefault="00E13ADA" w:rsidP="00E13ADA">
            <w:r w:rsidRPr="004668C1">
              <w:t>What was unsuccessful in this instance</w:t>
            </w:r>
          </w:p>
        </w:tc>
      </w:tr>
      <w:tr w:rsidR="00E13ADA" w14:paraId="7C2B59F5" w14:textId="77777777" w:rsidTr="008E22CE">
        <w:trPr>
          <w:jc w:val="center"/>
        </w:trPr>
        <w:tc>
          <w:tcPr>
            <w:tcW w:w="3245" w:type="dxa"/>
            <w:vAlign w:val="center"/>
          </w:tcPr>
          <w:p w14:paraId="37136D43" w14:textId="77777777" w:rsidR="00E13ADA" w:rsidRDefault="00E13ADA" w:rsidP="00E13ADA">
            <w:r>
              <w:t>Hospital discharge</w:t>
            </w:r>
          </w:p>
        </w:tc>
        <w:tc>
          <w:tcPr>
            <w:tcW w:w="3245" w:type="dxa"/>
          </w:tcPr>
          <w:p w14:paraId="7F537BD4" w14:textId="1E7C239F" w:rsidR="00E13ADA" w:rsidRDefault="00E13ADA" w:rsidP="00E13ADA">
            <w:r w:rsidRPr="000967CE">
              <w:t>Clearly hand over electronic specialists with precise formulation, dose and volume.</w:t>
            </w:r>
          </w:p>
        </w:tc>
        <w:tc>
          <w:tcPr>
            <w:tcW w:w="3246" w:type="dxa"/>
          </w:tcPr>
          <w:p w14:paraId="40C261B6" w14:textId="60156F51" w:rsidR="00E13ADA" w:rsidRDefault="00E13ADA" w:rsidP="00E13ADA">
            <w:r w:rsidRPr="004668C1">
              <w:t>Risk of handwritten summary and incomplete transfer of medication.</w:t>
            </w:r>
          </w:p>
        </w:tc>
      </w:tr>
      <w:tr w:rsidR="00E13ADA" w14:paraId="56ACF2BD" w14:textId="77777777" w:rsidTr="008E22CE">
        <w:trPr>
          <w:jc w:val="center"/>
        </w:trPr>
        <w:tc>
          <w:tcPr>
            <w:tcW w:w="3245" w:type="dxa"/>
            <w:vAlign w:val="center"/>
          </w:tcPr>
          <w:p w14:paraId="2626F9DA" w14:textId="77777777" w:rsidR="00E13ADA" w:rsidRDefault="00E13ADA" w:rsidP="00E13ADA">
            <w:r>
              <w:t>GP prescribing</w:t>
            </w:r>
          </w:p>
        </w:tc>
        <w:tc>
          <w:tcPr>
            <w:tcW w:w="3245" w:type="dxa"/>
          </w:tcPr>
          <w:p w14:paraId="404BDEC3" w14:textId="15885DC6" w:rsidR="00E13ADA" w:rsidRDefault="00E13ADA" w:rsidP="00E13ADA">
            <w:r w:rsidRPr="000967CE">
              <w:t>Awareness that the medicine is to be in specialist care or induce direct explanation.</w:t>
            </w:r>
          </w:p>
        </w:tc>
        <w:tc>
          <w:tcPr>
            <w:tcW w:w="3246" w:type="dxa"/>
          </w:tcPr>
          <w:p w14:paraId="39ADAC04" w14:textId="40CD2C5A" w:rsidR="00E13ADA" w:rsidRDefault="00E13ADA" w:rsidP="00E13ADA">
            <w:r w:rsidRPr="004668C1">
              <w:t>Prescriber did not know about the specials product and made a community prescription.</w:t>
            </w:r>
          </w:p>
        </w:tc>
      </w:tr>
      <w:tr w:rsidR="00E13ADA" w14:paraId="3F918AE7" w14:textId="77777777" w:rsidTr="008E22CE">
        <w:trPr>
          <w:jc w:val="center"/>
        </w:trPr>
        <w:tc>
          <w:tcPr>
            <w:tcW w:w="3245" w:type="dxa"/>
            <w:vAlign w:val="center"/>
          </w:tcPr>
          <w:p w14:paraId="43E91BF8" w14:textId="77777777" w:rsidR="00E13ADA" w:rsidRDefault="00E13ADA" w:rsidP="00E13ADA">
            <w:r>
              <w:t>Community pharmacy</w:t>
            </w:r>
          </w:p>
        </w:tc>
        <w:tc>
          <w:tcPr>
            <w:tcW w:w="3245" w:type="dxa"/>
          </w:tcPr>
          <w:p w14:paraId="60E2D4BB" w14:textId="3EC767C0" w:rsidR="00E13ADA" w:rsidRDefault="00E13ADA" w:rsidP="00E13ADA">
            <w:r w:rsidRPr="000967CE">
              <w:t>Immediate escalation and provision upon unequivocal confirmation.</w:t>
            </w:r>
          </w:p>
        </w:tc>
        <w:tc>
          <w:tcPr>
            <w:tcW w:w="3246" w:type="dxa"/>
          </w:tcPr>
          <w:p w14:paraId="7907E964" w14:textId="0D60088C" w:rsidR="00E13ADA" w:rsidRDefault="00E13ADA" w:rsidP="00E13ADA">
            <w:r w:rsidRPr="004668C1">
              <w:t>Indirect communication and provision of the more robust formulation.</w:t>
            </w:r>
          </w:p>
        </w:tc>
      </w:tr>
      <w:tr w:rsidR="00E13ADA" w14:paraId="04C52580" w14:textId="77777777" w:rsidTr="008E22CE">
        <w:trPr>
          <w:jc w:val="center"/>
        </w:trPr>
        <w:tc>
          <w:tcPr>
            <w:tcW w:w="3245" w:type="dxa"/>
            <w:vAlign w:val="center"/>
          </w:tcPr>
          <w:p w14:paraId="4D8A9735" w14:textId="77777777" w:rsidR="00E13ADA" w:rsidRDefault="00E13ADA" w:rsidP="00E13ADA">
            <w:r>
              <w:t>Family counselling</w:t>
            </w:r>
          </w:p>
        </w:tc>
        <w:tc>
          <w:tcPr>
            <w:tcW w:w="3245" w:type="dxa"/>
          </w:tcPr>
          <w:p w14:paraId="58D7BD8B" w14:textId="018573E3" w:rsidR="00E13ADA" w:rsidRDefault="00E13ADA" w:rsidP="00E13ADA">
            <w:r w:rsidRPr="000967CE">
              <w:t>Teach-back, syringe check, and explanation of changed concentration.</w:t>
            </w:r>
          </w:p>
        </w:tc>
        <w:tc>
          <w:tcPr>
            <w:tcW w:w="3246" w:type="dxa"/>
          </w:tcPr>
          <w:p w14:paraId="678F6FE9" w14:textId="526D0A73" w:rsidR="00E13ADA" w:rsidRDefault="00E13ADA" w:rsidP="00E13ADA">
            <w:r w:rsidRPr="004668C1">
              <w:t>Parents proceeded with a known volume since the change in the formulation has not been expressed.</w:t>
            </w:r>
          </w:p>
        </w:tc>
      </w:tr>
      <w:tr w:rsidR="00E13ADA" w14:paraId="76ACB0EE" w14:textId="77777777" w:rsidTr="008E22CE">
        <w:trPr>
          <w:jc w:val="center"/>
        </w:trPr>
        <w:tc>
          <w:tcPr>
            <w:tcW w:w="3245" w:type="dxa"/>
            <w:vAlign w:val="center"/>
          </w:tcPr>
          <w:p w14:paraId="1A3C498A" w14:textId="77777777" w:rsidR="00E13ADA" w:rsidRDefault="00E13ADA" w:rsidP="00E13ADA">
            <w:r>
              <w:t>System learning</w:t>
            </w:r>
          </w:p>
        </w:tc>
        <w:tc>
          <w:tcPr>
            <w:tcW w:w="3245" w:type="dxa"/>
          </w:tcPr>
          <w:p w14:paraId="15DDE2CA" w14:textId="6BDA108F" w:rsidR="00E13ADA" w:rsidRDefault="00E13ADA" w:rsidP="00E13ADA">
            <w:r w:rsidRPr="000967CE">
              <w:t>Past incidences translated to strong preventive measures.</w:t>
            </w:r>
          </w:p>
        </w:tc>
        <w:tc>
          <w:tcPr>
            <w:tcW w:w="3246" w:type="dxa"/>
          </w:tcPr>
          <w:p w14:paraId="7C5226F0" w14:textId="1D485661" w:rsidR="00E13ADA" w:rsidRDefault="00E13ADA" w:rsidP="00E13ADA">
            <w:r w:rsidRPr="004668C1">
              <w:t>The repetition of the event was in a familiar pattern as opposed to reliable learning.</w:t>
            </w:r>
          </w:p>
        </w:tc>
      </w:tr>
    </w:tbl>
    <w:p w14:paraId="328E1F8C" w14:textId="77777777" w:rsidR="00D446AE" w:rsidRDefault="00D446AE">
      <w:pPr>
        <w:spacing w:after="140"/>
      </w:pPr>
    </w:p>
    <w:p w14:paraId="683C47D0" w14:textId="5A9793B6" w:rsidR="00AA2137" w:rsidRDefault="00AA2137" w:rsidP="00AA2137">
      <w:r w:rsidRPr="00AA2137">
        <w:t xml:space="preserve">This process was supposed to ensure safe and accurate information and responsibility transfer at each phase but several breakdowns enabled the mistake to be perpetuated. The medication at discharge should have been communicated electronically with explicit information on the specialist formulation, dose and volume; rather, when a handwritten summary was used, incomplete transfer of prescribing information occurred. There was a failure in the prescriber in general practice to </w:t>
      </w:r>
      <w:proofErr w:type="spellStart"/>
      <w:r w:rsidRPr="00AA2137">
        <w:t>realise</w:t>
      </w:r>
      <w:proofErr w:type="spellEnd"/>
      <w:r w:rsidRPr="00AA2137">
        <w:t xml:space="preserve"> that the medicine needed specialist supervision or at least to consult the patient directly, but instead, routine prescription was made by the community. In the case of the pharmacy, the personnel were supposed to have escalated at the pharmacy and only provided the medicine upon explicit confirmation, but communication was not direct and the more potent formulation was given. Counselling should have </w:t>
      </w:r>
      <w:r w:rsidRPr="00AA2137">
        <w:lastRenderedPageBreak/>
        <w:t>been done on the family using teach-back, syringe check and the change in concentration clearly explained, yet the family used the same volume. Overall, previous similar incidents had not resulted in strong enough system-level prevention, allowing the same pattern to recur.</w:t>
      </w:r>
    </w:p>
    <w:p w14:paraId="5A0CA274" w14:textId="1EDD8042" w:rsidR="006E7D50" w:rsidRDefault="009C6708">
      <w:pPr>
        <w:spacing w:after="140"/>
      </w:pPr>
      <w:r w:rsidRPr="009C6708">
        <w:t xml:space="preserve">The feedback loops in the systems were weak. The pharmacist knew that there was an issue with the prescription and the small dose volume but the question was not a decisive halt. The experience of the family with the medicine in the past gave an illusion of continuity as opposed to prompting them to seek renewed counselling. The greatest insight of the rich picture is then that safety was based on informal interpretation throughout in many places rather than on sound design. Such settings are advised to use a thematic, systems-based incident review process due to its ability to assist </w:t>
      </w:r>
      <w:proofErr w:type="spellStart"/>
      <w:r w:rsidRPr="009C6708">
        <w:t>organisations</w:t>
      </w:r>
      <w:proofErr w:type="spellEnd"/>
      <w:r w:rsidRPr="009C6708">
        <w:t xml:space="preserve"> in defining the recurring contributory patterns instead of paying specific attention to personal blame (Machen, 2023</w:t>
      </w:r>
      <w:r w:rsidR="00F87363">
        <w:t>).</w:t>
      </w:r>
    </w:p>
    <w:p w14:paraId="31C1300E" w14:textId="77777777" w:rsidR="006E7D50" w:rsidRDefault="00F87363">
      <w:pPr>
        <w:pStyle w:val="Heading2"/>
      </w:pPr>
      <w:bookmarkStart w:id="3" w:name="_Toc227594983"/>
      <w:r>
        <w:t xml:space="preserve">b. </w:t>
      </w:r>
      <w:proofErr w:type="spellStart"/>
      <w:r>
        <w:t>Centralisation</w:t>
      </w:r>
      <w:proofErr w:type="spellEnd"/>
      <w:r>
        <w:t xml:space="preserve"> or </w:t>
      </w:r>
      <w:proofErr w:type="spellStart"/>
      <w:r>
        <w:t>decentralisation</w:t>
      </w:r>
      <w:proofErr w:type="spellEnd"/>
      <w:r>
        <w:t xml:space="preserve"> within the case study</w:t>
      </w:r>
      <w:bookmarkEnd w:id="3"/>
    </w:p>
    <w:p w14:paraId="7D85BC4A" w14:textId="5730714D" w:rsidR="00C1740B" w:rsidRDefault="00C1740B" w:rsidP="00C1740B">
      <w:pPr>
        <w:spacing w:after="140"/>
      </w:pPr>
      <w:r>
        <w:t xml:space="preserve">The case </w:t>
      </w:r>
      <w:proofErr w:type="spellStart"/>
      <w:r>
        <w:t>organisation</w:t>
      </w:r>
      <w:proofErr w:type="spellEnd"/>
      <w:r>
        <w:t xml:space="preserve"> was working under a hybrid setup that involved </w:t>
      </w:r>
      <w:proofErr w:type="spellStart"/>
      <w:r>
        <w:t>centralised</w:t>
      </w:r>
      <w:proofErr w:type="spellEnd"/>
      <w:r>
        <w:t xml:space="preserve"> governance and </w:t>
      </w:r>
      <w:proofErr w:type="spellStart"/>
      <w:r>
        <w:t>decentralised</w:t>
      </w:r>
      <w:proofErr w:type="spellEnd"/>
      <w:r>
        <w:t xml:space="preserve"> delivery. The most conspicuous </w:t>
      </w:r>
      <w:proofErr w:type="spellStart"/>
      <w:r>
        <w:t>centralised</w:t>
      </w:r>
      <w:proofErr w:type="spellEnd"/>
      <w:r>
        <w:t xml:space="preserve"> one was the </w:t>
      </w:r>
      <w:proofErr w:type="spellStart"/>
      <w:r>
        <w:t>categorisation</w:t>
      </w:r>
      <w:proofErr w:type="spellEnd"/>
      <w:r>
        <w:t xml:space="preserve"> of morphine sulphate 100 micrograms/ ml oral solution as a red drug that could only be used in a hospital. The purpose of that rule was to guarantee the initiation of specialists, specialist supervision, and minimized variation of a high-risk medicine (NHS England North East and Yorkshire, 2023).</w:t>
      </w:r>
      <w:r w:rsidR="006330A4">
        <w:t xml:space="preserve"> </w:t>
      </w:r>
      <w:r>
        <w:t xml:space="preserve">The primary benefit associated with </w:t>
      </w:r>
      <w:proofErr w:type="spellStart"/>
      <w:r>
        <w:t>centralisation</w:t>
      </w:r>
      <w:proofErr w:type="spellEnd"/>
      <w:r>
        <w:t xml:space="preserve"> in this aspect is control, which is safety. By </w:t>
      </w:r>
      <w:proofErr w:type="spellStart"/>
      <w:r>
        <w:t>centralising</w:t>
      </w:r>
      <w:proofErr w:type="spellEnd"/>
      <w:r>
        <w:t xml:space="preserve"> control over the prescription and supply of high-risk medicines to the specialist services, </w:t>
      </w:r>
      <w:proofErr w:type="spellStart"/>
      <w:r>
        <w:t>organisations</w:t>
      </w:r>
      <w:proofErr w:type="spellEnd"/>
      <w:r>
        <w:t xml:space="preserve"> can </w:t>
      </w:r>
      <w:proofErr w:type="spellStart"/>
      <w:r>
        <w:t>standardise</w:t>
      </w:r>
      <w:proofErr w:type="spellEnd"/>
      <w:r>
        <w:t xml:space="preserve"> training, decrease variation and increase accountability. Leadership and patient safety reviews have repeatedly demonstrated that </w:t>
      </w:r>
      <w:proofErr w:type="spellStart"/>
      <w:r>
        <w:t>standardisation</w:t>
      </w:r>
      <w:proofErr w:type="spellEnd"/>
      <w:r>
        <w:t xml:space="preserve"> and management support can empower the settings to safer care, especially when high-risk processes rely on specialist knowledge (Vibe et al., 2024).</w:t>
      </w:r>
    </w:p>
    <w:p w14:paraId="13E4964B" w14:textId="7A246B58" w:rsidR="00C1740B" w:rsidRDefault="00C1740B" w:rsidP="00C1740B">
      <w:pPr>
        <w:spacing w:after="140"/>
      </w:pPr>
      <w:r>
        <w:t xml:space="preserve">The limits of </w:t>
      </w:r>
      <w:proofErr w:type="spellStart"/>
      <w:r>
        <w:t>centralisation</w:t>
      </w:r>
      <w:proofErr w:type="spellEnd"/>
      <w:r>
        <w:t xml:space="preserve"> however, come when it is purely on paper. In the present instance the formal red-drug rule failed to halt the transit of the medicine into regular community prescribing and dispensing. It implies that governance was characterized at the core but not completely implemented both in technological and operational terms. Surveys of </w:t>
      </w:r>
      <w:proofErr w:type="spellStart"/>
      <w:r>
        <w:t>decentralisation</w:t>
      </w:r>
      <w:proofErr w:type="spellEnd"/>
      <w:r>
        <w:t xml:space="preserve"> indicate that the results of </w:t>
      </w:r>
      <w:proofErr w:type="spellStart"/>
      <w:r>
        <w:t>decentralisation</w:t>
      </w:r>
      <w:proofErr w:type="spellEnd"/>
      <w:r>
        <w:t xml:space="preserve"> are not as much dependent on whether authority is </w:t>
      </w:r>
      <w:proofErr w:type="spellStart"/>
      <w:r>
        <w:t>centralised</w:t>
      </w:r>
      <w:proofErr w:type="spellEnd"/>
      <w:r>
        <w:t xml:space="preserve"> or </w:t>
      </w:r>
      <w:proofErr w:type="spellStart"/>
      <w:r>
        <w:t>decentralised</w:t>
      </w:r>
      <w:proofErr w:type="spellEnd"/>
      <w:r>
        <w:t xml:space="preserve"> in the abstract, but rather whether steering, control, and local implementation are </w:t>
      </w:r>
      <w:proofErr w:type="spellStart"/>
      <w:r>
        <w:t>co-ordinated</w:t>
      </w:r>
      <w:proofErr w:type="spellEnd"/>
      <w:r>
        <w:t xml:space="preserve"> (Mahmood et al., 2024).</w:t>
      </w:r>
      <w:r w:rsidR="006330A4">
        <w:t xml:space="preserve"> </w:t>
      </w:r>
      <w:r>
        <w:t xml:space="preserve">The </w:t>
      </w:r>
      <w:proofErr w:type="spellStart"/>
      <w:r>
        <w:t>decentralised</w:t>
      </w:r>
      <w:proofErr w:type="spellEnd"/>
      <w:r>
        <w:t xml:space="preserve"> aspect of the system was </w:t>
      </w:r>
      <w:proofErr w:type="spellStart"/>
      <w:r>
        <w:t>realised</w:t>
      </w:r>
      <w:proofErr w:type="spellEnd"/>
      <w:r>
        <w:t xml:space="preserve"> when the infant was transferred out of the special care of the hospital into the community. There was a lack of information, decision support, and specialist access in the GP practice and community pharmacy to deal with the risk safely and the </w:t>
      </w:r>
      <w:r>
        <w:lastRenderedPageBreak/>
        <w:t>local autonomy of each entity. White et al. believe that community pharmacists can contribute positively to medication safety, yet this requires effective cooperation with primary care providers, easy access to communication, and mutual escalation plans (White et al., 2022).</w:t>
      </w:r>
    </w:p>
    <w:p w14:paraId="3E5E813C" w14:textId="7DBD43E6" w:rsidR="006E7D50" w:rsidRDefault="00C1740B" w:rsidP="00C1740B">
      <w:pPr>
        <w:spacing w:after="140"/>
      </w:pPr>
      <w:r>
        <w:t xml:space="preserve">This case thus depicts an inappropriate hybrid system and not a mere problem of </w:t>
      </w:r>
      <w:proofErr w:type="spellStart"/>
      <w:r>
        <w:t>centralisation</w:t>
      </w:r>
      <w:proofErr w:type="spellEnd"/>
      <w:r>
        <w:t>-versus-</w:t>
      </w:r>
      <w:proofErr w:type="spellStart"/>
      <w:r>
        <w:t>decentralisation</w:t>
      </w:r>
      <w:proofErr w:type="spellEnd"/>
      <w:r>
        <w:t xml:space="preserve">. The local professionals were supposed to take action but the information and infrastructure to facilitate the same was wanting. Recent facts indicate that </w:t>
      </w:r>
      <w:proofErr w:type="spellStart"/>
      <w:r>
        <w:t>decentralisation</w:t>
      </w:r>
      <w:proofErr w:type="spellEnd"/>
      <w:r>
        <w:t xml:space="preserve"> can be complementing responsiveness and allocative efficiency in cases where the local teams are </w:t>
      </w:r>
      <w:proofErr w:type="spellStart"/>
      <w:r>
        <w:t>authorised</w:t>
      </w:r>
      <w:proofErr w:type="spellEnd"/>
      <w:r>
        <w:t>, possess information, and are answerable, but deteriorates fragmentation in cases where these three conditions are not met (Kwon and Kim, 2024).</w:t>
      </w:r>
      <w:r w:rsidR="006330A4">
        <w:t xml:space="preserve"> </w:t>
      </w:r>
      <w:r>
        <w:t>This interpretation is supported by numerical evidence of the case. The infant got around 3.8 mg rather than 190 micrograms, which is a twenty-fold overdose. The dose volume intended was approximately 0.1 ml, which is already known to be hard to measure accurately. This being the fifth such occurrence since 2018 is also indicative of the fact that the structure had been failing over and over again to avert a known risk (NHS England North East and Yorkshire, 2023).</w:t>
      </w:r>
      <w:r w:rsidR="006330A4">
        <w:t xml:space="preserve"> </w:t>
      </w:r>
      <w:r>
        <w:t xml:space="preserve">A safer </w:t>
      </w:r>
      <w:proofErr w:type="spellStart"/>
      <w:r>
        <w:t>centralised</w:t>
      </w:r>
      <w:proofErr w:type="spellEnd"/>
      <w:r>
        <w:t xml:space="preserve"> alternative would have been to continue with the prescribing and dispensing in specialist secondary care until the medicine was not needed anymore or the existence of a strong shared-care pathway. Strong electronic flags, </w:t>
      </w:r>
      <w:proofErr w:type="spellStart"/>
      <w:r>
        <w:t>standardisation</w:t>
      </w:r>
      <w:proofErr w:type="spellEnd"/>
      <w:r>
        <w:t xml:space="preserve"> of dose-volume instructions, direct access to specialist advice and compulsory counselling prior to supply would have been necessary to the more safely </w:t>
      </w:r>
      <w:proofErr w:type="spellStart"/>
      <w:r>
        <w:t>decentralised</w:t>
      </w:r>
      <w:proofErr w:type="spellEnd"/>
      <w:r>
        <w:t xml:space="preserve"> alternative. Since neither of these arrangements was complete, the </w:t>
      </w:r>
      <w:proofErr w:type="spellStart"/>
      <w:r>
        <w:t>organisation</w:t>
      </w:r>
      <w:proofErr w:type="spellEnd"/>
      <w:r>
        <w:t xml:space="preserve"> did not enjoy the merits of either of these models but suffered the drawbacks of both</w:t>
      </w:r>
      <w:r w:rsidR="00F87363">
        <w:t>.</w:t>
      </w:r>
    </w:p>
    <w:p w14:paraId="4A90C0EC" w14:textId="77777777" w:rsidR="006E7D50" w:rsidRDefault="00F87363">
      <w:pPr>
        <w:pStyle w:val="Heading2"/>
      </w:pPr>
      <w:bookmarkStart w:id="4" w:name="_Toc227594984"/>
      <w:r>
        <w:t>c. Leadership theories and application to the case study</w:t>
      </w:r>
      <w:bookmarkEnd w:id="4"/>
    </w:p>
    <w:p w14:paraId="2AB99844" w14:textId="77777777" w:rsidR="00A508B6" w:rsidRDefault="00A508B6" w:rsidP="00A508B6">
      <w:pPr>
        <w:spacing w:after="140"/>
      </w:pPr>
      <w:r>
        <w:t xml:space="preserve">Part of the failure can be explained by transactional leadership. Rules, labels, formularies, prescriptions, nominal role boundaries were present in the pathway, and all these are conducive to a transactional logic of compliance and control. But transactional leadership can be as safe as the process that it oversees. Process steps in this case existed, however, they were not well-coordinated, prone to ambiguity, and fragmented across </w:t>
      </w:r>
      <w:proofErr w:type="spellStart"/>
      <w:r>
        <w:t>organisational</w:t>
      </w:r>
      <w:proofErr w:type="spellEnd"/>
      <w:r>
        <w:t xml:space="preserve"> boundaries. According to reviews of leadership literature in healthcare, transactional styles have the potential to aid in the routine adherence, whereas transformational styles are not as effective as transactional ones when </w:t>
      </w:r>
      <w:proofErr w:type="spellStart"/>
      <w:r>
        <w:t>organisations</w:t>
      </w:r>
      <w:proofErr w:type="spellEnd"/>
      <w:r>
        <w:t xml:space="preserve"> require learning, adaptation, and a change in culture (Wu et al., 2024).</w:t>
      </w:r>
    </w:p>
    <w:p w14:paraId="39A8A61B" w14:textId="6B568F58" w:rsidR="00AA2137" w:rsidRPr="00AA2137" w:rsidRDefault="00AA2137" w:rsidP="00AA2137">
      <w:pPr>
        <w:spacing w:after="140"/>
        <w:rPr>
          <w:b/>
          <w:bCs/>
        </w:rPr>
      </w:pPr>
      <w:r w:rsidRPr="00AA2137">
        <w:rPr>
          <w:b/>
          <w:bCs/>
        </w:rPr>
        <w:t>Transactional Leadership</w:t>
      </w:r>
    </w:p>
    <w:p w14:paraId="134AE3F9" w14:textId="728B33B4" w:rsidR="00AA2137" w:rsidRDefault="00AA2137" w:rsidP="00AA2137">
      <w:pPr>
        <w:spacing w:after="140"/>
      </w:pPr>
      <w:r>
        <w:lastRenderedPageBreak/>
        <w:t>The case can be associated with transactional leadership since this style is oriented on distinct roles, responsibility, adherence to procedures, and corrective action in case of non-compliance to standards. Transactional leadership is relevant in healthcare in which patient safety requires the staff to adhere to the protocols correctly, reporting any concerns timely, and escalating risks immediately. During the described incident, multiple points of the care pathway did not work due to the lack of strong enforcement of the expected processes. Despite the concerns, they were not translated into decisive intervention. In terms of transactional leadership, this implies that there is weakness in overseeing, observing, and reinforcing safe practice expectations.</w:t>
      </w:r>
    </w:p>
    <w:p w14:paraId="35E04C9C" w14:textId="7B75558D" w:rsidR="00AA2137" w:rsidRDefault="00AA2137" w:rsidP="00AA2137">
      <w:pPr>
        <w:spacing w:after="140"/>
      </w:pPr>
      <w:r>
        <w:t>Transactional leaders operate on the basis of structured communication, standard operating procedures and performance management. Provided that this strategy was more robust, employees might have been more explicit about their duties in verifying formulations, validating prescriptions, and reporting discrepancies. It is also linked to the speaking-up literature in that transactional leadership can establish formal mechanisms in which the raising of concerns could be anticipated and taken seriously. But when the leadership is too strict or too hierarchical, employees can be passive observers instead of question unsafe decisions. Thus, transactional leadership applies both in the context of its advantages and in the context of its drawbacks in this instance: it might have enhanced compliance and accountability, but without positive relationships, it might not be able to promote bold speaking up.</w:t>
      </w:r>
    </w:p>
    <w:p w14:paraId="6DDE76A2" w14:textId="1C5CEB99" w:rsidR="00AA2137" w:rsidRPr="00AA2137" w:rsidRDefault="00AA2137" w:rsidP="00AA2137">
      <w:pPr>
        <w:spacing w:after="140"/>
        <w:rPr>
          <w:b/>
          <w:bCs/>
        </w:rPr>
      </w:pPr>
      <w:r w:rsidRPr="00AA2137">
        <w:rPr>
          <w:b/>
          <w:bCs/>
        </w:rPr>
        <w:t>Situational Leadership</w:t>
      </w:r>
    </w:p>
    <w:p w14:paraId="0B201982" w14:textId="274347FF" w:rsidR="00AA2137" w:rsidRDefault="00AA2137" w:rsidP="00AA2137">
      <w:pPr>
        <w:spacing w:after="140"/>
      </w:pPr>
      <w:r>
        <w:t xml:space="preserve">The incident is also very much pertinent to the situational leadership approach, which posits that not all leadership styles can be applicable in all situations, but rather a leader should be flexible in his or her approach to situations, urgency, competence of the staff, and the amount of support that is necessary. The route in this instance encompassed various professionals, the varied risk factors and places where uncertainty ought to have caused a more proactive leadership. Situational leadership would imply that the leaders had to acknowledge the severity of the risk with the medication and change the usual management approach toward a more directive and supportive one (Kane and </w:t>
      </w:r>
      <w:proofErr w:type="spellStart"/>
      <w:r>
        <w:t>Srulovici</w:t>
      </w:r>
      <w:proofErr w:type="spellEnd"/>
      <w:r>
        <w:t>, 2023).</w:t>
      </w:r>
    </w:p>
    <w:p w14:paraId="5DDE72DB" w14:textId="697F4CC4" w:rsidR="00AA2137" w:rsidRDefault="00AA2137" w:rsidP="00AA2137">
      <w:pPr>
        <w:spacing w:after="140"/>
      </w:pPr>
      <w:r>
        <w:t xml:space="preserve">As an illustration, the leaders ought to have modified their </w:t>
      </w:r>
      <w:proofErr w:type="spellStart"/>
      <w:r>
        <w:t>behaviour</w:t>
      </w:r>
      <w:proofErr w:type="spellEnd"/>
      <w:r>
        <w:t xml:space="preserve"> when issues with the medicine formulation or communication blockage were raised by providing clear directions, eliciting comprehension, and making an escalation immediate. Staff and families might have required teaching, as well as reassurance, encouragement, and follow-up. This is indicative of the speaking-up literature, which indicates that employees tend to be more inclined to voice their concerns when leaders are </w:t>
      </w:r>
      <w:r>
        <w:lastRenderedPageBreak/>
        <w:t>friendly, responsive, and are flexible. The application of situational leadership, therefore, comes in handy as to why formal policy was inadequate. In spite of existing procedures, leaders need to determine when a situation needs a more aggressive intervention, coaching, or joint decision-making. Here, the failure was not just procedural, but also adaptive: the leadership did not evolve with the growing amount of risk, and it decreased the possibility of a prompt preventive action.</w:t>
      </w:r>
    </w:p>
    <w:p w14:paraId="545A5DC8" w14:textId="38FD86BC" w:rsidR="00A508B6" w:rsidRDefault="00A508B6" w:rsidP="00A508B6">
      <w:pPr>
        <w:spacing w:after="140"/>
      </w:pPr>
      <w:r w:rsidRPr="004D2DC4">
        <w:rPr>
          <w:b/>
          <w:bCs/>
          <w:i/>
          <w:iCs/>
        </w:rPr>
        <w:t>Transformational leadership</w:t>
      </w:r>
      <w:r>
        <w:t xml:space="preserve"> would have demanded the leaders to transform the knowledge gained in past incidences into shared vigilance and redesigning of systems. It does not just imply providing guidance but also developing a common belief that abnormal prescription of opioids in </w:t>
      </w:r>
      <w:proofErr w:type="spellStart"/>
      <w:r>
        <w:t>paediatrics</w:t>
      </w:r>
      <w:proofErr w:type="spellEnd"/>
      <w:r>
        <w:t xml:space="preserve"> entails prompt clarification, face-to-face communication, and escalation. Recent methodical findings indicate that leadership style does affect patient-safety culture, with transformational leadership being consistently linked with enhanced safety climates and enhanced team engagement (</w:t>
      </w:r>
      <w:proofErr w:type="spellStart"/>
      <w:r>
        <w:t>Specchia</w:t>
      </w:r>
      <w:proofErr w:type="spellEnd"/>
      <w:r>
        <w:t xml:space="preserve"> et al., 2025).</w:t>
      </w:r>
      <w:r w:rsidR="004D2DC4">
        <w:t xml:space="preserve"> </w:t>
      </w:r>
      <w:r>
        <w:t xml:space="preserve">It is also evidenced in the case that situational leadership is relevant. Prescription of microgram doses of neonatal opioid discharge with a </w:t>
      </w:r>
      <w:proofErr w:type="gramStart"/>
      <w:r>
        <w:t>specials</w:t>
      </w:r>
      <w:proofErr w:type="gramEnd"/>
      <w:r>
        <w:t xml:space="preserve"> formulation is not a typical repeat-prescribing situation. It requires other forms of leadership </w:t>
      </w:r>
      <w:proofErr w:type="spellStart"/>
      <w:r>
        <w:t>behaviour</w:t>
      </w:r>
      <w:proofErr w:type="spellEnd"/>
      <w:r>
        <w:t xml:space="preserve">: a more direct communication between clinicians and clinicians, a lesser tolerance to uncertainty, and greater control at the interface. Transformational and servant leadership can have a positive impact on patient safety and quality of care, but it can only work when leadership </w:t>
      </w:r>
      <w:proofErr w:type="spellStart"/>
      <w:r>
        <w:t>behaviours</w:t>
      </w:r>
      <w:proofErr w:type="spellEnd"/>
      <w:r>
        <w:t xml:space="preserve"> align with the complexity and relational needs of the situation (Singh, </w:t>
      </w:r>
      <w:proofErr w:type="spellStart"/>
      <w:r>
        <w:t>Yeravdekar</w:t>
      </w:r>
      <w:proofErr w:type="spellEnd"/>
      <w:r>
        <w:t xml:space="preserve"> and Jadhav, 2024).</w:t>
      </w:r>
    </w:p>
    <w:p w14:paraId="5DD2E7AD" w14:textId="56FB03AA" w:rsidR="00A508B6" w:rsidRDefault="00A508B6" w:rsidP="00A508B6">
      <w:pPr>
        <w:spacing w:after="140"/>
      </w:pPr>
      <w:r>
        <w:t>The literature on nurse and frontline leadership has also indicated that a leadership that is nearer to care delivery is significant. Nurse manager leadership reviews depict a correlation with quality of care, patient safety, error reporting, and staff outcomes. That is to say that in other cases where risk is actually perceived and responded to by local, weak leadership, formal policy cannot pay it back (Lee, Lee and Sang, 2023).</w:t>
      </w:r>
      <w:r w:rsidR="00936C5D">
        <w:t xml:space="preserve"> </w:t>
      </w:r>
      <w:r>
        <w:t xml:space="preserve">This analysis is cut-throat by speaking-up research. According to Kane and </w:t>
      </w:r>
      <w:proofErr w:type="spellStart"/>
      <w:r>
        <w:t>Srulovici</w:t>
      </w:r>
      <w:proofErr w:type="spellEnd"/>
      <w:r>
        <w:t xml:space="preserve">, speaking up is a medical worker who recognizes an issue that might potentially impact patient safety and communicates it to an authority figure. This definition is relevant since there was concern in the pathway but it was not converted into an intervention powerful enough to prevent harm (Kane and </w:t>
      </w:r>
      <w:proofErr w:type="spellStart"/>
      <w:r>
        <w:t>Srulovici</w:t>
      </w:r>
      <w:proofErr w:type="spellEnd"/>
      <w:r>
        <w:t>, 2023).</w:t>
      </w:r>
      <w:r w:rsidR="00936C5D">
        <w:t xml:space="preserve"> </w:t>
      </w:r>
      <w:r>
        <w:t xml:space="preserve">Subsequent speaking-up literature indicates that such </w:t>
      </w:r>
      <w:proofErr w:type="spellStart"/>
      <w:r>
        <w:t>behaviour</w:t>
      </w:r>
      <w:proofErr w:type="spellEnd"/>
      <w:r>
        <w:t xml:space="preserve"> is reliant on individual, relational, and </w:t>
      </w:r>
      <w:proofErr w:type="spellStart"/>
      <w:r>
        <w:t>organisational</w:t>
      </w:r>
      <w:proofErr w:type="spellEnd"/>
      <w:r>
        <w:t xml:space="preserve"> factors. According to reviews, the significance of hierarchy, professional confidence, invitation to leadership, and perceived reaction of senior staff is emphasized. When employees feel that they might be disregarded, wait for a long time, or are </w:t>
      </w:r>
      <w:r>
        <w:lastRenderedPageBreak/>
        <w:t>misinterpreted, the staff members will tend not to become decisive even in cases when the employees perceive danger (</w:t>
      </w:r>
      <w:proofErr w:type="spellStart"/>
      <w:r>
        <w:t>Violato</w:t>
      </w:r>
      <w:proofErr w:type="spellEnd"/>
      <w:r>
        <w:t>, 2022).</w:t>
      </w:r>
    </w:p>
    <w:p w14:paraId="13F06DFC" w14:textId="65E0A318" w:rsidR="006E7D50" w:rsidRDefault="00A508B6" w:rsidP="00A508B6">
      <w:pPr>
        <w:spacing w:after="140"/>
      </w:pPr>
      <w:r>
        <w:t xml:space="preserve">Similar pattern is observed in the empirical studies of the speaking-up climate by nurses; Özlem Soyer Er and Gul found out that there was a positive relationship between the climate of teamwork and safety and speaking-up climate among surgical nurses. Such an observation is significant because medication safety at discharge should be seen as a team that should undergo challenge and clarification as normal safety </w:t>
      </w:r>
      <w:proofErr w:type="spellStart"/>
      <w:r>
        <w:t>behaviour</w:t>
      </w:r>
      <w:proofErr w:type="spellEnd"/>
      <w:r>
        <w:t xml:space="preserve"> and not interpersonal conflict (Soyer Er and Gül, 2024).</w:t>
      </w:r>
      <w:r w:rsidR="00936C5D">
        <w:t xml:space="preserve"> </w:t>
      </w:r>
      <w:r>
        <w:t xml:space="preserve">This leadership was thus more reactive than proactive. The incident was not preceded by many of the recommended changes like stronger discharge summaries, enhanced visibility of red drugs, improved use of the Discharge Medicines Service, and enhanced direct communication. An active leadership style would have enquired why recurrent occurrences of the same medicine could still take place and would have established greater preventive lines earlier. One of the most obvious indicators that </w:t>
      </w:r>
      <w:proofErr w:type="spellStart"/>
      <w:r>
        <w:t>organisational</w:t>
      </w:r>
      <w:proofErr w:type="spellEnd"/>
      <w:r>
        <w:t xml:space="preserve"> transformation was required is that</w:t>
      </w:r>
      <w:r w:rsidR="00F87363">
        <w:t>.</w:t>
      </w:r>
    </w:p>
    <w:p w14:paraId="09B8259B" w14:textId="77777777" w:rsidR="006E7D50" w:rsidRDefault="00F87363">
      <w:pPr>
        <w:pStyle w:val="Heading2"/>
      </w:pPr>
      <w:bookmarkStart w:id="5" w:name="_Toc227594985"/>
      <w:r>
        <w:t>d. Improvement and lessons learned</w:t>
      </w:r>
      <w:bookmarkEnd w:id="5"/>
    </w:p>
    <w:p w14:paraId="00B26EFE" w14:textId="77777777" w:rsidR="00936C5D" w:rsidRDefault="00F44F33" w:rsidP="00F44F33">
      <w:pPr>
        <w:spacing w:after="140"/>
      </w:pPr>
      <w:r>
        <w:t>The incident indicates that leadership and governance interrelated to give unsafe results. Governance categorized the medicine as a high-risk category, yet the leadership failed to make sure that the categorization was reflected in an effective cross-boundary process. The outcome was a discrepancy between policy and practice. Literature on systems-thinking cautions that improvement activity that only considers a single part of a pathway tends to shift risk instead of reducing it. Redesigning the entire pathway should thus be the objective instead of fixing the individual steps (</w:t>
      </w:r>
      <w:proofErr w:type="spellStart"/>
      <w:r>
        <w:t>Sturmberg</w:t>
      </w:r>
      <w:proofErr w:type="spellEnd"/>
      <w:r>
        <w:t>, 2024).</w:t>
      </w:r>
      <w:r w:rsidR="00936C5D">
        <w:t xml:space="preserve"> </w:t>
      </w:r>
    </w:p>
    <w:p w14:paraId="34A87A3B" w14:textId="150F22B0" w:rsidR="00F44F33" w:rsidRDefault="00F44F33" w:rsidP="00936C5D">
      <w:pPr>
        <w:pStyle w:val="ListParagraph"/>
        <w:numPr>
          <w:ilvl w:val="0"/>
          <w:numId w:val="10"/>
        </w:numPr>
        <w:spacing w:after="140"/>
      </w:pPr>
      <w:proofErr w:type="spellStart"/>
      <w:r>
        <w:t>Organisational</w:t>
      </w:r>
      <w:proofErr w:type="spellEnd"/>
      <w:r>
        <w:t xml:space="preserve"> learning due to previous incidents was one of the biggest opportunities it missed. As it was the fifth similar incident since 2018, past events should already have led to an increased regional control approach to this drug and this transition pathway. Learning about patient-safety incidents can only make a difference when it is revealed in regular work with more powerful design, improved tools, and more precise responsibilities (Machen, 2023).</w:t>
      </w:r>
    </w:p>
    <w:p w14:paraId="3E65F137" w14:textId="77777777" w:rsidR="00F44F33" w:rsidRDefault="00F44F33" w:rsidP="00936C5D">
      <w:pPr>
        <w:pStyle w:val="ListParagraph"/>
        <w:numPr>
          <w:ilvl w:val="0"/>
          <w:numId w:val="10"/>
        </w:numPr>
        <w:spacing w:after="140"/>
      </w:pPr>
      <w:r>
        <w:t xml:space="preserve">The second opportunity that was missed related to medication reconciliation and discharge communication. </w:t>
      </w:r>
      <w:proofErr w:type="spellStart"/>
      <w:r>
        <w:t>Paediatric</w:t>
      </w:r>
      <w:proofErr w:type="spellEnd"/>
      <w:r>
        <w:t xml:space="preserve"> quality-improvement studies provide evidence that medication reconciliation can be reinforced through the integration of staff education, electronic decision support and </w:t>
      </w:r>
      <w:proofErr w:type="spellStart"/>
      <w:r>
        <w:t>standardised</w:t>
      </w:r>
      <w:proofErr w:type="spellEnd"/>
      <w:r>
        <w:t xml:space="preserve"> workflows. The proportion of completed medication reconciliation in a single </w:t>
      </w:r>
      <w:proofErr w:type="spellStart"/>
      <w:r>
        <w:t>paediatric</w:t>
      </w:r>
      <w:proofErr w:type="spellEnd"/>
      <w:r>
        <w:t xml:space="preserve"> emergency and urgent care </w:t>
      </w:r>
      <w:proofErr w:type="spellStart"/>
      <w:r>
        <w:t>programme</w:t>
      </w:r>
      <w:proofErr w:type="spellEnd"/>
      <w:r>
        <w:t xml:space="preserve"> improved significantly following the implementation of educational and electronic health record interventions (Sheth et al., 2024).</w:t>
      </w:r>
    </w:p>
    <w:p w14:paraId="67E3A544" w14:textId="77777777" w:rsidR="00F44F33" w:rsidRDefault="00F44F33" w:rsidP="00936C5D">
      <w:pPr>
        <w:pStyle w:val="ListParagraph"/>
        <w:numPr>
          <w:ilvl w:val="0"/>
          <w:numId w:val="10"/>
        </w:numPr>
        <w:spacing w:after="140"/>
      </w:pPr>
      <w:r>
        <w:lastRenderedPageBreak/>
        <w:t xml:space="preserve">The third opportunity that was missed was related to family education. The parents of the infant were requested to place a medication in a radically different level, but the system failed to be reliable in demonstrating, teaching-back, and verifying the syringe. A </w:t>
      </w:r>
      <w:proofErr w:type="spellStart"/>
      <w:r>
        <w:t>paediatric</w:t>
      </w:r>
      <w:proofErr w:type="spellEnd"/>
      <w:r>
        <w:t xml:space="preserve"> emergency environment study by Samuels-</w:t>
      </w:r>
      <w:proofErr w:type="spellStart"/>
      <w:r>
        <w:t>Kalow</w:t>
      </w:r>
      <w:proofErr w:type="spellEnd"/>
      <w:r>
        <w:t xml:space="preserve"> et al. revealed that a medication education intervention involving simplified written information, use of dosing syringe, demonstration of doses, and use of teach-back was linked to a lasting decrease in home dose error risk (Samuels-</w:t>
      </w:r>
      <w:proofErr w:type="spellStart"/>
      <w:r>
        <w:t>Kalow</w:t>
      </w:r>
      <w:proofErr w:type="spellEnd"/>
      <w:r>
        <w:t xml:space="preserve"> et al., 2024).</w:t>
      </w:r>
    </w:p>
    <w:p w14:paraId="23481D30" w14:textId="77777777" w:rsidR="00F44F33" w:rsidRDefault="00F44F33" w:rsidP="00936C5D">
      <w:pPr>
        <w:pStyle w:val="ListParagraph"/>
        <w:numPr>
          <w:ilvl w:val="0"/>
          <w:numId w:val="10"/>
        </w:numPr>
        <w:spacing w:after="140"/>
      </w:pPr>
      <w:r>
        <w:t xml:space="preserve">The evidence in general on improving discharge in </w:t>
      </w:r>
      <w:proofErr w:type="spellStart"/>
      <w:r>
        <w:t>paediatrics</w:t>
      </w:r>
      <w:proofErr w:type="spellEnd"/>
      <w:r>
        <w:t xml:space="preserve"> is in the same direction. Ring et al. demonstrated that incorporation of a multilingual and patient-friendly electronic discharge medication platform enhanced the effectiveness and safety of discharge medication procedures in high-risk </w:t>
      </w:r>
      <w:proofErr w:type="spellStart"/>
      <w:r>
        <w:t>paediatric</w:t>
      </w:r>
      <w:proofErr w:type="spellEnd"/>
      <w:r>
        <w:t xml:space="preserve"> patients. The same finding applies to this case since the infant morphine case was, in part, a communication design failure, not necessarily a failure of prescribing intent (Ring et al., 2023).</w:t>
      </w:r>
    </w:p>
    <w:p w14:paraId="20947B1A" w14:textId="77777777" w:rsidR="00F44F33" w:rsidRDefault="00F44F33" w:rsidP="00936C5D">
      <w:pPr>
        <w:pStyle w:val="ListParagraph"/>
        <w:numPr>
          <w:ilvl w:val="0"/>
          <w:numId w:val="10"/>
        </w:numPr>
        <w:spacing w:after="140"/>
      </w:pPr>
      <w:r>
        <w:t>Transition interventions that are led by pharmacists also merit attention. A pragmatic clinical trial in 2024 concluded that medication reconciliation, led by pharmacists, led to fewer discharge medication errors, which confirms that increased pharmacy roles at transition points are justified. This is not to say that pharmacists can resolve the problem of transition risk but indicates that the multi-professional design and verification is necessary when the medicines are of high risk and the concentrations are unknown (Jošt et al., 2024).</w:t>
      </w:r>
    </w:p>
    <w:p w14:paraId="7B4364EA" w14:textId="77777777" w:rsidR="00F44F33" w:rsidRDefault="00F44F33" w:rsidP="00936C5D">
      <w:pPr>
        <w:pStyle w:val="ListParagraph"/>
        <w:numPr>
          <w:ilvl w:val="0"/>
          <w:numId w:val="10"/>
        </w:numPr>
        <w:spacing w:after="140"/>
      </w:pPr>
      <w:r>
        <w:t xml:space="preserve">Another lesson is related to </w:t>
      </w:r>
      <w:proofErr w:type="spellStart"/>
      <w:r>
        <w:t>organisational</w:t>
      </w:r>
      <w:proofErr w:type="spellEnd"/>
      <w:r>
        <w:t xml:space="preserve"> culture. The reviews of the patient safety culture indicate that teamwork and </w:t>
      </w:r>
      <w:proofErr w:type="spellStart"/>
      <w:r>
        <w:t>organisational</w:t>
      </w:r>
      <w:proofErr w:type="spellEnd"/>
      <w:r>
        <w:t xml:space="preserve"> learning are constantly regarded as the relative strengths, and non-punitive response to error and staffing are widespread weaknesses. It is significant because </w:t>
      </w:r>
      <w:proofErr w:type="spellStart"/>
      <w:r>
        <w:t>organisations</w:t>
      </w:r>
      <w:proofErr w:type="spellEnd"/>
      <w:r>
        <w:t xml:space="preserve"> should not expect incident-based learning when staff members believe that they are blamed, unsupported, or overloaded (</w:t>
      </w:r>
      <w:proofErr w:type="spellStart"/>
      <w:r>
        <w:t>Alabdullah</w:t>
      </w:r>
      <w:proofErr w:type="spellEnd"/>
      <w:r>
        <w:t xml:space="preserve"> and Karwowski, 2024).</w:t>
      </w:r>
    </w:p>
    <w:p w14:paraId="5BF1883F" w14:textId="3FF1AE19" w:rsidR="006E7D50" w:rsidRDefault="00F44F33" w:rsidP="00F44F33">
      <w:pPr>
        <w:spacing w:after="140"/>
      </w:pPr>
      <w:r>
        <w:t xml:space="preserve">The combination of the case illustrates the interaction between system structure, leadership style, and system feedback. The formal safeguard of the medicine was formed by the </w:t>
      </w:r>
      <w:proofErr w:type="spellStart"/>
      <w:r>
        <w:t>centralised</w:t>
      </w:r>
      <w:proofErr w:type="spellEnd"/>
      <w:r>
        <w:t xml:space="preserve"> classification of the drug, and the </w:t>
      </w:r>
      <w:proofErr w:type="spellStart"/>
      <w:r>
        <w:t>decentralised</w:t>
      </w:r>
      <w:proofErr w:type="spellEnd"/>
      <w:r>
        <w:t xml:space="preserve"> implementation undermined the control. The past warning signals were not translated into anticipatory redesign by leadership. Feedback on the uncertainty at the frontline existed but was not reinforced strongly. The lesson to other health </w:t>
      </w:r>
      <w:proofErr w:type="spellStart"/>
      <w:r>
        <w:t>organisations</w:t>
      </w:r>
      <w:proofErr w:type="spellEnd"/>
      <w:r>
        <w:t xml:space="preserve"> is obvious medication safety at interfaces should be a governance issue, a communication issue, and a leadership issue simultaneously</w:t>
      </w:r>
      <w:r w:rsidR="00F87363">
        <w:t>.</w:t>
      </w:r>
    </w:p>
    <w:p w14:paraId="5C04C395" w14:textId="77777777" w:rsidR="006E7D50" w:rsidRDefault="00F87363">
      <w:pPr>
        <w:pStyle w:val="Heading1"/>
      </w:pPr>
      <w:bookmarkStart w:id="6" w:name="_Toc227594986"/>
      <w:r>
        <w:lastRenderedPageBreak/>
        <w:t>Recommendations</w:t>
      </w:r>
      <w:bookmarkEnd w:id="6"/>
    </w:p>
    <w:p w14:paraId="6A6C4F19" w14:textId="77777777" w:rsidR="00A90DF3" w:rsidRDefault="00A90DF3" w:rsidP="00A90DF3">
      <w:pPr>
        <w:spacing w:after="140"/>
      </w:pPr>
      <w:r>
        <w:t xml:space="preserve">The initial suggestion is to restructure the route of all </w:t>
      </w:r>
      <w:proofErr w:type="spellStart"/>
      <w:r>
        <w:t>paediatric</w:t>
      </w:r>
      <w:proofErr w:type="spellEnd"/>
      <w:r>
        <w:t xml:space="preserve"> high-risk red drugs in such a way that accountability is clearly stated between specialist and home delivery. A default position should be that prescribing and dispensing should be controlled by the specialists unless an approved shared-care model is in existence where a particular medicine is considered hospital only. This would decrease the risk of unsafe shifting the responsibility to an environment that lacks the necessary formulation knowledge or decision support (NHS England North East and Yorkshire, 2023).</w:t>
      </w:r>
    </w:p>
    <w:p w14:paraId="5823653F" w14:textId="77777777" w:rsidR="00A90DF3" w:rsidRDefault="00A90DF3" w:rsidP="00A90DF3">
      <w:pPr>
        <w:spacing w:after="140"/>
      </w:pPr>
      <w:r>
        <w:t xml:space="preserve">Second, the </w:t>
      </w:r>
      <w:proofErr w:type="spellStart"/>
      <w:r>
        <w:t>organisation</w:t>
      </w:r>
      <w:proofErr w:type="spellEnd"/>
      <w:r>
        <w:t xml:space="preserve"> ought to embrace a hybrid leadership style which integrates transformational, situational and distributed leadership. It requires transformational leadership that can create a culture where past incidences are viewed as redesign sources and not cases to close. A high-risk situation </w:t>
      </w:r>
      <w:proofErr w:type="spellStart"/>
      <w:r>
        <w:t>paediatric</w:t>
      </w:r>
      <w:proofErr w:type="spellEnd"/>
      <w:r>
        <w:t xml:space="preserve"> opioid transition requires a higher level of communication and escalation than usual prescribing, a condition that situational leadership is required. There is a requirement of distributed leadership since the safe care requires the concerted effort of hospital clinicians, GPs, pharmacists, and families instead of a senior decision-maker (</w:t>
      </w:r>
      <w:proofErr w:type="spellStart"/>
      <w:r>
        <w:t>Specchia</w:t>
      </w:r>
      <w:proofErr w:type="spellEnd"/>
      <w:r>
        <w:t xml:space="preserve"> et al., 2025).</w:t>
      </w:r>
    </w:p>
    <w:p w14:paraId="60F002B1" w14:textId="77777777" w:rsidR="00A90DF3" w:rsidRDefault="00A90DF3" w:rsidP="00A90DF3">
      <w:pPr>
        <w:spacing w:after="140"/>
      </w:pPr>
      <w:r>
        <w:t>Third, technology should be used to enhance governance controls. All high-risk medicines should have electronic discharge summaries instead of handwritten ones. Prescribing systems must coerce input of the planned dose and the planned volume and must produce warnings when a hospital-only item is being prescribed via regular community workflows. The community pharmacy systems should also identify unexpected concentrations and demand direct confirmation before dispensing. Such redesign can be supported through a systems approach to prescribing at the primary-secondary interface, which would reveal the hidden dependencies and risk transfers (Boddy and Avery, 2024).</w:t>
      </w:r>
    </w:p>
    <w:p w14:paraId="72A43436" w14:textId="77777777" w:rsidR="00A90DF3" w:rsidRDefault="00A90DF3" w:rsidP="00A90DF3">
      <w:pPr>
        <w:spacing w:after="140"/>
      </w:pPr>
      <w:r>
        <w:t>Fourth, inter-</w:t>
      </w:r>
      <w:proofErr w:type="spellStart"/>
      <w:r>
        <w:t>organisational</w:t>
      </w:r>
      <w:proofErr w:type="spellEnd"/>
      <w:r>
        <w:t xml:space="preserve"> communication must be redesigned on the basis of direct escalation. Community pharmacists are expected to have a direct line of contact with the discharging clinical team or specialist pharmacist as opposed to using an indirect method via the reception or administrative channels to communicate any unusual </w:t>
      </w:r>
      <w:proofErr w:type="spellStart"/>
      <w:r>
        <w:t>paediatric</w:t>
      </w:r>
      <w:proofErr w:type="spellEnd"/>
      <w:r>
        <w:t xml:space="preserve"> controlled-drug prescription. Collaboration research proves that the safety of medication use can be enhanced when pharmacists and primary care providers collaborate via direct, trusted, and timely communication tools (White et al., 2022).</w:t>
      </w:r>
    </w:p>
    <w:p w14:paraId="2073FBBF" w14:textId="77777777" w:rsidR="00A90DF3" w:rsidRDefault="00A90DF3" w:rsidP="00A90DF3">
      <w:pPr>
        <w:spacing w:after="140"/>
      </w:pPr>
      <w:r>
        <w:t>Fifth, high-risk discharges among children should be mandated to receive family-</w:t>
      </w:r>
      <w:proofErr w:type="spellStart"/>
      <w:r>
        <w:t>centred</w:t>
      </w:r>
      <w:proofErr w:type="spellEnd"/>
      <w:r>
        <w:t xml:space="preserve"> medicine administration support. This must encompass plain-language written instructions, demonstration of the precise dose with the correct syringe, teach back by the parent or carer, visible verification of the </w:t>
      </w:r>
      <w:r>
        <w:lastRenderedPageBreak/>
        <w:t xml:space="preserve">formulation strength prior to discharge and at the initial community supply. Evidence supports the use of dose demonstration and </w:t>
      </w:r>
      <w:proofErr w:type="gramStart"/>
      <w:r>
        <w:t>teach</w:t>
      </w:r>
      <w:proofErr w:type="gramEnd"/>
      <w:r>
        <w:t xml:space="preserve">-back as evidenced by </w:t>
      </w:r>
      <w:proofErr w:type="spellStart"/>
      <w:r>
        <w:t>paediatric</w:t>
      </w:r>
      <w:proofErr w:type="spellEnd"/>
      <w:r>
        <w:t xml:space="preserve"> emergency medicine to help minimize home administration errors, which ought to be integrated into standard care (Samuels-</w:t>
      </w:r>
      <w:proofErr w:type="spellStart"/>
      <w:r>
        <w:t>Kalow</w:t>
      </w:r>
      <w:proofErr w:type="spellEnd"/>
      <w:r>
        <w:t xml:space="preserve"> et al., 2024).</w:t>
      </w:r>
    </w:p>
    <w:p w14:paraId="1C8D993E" w14:textId="77777777" w:rsidR="00A90DF3" w:rsidRDefault="00A90DF3" w:rsidP="00A90DF3">
      <w:pPr>
        <w:spacing w:after="140"/>
      </w:pPr>
      <w:r>
        <w:t xml:space="preserve">Sixth, multidisciplinary audit and learning cycles should be applied by the </w:t>
      </w:r>
      <w:proofErr w:type="spellStart"/>
      <w:r>
        <w:t>organisation</w:t>
      </w:r>
      <w:proofErr w:type="spellEnd"/>
      <w:r>
        <w:t xml:space="preserve"> to maintain improvement. These reviews must not look at whether incidents were reported, but whether recommendations altered frontline practice. Repeating incidents may be categorized through thematic reviews that aid in continuous improvement and accountability by classifying issues in documentation, leadership, technology, education, and interface governance (Machen, 2023).</w:t>
      </w:r>
    </w:p>
    <w:p w14:paraId="7C8D8890" w14:textId="34873F60" w:rsidR="006E7D50" w:rsidRDefault="00A90DF3" w:rsidP="00A90DF3">
      <w:pPr>
        <w:spacing w:after="140"/>
      </w:pPr>
      <w:r>
        <w:t>Lastly, technical and allocative efficiency need to be considered. Avoidable overdose, emergency admission, the duplication of clarification work, and the repetition of incident investigation will be prevented, leading to a better patient outcome and resource utilization. Increased investment in safer discharge infrastructure, specialist pharmacy support, and interoperable communication, is not only a safety intervention but also an efficiency intervention as it minimizes waste, rework, and emergency harm</w:t>
      </w:r>
      <w:r w:rsidR="00F87363">
        <w:t>.</w:t>
      </w:r>
    </w:p>
    <w:p w14:paraId="3DAA97FC" w14:textId="6AE3C037" w:rsidR="00464059" w:rsidRDefault="00464059" w:rsidP="00A90DF3">
      <w:pPr>
        <w:spacing w:after="140"/>
      </w:pPr>
      <w:r w:rsidRPr="00464059">
        <w:t xml:space="preserve">The recommendations are aimed at ensuring that the use of high-risk medicine in </w:t>
      </w:r>
      <w:proofErr w:type="spellStart"/>
      <w:r w:rsidRPr="00464059">
        <w:t>paediatrics</w:t>
      </w:r>
      <w:proofErr w:type="spellEnd"/>
      <w:r w:rsidRPr="00464059">
        <w:t xml:space="preserve"> is safer due to a better accountability, leadership, enhanced technology, improved communication, family support, and ongoing learning. Unless there is an established shared-care system, prescribing and dispensing should remain the responsibility of the specialist teams. The blended leadership style is required to enhance the culture, escalation and shared responsibility amongst the services. Unsafe manual procedures should be replaced by electronic discharge, prescribing alerts and pharmacy confirmation checks. Pharmacist-specialist team communication should be developed directly. The families must be given clear demonstrations and support in terms of teach back. Real practice change should be measured by regular multidisciplinary audits. Such measures would enhance safety, minimize unnecessary damage, and utilize healthcare resources more effectively.</w:t>
      </w:r>
    </w:p>
    <w:p w14:paraId="5CBCEB48" w14:textId="77777777" w:rsidR="006E7D50" w:rsidRDefault="00F87363">
      <w:pPr>
        <w:pStyle w:val="Heading1"/>
      </w:pPr>
      <w:bookmarkStart w:id="7" w:name="_Toc227594987"/>
      <w:r>
        <w:t>Conclusion</w:t>
      </w:r>
      <w:bookmarkEnd w:id="7"/>
    </w:p>
    <w:p w14:paraId="33555973" w14:textId="23DEF281" w:rsidR="00A90DF3" w:rsidRDefault="00A90DF3" w:rsidP="00A90DF3">
      <w:pPr>
        <w:spacing w:after="140"/>
      </w:pPr>
      <w:r>
        <w:t xml:space="preserve">This report has looked at the infant morphine overdose case as a good example of how lapses in leadership, governance, and system design can intertwine to cause extreme preventable damages. Even though the direct cause was an overdose of medications, the investigation reveals that the root cause was the structural design of the entire pathway: discharging communication was poor, prescribing </w:t>
      </w:r>
      <w:r>
        <w:lastRenderedPageBreak/>
        <w:t>regulations were not full, pharmacy escalation was not direct, and parent education was incomplete.</w:t>
      </w:r>
      <w:r w:rsidR="00936C5D">
        <w:t xml:space="preserve"> </w:t>
      </w:r>
      <w:r>
        <w:t xml:space="preserve">The report also indicated that a lack of alignment between </w:t>
      </w:r>
      <w:proofErr w:type="spellStart"/>
      <w:r>
        <w:t>centralisation</w:t>
      </w:r>
      <w:proofErr w:type="spellEnd"/>
      <w:r>
        <w:t xml:space="preserve"> and </w:t>
      </w:r>
      <w:proofErr w:type="spellStart"/>
      <w:r>
        <w:t>decentralisation</w:t>
      </w:r>
      <w:proofErr w:type="spellEnd"/>
      <w:r>
        <w:t xml:space="preserve"> was one of the factors that influenced the case. The drug was central to be treated as a red drug which was restricted to hospitals, but the practical accountability was shifted to the </w:t>
      </w:r>
      <w:proofErr w:type="spellStart"/>
      <w:r>
        <w:t>decentralised</w:t>
      </w:r>
      <w:proofErr w:type="spellEnd"/>
      <w:r>
        <w:t xml:space="preserve"> community practices without proper protection. Such a mismatch undermined accountability and subjected the baby to an already-established risk.</w:t>
      </w:r>
    </w:p>
    <w:p w14:paraId="218263CD" w14:textId="334CF70E" w:rsidR="006E7D50" w:rsidRDefault="00A90DF3" w:rsidP="00A90DF3">
      <w:pPr>
        <w:spacing w:after="140"/>
      </w:pPr>
      <w:r>
        <w:t xml:space="preserve">The reason why the pathway was not safe can be explained with the assistance of the leadership theory. There were transactional rules, which were not sufficient. Greater transformational, situational, and distributed leadership would have enhanced the anticipatory learning, direct communication, and shared ownership of the risk. Recent reviews indicate that psychological safety, speaking up, and shared learning strengthened leadership results in improved safety outcomes of healthcare </w:t>
      </w:r>
      <w:proofErr w:type="spellStart"/>
      <w:r>
        <w:t>organisations</w:t>
      </w:r>
      <w:proofErr w:type="spellEnd"/>
      <w:r>
        <w:t xml:space="preserve"> compared to procedure-only-approach.</w:t>
      </w:r>
      <w:r w:rsidR="00936C5D">
        <w:t xml:space="preserve"> </w:t>
      </w:r>
      <w:r>
        <w:t>Finally, the case validates the usefulness of systems thinking in health and social care. A single action will rarely cause serious harm. It arises when individuals, procedures, technologies and governance structures do not co-operate in a dependable fashion. Whole-system redesign, evidence-based leadership, and a safety culture, which turns lessons of past incidents into powerful everyday practice, are therefore needed to achieve sustainable transformation</w:t>
      </w:r>
      <w:r w:rsidR="00F87363">
        <w:t>.</w:t>
      </w:r>
    </w:p>
    <w:p w14:paraId="4DEE6FEA" w14:textId="77777777" w:rsidR="003618DE" w:rsidRDefault="003618DE">
      <w:pPr>
        <w:spacing w:line="276" w:lineRule="auto"/>
        <w:jc w:val="left"/>
        <w:rPr>
          <w:rFonts w:eastAsiaTheme="majorEastAsia" w:cstheme="majorBidi"/>
          <w:b/>
          <w:bCs/>
          <w:color w:val="000000" w:themeColor="text1"/>
          <w:sz w:val="28"/>
          <w:szCs w:val="28"/>
        </w:rPr>
      </w:pPr>
      <w:r>
        <w:br w:type="page"/>
      </w:r>
    </w:p>
    <w:p w14:paraId="223B6619" w14:textId="61247020" w:rsidR="006E7D50" w:rsidRDefault="00F87363">
      <w:pPr>
        <w:pStyle w:val="Heading1"/>
      </w:pPr>
      <w:bookmarkStart w:id="8" w:name="_Toc227594988"/>
      <w:r>
        <w:lastRenderedPageBreak/>
        <w:t>Reference List</w:t>
      </w:r>
      <w:bookmarkEnd w:id="8"/>
    </w:p>
    <w:p w14:paraId="27073947" w14:textId="77777777" w:rsidR="00F36593" w:rsidRDefault="00F36593">
      <w:pPr>
        <w:spacing w:after="100"/>
        <w:ind w:left="340" w:hanging="340"/>
      </w:pPr>
      <w:proofErr w:type="spellStart"/>
      <w:r>
        <w:t>Alabdullah</w:t>
      </w:r>
      <w:proofErr w:type="spellEnd"/>
      <w:r>
        <w:t xml:space="preserve">, H. and Karwowski, W. (2024) ‘Patient safety culture in hospital settings across continents: a systematic review’, Applied Sciences, 14(18), 8496. Available at: </w:t>
      </w:r>
      <w:hyperlink r:id="rId9" w:history="1">
        <w:r w:rsidRPr="00732CA8">
          <w:rPr>
            <w:rStyle w:val="Hyperlink"/>
          </w:rPr>
          <w:t>https://doi.org/10.3390/app14188496</w:t>
        </w:r>
      </w:hyperlink>
      <w:r>
        <w:t xml:space="preserve"> (Accessed: 20 April 2026).</w:t>
      </w:r>
    </w:p>
    <w:p w14:paraId="5B2D2392" w14:textId="77777777" w:rsidR="00F36593" w:rsidRDefault="00F36593">
      <w:pPr>
        <w:spacing w:after="100"/>
        <w:ind w:left="340" w:hanging="340"/>
      </w:pPr>
      <w:proofErr w:type="spellStart"/>
      <w:r>
        <w:t>Alsabri</w:t>
      </w:r>
      <w:proofErr w:type="spellEnd"/>
      <w:r>
        <w:t xml:space="preserve">, M., Eapen, D., Sabesan, V. et al. (2024) ‘Medication errors in pediatric emergency departments: a systematic review and recommendations for enhancing medication safety’, Pediatric Emergency Care, 40(1), pp. 58-67. Available at: </w:t>
      </w:r>
      <w:hyperlink r:id="rId10" w:history="1">
        <w:r w:rsidRPr="00732CA8">
          <w:rPr>
            <w:rStyle w:val="Hyperlink"/>
          </w:rPr>
          <w:t>https://doi.org/10.1097/PEC.0000000000003108</w:t>
        </w:r>
      </w:hyperlink>
      <w:r>
        <w:t xml:space="preserve"> (Accessed: 20 April 2026).</w:t>
      </w:r>
    </w:p>
    <w:p w14:paraId="6DBA7C84" w14:textId="77777777" w:rsidR="00F36593" w:rsidRDefault="00F36593">
      <w:pPr>
        <w:spacing w:after="100"/>
        <w:ind w:left="340" w:hanging="340"/>
      </w:pPr>
      <w:r>
        <w:t xml:space="preserve">Boddy, N. and Avery, A.J. (2024) ‘A systems approach to the safety and efficiency of prescribing at the primary-secondary care interface’, Future Healthcare Journal, 11(1). Available at: </w:t>
      </w:r>
      <w:hyperlink r:id="rId11" w:history="1">
        <w:r w:rsidRPr="00732CA8">
          <w:rPr>
            <w:rStyle w:val="Hyperlink"/>
          </w:rPr>
          <w:t>https://doi.org/10.7861/fhj.2023-0074</w:t>
        </w:r>
      </w:hyperlink>
      <w:r>
        <w:t xml:space="preserve"> (Accessed: 20 April 2026).</w:t>
      </w:r>
    </w:p>
    <w:p w14:paraId="2647C40C" w14:textId="77777777" w:rsidR="00F36593" w:rsidRDefault="00F36593">
      <w:pPr>
        <w:spacing w:after="100"/>
        <w:ind w:left="340" w:hanging="340"/>
      </w:pPr>
      <w:r>
        <w:t xml:space="preserve">Gadsby, E.W. and Wilding, H. (2024) ‘Systems thinking in, and for, public health: a call for a broader path’, Health Promotion International, 39(4), daae086. Available at: </w:t>
      </w:r>
      <w:hyperlink r:id="rId12" w:history="1">
        <w:r w:rsidRPr="00732CA8">
          <w:rPr>
            <w:rStyle w:val="Hyperlink"/>
          </w:rPr>
          <w:t>https://doi.org/10.1093/heapro/daae086</w:t>
        </w:r>
      </w:hyperlink>
      <w:r>
        <w:t xml:space="preserve"> (Accessed: 20 April 2026).</w:t>
      </w:r>
    </w:p>
    <w:p w14:paraId="2A38D003" w14:textId="77777777" w:rsidR="00F36593" w:rsidRDefault="00F36593">
      <w:pPr>
        <w:spacing w:after="100"/>
        <w:ind w:left="340" w:hanging="340"/>
      </w:pPr>
      <w:r>
        <w:t xml:space="preserve">GOV.UK (2025) ‘2024 National NHS Staff Survey </w:t>
      </w:r>
      <w:proofErr w:type="gramStart"/>
      <w:r>
        <w:t>results’</w:t>
      </w:r>
      <w:proofErr w:type="gramEnd"/>
      <w:r>
        <w:t xml:space="preserve">. Available at: </w:t>
      </w:r>
      <w:hyperlink r:id="rId13" w:history="1">
        <w:r w:rsidRPr="00732CA8">
          <w:rPr>
            <w:rStyle w:val="Hyperlink"/>
          </w:rPr>
          <w:t>https://www.gov.uk/government/statistics/2024-national-nhs-staff-survey-results</w:t>
        </w:r>
      </w:hyperlink>
      <w:r>
        <w:t xml:space="preserve"> (Accessed: 20 April 2026).</w:t>
      </w:r>
    </w:p>
    <w:p w14:paraId="6090B9C9" w14:textId="77777777" w:rsidR="00F36593" w:rsidRDefault="00F36593">
      <w:pPr>
        <w:spacing w:after="100"/>
        <w:ind w:left="340" w:hanging="340"/>
      </w:pPr>
      <w:r>
        <w:t xml:space="preserve">Institute for Safe Medication Practices (2023) ‘2023-2024 targeted medication safety best practices for community pharmacy’. Available at: </w:t>
      </w:r>
      <w:hyperlink r:id="rId14" w:history="1">
        <w:r w:rsidRPr="00732CA8">
          <w:rPr>
            <w:rStyle w:val="Hyperlink"/>
          </w:rPr>
          <w:t>https://www.ismp.org/system/files/resources/2023-03/ISMP_TargetedMedicationSafetyBestPractices_CommunityPharmacy_031523B_MS5210%20%281%29.pdf</w:t>
        </w:r>
      </w:hyperlink>
      <w:r>
        <w:t xml:space="preserve"> (Accessed: 20 April 2026).</w:t>
      </w:r>
    </w:p>
    <w:p w14:paraId="2B3444CA" w14:textId="77777777" w:rsidR="00F36593" w:rsidRDefault="00F36593">
      <w:pPr>
        <w:spacing w:after="100"/>
        <w:ind w:left="340" w:hanging="340"/>
      </w:pPr>
      <w:r>
        <w:t xml:space="preserve">Jošt, M., Kerec Kos, M., Kos, M. and Knez, L. (2024) ‘Effectiveness of pharmacist-led medication reconciliation on medication errors at hospital discharge and healthcare utilization in the next 30 days: a pragmatic clinical trial’, Frontiers in Pharmacology, 15, 1377781. Available at: </w:t>
      </w:r>
      <w:hyperlink r:id="rId15" w:history="1">
        <w:r w:rsidRPr="00732CA8">
          <w:rPr>
            <w:rStyle w:val="Hyperlink"/>
          </w:rPr>
          <w:t>https://doi.org/10.3389/fphar.2024.1377781</w:t>
        </w:r>
      </w:hyperlink>
      <w:r>
        <w:t xml:space="preserve"> (Accessed: 20 April 2026).</w:t>
      </w:r>
    </w:p>
    <w:p w14:paraId="0F3FBB06" w14:textId="77777777" w:rsidR="00F36593" w:rsidRDefault="00F36593">
      <w:pPr>
        <w:spacing w:after="100"/>
        <w:ind w:left="340" w:hanging="340"/>
      </w:pPr>
      <w:r>
        <w:t xml:space="preserve">Kane, M.D. and </w:t>
      </w:r>
      <w:proofErr w:type="spellStart"/>
      <w:r>
        <w:t>Srulovici</w:t>
      </w:r>
      <w:proofErr w:type="spellEnd"/>
      <w:r>
        <w:t xml:space="preserve">, E. (2023) ‘Defining speaking up in the healthcare system: a systematic review’, Journal of General Internal Medicine, 38(15), pp. 3406-3413. Available at: </w:t>
      </w:r>
      <w:hyperlink r:id="rId16" w:history="1">
        <w:r w:rsidRPr="00732CA8">
          <w:rPr>
            <w:rStyle w:val="Hyperlink"/>
          </w:rPr>
          <w:t>https://doi.org/10.1007/s11606-023-08322-0</w:t>
        </w:r>
      </w:hyperlink>
      <w:r>
        <w:t xml:space="preserve"> (Accessed: 20 April 2026).</w:t>
      </w:r>
    </w:p>
    <w:p w14:paraId="1AF68D27" w14:textId="77777777" w:rsidR="00F36593" w:rsidRDefault="00F36593">
      <w:pPr>
        <w:spacing w:after="100"/>
        <w:ind w:left="340" w:hanging="340"/>
      </w:pPr>
      <w:r>
        <w:lastRenderedPageBreak/>
        <w:t xml:space="preserve">Kwon, J. and Kim, S. (2024) ‘The impacts of health decentralization on equity, efficiency, and effectiveness: a scoping review’, Sustainability, 16(1), 386. Available at: </w:t>
      </w:r>
      <w:hyperlink r:id="rId17" w:history="1">
        <w:r w:rsidRPr="00732CA8">
          <w:rPr>
            <w:rStyle w:val="Hyperlink"/>
          </w:rPr>
          <w:t>https://doi.org/10.3390/su16010386</w:t>
        </w:r>
      </w:hyperlink>
      <w:r>
        <w:t xml:space="preserve"> (Accessed: 20 April 2026).</w:t>
      </w:r>
    </w:p>
    <w:p w14:paraId="7F91DEF1" w14:textId="77777777" w:rsidR="00F36593" w:rsidRDefault="00F36593">
      <w:pPr>
        <w:spacing w:after="100"/>
        <w:ind w:left="340" w:hanging="340"/>
      </w:pPr>
      <w:r>
        <w:t xml:space="preserve">Lee, S.E., Lee, H. and Sang, S. (2023) ‘Nurse managers’ leadership, patient safety, and quality of care: a systematic review’, Western Journal of Nursing Research, 45(2), pp. 176-185. Available at: </w:t>
      </w:r>
      <w:hyperlink r:id="rId18" w:history="1">
        <w:r w:rsidRPr="00732CA8">
          <w:rPr>
            <w:rStyle w:val="Hyperlink"/>
          </w:rPr>
          <w:t>https://doi.org/10.1177/01939459221114079</w:t>
        </w:r>
      </w:hyperlink>
      <w:r>
        <w:t xml:space="preserve"> (Accessed: 20 April 2026).</w:t>
      </w:r>
    </w:p>
    <w:p w14:paraId="1A22B239" w14:textId="77777777" w:rsidR="00F36593" w:rsidRDefault="00F36593">
      <w:pPr>
        <w:spacing w:after="100"/>
        <w:ind w:left="340" w:hanging="340"/>
      </w:pPr>
      <w:r>
        <w:t xml:space="preserve">Machen, S. (2023) ‘Thematic reviews of patient safety incidents as a tool for systems thinking: a quality improvement report’, BMJ Open Quality, 12, e002020. Available at: </w:t>
      </w:r>
      <w:hyperlink r:id="rId19" w:history="1">
        <w:r w:rsidRPr="00732CA8">
          <w:rPr>
            <w:rStyle w:val="Hyperlink"/>
          </w:rPr>
          <w:t>https://doi.org/10.1136/bmjoq-2022-002020</w:t>
        </w:r>
      </w:hyperlink>
      <w:r>
        <w:t xml:space="preserve"> (Accessed: 20 April 2026).</w:t>
      </w:r>
    </w:p>
    <w:p w14:paraId="401BF31F" w14:textId="77777777" w:rsidR="00F36593" w:rsidRDefault="00F36593">
      <w:pPr>
        <w:spacing w:after="100"/>
        <w:ind w:left="340" w:hanging="340"/>
      </w:pPr>
      <w:r>
        <w:t xml:space="preserve">Mahmood, S., Sequeira, R., Siddiqui, M.M.U. et al. (2024) ‘Decentralization of the health system - experiences from Pakistan, Portugal and Brazil’, Health Research Policy and Systems, 22, 61. Available at: </w:t>
      </w:r>
      <w:hyperlink r:id="rId20" w:history="1">
        <w:r w:rsidRPr="00732CA8">
          <w:rPr>
            <w:rStyle w:val="Hyperlink"/>
          </w:rPr>
          <w:t>https://doi.org/10.1186/s12961-024-01145-3</w:t>
        </w:r>
      </w:hyperlink>
      <w:r>
        <w:t xml:space="preserve"> (Accessed: 20 April 2026).</w:t>
      </w:r>
    </w:p>
    <w:p w14:paraId="0B4AD1DE" w14:textId="77777777" w:rsidR="00F36593" w:rsidRDefault="00F36593">
      <w:pPr>
        <w:spacing w:after="100"/>
        <w:ind w:left="340" w:hanging="340"/>
      </w:pPr>
      <w:r>
        <w:t xml:space="preserve">Montgomery, A., </w:t>
      </w:r>
      <w:proofErr w:type="spellStart"/>
      <w:r>
        <w:t>Chalili</w:t>
      </w:r>
      <w:proofErr w:type="spellEnd"/>
      <w:r>
        <w:t xml:space="preserve">, V., Lainidi, O. et al. (2025) ‘Psychological safety and patient safety: a systematic and narrative review’, PLOS ONE, 20(4), e0322215. Available at: </w:t>
      </w:r>
      <w:hyperlink r:id="rId21" w:history="1">
        <w:r w:rsidRPr="00732CA8">
          <w:rPr>
            <w:rStyle w:val="Hyperlink"/>
          </w:rPr>
          <w:t>https://doi.org/10.1371/journal.pone.0322215</w:t>
        </w:r>
      </w:hyperlink>
      <w:r>
        <w:t xml:space="preserve"> (Accessed: 20 April 2026).</w:t>
      </w:r>
    </w:p>
    <w:p w14:paraId="5061F0D0" w14:textId="77777777" w:rsidR="00F36593" w:rsidRDefault="00F36593">
      <w:pPr>
        <w:spacing w:after="100"/>
        <w:ind w:left="340" w:hanging="340"/>
      </w:pPr>
      <w:r>
        <w:t xml:space="preserve">NHS England North East and Yorkshire (2023) ‘Serious incident case study: infant morphine overdose investigation summary and learning’. Available at: </w:t>
      </w:r>
      <w:hyperlink r:id="rId22" w:history="1">
        <w:r w:rsidRPr="00732CA8">
          <w:rPr>
            <w:rStyle w:val="Hyperlink"/>
          </w:rPr>
          <w:t>https://northyorkshireccg.nhs.uk/wp-content/uploads/2023/09/11.07.23-NHS-NEY-INFANT-MORPHINE-OVERDOSE-CASE-STUDY.pdf</w:t>
        </w:r>
      </w:hyperlink>
      <w:r>
        <w:t xml:space="preserve"> (Accessed: 20 April 2026).</w:t>
      </w:r>
    </w:p>
    <w:p w14:paraId="58603A1F" w14:textId="77777777" w:rsidR="00F36593" w:rsidRDefault="00F36593">
      <w:pPr>
        <w:spacing w:after="100"/>
        <w:ind w:left="340" w:hanging="340"/>
      </w:pPr>
      <w:r>
        <w:t xml:space="preserve">NHS Staff Survey (2024) ‘NHS Staff Survey 2024 National results briefing’. Available at: </w:t>
      </w:r>
      <w:hyperlink r:id="rId23" w:history="1">
        <w:r w:rsidRPr="00732CA8">
          <w:rPr>
            <w:rStyle w:val="Hyperlink"/>
          </w:rPr>
          <w:t>https://www.nhsstaffsurveys.com/static/c1a573e95b1a49428676ef4b24f5efe7/National-Results-Briefing-2024.pdf</w:t>
        </w:r>
      </w:hyperlink>
      <w:r>
        <w:t xml:space="preserve"> (Accessed: 20 April 2026).</w:t>
      </w:r>
    </w:p>
    <w:p w14:paraId="7EA299F0" w14:textId="77777777" w:rsidR="00F36593" w:rsidRDefault="00F36593">
      <w:pPr>
        <w:spacing w:after="100"/>
        <w:ind w:left="340" w:hanging="340"/>
      </w:pPr>
      <w:r>
        <w:t xml:space="preserve">Park, J., Kim, A.J., Cho, E.-J. et al. (2024) ‘Unintentional medication discrepancies at care transitions: prevalence and their impact on post-discharge emergency visits in critically ill older adults’, BMC Geriatrics, 24, 1000. Available at: </w:t>
      </w:r>
      <w:hyperlink r:id="rId24" w:history="1">
        <w:r w:rsidRPr="00732CA8">
          <w:rPr>
            <w:rStyle w:val="Hyperlink"/>
          </w:rPr>
          <w:t>https://doi.org/10.1186/s12877-024-05517-w</w:t>
        </w:r>
      </w:hyperlink>
      <w:r>
        <w:t xml:space="preserve"> (Accessed: 20 April 2026).</w:t>
      </w:r>
    </w:p>
    <w:p w14:paraId="3EF894DB" w14:textId="77777777" w:rsidR="00F36593" w:rsidRDefault="00F36593">
      <w:pPr>
        <w:spacing w:after="100"/>
        <w:ind w:left="340" w:hanging="340"/>
      </w:pPr>
      <w:r>
        <w:t xml:space="preserve">Ring, L.M., Cinotti, J., Hom, L.A. et al. (2023) ‘A quality improvement initiative to improve pediatric discharge medication safety and efficiency’, Pediatric Quality and Safety, 8(4), e671. Available at: </w:t>
      </w:r>
      <w:hyperlink r:id="rId25" w:history="1">
        <w:r w:rsidRPr="00732CA8">
          <w:rPr>
            <w:rStyle w:val="Hyperlink"/>
          </w:rPr>
          <w:t>https://doi.org/10.1097/pq9.0000000000000671</w:t>
        </w:r>
      </w:hyperlink>
      <w:r>
        <w:t xml:space="preserve"> (Accessed: 20 April 2026).</w:t>
      </w:r>
    </w:p>
    <w:p w14:paraId="61737B62" w14:textId="77777777" w:rsidR="00F36593" w:rsidRDefault="00F36593">
      <w:pPr>
        <w:spacing w:after="100"/>
        <w:ind w:left="340" w:hanging="340"/>
      </w:pPr>
      <w:r>
        <w:lastRenderedPageBreak/>
        <w:t>Samuels-</w:t>
      </w:r>
      <w:proofErr w:type="spellStart"/>
      <w:r>
        <w:t>Kalow</w:t>
      </w:r>
      <w:proofErr w:type="spellEnd"/>
      <w:r>
        <w:t xml:space="preserve">, M.E., Tassone, R., Manning, W. et al. (2024) ‘Analysis of a medication safety intervention in the pediatric emergency department’, JAMA Network Open, 7(1), e2351629. Available at: </w:t>
      </w:r>
      <w:hyperlink r:id="rId26" w:history="1">
        <w:r w:rsidRPr="00732CA8">
          <w:rPr>
            <w:rStyle w:val="Hyperlink"/>
          </w:rPr>
          <w:t>https://doi.org/10.1001/jamanetworkopen.2023.51629</w:t>
        </w:r>
      </w:hyperlink>
      <w:r>
        <w:t xml:space="preserve"> (Accessed: 20 April 2026).</w:t>
      </w:r>
    </w:p>
    <w:p w14:paraId="26515909" w14:textId="77777777" w:rsidR="00F36593" w:rsidRDefault="00F36593">
      <w:pPr>
        <w:spacing w:after="100"/>
        <w:ind w:left="340" w:hanging="340"/>
      </w:pPr>
      <w:r>
        <w:t xml:space="preserve">Sheth, S., </w:t>
      </w:r>
      <w:proofErr w:type="spellStart"/>
      <w:r>
        <w:t>Bialostozky</w:t>
      </w:r>
      <w:proofErr w:type="spellEnd"/>
      <w:r>
        <w:t xml:space="preserve">, M., Hollenbach, K. et al. (2024) ‘Standardizing medication reconciliation in a pediatric emergency department’, Pediatrics, 153(2), e2023061964. Available at: </w:t>
      </w:r>
      <w:hyperlink r:id="rId27" w:history="1">
        <w:r w:rsidRPr="00732CA8">
          <w:rPr>
            <w:rStyle w:val="Hyperlink"/>
          </w:rPr>
          <w:t>https://doi.org/10.1542/peds.2023-061964</w:t>
        </w:r>
      </w:hyperlink>
      <w:r>
        <w:t xml:space="preserve"> (Accessed: 20 April 2026).</w:t>
      </w:r>
    </w:p>
    <w:p w14:paraId="19D18078" w14:textId="77777777" w:rsidR="00F36593" w:rsidRDefault="00F36593">
      <w:pPr>
        <w:spacing w:after="100"/>
        <w:ind w:left="340" w:hanging="340"/>
      </w:pPr>
      <w:r>
        <w:t xml:space="preserve">Singh, A., </w:t>
      </w:r>
      <w:proofErr w:type="spellStart"/>
      <w:r>
        <w:t>Yeravdekar</w:t>
      </w:r>
      <w:proofErr w:type="spellEnd"/>
      <w:r>
        <w:t xml:space="preserve">, R. and Jadhav, S. (2024) ‘Investigating the influence of selected leadership styles on patient safety and quality of care: a systematic review and meta-analysis’, BMJ Leader, 8(3), pp. 208-214. Available at: </w:t>
      </w:r>
      <w:hyperlink r:id="rId28" w:history="1">
        <w:r w:rsidRPr="00732CA8">
          <w:rPr>
            <w:rStyle w:val="Hyperlink"/>
          </w:rPr>
          <w:t>https://doi.org/10.1136/leader-2023-000846</w:t>
        </w:r>
      </w:hyperlink>
      <w:r>
        <w:t xml:space="preserve"> (Accessed: 20 April 2026).</w:t>
      </w:r>
    </w:p>
    <w:p w14:paraId="153A390A" w14:textId="77777777" w:rsidR="00F36593" w:rsidRDefault="00F36593">
      <w:pPr>
        <w:spacing w:after="100"/>
        <w:ind w:left="340" w:hanging="340"/>
      </w:pPr>
      <w:r>
        <w:t xml:space="preserve">Soyer Er, O. and Gül, İ. (2024) ‘The speaking up climate of nurses for patient safety concerns and unprofessional behaviors: the effects of teamwork and safety climate’, Journal of </w:t>
      </w:r>
      <w:proofErr w:type="spellStart"/>
      <w:r>
        <w:t>PeriAnesthesia</w:t>
      </w:r>
      <w:proofErr w:type="spellEnd"/>
      <w:r>
        <w:t xml:space="preserve"> Nursing. Available at: </w:t>
      </w:r>
      <w:hyperlink r:id="rId29" w:history="1">
        <w:r w:rsidRPr="00732CA8">
          <w:rPr>
            <w:rStyle w:val="Hyperlink"/>
          </w:rPr>
          <w:t>https://pubmed.ncbi.nlm.nih.gov/38493404/</w:t>
        </w:r>
      </w:hyperlink>
      <w:r>
        <w:t xml:space="preserve"> (Accessed: 20 April 2026).</w:t>
      </w:r>
    </w:p>
    <w:p w14:paraId="75AAE602" w14:textId="77777777" w:rsidR="00F36593" w:rsidRDefault="00F36593">
      <w:pPr>
        <w:spacing w:after="100"/>
        <w:ind w:left="340" w:hanging="340"/>
      </w:pPr>
      <w:proofErr w:type="spellStart"/>
      <w:r>
        <w:t>Specchia</w:t>
      </w:r>
      <w:proofErr w:type="spellEnd"/>
      <w:r>
        <w:t xml:space="preserve">, M.L., Cozzolino, M.R., Carini, E. et al. (2025) ‘The effects of leadership on patient safety culture in health care: a systematic review’, BMC Nursing, 24, 63. Available at: </w:t>
      </w:r>
      <w:hyperlink r:id="rId30" w:history="1">
        <w:r w:rsidRPr="00732CA8">
          <w:rPr>
            <w:rStyle w:val="Hyperlink"/>
          </w:rPr>
          <w:t>https://doi.org/10.1186/s12912-025-04263-7</w:t>
        </w:r>
      </w:hyperlink>
      <w:r>
        <w:t xml:space="preserve"> (Accessed: 20 April 2026).</w:t>
      </w:r>
    </w:p>
    <w:p w14:paraId="3846CF77" w14:textId="77777777" w:rsidR="00F36593" w:rsidRDefault="00F36593">
      <w:pPr>
        <w:spacing w:after="100"/>
        <w:ind w:left="340" w:hanging="340"/>
      </w:pPr>
      <w:proofErr w:type="spellStart"/>
      <w:r>
        <w:t>Sturmberg</w:t>
      </w:r>
      <w:proofErr w:type="spellEnd"/>
      <w:r>
        <w:t xml:space="preserve">, J. (2024) ‘Systems thinking to improve healthcare’, BMJ, 384, q105. Available at: </w:t>
      </w:r>
      <w:hyperlink r:id="rId31" w:history="1">
        <w:r w:rsidRPr="00732CA8">
          <w:rPr>
            <w:rStyle w:val="Hyperlink"/>
          </w:rPr>
          <w:t>https://doi.org/10.1136/bmj.q105</w:t>
        </w:r>
      </w:hyperlink>
      <w:r>
        <w:t xml:space="preserve"> (Accessed: 20 April 2026).</w:t>
      </w:r>
    </w:p>
    <w:p w14:paraId="0F91E213" w14:textId="77777777" w:rsidR="00F36593" w:rsidRDefault="00F36593">
      <w:pPr>
        <w:spacing w:after="100"/>
        <w:ind w:left="340" w:hanging="340"/>
      </w:pPr>
      <w:r>
        <w:t xml:space="preserve">Thelen, J., Sant Fruchtman, C., Bilal, M. et al. (2023) ‘Development of the Systems Thinking for Health Actions framework: a literature review and a case study’, BMJ Global Health, 8(3), e010191. Available at: </w:t>
      </w:r>
      <w:hyperlink r:id="rId32" w:history="1">
        <w:r w:rsidRPr="00732CA8">
          <w:rPr>
            <w:rStyle w:val="Hyperlink"/>
          </w:rPr>
          <w:t>https://doi.org/10.1136/bmjgh-2022-010191</w:t>
        </w:r>
      </w:hyperlink>
      <w:r>
        <w:t xml:space="preserve"> (Accessed: 20 April 2026).</w:t>
      </w:r>
    </w:p>
    <w:p w14:paraId="6A9A9E35" w14:textId="77777777" w:rsidR="00F36593" w:rsidRDefault="00F36593">
      <w:pPr>
        <w:spacing w:after="100"/>
        <w:ind w:left="340" w:hanging="340"/>
      </w:pPr>
      <w:r>
        <w:t xml:space="preserve">Vibe, A., Rasmussen, S.H., Rasmussen, N.O.P. et al. (2024) ‘The predictors of patient safety culture in hospital setting: a systematic review’, Journal of Patient Safety, 20(8), pp. 576-592. Available at: </w:t>
      </w:r>
      <w:hyperlink r:id="rId33" w:history="1">
        <w:r w:rsidRPr="00732CA8">
          <w:rPr>
            <w:rStyle w:val="Hyperlink"/>
          </w:rPr>
          <w:t>https://doi.org/10.1097/PTS.0000000000001285</w:t>
        </w:r>
      </w:hyperlink>
      <w:r>
        <w:t xml:space="preserve"> (Accessed: 20 April 2026).</w:t>
      </w:r>
    </w:p>
    <w:p w14:paraId="48B45702" w14:textId="77777777" w:rsidR="00F36593" w:rsidRDefault="00F36593">
      <w:pPr>
        <w:spacing w:after="100"/>
        <w:ind w:left="340" w:hanging="340"/>
      </w:pPr>
      <w:proofErr w:type="spellStart"/>
      <w:r>
        <w:t>Violato</w:t>
      </w:r>
      <w:proofErr w:type="spellEnd"/>
      <w:r>
        <w:t xml:space="preserve">, E. (2022) ‘A state-of-the-art review of speaking up in healthcare’, Advances in Health Sciences Education, 27(4), pp. 1177-1194. Available at: </w:t>
      </w:r>
      <w:hyperlink r:id="rId34" w:history="1">
        <w:r w:rsidRPr="00732CA8">
          <w:rPr>
            <w:rStyle w:val="Hyperlink"/>
          </w:rPr>
          <w:t>https://doi.org/10.1007/s10459-022-10124-8</w:t>
        </w:r>
      </w:hyperlink>
      <w:r>
        <w:t xml:space="preserve"> (Accessed: 20 April 2026).</w:t>
      </w:r>
    </w:p>
    <w:p w14:paraId="497AB5F4" w14:textId="77777777" w:rsidR="00F36593" w:rsidRDefault="00F36593">
      <w:pPr>
        <w:spacing w:after="100"/>
        <w:ind w:left="340" w:hanging="340"/>
      </w:pPr>
      <w:r>
        <w:t xml:space="preserve">White, A., Fulda, K.G., Blythe, R. et al. (2022) ‘Defining and enhancing collaboration between community pharmacists and primary care providers to improve medication safety’, Expert Opinion </w:t>
      </w:r>
      <w:r>
        <w:lastRenderedPageBreak/>
        <w:t xml:space="preserve">on Drug Safety, 21(11), pp. 1357-1364. Available at: </w:t>
      </w:r>
      <w:hyperlink r:id="rId35" w:history="1">
        <w:r w:rsidRPr="00732CA8">
          <w:rPr>
            <w:rStyle w:val="Hyperlink"/>
          </w:rPr>
          <w:t>https://doi.org/10.1080/14740338.2022.2147923</w:t>
        </w:r>
      </w:hyperlink>
      <w:r>
        <w:t xml:space="preserve"> (Accessed: 20 April 2026).</w:t>
      </w:r>
    </w:p>
    <w:p w14:paraId="03A31D66" w14:textId="77777777" w:rsidR="00F36593" w:rsidRDefault="00F36593">
      <w:pPr>
        <w:spacing w:after="100"/>
        <w:ind w:left="340" w:hanging="340"/>
      </w:pPr>
      <w:r>
        <w:t xml:space="preserve">World Health Organization (2024) ‘Medication Without Harm’. Available at: </w:t>
      </w:r>
      <w:hyperlink r:id="rId36" w:history="1">
        <w:r w:rsidRPr="00732CA8">
          <w:rPr>
            <w:rStyle w:val="Hyperlink"/>
          </w:rPr>
          <w:t>https://www.who.int/initiatives/medication-without-harm</w:t>
        </w:r>
      </w:hyperlink>
      <w:r>
        <w:t xml:space="preserve"> (Accessed: 20 April 2026).</w:t>
      </w:r>
    </w:p>
    <w:p w14:paraId="23AB77AC" w14:textId="77777777" w:rsidR="00F36593" w:rsidRDefault="00F36593">
      <w:pPr>
        <w:spacing w:after="100"/>
        <w:ind w:left="340" w:hanging="340"/>
      </w:pPr>
      <w:r>
        <w:t xml:space="preserve">Wu, Y., Awang, S.R., Ahmad, T. and You, C. (2024) ‘A systematic review of leadership styles in healthcare sector: insights and future directions’, Geriatric Nursing, 59, pp. 48-59. Available at: </w:t>
      </w:r>
      <w:hyperlink r:id="rId37" w:history="1">
        <w:r w:rsidRPr="00732CA8">
          <w:rPr>
            <w:rStyle w:val="Hyperlink"/>
          </w:rPr>
          <w:t>https://doi.org/10.1016/j.gerinurse.2024.06.033</w:t>
        </w:r>
      </w:hyperlink>
      <w:r>
        <w:t xml:space="preserve"> (Accessed: 20 April 2026).</w:t>
      </w:r>
    </w:p>
    <w:p w14:paraId="041ABC02" w14:textId="77777777" w:rsidR="00F36593" w:rsidRDefault="00F36593">
      <w:pPr>
        <w:spacing w:after="100"/>
        <w:ind w:left="340" w:hanging="340"/>
      </w:pPr>
      <w:proofErr w:type="spellStart"/>
      <w:r>
        <w:t>Ystaas</w:t>
      </w:r>
      <w:proofErr w:type="spellEnd"/>
      <w:r>
        <w:t xml:space="preserve">, L.M.K., </w:t>
      </w:r>
      <w:proofErr w:type="spellStart"/>
      <w:r>
        <w:t>Nikitara</w:t>
      </w:r>
      <w:proofErr w:type="spellEnd"/>
      <w:r>
        <w:t xml:space="preserve">, M., Ghobrial, S. et al. (2023) ‘The impact of transformational leadership in the nursing work environment and patients’ outcomes: a systematic review’, Nursing Reports, 13(3). Available at: </w:t>
      </w:r>
      <w:hyperlink r:id="rId38" w:history="1">
        <w:r w:rsidRPr="00732CA8">
          <w:rPr>
            <w:rStyle w:val="Hyperlink"/>
          </w:rPr>
          <w:t>https://doi.org/10.3390/nursrep13030108</w:t>
        </w:r>
      </w:hyperlink>
      <w:r>
        <w:t xml:space="preserve"> (Accessed: 20 April 2026).</w:t>
      </w:r>
    </w:p>
    <w:sectPr w:rsidR="00F36593" w:rsidSect="00F12D69">
      <w:footerReference w:type="default" r:id="rId39"/>
      <w:pgSz w:w="12240" w:h="15840"/>
      <w:pgMar w:top="1247" w:right="1247" w:bottom="1247" w:left="1247"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DE997" w14:textId="77777777" w:rsidR="00CA48FF" w:rsidRDefault="00CA48FF" w:rsidP="00E018C3">
      <w:pPr>
        <w:spacing w:after="0" w:line="240" w:lineRule="auto"/>
      </w:pPr>
      <w:r>
        <w:separator/>
      </w:r>
    </w:p>
  </w:endnote>
  <w:endnote w:type="continuationSeparator" w:id="0">
    <w:p w14:paraId="6C85A44F" w14:textId="77777777" w:rsidR="00CA48FF" w:rsidRDefault="00CA48FF" w:rsidP="00E01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355421"/>
      <w:docPartObj>
        <w:docPartGallery w:val="Page Numbers (Bottom of Page)"/>
        <w:docPartUnique/>
      </w:docPartObj>
    </w:sdtPr>
    <w:sdtEndPr>
      <w:rPr>
        <w:noProof/>
      </w:rPr>
    </w:sdtEndPr>
    <w:sdtContent>
      <w:p w14:paraId="2E9A1B33" w14:textId="674DF332" w:rsidR="00E018C3" w:rsidRDefault="00E018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C6C39" w14:textId="77777777" w:rsidR="00E018C3" w:rsidRDefault="00E01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E5F69" w14:textId="77777777" w:rsidR="00CA48FF" w:rsidRDefault="00CA48FF" w:rsidP="00E018C3">
      <w:pPr>
        <w:spacing w:after="0" w:line="240" w:lineRule="auto"/>
      </w:pPr>
      <w:r>
        <w:separator/>
      </w:r>
    </w:p>
  </w:footnote>
  <w:footnote w:type="continuationSeparator" w:id="0">
    <w:p w14:paraId="07BC46E7" w14:textId="77777777" w:rsidR="00CA48FF" w:rsidRDefault="00CA48FF" w:rsidP="00E018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DB54F37"/>
    <w:multiLevelType w:val="hybridMultilevel"/>
    <w:tmpl w:val="79E6FC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42245905">
    <w:abstractNumId w:val="8"/>
  </w:num>
  <w:num w:numId="2" w16cid:durableId="1801266174">
    <w:abstractNumId w:val="6"/>
  </w:num>
  <w:num w:numId="3" w16cid:durableId="1479110321">
    <w:abstractNumId w:val="5"/>
  </w:num>
  <w:num w:numId="4" w16cid:durableId="1429814554">
    <w:abstractNumId w:val="4"/>
  </w:num>
  <w:num w:numId="5" w16cid:durableId="528954823">
    <w:abstractNumId w:val="7"/>
  </w:num>
  <w:num w:numId="6" w16cid:durableId="659387630">
    <w:abstractNumId w:val="3"/>
  </w:num>
  <w:num w:numId="7" w16cid:durableId="2047218175">
    <w:abstractNumId w:val="2"/>
  </w:num>
  <w:num w:numId="8" w16cid:durableId="663780409">
    <w:abstractNumId w:val="1"/>
  </w:num>
  <w:num w:numId="9" w16cid:durableId="281349627">
    <w:abstractNumId w:val="0"/>
  </w:num>
  <w:num w:numId="10" w16cid:durableId="13803255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21F"/>
    <w:rsid w:val="00034616"/>
    <w:rsid w:val="0004157D"/>
    <w:rsid w:val="0006063C"/>
    <w:rsid w:val="001369B6"/>
    <w:rsid w:val="0015074B"/>
    <w:rsid w:val="001762E4"/>
    <w:rsid w:val="001778A0"/>
    <w:rsid w:val="001C2E72"/>
    <w:rsid w:val="001C319D"/>
    <w:rsid w:val="001D6509"/>
    <w:rsid w:val="0029639D"/>
    <w:rsid w:val="002A282A"/>
    <w:rsid w:val="00326F90"/>
    <w:rsid w:val="0032763E"/>
    <w:rsid w:val="003618DE"/>
    <w:rsid w:val="003916E5"/>
    <w:rsid w:val="003F0FF2"/>
    <w:rsid w:val="003F2B9D"/>
    <w:rsid w:val="004303FA"/>
    <w:rsid w:val="00433252"/>
    <w:rsid w:val="00436EFC"/>
    <w:rsid w:val="00464059"/>
    <w:rsid w:val="004D2DC4"/>
    <w:rsid w:val="004E30B6"/>
    <w:rsid w:val="005013D3"/>
    <w:rsid w:val="00572EC5"/>
    <w:rsid w:val="005C5AD7"/>
    <w:rsid w:val="00622321"/>
    <w:rsid w:val="006330A4"/>
    <w:rsid w:val="006A3E07"/>
    <w:rsid w:val="006E53D5"/>
    <w:rsid w:val="006E7D50"/>
    <w:rsid w:val="0071018C"/>
    <w:rsid w:val="00752EDB"/>
    <w:rsid w:val="00762CFA"/>
    <w:rsid w:val="00862B90"/>
    <w:rsid w:val="00891D17"/>
    <w:rsid w:val="008E1627"/>
    <w:rsid w:val="008F5BCA"/>
    <w:rsid w:val="00936C5D"/>
    <w:rsid w:val="009707B9"/>
    <w:rsid w:val="009C6708"/>
    <w:rsid w:val="00A44D66"/>
    <w:rsid w:val="00A505BD"/>
    <w:rsid w:val="00A508B6"/>
    <w:rsid w:val="00A734B2"/>
    <w:rsid w:val="00A90DF3"/>
    <w:rsid w:val="00AA1D8D"/>
    <w:rsid w:val="00AA2137"/>
    <w:rsid w:val="00AC0F76"/>
    <w:rsid w:val="00B47730"/>
    <w:rsid w:val="00C1740B"/>
    <w:rsid w:val="00C4219A"/>
    <w:rsid w:val="00C846AB"/>
    <w:rsid w:val="00CA0743"/>
    <w:rsid w:val="00CA48FF"/>
    <w:rsid w:val="00CB0664"/>
    <w:rsid w:val="00CB7B64"/>
    <w:rsid w:val="00CC1FD9"/>
    <w:rsid w:val="00D300CE"/>
    <w:rsid w:val="00D30BCE"/>
    <w:rsid w:val="00D32849"/>
    <w:rsid w:val="00D446AE"/>
    <w:rsid w:val="00D96512"/>
    <w:rsid w:val="00DB67D8"/>
    <w:rsid w:val="00DC4DE6"/>
    <w:rsid w:val="00DE5F78"/>
    <w:rsid w:val="00E018C3"/>
    <w:rsid w:val="00E13ADA"/>
    <w:rsid w:val="00E36421"/>
    <w:rsid w:val="00E50C53"/>
    <w:rsid w:val="00E62AAD"/>
    <w:rsid w:val="00E85175"/>
    <w:rsid w:val="00E87D78"/>
    <w:rsid w:val="00F12D69"/>
    <w:rsid w:val="00F36593"/>
    <w:rsid w:val="00F44F33"/>
    <w:rsid w:val="00F61A31"/>
    <w:rsid w:val="00F64B48"/>
    <w:rsid w:val="00F87363"/>
    <w:rsid w:val="00FC693F"/>
    <w:rsid w:val="00FD7488"/>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5B29F"/>
  <w14:defaultImageDpi w14:val="300"/>
  <w15:docId w15:val="{42496CA2-EBF4-4624-B5AF-F90447F40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F78"/>
    <w:pPr>
      <w:spacing w:line="360" w:lineRule="auto"/>
      <w:jc w:val="both"/>
    </w:pPr>
    <w:rPr>
      <w:rFonts w:ascii="Times New Roman" w:eastAsia="Calibri" w:hAnsi="Times New Roman"/>
      <w:sz w:val="24"/>
    </w:rPr>
  </w:style>
  <w:style w:type="paragraph" w:styleId="Heading1">
    <w:name w:val="heading 1"/>
    <w:basedOn w:val="Normal"/>
    <w:next w:val="Normal"/>
    <w:link w:val="Heading1Char"/>
    <w:uiPriority w:val="9"/>
    <w:qFormat/>
    <w:rsid w:val="003618DE"/>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A505BD"/>
    <w:pPr>
      <w:keepNext/>
      <w:keepLines/>
      <w:spacing w:before="200" w:after="0"/>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3618DE"/>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505BD"/>
    <w:rPr>
      <w:rFonts w:ascii="Times New Roman" w:eastAsiaTheme="majorEastAsia" w:hAnsi="Times New Roman" w:cstheme="majorBidi"/>
      <w:bCs/>
      <w:color w:val="000000" w:themeColor="text1"/>
      <w:sz w:val="24"/>
      <w:szCs w:val="26"/>
      <w:u w:val="singl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618DE"/>
    <w:rPr>
      <w:color w:val="0000FF" w:themeColor="hyperlink"/>
      <w:u w:val="single"/>
    </w:rPr>
  </w:style>
  <w:style w:type="character" w:styleId="UnresolvedMention">
    <w:name w:val="Unresolved Mention"/>
    <w:basedOn w:val="DefaultParagraphFont"/>
    <w:uiPriority w:val="99"/>
    <w:semiHidden/>
    <w:unhideWhenUsed/>
    <w:rsid w:val="003618DE"/>
    <w:rPr>
      <w:color w:val="605E5C"/>
      <w:shd w:val="clear" w:color="auto" w:fill="E1DFDD"/>
    </w:rPr>
  </w:style>
  <w:style w:type="paragraph" w:styleId="TOC1">
    <w:name w:val="toc 1"/>
    <w:basedOn w:val="Normal"/>
    <w:next w:val="Normal"/>
    <w:autoRedefine/>
    <w:uiPriority w:val="39"/>
    <w:unhideWhenUsed/>
    <w:rsid w:val="00E87D78"/>
    <w:pPr>
      <w:spacing w:after="100"/>
    </w:pPr>
  </w:style>
  <w:style w:type="paragraph" w:styleId="TOC2">
    <w:name w:val="toc 2"/>
    <w:basedOn w:val="Normal"/>
    <w:next w:val="Normal"/>
    <w:autoRedefine/>
    <w:uiPriority w:val="39"/>
    <w:unhideWhenUsed/>
    <w:rsid w:val="00E87D7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2024-national-nhs-staff-survey-results" TargetMode="External"/><Relationship Id="rId18" Type="http://schemas.openxmlformats.org/officeDocument/2006/relationships/hyperlink" Target="https://doi.org/10.1177/01939459221114079" TargetMode="External"/><Relationship Id="rId26" Type="http://schemas.openxmlformats.org/officeDocument/2006/relationships/hyperlink" Target="https://doi.org/10.1001/jamanetworkopen.2023.51629" TargetMode="External"/><Relationship Id="rId39" Type="http://schemas.openxmlformats.org/officeDocument/2006/relationships/footer" Target="footer1.xml"/><Relationship Id="rId21" Type="http://schemas.openxmlformats.org/officeDocument/2006/relationships/hyperlink" Target="https://doi.org/10.1371/journal.pone.0322215" TargetMode="External"/><Relationship Id="rId34" Type="http://schemas.openxmlformats.org/officeDocument/2006/relationships/hyperlink" Target="https://doi.org/10.1007/s10459-022-10124-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1606-023-08322-0" TargetMode="External"/><Relationship Id="rId20" Type="http://schemas.openxmlformats.org/officeDocument/2006/relationships/hyperlink" Target="https://doi.org/10.1186/s12961-024-01145-3" TargetMode="External"/><Relationship Id="rId29" Type="http://schemas.openxmlformats.org/officeDocument/2006/relationships/hyperlink" Target="https://pubmed.ncbi.nlm.nih.gov/3849340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7861/fhj.2023-0074" TargetMode="External"/><Relationship Id="rId24" Type="http://schemas.openxmlformats.org/officeDocument/2006/relationships/hyperlink" Target="https://doi.org/10.1186/s12877-024-05517-w" TargetMode="External"/><Relationship Id="rId32" Type="http://schemas.openxmlformats.org/officeDocument/2006/relationships/hyperlink" Target="https://doi.org/10.1136/bmjgh-2022-010191" TargetMode="External"/><Relationship Id="rId37" Type="http://schemas.openxmlformats.org/officeDocument/2006/relationships/hyperlink" Target="https://doi.org/10.1016/j.gerinurse.2024.06.03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89/fphar.2024.1377781" TargetMode="External"/><Relationship Id="rId23" Type="http://schemas.openxmlformats.org/officeDocument/2006/relationships/hyperlink" Target="https://www.nhsstaffsurveys.com/static/c1a573e95b1a49428676ef4b24f5efe7/National-Results-Briefing-2024.pdf" TargetMode="External"/><Relationship Id="rId28" Type="http://schemas.openxmlformats.org/officeDocument/2006/relationships/hyperlink" Target="https://doi.org/10.1136/leader-2023-000846" TargetMode="External"/><Relationship Id="rId36" Type="http://schemas.openxmlformats.org/officeDocument/2006/relationships/hyperlink" Target="https://www.who.int/initiatives/medication-without-harm" TargetMode="External"/><Relationship Id="rId10" Type="http://schemas.openxmlformats.org/officeDocument/2006/relationships/hyperlink" Target="https://doi.org/10.1097/PEC.0000000000003108" TargetMode="External"/><Relationship Id="rId19" Type="http://schemas.openxmlformats.org/officeDocument/2006/relationships/hyperlink" Target="https://doi.org/10.1136/bmjoq-2022-002020" TargetMode="External"/><Relationship Id="rId31" Type="http://schemas.openxmlformats.org/officeDocument/2006/relationships/hyperlink" Target="https://doi.org/10.1136/bmj.q105" TargetMode="External"/><Relationship Id="rId4" Type="http://schemas.openxmlformats.org/officeDocument/2006/relationships/settings" Target="settings.xml"/><Relationship Id="rId9" Type="http://schemas.openxmlformats.org/officeDocument/2006/relationships/hyperlink" Target="https://doi.org/10.3390/app14188496" TargetMode="External"/><Relationship Id="rId14" Type="http://schemas.openxmlformats.org/officeDocument/2006/relationships/hyperlink" Target="https://www.ismp.org/system/files/resources/2023-03/ISMP_TargetedMedicationSafetyBestPractices_CommunityPharmacy_031523B_MS5210%20%281%29.pdf" TargetMode="External"/><Relationship Id="rId22" Type="http://schemas.openxmlformats.org/officeDocument/2006/relationships/hyperlink" Target="https://northyorkshireccg.nhs.uk/wp-content/uploads/2023/09/11.07.23-NHS-NEY-INFANT-MORPHINE-OVERDOSE-CASE-STUDY.pdf" TargetMode="External"/><Relationship Id="rId27" Type="http://schemas.openxmlformats.org/officeDocument/2006/relationships/hyperlink" Target="https://doi.org/10.1542/peds.2023-061964" TargetMode="External"/><Relationship Id="rId30" Type="http://schemas.openxmlformats.org/officeDocument/2006/relationships/hyperlink" Target="https://doi.org/10.1186/s12912-025-04263-7" TargetMode="External"/><Relationship Id="rId35" Type="http://schemas.openxmlformats.org/officeDocument/2006/relationships/hyperlink" Target="https://doi.org/10.1080/14740338.2022.2147923"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093/heapro/daae086" TargetMode="External"/><Relationship Id="rId17" Type="http://schemas.openxmlformats.org/officeDocument/2006/relationships/hyperlink" Target="https://doi.org/10.3390/su16010386" TargetMode="External"/><Relationship Id="rId25" Type="http://schemas.openxmlformats.org/officeDocument/2006/relationships/hyperlink" Target="https://doi.org/10.1097/pq9.0000000000000671" TargetMode="External"/><Relationship Id="rId33" Type="http://schemas.openxmlformats.org/officeDocument/2006/relationships/hyperlink" Target="https://doi.org/10.1097/PTS.0000000000001285" TargetMode="External"/><Relationship Id="rId38" Type="http://schemas.openxmlformats.org/officeDocument/2006/relationships/hyperlink" Target="https://doi.org/10.3390/nursrep13030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19</Pages>
  <Words>6858</Words>
  <Characters>39096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HP USER</dc:description>
  <cp:lastModifiedBy>amipatel18082003@gmail.com</cp:lastModifiedBy>
  <cp:revision>79</cp:revision>
  <dcterms:created xsi:type="dcterms:W3CDTF">2026-04-20T05:40:00Z</dcterms:created>
  <dcterms:modified xsi:type="dcterms:W3CDTF">2026-04-20T21:04:00Z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937abdfb-d685-409d-84fd-b6d453fda2b5</vt:lpwstr>
  </property>
</Properties>
</file>