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2B8D9" w14:textId="3ACE91C3" w:rsidR="008123FC" w:rsidRDefault="00934A61" w:rsidP="008123FC">
      <w:pPr>
        <w:spacing w:before="240" w:line="360" w:lineRule="auto"/>
        <w:jc w:val="center"/>
        <w:rPr>
          <w:b/>
          <w:sz w:val="32"/>
          <w:szCs w:val="24"/>
        </w:rPr>
      </w:pPr>
      <w:r>
        <w:rPr>
          <w:noProof/>
        </w:rPr>
        <w:drawing>
          <wp:inline distT="0" distB="0" distL="0" distR="0" wp14:anchorId="21BAB4D1" wp14:editId="117F32CF">
            <wp:extent cx="3688080" cy="1516380"/>
            <wp:effectExtent l="0" t="0" r="7620" b="7620"/>
            <wp:docPr id="3"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3688080" cy="1516380"/>
                    </a:xfrm>
                    <a:prstGeom prst="rect">
                      <a:avLst/>
                    </a:prstGeom>
                    <a:ln/>
                  </pic:spPr>
                </pic:pic>
              </a:graphicData>
            </a:graphic>
          </wp:inline>
        </w:drawing>
      </w:r>
    </w:p>
    <w:p w14:paraId="72FA237D" w14:textId="77777777" w:rsidR="008123FC" w:rsidRDefault="008123FC" w:rsidP="008123FC">
      <w:pPr>
        <w:spacing w:before="240" w:line="360" w:lineRule="auto"/>
        <w:jc w:val="center"/>
        <w:rPr>
          <w:b/>
          <w:sz w:val="32"/>
          <w:szCs w:val="24"/>
        </w:rPr>
      </w:pPr>
    </w:p>
    <w:p w14:paraId="01305745" w14:textId="45A36CB4" w:rsidR="008123FC" w:rsidRDefault="00934A61" w:rsidP="008123FC">
      <w:pPr>
        <w:spacing w:before="240" w:line="360" w:lineRule="auto"/>
        <w:jc w:val="center"/>
        <w:rPr>
          <w:b/>
          <w:sz w:val="32"/>
          <w:szCs w:val="24"/>
        </w:rPr>
      </w:pPr>
      <w:r>
        <w:rPr>
          <w:b/>
          <w:sz w:val="32"/>
          <w:szCs w:val="24"/>
        </w:rPr>
        <w:t xml:space="preserve">Student </w:t>
      </w:r>
      <w:proofErr w:type="gramStart"/>
      <w:r>
        <w:rPr>
          <w:b/>
          <w:sz w:val="32"/>
          <w:szCs w:val="24"/>
        </w:rPr>
        <w:t>Name :</w:t>
      </w:r>
      <w:proofErr w:type="gramEnd"/>
      <w:r>
        <w:rPr>
          <w:b/>
          <w:sz w:val="32"/>
          <w:szCs w:val="24"/>
        </w:rPr>
        <w:t xml:space="preserve">  Darshan Mukesh Bhai Kanani</w:t>
      </w:r>
    </w:p>
    <w:p w14:paraId="6F3DD9AB" w14:textId="2F402F4F" w:rsidR="00934A61" w:rsidRDefault="00934A61" w:rsidP="008123FC">
      <w:pPr>
        <w:spacing w:before="240" w:line="360" w:lineRule="auto"/>
        <w:jc w:val="center"/>
        <w:rPr>
          <w:b/>
          <w:sz w:val="32"/>
          <w:szCs w:val="24"/>
        </w:rPr>
      </w:pPr>
      <w:r>
        <w:rPr>
          <w:b/>
          <w:sz w:val="32"/>
          <w:szCs w:val="24"/>
        </w:rPr>
        <w:t>StudentID:2532572</w:t>
      </w:r>
    </w:p>
    <w:p w14:paraId="38BD39CB" w14:textId="77777777" w:rsidR="0048315F" w:rsidRDefault="00934A61" w:rsidP="0048315F">
      <w:pPr>
        <w:spacing w:before="240" w:line="360" w:lineRule="auto"/>
        <w:jc w:val="center"/>
        <w:rPr>
          <w:b/>
          <w:bCs/>
          <w:sz w:val="32"/>
          <w:szCs w:val="24"/>
        </w:rPr>
      </w:pPr>
      <w:r w:rsidRPr="0048315F">
        <w:rPr>
          <w:b/>
          <w:bCs/>
          <w:sz w:val="32"/>
          <w:szCs w:val="24"/>
        </w:rPr>
        <w:t>Chosen Company: Hilton</w:t>
      </w:r>
    </w:p>
    <w:p w14:paraId="31CFA5E7" w14:textId="2933868B" w:rsidR="008123FC" w:rsidRPr="0048315F" w:rsidRDefault="008123FC" w:rsidP="0048315F">
      <w:pPr>
        <w:spacing w:before="240" w:line="360" w:lineRule="auto"/>
        <w:jc w:val="center"/>
        <w:rPr>
          <w:b/>
          <w:bCs/>
          <w:sz w:val="32"/>
          <w:szCs w:val="24"/>
        </w:rPr>
      </w:pPr>
      <w:r w:rsidRPr="008123FC">
        <w:rPr>
          <w:b/>
          <w:sz w:val="32"/>
          <w:szCs w:val="24"/>
        </w:rPr>
        <w:t>Programme:</w:t>
      </w:r>
      <w:r w:rsidRPr="008123FC">
        <w:rPr>
          <w:sz w:val="32"/>
          <w:szCs w:val="24"/>
        </w:rPr>
        <w:t xml:space="preserve"> </w:t>
      </w:r>
      <w:r w:rsidRPr="0048315F">
        <w:rPr>
          <w:b/>
          <w:bCs/>
          <w:sz w:val="32"/>
          <w:szCs w:val="24"/>
        </w:rPr>
        <w:t>Master of Business Administration</w:t>
      </w:r>
    </w:p>
    <w:p w14:paraId="4EB8A9C7" w14:textId="4E5EFC88" w:rsidR="0048315F" w:rsidRPr="008123FC" w:rsidRDefault="008123FC" w:rsidP="0048315F">
      <w:pPr>
        <w:spacing w:before="240" w:line="360" w:lineRule="auto"/>
        <w:jc w:val="center"/>
        <w:rPr>
          <w:sz w:val="32"/>
          <w:szCs w:val="24"/>
        </w:rPr>
      </w:pPr>
      <w:r w:rsidRPr="008123FC">
        <w:rPr>
          <w:b/>
          <w:sz w:val="32"/>
          <w:szCs w:val="24"/>
        </w:rPr>
        <w:t>Module</w:t>
      </w:r>
      <w:r w:rsidR="00934A61">
        <w:rPr>
          <w:b/>
          <w:sz w:val="32"/>
          <w:szCs w:val="24"/>
        </w:rPr>
        <w:t xml:space="preserve"> Name</w:t>
      </w:r>
      <w:r w:rsidRPr="008123FC">
        <w:rPr>
          <w:b/>
          <w:sz w:val="32"/>
          <w:szCs w:val="24"/>
        </w:rPr>
        <w:t>:</w:t>
      </w:r>
      <w:r w:rsidR="0048315F" w:rsidRPr="0048315F">
        <w:rPr>
          <w:sz w:val="32"/>
          <w:szCs w:val="24"/>
        </w:rPr>
        <w:t xml:space="preserve"> </w:t>
      </w:r>
      <w:r w:rsidR="0048315F" w:rsidRPr="0048315F">
        <w:rPr>
          <w:b/>
          <w:bCs/>
          <w:sz w:val="32"/>
          <w:szCs w:val="24"/>
        </w:rPr>
        <w:t xml:space="preserve">Financial </w:t>
      </w:r>
      <w:r w:rsidRPr="0048315F">
        <w:rPr>
          <w:b/>
          <w:bCs/>
          <w:sz w:val="32"/>
          <w:szCs w:val="24"/>
        </w:rPr>
        <w:t xml:space="preserve"> </w:t>
      </w:r>
      <w:r w:rsidR="0048315F" w:rsidRPr="0048315F">
        <w:rPr>
          <w:b/>
          <w:bCs/>
          <w:sz w:val="32"/>
          <w:szCs w:val="24"/>
        </w:rPr>
        <w:t xml:space="preserve"> </w:t>
      </w:r>
      <w:r w:rsidR="0048315F" w:rsidRPr="0048315F">
        <w:rPr>
          <w:b/>
          <w:bCs/>
          <w:sz w:val="32"/>
          <w:szCs w:val="24"/>
        </w:rPr>
        <w:t>Management</w:t>
      </w:r>
    </w:p>
    <w:p w14:paraId="0AA0EF84" w14:textId="25AA758E" w:rsidR="008123FC" w:rsidRDefault="0048315F" w:rsidP="0048315F">
      <w:pPr>
        <w:spacing w:before="240" w:line="360" w:lineRule="auto"/>
        <w:jc w:val="center"/>
        <w:rPr>
          <w:sz w:val="32"/>
          <w:szCs w:val="24"/>
        </w:rPr>
      </w:pPr>
      <w:r w:rsidRPr="008123FC">
        <w:rPr>
          <w:b/>
          <w:sz w:val="32"/>
          <w:szCs w:val="24"/>
        </w:rPr>
        <w:t>Module code</w:t>
      </w:r>
      <w:r w:rsidRPr="0048315F">
        <w:rPr>
          <w:b/>
          <w:sz w:val="32"/>
          <w:szCs w:val="24"/>
        </w:rPr>
        <w:t>: LCMB7002</w:t>
      </w:r>
      <w:r w:rsidRPr="008123FC">
        <w:rPr>
          <w:sz w:val="32"/>
          <w:szCs w:val="24"/>
        </w:rPr>
        <w:t xml:space="preserve"> </w:t>
      </w:r>
    </w:p>
    <w:p w14:paraId="4B7AAA21" w14:textId="1161A4F0" w:rsidR="00934A61" w:rsidRDefault="00934A61" w:rsidP="008123FC">
      <w:pPr>
        <w:spacing w:before="240" w:line="360" w:lineRule="auto"/>
        <w:jc w:val="center"/>
        <w:rPr>
          <w:b/>
          <w:bCs/>
          <w:sz w:val="32"/>
          <w:szCs w:val="24"/>
        </w:rPr>
      </w:pPr>
      <w:r w:rsidRPr="00EB15EB">
        <w:rPr>
          <w:b/>
          <w:bCs/>
          <w:sz w:val="32"/>
          <w:szCs w:val="24"/>
        </w:rPr>
        <w:t>Lecturer</w:t>
      </w:r>
      <w:r w:rsidR="00EB15EB" w:rsidRPr="00EB15EB">
        <w:rPr>
          <w:b/>
          <w:bCs/>
          <w:sz w:val="32"/>
          <w:szCs w:val="24"/>
        </w:rPr>
        <w:t>’s Name: M</w:t>
      </w:r>
      <w:r w:rsidR="00071D74">
        <w:rPr>
          <w:b/>
          <w:bCs/>
          <w:sz w:val="32"/>
          <w:szCs w:val="24"/>
        </w:rPr>
        <w:t>.</w:t>
      </w:r>
      <w:r w:rsidR="00EB15EB" w:rsidRPr="00EB15EB">
        <w:rPr>
          <w:b/>
          <w:bCs/>
          <w:sz w:val="32"/>
          <w:szCs w:val="24"/>
        </w:rPr>
        <w:t>D Kalam</w:t>
      </w:r>
    </w:p>
    <w:p w14:paraId="1478CBCF" w14:textId="325AB3E5" w:rsidR="0048315F" w:rsidRDefault="0048315F" w:rsidP="008123FC">
      <w:pPr>
        <w:spacing w:before="240" w:line="360" w:lineRule="auto"/>
        <w:jc w:val="center"/>
        <w:rPr>
          <w:b/>
          <w:bCs/>
          <w:sz w:val="32"/>
          <w:szCs w:val="24"/>
        </w:rPr>
      </w:pPr>
      <w:r>
        <w:rPr>
          <w:b/>
          <w:bCs/>
          <w:sz w:val="32"/>
          <w:szCs w:val="24"/>
        </w:rPr>
        <w:t xml:space="preserve">Submission Date </w:t>
      </w:r>
      <w:proofErr w:type="gramStart"/>
      <w:r>
        <w:rPr>
          <w:b/>
          <w:bCs/>
          <w:sz w:val="32"/>
          <w:szCs w:val="24"/>
        </w:rPr>
        <w:t xml:space="preserve">  :</w:t>
      </w:r>
      <w:proofErr w:type="gramEnd"/>
      <w:r>
        <w:rPr>
          <w:b/>
          <w:bCs/>
          <w:sz w:val="32"/>
          <w:szCs w:val="24"/>
        </w:rPr>
        <w:t xml:space="preserve"> 13 August,2026</w:t>
      </w:r>
    </w:p>
    <w:p w14:paraId="0715B869" w14:textId="2325D0EA" w:rsidR="0048315F" w:rsidRDefault="0048315F" w:rsidP="008123FC">
      <w:pPr>
        <w:spacing w:before="240" w:line="360" w:lineRule="auto"/>
        <w:jc w:val="center"/>
        <w:rPr>
          <w:b/>
          <w:bCs/>
          <w:sz w:val="32"/>
          <w:szCs w:val="24"/>
        </w:rPr>
      </w:pPr>
      <w:r>
        <w:rPr>
          <w:b/>
          <w:bCs/>
          <w:sz w:val="32"/>
          <w:szCs w:val="24"/>
        </w:rPr>
        <w:t>Word count: 5000</w:t>
      </w:r>
    </w:p>
    <w:p w14:paraId="758BFF78" w14:textId="16D499EE" w:rsidR="0048315F" w:rsidRPr="00EB15EB" w:rsidRDefault="0048315F" w:rsidP="008123FC">
      <w:pPr>
        <w:spacing w:before="240" w:line="360" w:lineRule="auto"/>
        <w:jc w:val="center"/>
        <w:rPr>
          <w:b/>
          <w:bCs/>
          <w:sz w:val="32"/>
          <w:szCs w:val="24"/>
        </w:rPr>
      </w:pPr>
      <w:r>
        <w:rPr>
          <w:b/>
          <w:bCs/>
          <w:sz w:val="32"/>
          <w:szCs w:val="24"/>
        </w:rPr>
        <w:t xml:space="preserve"> </w:t>
      </w:r>
    </w:p>
    <w:p w14:paraId="5B114609" w14:textId="77777777" w:rsidR="008123FC" w:rsidRDefault="008123FC" w:rsidP="008123FC">
      <w:pPr>
        <w:spacing w:before="240" w:line="360" w:lineRule="auto"/>
        <w:jc w:val="center"/>
        <w:rPr>
          <w:sz w:val="32"/>
          <w:szCs w:val="24"/>
        </w:rPr>
      </w:pPr>
    </w:p>
    <w:p w14:paraId="40B8B21E" w14:textId="77777777" w:rsidR="008123FC" w:rsidRDefault="008123FC" w:rsidP="008123FC">
      <w:pPr>
        <w:spacing w:before="240" w:line="360" w:lineRule="auto"/>
        <w:jc w:val="center"/>
        <w:rPr>
          <w:sz w:val="32"/>
          <w:szCs w:val="24"/>
        </w:rPr>
      </w:pPr>
    </w:p>
    <w:p w14:paraId="0896037E" w14:textId="6A07C043" w:rsidR="007918F4" w:rsidRPr="00733834" w:rsidRDefault="007918F4" w:rsidP="008123FC">
      <w:pPr>
        <w:spacing w:before="240" w:line="360" w:lineRule="auto"/>
        <w:jc w:val="center"/>
        <w:rPr>
          <w:color w:val="2E74B5"/>
          <w:sz w:val="24"/>
          <w:szCs w:val="24"/>
        </w:rPr>
      </w:pPr>
      <w:r w:rsidRPr="00733834">
        <w:rPr>
          <w:sz w:val="24"/>
          <w:szCs w:val="24"/>
        </w:rPr>
        <w:br w:type="page"/>
      </w:r>
    </w:p>
    <w:sdt>
      <w:sdtPr>
        <w:rPr>
          <w:rFonts w:ascii="Times New Roman" w:eastAsia="Times New Roman" w:hAnsi="Times New Roman" w:cs="Times New Roman"/>
          <w:b w:val="0"/>
          <w:bCs w:val="0"/>
          <w:color w:val="000000" w:themeColor="text1"/>
          <w:sz w:val="24"/>
          <w:szCs w:val="24"/>
          <w:lang w:val="en-IN" w:eastAsia="en-IN"/>
        </w:rPr>
        <w:id w:val="2107536017"/>
        <w:docPartObj>
          <w:docPartGallery w:val="Table of Contents"/>
          <w:docPartUnique/>
        </w:docPartObj>
      </w:sdtPr>
      <w:sdtEndPr>
        <w:rPr>
          <w:noProof/>
        </w:rPr>
      </w:sdtEndPr>
      <w:sdtContent>
        <w:p w14:paraId="7E109D09" w14:textId="77777777" w:rsidR="00A60CC5" w:rsidRPr="00A60CC5" w:rsidRDefault="00A60CC5" w:rsidP="00A60CC5">
          <w:pPr>
            <w:pStyle w:val="TOCHeading"/>
            <w:spacing w:line="360" w:lineRule="auto"/>
            <w:jc w:val="center"/>
            <w:rPr>
              <w:rFonts w:ascii="Times New Roman" w:hAnsi="Times New Roman" w:cs="Times New Roman"/>
              <w:color w:val="000000" w:themeColor="text1"/>
              <w:szCs w:val="24"/>
            </w:rPr>
          </w:pPr>
          <w:r w:rsidRPr="00A60CC5">
            <w:rPr>
              <w:rFonts w:ascii="Times New Roman" w:hAnsi="Times New Roman" w:cs="Times New Roman"/>
              <w:color w:val="000000" w:themeColor="text1"/>
              <w:szCs w:val="24"/>
            </w:rPr>
            <w:t>Table of Contents</w:t>
          </w:r>
        </w:p>
        <w:p w14:paraId="5E655F2C" w14:textId="77777777" w:rsidR="001E07CB" w:rsidRPr="001E07CB" w:rsidRDefault="00A60CC5" w:rsidP="001E07CB">
          <w:pPr>
            <w:pStyle w:val="TOC1"/>
            <w:tabs>
              <w:tab w:val="right" w:leader="dot" w:pos="10070"/>
            </w:tabs>
            <w:spacing w:line="360" w:lineRule="auto"/>
            <w:jc w:val="both"/>
            <w:rPr>
              <w:rFonts w:eastAsiaTheme="minorEastAsia"/>
              <w:noProof/>
              <w:sz w:val="28"/>
              <w:szCs w:val="22"/>
            </w:rPr>
          </w:pPr>
          <w:r w:rsidRPr="00A60CC5">
            <w:rPr>
              <w:color w:val="000000" w:themeColor="text1"/>
              <w:sz w:val="24"/>
              <w:szCs w:val="24"/>
            </w:rPr>
            <w:fldChar w:fldCharType="begin"/>
          </w:r>
          <w:r w:rsidRPr="00A60CC5">
            <w:rPr>
              <w:color w:val="000000" w:themeColor="text1"/>
              <w:sz w:val="24"/>
              <w:szCs w:val="24"/>
            </w:rPr>
            <w:instrText xml:space="preserve"> TOC \o "1-3" \h \z \u </w:instrText>
          </w:r>
          <w:r w:rsidRPr="00A60CC5">
            <w:rPr>
              <w:color w:val="000000" w:themeColor="text1"/>
              <w:sz w:val="24"/>
              <w:szCs w:val="24"/>
            </w:rPr>
            <w:fldChar w:fldCharType="separate"/>
          </w:r>
          <w:hyperlink w:anchor="_Toc235899848" w:history="1">
            <w:r w:rsidR="001E07CB" w:rsidRPr="001E07CB">
              <w:rPr>
                <w:rStyle w:val="Hyperlink"/>
                <w:noProof/>
                <w:sz w:val="24"/>
              </w:rPr>
              <w:t>1. Introduction</w:t>
            </w:r>
            <w:r w:rsidR="001E07CB" w:rsidRPr="001E07CB">
              <w:rPr>
                <w:noProof/>
                <w:webHidden/>
                <w:sz w:val="24"/>
              </w:rPr>
              <w:tab/>
            </w:r>
            <w:r w:rsidR="001E07CB" w:rsidRPr="001E07CB">
              <w:rPr>
                <w:noProof/>
                <w:webHidden/>
                <w:sz w:val="24"/>
              </w:rPr>
              <w:fldChar w:fldCharType="begin"/>
            </w:r>
            <w:r w:rsidR="001E07CB" w:rsidRPr="001E07CB">
              <w:rPr>
                <w:noProof/>
                <w:webHidden/>
                <w:sz w:val="24"/>
              </w:rPr>
              <w:instrText xml:space="preserve"> PAGEREF _Toc235899848 \h </w:instrText>
            </w:r>
            <w:r w:rsidR="001E07CB" w:rsidRPr="001E07CB">
              <w:rPr>
                <w:noProof/>
                <w:webHidden/>
                <w:sz w:val="24"/>
              </w:rPr>
            </w:r>
            <w:r w:rsidR="001E07CB" w:rsidRPr="001E07CB">
              <w:rPr>
                <w:noProof/>
                <w:webHidden/>
                <w:sz w:val="24"/>
              </w:rPr>
              <w:fldChar w:fldCharType="separate"/>
            </w:r>
            <w:r w:rsidR="001E07CB">
              <w:rPr>
                <w:noProof/>
                <w:webHidden/>
                <w:sz w:val="24"/>
              </w:rPr>
              <w:t>4</w:t>
            </w:r>
            <w:r w:rsidR="001E07CB" w:rsidRPr="001E07CB">
              <w:rPr>
                <w:noProof/>
                <w:webHidden/>
                <w:sz w:val="24"/>
              </w:rPr>
              <w:fldChar w:fldCharType="end"/>
            </w:r>
          </w:hyperlink>
        </w:p>
        <w:p w14:paraId="72011364"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49" w:history="1">
            <w:r w:rsidRPr="001E07CB">
              <w:rPr>
                <w:rStyle w:val="Hyperlink"/>
                <w:rFonts w:eastAsia="Calibri"/>
                <w:noProof/>
                <w:sz w:val="24"/>
              </w:rPr>
              <w:t>2. Financial Health Check: Hilton Worldwide Holdings Inc. (2020-2024)</w:t>
            </w:r>
            <w:r w:rsidRPr="001E07CB">
              <w:rPr>
                <w:noProof/>
                <w:webHidden/>
                <w:sz w:val="24"/>
              </w:rPr>
              <w:tab/>
            </w:r>
            <w:r w:rsidRPr="001E07CB">
              <w:rPr>
                <w:noProof/>
                <w:webHidden/>
                <w:sz w:val="24"/>
              </w:rPr>
              <w:fldChar w:fldCharType="begin"/>
            </w:r>
            <w:r w:rsidRPr="001E07CB">
              <w:rPr>
                <w:noProof/>
                <w:webHidden/>
                <w:sz w:val="24"/>
              </w:rPr>
              <w:instrText xml:space="preserve"> PAGEREF _Toc235899849 \h </w:instrText>
            </w:r>
            <w:r w:rsidRPr="001E07CB">
              <w:rPr>
                <w:noProof/>
                <w:webHidden/>
                <w:sz w:val="24"/>
              </w:rPr>
            </w:r>
            <w:r w:rsidRPr="001E07CB">
              <w:rPr>
                <w:noProof/>
                <w:webHidden/>
                <w:sz w:val="24"/>
              </w:rPr>
              <w:fldChar w:fldCharType="separate"/>
            </w:r>
            <w:r>
              <w:rPr>
                <w:noProof/>
                <w:webHidden/>
                <w:sz w:val="24"/>
              </w:rPr>
              <w:t>4</w:t>
            </w:r>
            <w:r w:rsidRPr="001E07CB">
              <w:rPr>
                <w:noProof/>
                <w:webHidden/>
                <w:sz w:val="24"/>
              </w:rPr>
              <w:fldChar w:fldCharType="end"/>
            </w:r>
          </w:hyperlink>
        </w:p>
        <w:p w14:paraId="2E51DF90"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0" w:history="1">
            <w:r w:rsidRPr="001E07CB">
              <w:rPr>
                <w:rStyle w:val="Hyperlink"/>
                <w:noProof/>
                <w:sz w:val="24"/>
              </w:rPr>
              <w:t>2.1 Company Financial Performance Overview</w:t>
            </w:r>
            <w:r w:rsidRPr="001E07CB">
              <w:rPr>
                <w:noProof/>
                <w:webHidden/>
                <w:sz w:val="24"/>
              </w:rPr>
              <w:tab/>
            </w:r>
            <w:r w:rsidRPr="001E07CB">
              <w:rPr>
                <w:noProof/>
                <w:webHidden/>
                <w:sz w:val="24"/>
              </w:rPr>
              <w:fldChar w:fldCharType="begin"/>
            </w:r>
            <w:r w:rsidRPr="001E07CB">
              <w:rPr>
                <w:noProof/>
                <w:webHidden/>
                <w:sz w:val="24"/>
              </w:rPr>
              <w:instrText xml:space="preserve"> PAGEREF _Toc235899850 \h </w:instrText>
            </w:r>
            <w:r w:rsidRPr="001E07CB">
              <w:rPr>
                <w:noProof/>
                <w:webHidden/>
                <w:sz w:val="24"/>
              </w:rPr>
            </w:r>
            <w:r w:rsidRPr="001E07CB">
              <w:rPr>
                <w:noProof/>
                <w:webHidden/>
                <w:sz w:val="24"/>
              </w:rPr>
              <w:fldChar w:fldCharType="separate"/>
            </w:r>
            <w:r>
              <w:rPr>
                <w:noProof/>
                <w:webHidden/>
                <w:sz w:val="24"/>
              </w:rPr>
              <w:t>4</w:t>
            </w:r>
            <w:r w:rsidRPr="001E07CB">
              <w:rPr>
                <w:noProof/>
                <w:webHidden/>
                <w:sz w:val="24"/>
              </w:rPr>
              <w:fldChar w:fldCharType="end"/>
            </w:r>
          </w:hyperlink>
        </w:p>
        <w:p w14:paraId="15FA5116"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1" w:history="1">
            <w:r w:rsidRPr="001E07CB">
              <w:rPr>
                <w:rStyle w:val="Hyperlink"/>
                <w:noProof/>
                <w:sz w:val="24"/>
              </w:rPr>
              <w:t>2.2 Profitability Ratio Analysis</w:t>
            </w:r>
            <w:r w:rsidRPr="001E07CB">
              <w:rPr>
                <w:noProof/>
                <w:webHidden/>
                <w:sz w:val="24"/>
              </w:rPr>
              <w:tab/>
            </w:r>
            <w:r w:rsidRPr="001E07CB">
              <w:rPr>
                <w:noProof/>
                <w:webHidden/>
                <w:sz w:val="24"/>
              </w:rPr>
              <w:fldChar w:fldCharType="begin"/>
            </w:r>
            <w:r w:rsidRPr="001E07CB">
              <w:rPr>
                <w:noProof/>
                <w:webHidden/>
                <w:sz w:val="24"/>
              </w:rPr>
              <w:instrText xml:space="preserve"> PAGEREF _Toc235899851 \h </w:instrText>
            </w:r>
            <w:r w:rsidRPr="001E07CB">
              <w:rPr>
                <w:noProof/>
                <w:webHidden/>
                <w:sz w:val="24"/>
              </w:rPr>
            </w:r>
            <w:r w:rsidRPr="001E07CB">
              <w:rPr>
                <w:noProof/>
                <w:webHidden/>
                <w:sz w:val="24"/>
              </w:rPr>
              <w:fldChar w:fldCharType="separate"/>
            </w:r>
            <w:r>
              <w:rPr>
                <w:noProof/>
                <w:webHidden/>
                <w:sz w:val="24"/>
              </w:rPr>
              <w:t>5</w:t>
            </w:r>
            <w:r w:rsidRPr="001E07CB">
              <w:rPr>
                <w:noProof/>
                <w:webHidden/>
                <w:sz w:val="24"/>
              </w:rPr>
              <w:fldChar w:fldCharType="end"/>
            </w:r>
          </w:hyperlink>
        </w:p>
        <w:p w14:paraId="3F056E31"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2" w:history="1">
            <w:r w:rsidRPr="001E07CB">
              <w:rPr>
                <w:rStyle w:val="Hyperlink"/>
                <w:noProof/>
                <w:sz w:val="24"/>
              </w:rPr>
              <w:t>2.3 Liquidity Ratio Analysis</w:t>
            </w:r>
            <w:r w:rsidRPr="001E07CB">
              <w:rPr>
                <w:noProof/>
                <w:webHidden/>
                <w:sz w:val="24"/>
              </w:rPr>
              <w:tab/>
            </w:r>
            <w:r w:rsidRPr="001E07CB">
              <w:rPr>
                <w:noProof/>
                <w:webHidden/>
                <w:sz w:val="24"/>
              </w:rPr>
              <w:fldChar w:fldCharType="begin"/>
            </w:r>
            <w:r w:rsidRPr="001E07CB">
              <w:rPr>
                <w:noProof/>
                <w:webHidden/>
                <w:sz w:val="24"/>
              </w:rPr>
              <w:instrText xml:space="preserve"> PAGEREF _Toc235899852 \h </w:instrText>
            </w:r>
            <w:r w:rsidRPr="001E07CB">
              <w:rPr>
                <w:noProof/>
                <w:webHidden/>
                <w:sz w:val="24"/>
              </w:rPr>
            </w:r>
            <w:r w:rsidRPr="001E07CB">
              <w:rPr>
                <w:noProof/>
                <w:webHidden/>
                <w:sz w:val="24"/>
              </w:rPr>
              <w:fldChar w:fldCharType="separate"/>
            </w:r>
            <w:r>
              <w:rPr>
                <w:noProof/>
                <w:webHidden/>
                <w:sz w:val="24"/>
              </w:rPr>
              <w:t>6</w:t>
            </w:r>
            <w:r w:rsidRPr="001E07CB">
              <w:rPr>
                <w:noProof/>
                <w:webHidden/>
                <w:sz w:val="24"/>
              </w:rPr>
              <w:fldChar w:fldCharType="end"/>
            </w:r>
          </w:hyperlink>
        </w:p>
        <w:p w14:paraId="4E61264A"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3" w:history="1">
            <w:r w:rsidRPr="001E07CB">
              <w:rPr>
                <w:rStyle w:val="Hyperlink"/>
                <w:noProof/>
                <w:sz w:val="24"/>
              </w:rPr>
              <w:t>2.4 Industry Benchmark Comparison</w:t>
            </w:r>
            <w:r w:rsidRPr="001E07CB">
              <w:rPr>
                <w:noProof/>
                <w:webHidden/>
                <w:sz w:val="24"/>
              </w:rPr>
              <w:tab/>
            </w:r>
            <w:r w:rsidRPr="001E07CB">
              <w:rPr>
                <w:noProof/>
                <w:webHidden/>
                <w:sz w:val="24"/>
              </w:rPr>
              <w:fldChar w:fldCharType="begin"/>
            </w:r>
            <w:r w:rsidRPr="001E07CB">
              <w:rPr>
                <w:noProof/>
                <w:webHidden/>
                <w:sz w:val="24"/>
              </w:rPr>
              <w:instrText xml:space="preserve"> PAGEREF _Toc235899853 \h </w:instrText>
            </w:r>
            <w:r w:rsidRPr="001E07CB">
              <w:rPr>
                <w:noProof/>
                <w:webHidden/>
                <w:sz w:val="24"/>
              </w:rPr>
            </w:r>
            <w:r w:rsidRPr="001E07CB">
              <w:rPr>
                <w:noProof/>
                <w:webHidden/>
                <w:sz w:val="24"/>
              </w:rPr>
              <w:fldChar w:fldCharType="separate"/>
            </w:r>
            <w:r>
              <w:rPr>
                <w:noProof/>
                <w:webHidden/>
                <w:sz w:val="24"/>
              </w:rPr>
              <w:t>7</w:t>
            </w:r>
            <w:r w:rsidRPr="001E07CB">
              <w:rPr>
                <w:noProof/>
                <w:webHidden/>
                <w:sz w:val="24"/>
              </w:rPr>
              <w:fldChar w:fldCharType="end"/>
            </w:r>
          </w:hyperlink>
        </w:p>
        <w:p w14:paraId="0006D295"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4" w:history="1">
            <w:r w:rsidRPr="001E07CB">
              <w:rPr>
                <w:rStyle w:val="Hyperlink"/>
                <w:noProof/>
                <w:sz w:val="24"/>
              </w:rPr>
              <w:t>2.5 Efficiency Ratios</w:t>
            </w:r>
            <w:r w:rsidRPr="001E07CB">
              <w:rPr>
                <w:noProof/>
                <w:webHidden/>
                <w:sz w:val="24"/>
              </w:rPr>
              <w:tab/>
            </w:r>
            <w:r w:rsidRPr="001E07CB">
              <w:rPr>
                <w:noProof/>
                <w:webHidden/>
                <w:sz w:val="24"/>
              </w:rPr>
              <w:fldChar w:fldCharType="begin"/>
            </w:r>
            <w:r w:rsidRPr="001E07CB">
              <w:rPr>
                <w:noProof/>
                <w:webHidden/>
                <w:sz w:val="24"/>
              </w:rPr>
              <w:instrText xml:space="preserve"> PAGEREF _Toc235899854 \h </w:instrText>
            </w:r>
            <w:r w:rsidRPr="001E07CB">
              <w:rPr>
                <w:noProof/>
                <w:webHidden/>
                <w:sz w:val="24"/>
              </w:rPr>
            </w:r>
            <w:r w:rsidRPr="001E07CB">
              <w:rPr>
                <w:noProof/>
                <w:webHidden/>
                <w:sz w:val="24"/>
              </w:rPr>
              <w:fldChar w:fldCharType="separate"/>
            </w:r>
            <w:r>
              <w:rPr>
                <w:noProof/>
                <w:webHidden/>
                <w:sz w:val="24"/>
              </w:rPr>
              <w:t>8</w:t>
            </w:r>
            <w:r w:rsidRPr="001E07CB">
              <w:rPr>
                <w:noProof/>
                <w:webHidden/>
                <w:sz w:val="24"/>
              </w:rPr>
              <w:fldChar w:fldCharType="end"/>
            </w:r>
          </w:hyperlink>
        </w:p>
        <w:p w14:paraId="20C94E9C"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5" w:history="1">
            <w:r w:rsidRPr="001E07CB">
              <w:rPr>
                <w:rStyle w:val="Hyperlink"/>
                <w:noProof/>
                <w:sz w:val="24"/>
              </w:rPr>
              <w:t>2.6 Gearing Ratios</w:t>
            </w:r>
            <w:r w:rsidRPr="001E07CB">
              <w:rPr>
                <w:noProof/>
                <w:webHidden/>
                <w:sz w:val="24"/>
              </w:rPr>
              <w:tab/>
            </w:r>
            <w:r w:rsidRPr="001E07CB">
              <w:rPr>
                <w:noProof/>
                <w:webHidden/>
                <w:sz w:val="24"/>
              </w:rPr>
              <w:fldChar w:fldCharType="begin"/>
            </w:r>
            <w:r w:rsidRPr="001E07CB">
              <w:rPr>
                <w:noProof/>
                <w:webHidden/>
                <w:sz w:val="24"/>
              </w:rPr>
              <w:instrText xml:space="preserve"> PAGEREF _Toc235899855 \h </w:instrText>
            </w:r>
            <w:r w:rsidRPr="001E07CB">
              <w:rPr>
                <w:noProof/>
                <w:webHidden/>
                <w:sz w:val="24"/>
              </w:rPr>
            </w:r>
            <w:r w:rsidRPr="001E07CB">
              <w:rPr>
                <w:noProof/>
                <w:webHidden/>
                <w:sz w:val="24"/>
              </w:rPr>
              <w:fldChar w:fldCharType="separate"/>
            </w:r>
            <w:r>
              <w:rPr>
                <w:noProof/>
                <w:webHidden/>
                <w:sz w:val="24"/>
              </w:rPr>
              <w:t>9</w:t>
            </w:r>
            <w:r w:rsidRPr="001E07CB">
              <w:rPr>
                <w:noProof/>
                <w:webHidden/>
                <w:sz w:val="24"/>
              </w:rPr>
              <w:fldChar w:fldCharType="end"/>
            </w:r>
          </w:hyperlink>
        </w:p>
        <w:p w14:paraId="65D97E27"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6" w:history="1">
            <w:r w:rsidRPr="001E07CB">
              <w:rPr>
                <w:rStyle w:val="Hyperlink"/>
                <w:noProof/>
                <w:sz w:val="24"/>
              </w:rPr>
              <w:t>2.7 Investment Ratios</w:t>
            </w:r>
            <w:r w:rsidRPr="001E07CB">
              <w:rPr>
                <w:noProof/>
                <w:webHidden/>
                <w:sz w:val="24"/>
              </w:rPr>
              <w:tab/>
            </w:r>
            <w:r w:rsidRPr="001E07CB">
              <w:rPr>
                <w:noProof/>
                <w:webHidden/>
                <w:sz w:val="24"/>
              </w:rPr>
              <w:fldChar w:fldCharType="begin"/>
            </w:r>
            <w:r w:rsidRPr="001E07CB">
              <w:rPr>
                <w:noProof/>
                <w:webHidden/>
                <w:sz w:val="24"/>
              </w:rPr>
              <w:instrText xml:space="preserve"> PAGEREF _Toc235899856 \h </w:instrText>
            </w:r>
            <w:r w:rsidRPr="001E07CB">
              <w:rPr>
                <w:noProof/>
                <w:webHidden/>
                <w:sz w:val="24"/>
              </w:rPr>
            </w:r>
            <w:r w:rsidRPr="001E07CB">
              <w:rPr>
                <w:noProof/>
                <w:webHidden/>
                <w:sz w:val="24"/>
              </w:rPr>
              <w:fldChar w:fldCharType="separate"/>
            </w:r>
            <w:r>
              <w:rPr>
                <w:noProof/>
                <w:webHidden/>
                <w:sz w:val="24"/>
              </w:rPr>
              <w:t>9</w:t>
            </w:r>
            <w:r w:rsidRPr="001E07CB">
              <w:rPr>
                <w:noProof/>
                <w:webHidden/>
                <w:sz w:val="24"/>
              </w:rPr>
              <w:fldChar w:fldCharType="end"/>
            </w:r>
          </w:hyperlink>
        </w:p>
        <w:p w14:paraId="63C99095"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7" w:history="1">
            <w:r w:rsidRPr="001E07CB">
              <w:rPr>
                <w:rStyle w:val="Hyperlink"/>
                <w:noProof/>
                <w:sz w:val="24"/>
              </w:rPr>
              <w:t>2.8 Cash Flow Analysis</w:t>
            </w:r>
            <w:r w:rsidRPr="001E07CB">
              <w:rPr>
                <w:noProof/>
                <w:webHidden/>
                <w:sz w:val="24"/>
              </w:rPr>
              <w:tab/>
            </w:r>
            <w:r w:rsidRPr="001E07CB">
              <w:rPr>
                <w:noProof/>
                <w:webHidden/>
                <w:sz w:val="24"/>
              </w:rPr>
              <w:fldChar w:fldCharType="begin"/>
            </w:r>
            <w:r w:rsidRPr="001E07CB">
              <w:rPr>
                <w:noProof/>
                <w:webHidden/>
                <w:sz w:val="24"/>
              </w:rPr>
              <w:instrText xml:space="preserve"> PAGEREF _Toc235899857 \h </w:instrText>
            </w:r>
            <w:r w:rsidRPr="001E07CB">
              <w:rPr>
                <w:noProof/>
                <w:webHidden/>
                <w:sz w:val="24"/>
              </w:rPr>
            </w:r>
            <w:r w:rsidRPr="001E07CB">
              <w:rPr>
                <w:noProof/>
                <w:webHidden/>
                <w:sz w:val="24"/>
              </w:rPr>
              <w:fldChar w:fldCharType="separate"/>
            </w:r>
            <w:r>
              <w:rPr>
                <w:noProof/>
                <w:webHidden/>
                <w:sz w:val="24"/>
              </w:rPr>
              <w:t>10</w:t>
            </w:r>
            <w:r w:rsidRPr="001E07CB">
              <w:rPr>
                <w:noProof/>
                <w:webHidden/>
                <w:sz w:val="24"/>
              </w:rPr>
              <w:fldChar w:fldCharType="end"/>
            </w:r>
          </w:hyperlink>
        </w:p>
        <w:p w14:paraId="46BC8BFB"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58" w:history="1">
            <w:r w:rsidRPr="001E07CB">
              <w:rPr>
                <w:rStyle w:val="Hyperlink"/>
                <w:noProof/>
                <w:sz w:val="24"/>
              </w:rPr>
              <w:t>2.9 Key Findings</w:t>
            </w:r>
            <w:r w:rsidRPr="001E07CB">
              <w:rPr>
                <w:noProof/>
                <w:webHidden/>
                <w:sz w:val="24"/>
              </w:rPr>
              <w:tab/>
            </w:r>
            <w:r w:rsidRPr="001E07CB">
              <w:rPr>
                <w:noProof/>
                <w:webHidden/>
                <w:sz w:val="24"/>
              </w:rPr>
              <w:fldChar w:fldCharType="begin"/>
            </w:r>
            <w:r w:rsidRPr="001E07CB">
              <w:rPr>
                <w:noProof/>
                <w:webHidden/>
                <w:sz w:val="24"/>
              </w:rPr>
              <w:instrText xml:space="preserve"> PAGEREF _Toc235899858 \h </w:instrText>
            </w:r>
            <w:r w:rsidRPr="001E07CB">
              <w:rPr>
                <w:noProof/>
                <w:webHidden/>
                <w:sz w:val="24"/>
              </w:rPr>
            </w:r>
            <w:r w:rsidRPr="001E07CB">
              <w:rPr>
                <w:noProof/>
                <w:webHidden/>
                <w:sz w:val="24"/>
              </w:rPr>
              <w:fldChar w:fldCharType="separate"/>
            </w:r>
            <w:r>
              <w:rPr>
                <w:noProof/>
                <w:webHidden/>
                <w:sz w:val="24"/>
              </w:rPr>
              <w:t>11</w:t>
            </w:r>
            <w:r w:rsidRPr="001E07CB">
              <w:rPr>
                <w:noProof/>
                <w:webHidden/>
                <w:sz w:val="24"/>
              </w:rPr>
              <w:fldChar w:fldCharType="end"/>
            </w:r>
          </w:hyperlink>
        </w:p>
        <w:p w14:paraId="4A52EC95"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59" w:history="1">
            <w:r w:rsidRPr="001E07CB">
              <w:rPr>
                <w:rStyle w:val="Hyperlink"/>
                <w:noProof/>
                <w:sz w:val="24"/>
              </w:rPr>
              <w:t>3. Working Capital Management Analysis</w:t>
            </w:r>
            <w:r w:rsidRPr="001E07CB">
              <w:rPr>
                <w:noProof/>
                <w:webHidden/>
                <w:sz w:val="24"/>
              </w:rPr>
              <w:tab/>
            </w:r>
            <w:r w:rsidRPr="001E07CB">
              <w:rPr>
                <w:noProof/>
                <w:webHidden/>
                <w:sz w:val="24"/>
              </w:rPr>
              <w:fldChar w:fldCharType="begin"/>
            </w:r>
            <w:r w:rsidRPr="001E07CB">
              <w:rPr>
                <w:noProof/>
                <w:webHidden/>
                <w:sz w:val="24"/>
              </w:rPr>
              <w:instrText xml:space="preserve"> PAGEREF _Toc235899859 \h </w:instrText>
            </w:r>
            <w:r w:rsidRPr="001E07CB">
              <w:rPr>
                <w:noProof/>
                <w:webHidden/>
                <w:sz w:val="24"/>
              </w:rPr>
            </w:r>
            <w:r w:rsidRPr="001E07CB">
              <w:rPr>
                <w:noProof/>
                <w:webHidden/>
                <w:sz w:val="24"/>
              </w:rPr>
              <w:fldChar w:fldCharType="separate"/>
            </w:r>
            <w:r>
              <w:rPr>
                <w:noProof/>
                <w:webHidden/>
                <w:sz w:val="24"/>
              </w:rPr>
              <w:t>11</w:t>
            </w:r>
            <w:r w:rsidRPr="001E07CB">
              <w:rPr>
                <w:noProof/>
                <w:webHidden/>
                <w:sz w:val="24"/>
              </w:rPr>
              <w:fldChar w:fldCharType="end"/>
            </w:r>
          </w:hyperlink>
        </w:p>
        <w:p w14:paraId="6A4AE625"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0" w:history="1">
            <w:r w:rsidRPr="001E07CB">
              <w:rPr>
                <w:rStyle w:val="Hyperlink"/>
                <w:noProof/>
                <w:sz w:val="24"/>
              </w:rPr>
              <w:t>a. Cash operating cycle</w:t>
            </w:r>
            <w:r w:rsidRPr="001E07CB">
              <w:rPr>
                <w:noProof/>
                <w:webHidden/>
                <w:sz w:val="24"/>
              </w:rPr>
              <w:tab/>
            </w:r>
            <w:r w:rsidRPr="001E07CB">
              <w:rPr>
                <w:noProof/>
                <w:webHidden/>
                <w:sz w:val="24"/>
              </w:rPr>
              <w:fldChar w:fldCharType="begin"/>
            </w:r>
            <w:r w:rsidRPr="001E07CB">
              <w:rPr>
                <w:noProof/>
                <w:webHidden/>
                <w:sz w:val="24"/>
              </w:rPr>
              <w:instrText xml:space="preserve"> PAGEREF _Toc235899860 \h </w:instrText>
            </w:r>
            <w:r w:rsidRPr="001E07CB">
              <w:rPr>
                <w:noProof/>
                <w:webHidden/>
                <w:sz w:val="24"/>
              </w:rPr>
            </w:r>
            <w:r w:rsidRPr="001E07CB">
              <w:rPr>
                <w:noProof/>
                <w:webHidden/>
                <w:sz w:val="24"/>
              </w:rPr>
              <w:fldChar w:fldCharType="separate"/>
            </w:r>
            <w:r>
              <w:rPr>
                <w:noProof/>
                <w:webHidden/>
                <w:sz w:val="24"/>
              </w:rPr>
              <w:t>11</w:t>
            </w:r>
            <w:r w:rsidRPr="001E07CB">
              <w:rPr>
                <w:noProof/>
                <w:webHidden/>
                <w:sz w:val="24"/>
              </w:rPr>
              <w:fldChar w:fldCharType="end"/>
            </w:r>
          </w:hyperlink>
        </w:p>
        <w:p w14:paraId="566C075C"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1" w:history="1">
            <w:r w:rsidRPr="001E07CB">
              <w:rPr>
                <w:rStyle w:val="Hyperlink"/>
                <w:noProof/>
                <w:sz w:val="24"/>
              </w:rPr>
              <w:t>b. Strategies to improve liquidity</w:t>
            </w:r>
            <w:r w:rsidRPr="001E07CB">
              <w:rPr>
                <w:noProof/>
                <w:webHidden/>
                <w:sz w:val="24"/>
              </w:rPr>
              <w:tab/>
            </w:r>
            <w:r w:rsidRPr="001E07CB">
              <w:rPr>
                <w:noProof/>
                <w:webHidden/>
                <w:sz w:val="24"/>
              </w:rPr>
              <w:fldChar w:fldCharType="begin"/>
            </w:r>
            <w:r w:rsidRPr="001E07CB">
              <w:rPr>
                <w:noProof/>
                <w:webHidden/>
                <w:sz w:val="24"/>
              </w:rPr>
              <w:instrText xml:space="preserve"> PAGEREF _Toc235899861 \h </w:instrText>
            </w:r>
            <w:r w:rsidRPr="001E07CB">
              <w:rPr>
                <w:noProof/>
                <w:webHidden/>
                <w:sz w:val="24"/>
              </w:rPr>
            </w:r>
            <w:r w:rsidRPr="001E07CB">
              <w:rPr>
                <w:noProof/>
                <w:webHidden/>
                <w:sz w:val="24"/>
              </w:rPr>
              <w:fldChar w:fldCharType="separate"/>
            </w:r>
            <w:r>
              <w:rPr>
                <w:noProof/>
                <w:webHidden/>
                <w:sz w:val="24"/>
              </w:rPr>
              <w:t>12</w:t>
            </w:r>
            <w:r w:rsidRPr="001E07CB">
              <w:rPr>
                <w:noProof/>
                <w:webHidden/>
                <w:sz w:val="24"/>
              </w:rPr>
              <w:fldChar w:fldCharType="end"/>
            </w:r>
          </w:hyperlink>
        </w:p>
        <w:p w14:paraId="0963402C"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2" w:history="1">
            <w:r w:rsidRPr="001E07CB">
              <w:rPr>
                <w:rStyle w:val="Hyperlink"/>
                <w:noProof/>
                <w:sz w:val="24"/>
              </w:rPr>
              <w:t>c. Short term versus long term financing</w:t>
            </w:r>
            <w:r w:rsidRPr="001E07CB">
              <w:rPr>
                <w:noProof/>
                <w:webHidden/>
                <w:sz w:val="24"/>
              </w:rPr>
              <w:tab/>
            </w:r>
            <w:r w:rsidRPr="001E07CB">
              <w:rPr>
                <w:noProof/>
                <w:webHidden/>
                <w:sz w:val="24"/>
              </w:rPr>
              <w:fldChar w:fldCharType="begin"/>
            </w:r>
            <w:r w:rsidRPr="001E07CB">
              <w:rPr>
                <w:noProof/>
                <w:webHidden/>
                <w:sz w:val="24"/>
              </w:rPr>
              <w:instrText xml:space="preserve"> PAGEREF _Toc235899862 \h </w:instrText>
            </w:r>
            <w:r w:rsidRPr="001E07CB">
              <w:rPr>
                <w:noProof/>
                <w:webHidden/>
                <w:sz w:val="24"/>
              </w:rPr>
            </w:r>
            <w:r w:rsidRPr="001E07CB">
              <w:rPr>
                <w:noProof/>
                <w:webHidden/>
                <w:sz w:val="24"/>
              </w:rPr>
              <w:fldChar w:fldCharType="separate"/>
            </w:r>
            <w:r>
              <w:rPr>
                <w:noProof/>
                <w:webHidden/>
                <w:sz w:val="24"/>
              </w:rPr>
              <w:t>12</w:t>
            </w:r>
            <w:r w:rsidRPr="001E07CB">
              <w:rPr>
                <w:noProof/>
                <w:webHidden/>
                <w:sz w:val="24"/>
              </w:rPr>
              <w:fldChar w:fldCharType="end"/>
            </w:r>
          </w:hyperlink>
        </w:p>
        <w:p w14:paraId="3FA1931A"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63" w:history="1">
            <w:r w:rsidRPr="001E07CB">
              <w:rPr>
                <w:rStyle w:val="Hyperlink"/>
                <w:noProof/>
                <w:sz w:val="24"/>
              </w:rPr>
              <w:t>4. Strategic Financial Restructuring Plan</w:t>
            </w:r>
            <w:r w:rsidRPr="001E07CB">
              <w:rPr>
                <w:noProof/>
                <w:webHidden/>
                <w:sz w:val="24"/>
              </w:rPr>
              <w:tab/>
            </w:r>
            <w:r w:rsidRPr="001E07CB">
              <w:rPr>
                <w:noProof/>
                <w:webHidden/>
                <w:sz w:val="24"/>
              </w:rPr>
              <w:fldChar w:fldCharType="begin"/>
            </w:r>
            <w:r w:rsidRPr="001E07CB">
              <w:rPr>
                <w:noProof/>
                <w:webHidden/>
                <w:sz w:val="24"/>
              </w:rPr>
              <w:instrText xml:space="preserve"> PAGEREF _Toc235899863 \h </w:instrText>
            </w:r>
            <w:r w:rsidRPr="001E07CB">
              <w:rPr>
                <w:noProof/>
                <w:webHidden/>
                <w:sz w:val="24"/>
              </w:rPr>
            </w:r>
            <w:r w:rsidRPr="001E07CB">
              <w:rPr>
                <w:noProof/>
                <w:webHidden/>
                <w:sz w:val="24"/>
              </w:rPr>
              <w:fldChar w:fldCharType="separate"/>
            </w:r>
            <w:r>
              <w:rPr>
                <w:noProof/>
                <w:webHidden/>
                <w:sz w:val="24"/>
              </w:rPr>
              <w:t>13</w:t>
            </w:r>
            <w:r w:rsidRPr="001E07CB">
              <w:rPr>
                <w:noProof/>
                <w:webHidden/>
                <w:sz w:val="24"/>
              </w:rPr>
              <w:fldChar w:fldCharType="end"/>
            </w:r>
          </w:hyperlink>
        </w:p>
        <w:p w14:paraId="34953259"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4" w:history="1">
            <w:r w:rsidRPr="001E07CB">
              <w:rPr>
                <w:rStyle w:val="Hyperlink"/>
                <w:noProof/>
                <w:sz w:val="24"/>
              </w:rPr>
              <w:t>a. Restructuring options</w:t>
            </w:r>
            <w:r w:rsidRPr="001E07CB">
              <w:rPr>
                <w:noProof/>
                <w:webHidden/>
                <w:sz w:val="24"/>
              </w:rPr>
              <w:tab/>
            </w:r>
            <w:r w:rsidRPr="001E07CB">
              <w:rPr>
                <w:noProof/>
                <w:webHidden/>
                <w:sz w:val="24"/>
              </w:rPr>
              <w:fldChar w:fldCharType="begin"/>
            </w:r>
            <w:r w:rsidRPr="001E07CB">
              <w:rPr>
                <w:noProof/>
                <w:webHidden/>
                <w:sz w:val="24"/>
              </w:rPr>
              <w:instrText xml:space="preserve"> PAGEREF _Toc235899864 \h </w:instrText>
            </w:r>
            <w:r w:rsidRPr="001E07CB">
              <w:rPr>
                <w:noProof/>
                <w:webHidden/>
                <w:sz w:val="24"/>
              </w:rPr>
            </w:r>
            <w:r w:rsidRPr="001E07CB">
              <w:rPr>
                <w:noProof/>
                <w:webHidden/>
                <w:sz w:val="24"/>
              </w:rPr>
              <w:fldChar w:fldCharType="separate"/>
            </w:r>
            <w:r>
              <w:rPr>
                <w:noProof/>
                <w:webHidden/>
                <w:sz w:val="24"/>
              </w:rPr>
              <w:t>13</w:t>
            </w:r>
            <w:r w:rsidRPr="001E07CB">
              <w:rPr>
                <w:noProof/>
                <w:webHidden/>
                <w:sz w:val="24"/>
              </w:rPr>
              <w:fldChar w:fldCharType="end"/>
            </w:r>
          </w:hyperlink>
        </w:p>
        <w:p w14:paraId="5AB95B5E"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5" w:history="1">
            <w:r w:rsidRPr="001E07CB">
              <w:rPr>
                <w:rStyle w:val="Hyperlink"/>
                <w:noProof/>
                <w:sz w:val="24"/>
              </w:rPr>
              <w:t>b. Impact on shareholders, debt and flexibility</w:t>
            </w:r>
            <w:r w:rsidRPr="001E07CB">
              <w:rPr>
                <w:noProof/>
                <w:webHidden/>
                <w:sz w:val="24"/>
              </w:rPr>
              <w:tab/>
            </w:r>
            <w:r w:rsidRPr="001E07CB">
              <w:rPr>
                <w:noProof/>
                <w:webHidden/>
                <w:sz w:val="24"/>
              </w:rPr>
              <w:fldChar w:fldCharType="begin"/>
            </w:r>
            <w:r w:rsidRPr="001E07CB">
              <w:rPr>
                <w:noProof/>
                <w:webHidden/>
                <w:sz w:val="24"/>
              </w:rPr>
              <w:instrText xml:space="preserve"> PAGEREF _Toc235899865 \h </w:instrText>
            </w:r>
            <w:r w:rsidRPr="001E07CB">
              <w:rPr>
                <w:noProof/>
                <w:webHidden/>
                <w:sz w:val="24"/>
              </w:rPr>
            </w:r>
            <w:r w:rsidRPr="001E07CB">
              <w:rPr>
                <w:noProof/>
                <w:webHidden/>
                <w:sz w:val="24"/>
              </w:rPr>
              <w:fldChar w:fldCharType="separate"/>
            </w:r>
            <w:r>
              <w:rPr>
                <w:noProof/>
                <w:webHidden/>
                <w:sz w:val="24"/>
              </w:rPr>
              <w:t>13</w:t>
            </w:r>
            <w:r w:rsidRPr="001E07CB">
              <w:rPr>
                <w:noProof/>
                <w:webHidden/>
                <w:sz w:val="24"/>
              </w:rPr>
              <w:fldChar w:fldCharType="end"/>
            </w:r>
          </w:hyperlink>
        </w:p>
        <w:p w14:paraId="13F31997"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6" w:history="1">
            <w:r w:rsidRPr="001E07CB">
              <w:rPr>
                <w:rStyle w:val="Hyperlink"/>
                <w:noProof/>
                <w:sz w:val="24"/>
              </w:rPr>
              <w:t>c. International and ethical considerations</w:t>
            </w:r>
            <w:r w:rsidRPr="001E07CB">
              <w:rPr>
                <w:noProof/>
                <w:webHidden/>
                <w:sz w:val="24"/>
              </w:rPr>
              <w:tab/>
            </w:r>
            <w:r w:rsidRPr="001E07CB">
              <w:rPr>
                <w:noProof/>
                <w:webHidden/>
                <w:sz w:val="24"/>
              </w:rPr>
              <w:fldChar w:fldCharType="begin"/>
            </w:r>
            <w:r w:rsidRPr="001E07CB">
              <w:rPr>
                <w:noProof/>
                <w:webHidden/>
                <w:sz w:val="24"/>
              </w:rPr>
              <w:instrText xml:space="preserve"> PAGEREF _Toc235899866 \h </w:instrText>
            </w:r>
            <w:r w:rsidRPr="001E07CB">
              <w:rPr>
                <w:noProof/>
                <w:webHidden/>
                <w:sz w:val="24"/>
              </w:rPr>
            </w:r>
            <w:r w:rsidRPr="001E07CB">
              <w:rPr>
                <w:noProof/>
                <w:webHidden/>
                <w:sz w:val="24"/>
              </w:rPr>
              <w:fldChar w:fldCharType="separate"/>
            </w:r>
            <w:r>
              <w:rPr>
                <w:noProof/>
                <w:webHidden/>
                <w:sz w:val="24"/>
              </w:rPr>
              <w:t>14</w:t>
            </w:r>
            <w:r w:rsidRPr="001E07CB">
              <w:rPr>
                <w:noProof/>
                <w:webHidden/>
                <w:sz w:val="24"/>
              </w:rPr>
              <w:fldChar w:fldCharType="end"/>
            </w:r>
          </w:hyperlink>
        </w:p>
        <w:p w14:paraId="702973AB"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67" w:history="1">
            <w:r w:rsidRPr="001E07CB">
              <w:rPr>
                <w:rStyle w:val="Hyperlink"/>
                <w:noProof/>
                <w:sz w:val="24"/>
              </w:rPr>
              <w:t>5. Investment Appraisal and Capital Budgeting</w:t>
            </w:r>
            <w:r w:rsidRPr="001E07CB">
              <w:rPr>
                <w:noProof/>
                <w:webHidden/>
                <w:sz w:val="24"/>
              </w:rPr>
              <w:tab/>
            </w:r>
            <w:r w:rsidRPr="001E07CB">
              <w:rPr>
                <w:noProof/>
                <w:webHidden/>
                <w:sz w:val="24"/>
              </w:rPr>
              <w:fldChar w:fldCharType="begin"/>
            </w:r>
            <w:r w:rsidRPr="001E07CB">
              <w:rPr>
                <w:noProof/>
                <w:webHidden/>
                <w:sz w:val="24"/>
              </w:rPr>
              <w:instrText xml:space="preserve"> PAGEREF _Toc235899867 \h </w:instrText>
            </w:r>
            <w:r w:rsidRPr="001E07CB">
              <w:rPr>
                <w:noProof/>
                <w:webHidden/>
                <w:sz w:val="24"/>
              </w:rPr>
            </w:r>
            <w:r w:rsidRPr="001E07CB">
              <w:rPr>
                <w:noProof/>
                <w:webHidden/>
                <w:sz w:val="24"/>
              </w:rPr>
              <w:fldChar w:fldCharType="separate"/>
            </w:r>
            <w:r>
              <w:rPr>
                <w:noProof/>
                <w:webHidden/>
                <w:sz w:val="24"/>
              </w:rPr>
              <w:t>14</w:t>
            </w:r>
            <w:r w:rsidRPr="001E07CB">
              <w:rPr>
                <w:noProof/>
                <w:webHidden/>
                <w:sz w:val="24"/>
              </w:rPr>
              <w:fldChar w:fldCharType="end"/>
            </w:r>
          </w:hyperlink>
        </w:p>
        <w:p w14:paraId="014761B5"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8" w:history="1">
            <w:r w:rsidRPr="001E07CB">
              <w:rPr>
                <w:rStyle w:val="Hyperlink"/>
                <w:noProof/>
                <w:sz w:val="24"/>
              </w:rPr>
              <w:t>a. Payback period</w:t>
            </w:r>
            <w:r w:rsidRPr="001E07CB">
              <w:rPr>
                <w:noProof/>
                <w:webHidden/>
                <w:sz w:val="24"/>
              </w:rPr>
              <w:tab/>
            </w:r>
            <w:r w:rsidRPr="001E07CB">
              <w:rPr>
                <w:noProof/>
                <w:webHidden/>
                <w:sz w:val="24"/>
              </w:rPr>
              <w:fldChar w:fldCharType="begin"/>
            </w:r>
            <w:r w:rsidRPr="001E07CB">
              <w:rPr>
                <w:noProof/>
                <w:webHidden/>
                <w:sz w:val="24"/>
              </w:rPr>
              <w:instrText xml:space="preserve"> PAGEREF _Toc235899868 \h </w:instrText>
            </w:r>
            <w:r w:rsidRPr="001E07CB">
              <w:rPr>
                <w:noProof/>
                <w:webHidden/>
                <w:sz w:val="24"/>
              </w:rPr>
            </w:r>
            <w:r w:rsidRPr="001E07CB">
              <w:rPr>
                <w:noProof/>
                <w:webHidden/>
                <w:sz w:val="24"/>
              </w:rPr>
              <w:fldChar w:fldCharType="separate"/>
            </w:r>
            <w:r>
              <w:rPr>
                <w:noProof/>
                <w:webHidden/>
                <w:sz w:val="24"/>
              </w:rPr>
              <w:t>14</w:t>
            </w:r>
            <w:r w:rsidRPr="001E07CB">
              <w:rPr>
                <w:noProof/>
                <w:webHidden/>
                <w:sz w:val="24"/>
              </w:rPr>
              <w:fldChar w:fldCharType="end"/>
            </w:r>
          </w:hyperlink>
        </w:p>
        <w:p w14:paraId="2A7C1686"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69" w:history="1">
            <w:r w:rsidRPr="001E07CB">
              <w:rPr>
                <w:rStyle w:val="Hyperlink"/>
                <w:noProof/>
                <w:sz w:val="24"/>
              </w:rPr>
              <w:t>b. Accounting rate of return</w:t>
            </w:r>
            <w:r w:rsidRPr="001E07CB">
              <w:rPr>
                <w:noProof/>
                <w:webHidden/>
                <w:sz w:val="24"/>
              </w:rPr>
              <w:tab/>
            </w:r>
            <w:r w:rsidRPr="001E07CB">
              <w:rPr>
                <w:noProof/>
                <w:webHidden/>
                <w:sz w:val="24"/>
              </w:rPr>
              <w:fldChar w:fldCharType="begin"/>
            </w:r>
            <w:r w:rsidRPr="001E07CB">
              <w:rPr>
                <w:noProof/>
                <w:webHidden/>
                <w:sz w:val="24"/>
              </w:rPr>
              <w:instrText xml:space="preserve"> PAGEREF _Toc235899869 \h </w:instrText>
            </w:r>
            <w:r w:rsidRPr="001E07CB">
              <w:rPr>
                <w:noProof/>
                <w:webHidden/>
                <w:sz w:val="24"/>
              </w:rPr>
            </w:r>
            <w:r w:rsidRPr="001E07CB">
              <w:rPr>
                <w:noProof/>
                <w:webHidden/>
                <w:sz w:val="24"/>
              </w:rPr>
              <w:fldChar w:fldCharType="separate"/>
            </w:r>
            <w:r>
              <w:rPr>
                <w:noProof/>
                <w:webHidden/>
                <w:sz w:val="24"/>
              </w:rPr>
              <w:t>15</w:t>
            </w:r>
            <w:r w:rsidRPr="001E07CB">
              <w:rPr>
                <w:noProof/>
                <w:webHidden/>
                <w:sz w:val="24"/>
              </w:rPr>
              <w:fldChar w:fldCharType="end"/>
            </w:r>
          </w:hyperlink>
        </w:p>
        <w:p w14:paraId="7578EE3E"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70" w:history="1">
            <w:r w:rsidRPr="001E07CB">
              <w:rPr>
                <w:rStyle w:val="Hyperlink"/>
                <w:noProof/>
                <w:sz w:val="24"/>
              </w:rPr>
              <w:t>c. Recommendation</w:t>
            </w:r>
            <w:r w:rsidRPr="001E07CB">
              <w:rPr>
                <w:noProof/>
                <w:webHidden/>
                <w:sz w:val="24"/>
              </w:rPr>
              <w:tab/>
            </w:r>
            <w:r w:rsidRPr="001E07CB">
              <w:rPr>
                <w:noProof/>
                <w:webHidden/>
                <w:sz w:val="24"/>
              </w:rPr>
              <w:fldChar w:fldCharType="begin"/>
            </w:r>
            <w:r w:rsidRPr="001E07CB">
              <w:rPr>
                <w:noProof/>
                <w:webHidden/>
                <w:sz w:val="24"/>
              </w:rPr>
              <w:instrText xml:space="preserve"> PAGEREF _Toc235899870 \h </w:instrText>
            </w:r>
            <w:r w:rsidRPr="001E07CB">
              <w:rPr>
                <w:noProof/>
                <w:webHidden/>
                <w:sz w:val="24"/>
              </w:rPr>
            </w:r>
            <w:r w:rsidRPr="001E07CB">
              <w:rPr>
                <w:noProof/>
                <w:webHidden/>
                <w:sz w:val="24"/>
              </w:rPr>
              <w:fldChar w:fldCharType="separate"/>
            </w:r>
            <w:r>
              <w:rPr>
                <w:noProof/>
                <w:webHidden/>
                <w:sz w:val="24"/>
              </w:rPr>
              <w:t>16</w:t>
            </w:r>
            <w:r w:rsidRPr="001E07CB">
              <w:rPr>
                <w:noProof/>
                <w:webHidden/>
                <w:sz w:val="24"/>
              </w:rPr>
              <w:fldChar w:fldCharType="end"/>
            </w:r>
          </w:hyperlink>
        </w:p>
        <w:p w14:paraId="3B58A484"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71" w:history="1">
            <w:r w:rsidRPr="001E07CB">
              <w:rPr>
                <w:rStyle w:val="Hyperlink"/>
                <w:noProof/>
                <w:sz w:val="24"/>
              </w:rPr>
              <w:t>d. Capital rationing</w:t>
            </w:r>
            <w:r w:rsidRPr="001E07CB">
              <w:rPr>
                <w:noProof/>
                <w:webHidden/>
                <w:sz w:val="24"/>
              </w:rPr>
              <w:tab/>
            </w:r>
            <w:r w:rsidRPr="001E07CB">
              <w:rPr>
                <w:noProof/>
                <w:webHidden/>
                <w:sz w:val="24"/>
              </w:rPr>
              <w:fldChar w:fldCharType="begin"/>
            </w:r>
            <w:r w:rsidRPr="001E07CB">
              <w:rPr>
                <w:noProof/>
                <w:webHidden/>
                <w:sz w:val="24"/>
              </w:rPr>
              <w:instrText xml:space="preserve"> PAGEREF _Toc235899871 \h </w:instrText>
            </w:r>
            <w:r w:rsidRPr="001E07CB">
              <w:rPr>
                <w:noProof/>
                <w:webHidden/>
                <w:sz w:val="24"/>
              </w:rPr>
            </w:r>
            <w:r w:rsidRPr="001E07CB">
              <w:rPr>
                <w:noProof/>
                <w:webHidden/>
                <w:sz w:val="24"/>
              </w:rPr>
              <w:fldChar w:fldCharType="separate"/>
            </w:r>
            <w:r>
              <w:rPr>
                <w:noProof/>
                <w:webHidden/>
                <w:sz w:val="24"/>
              </w:rPr>
              <w:t>17</w:t>
            </w:r>
            <w:r w:rsidRPr="001E07CB">
              <w:rPr>
                <w:noProof/>
                <w:webHidden/>
                <w:sz w:val="24"/>
              </w:rPr>
              <w:fldChar w:fldCharType="end"/>
            </w:r>
          </w:hyperlink>
        </w:p>
        <w:p w14:paraId="52AC320B"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72" w:history="1">
            <w:r w:rsidRPr="001E07CB">
              <w:rPr>
                <w:rStyle w:val="Hyperlink"/>
                <w:noProof/>
                <w:sz w:val="24"/>
              </w:rPr>
              <w:t>6. Critical Reflection on AI Usage</w:t>
            </w:r>
            <w:r w:rsidRPr="001E07CB">
              <w:rPr>
                <w:noProof/>
                <w:webHidden/>
                <w:sz w:val="24"/>
              </w:rPr>
              <w:tab/>
            </w:r>
            <w:r w:rsidRPr="001E07CB">
              <w:rPr>
                <w:noProof/>
                <w:webHidden/>
                <w:sz w:val="24"/>
              </w:rPr>
              <w:fldChar w:fldCharType="begin"/>
            </w:r>
            <w:r w:rsidRPr="001E07CB">
              <w:rPr>
                <w:noProof/>
                <w:webHidden/>
                <w:sz w:val="24"/>
              </w:rPr>
              <w:instrText xml:space="preserve"> PAGEREF _Toc235899872 \h </w:instrText>
            </w:r>
            <w:r w:rsidRPr="001E07CB">
              <w:rPr>
                <w:noProof/>
                <w:webHidden/>
                <w:sz w:val="24"/>
              </w:rPr>
            </w:r>
            <w:r w:rsidRPr="001E07CB">
              <w:rPr>
                <w:noProof/>
                <w:webHidden/>
                <w:sz w:val="24"/>
              </w:rPr>
              <w:fldChar w:fldCharType="separate"/>
            </w:r>
            <w:r>
              <w:rPr>
                <w:noProof/>
                <w:webHidden/>
                <w:sz w:val="24"/>
              </w:rPr>
              <w:t>17</w:t>
            </w:r>
            <w:r w:rsidRPr="001E07CB">
              <w:rPr>
                <w:noProof/>
                <w:webHidden/>
                <w:sz w:val="24"/>
              </w:rPr>
              <w:fldChar w:fldCharType="end"/>
            </w:r>
          </w:hyperlink>
        </w:p>
        <w:p w14:paraId="3308C4E3"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73" w:history="1">
            <w:r w:rsidRPr="001E07CB">
              <w:rPr>
                <w:rStyle w:val="Hyperlink"/>
                <w:noProof/>
                <w:sz w:val="24"/>
              </w:rPr>
              <w:t>6. Conclusion</w:t>
            </w:r>
            <w:r w:rsidRPr="001E07CB">
              <w:rPr>
                <w:noProof/>
                <w:webHidden/>
                <w:sz w:val="24"/>
              </w:rPr>
              <w:tab/>
            </w:r>
            <w:r w:rsidRPr="001E07CB">
              <w:rPr>
                <w:noProof/>
                <w:webHidden/>
                <w:sz w:val="24"/>
              </w:rPr>
              <w:fldChar w:fldCharType="begin"/>
            </w:r>
            <w:r w:rsidRPr="001E07CB">
              <w:rPr>
                <w:noProof/>
                <w:webHidden/>
                <w:sz w:val="24"/>
              </w:rPr>
              <w:instrText xml:space="preserve"> PAGEREF _Toc235899873 \h </w:instrText>
            </w:r>
            <w:r w:rsidRPr="001E07CB">
              <w:rPr>
                <w:noProof/>
                <w:webHidden/>
                <w:sz w:val="24"/>
              </w:rPr>
            </w:r>
            <w:r w:rsidRPr="001E07CB">
              <w:rPr>
                <w:noProof/>
                <w:webHidden/>
                <w:sz w:val="24"/>
              </w:rPr>
              <w:fldChar w:fldCharType="separate"/>
            </w:r>
            <w:r>
              <w:rPr>
                <w:noProof/>
                <w:webHidden/>
                <w:sz w:val="24"/>
              </w:rPr>
              <w:t>18</w:t>
            </w:r>
            <w:r w:rsidRPr="001E07CB">
              <w:rPr>
                <w:noProof/>
                <w:webHidden/>
                <w:sz w:val="24"/>
              </w:rPr>
              <w:fldChar w:fldCharType="end"/>
            </w:r>
          </w:hyperlink>
        </w:p>
        <w:p w14:paraId="7275F9BA"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74" w:history="1">
            <w:r w:rsidRPr="001E07CB">
              <w:rPr>
                <w:rStyle w:val="Hyperlink"/>
                <w:noProof/>
                <w:sz w:val="24"/>
              </w:rPr>
              <w:t>Reference List</w:t>
            </w:r>
            <w:r w:rsidRPr="001E07CB">
              <w:rPr>
                <w:noProof/>
                <w:webHidden/>
                <w:sz w:val="24"/>
              </w:rPr>
              <w:tab/>
            </w:r>
            <w:r w:rsidRPr="001E07CB">
              <w:rPr>
                <w:noProof/>
                <w:webHidden/>
                <w:sz w:val="24"/>
              </w:rPr>
              <w:fldChar w:fldCharType="begin"/>
            </w:r>
            <w:r w:rsidRPr="001E07CB">
              <w:rPr>
                <w:noProof/>
                <w:webHidden/>
                <w:sz w:val="24"/>
              </w:rPr>
              <w:instrText xml:space="preserve"> PAGEREF _Toc235899874 \h </w:instrText>
            </w:r>
            <w:r w:rsidRPr="001E07CB">
              <w:rPr>
                <w:noProof/>
                <w:webHidden/>
                <w:sz w:val="24"/>
              </w:rPr>
            </w:r>
            <w:r w:rsidRPr="001E07CB">
              <w:rPr>
                <w:noProof/>
                <w:webHidden/>
                <w:sz w:val="24"/>
              </w:rPr>
              <w:fldChar w:fldCharType="separate"/>
            </w:r>
            <w:r>
              <w:rPr>
                <w:noProof/>
                <w:webHidden/>
                <w:sz w:val="24"/>
              </w:rPr>
              <w:t>19</w:t>
            </w:r>
            <w:r w:rsidRPr="001E07CB">
              <w:rPr>
                <w:noProof/>
                <w:webHidden/>
                <w:sz w:val="24"/>
              </w:rPr>
              <w:fldChar w:fldCharType="end"/>
            </w:r>
          </w:hyperlink>
        </w:p>
        <w:p w14:paraId="32FA366E" w14:textId="77777777" w:rsidR="001E07CB" w:rsidRPr="001E07CB" w:rsidRDefault="001E07CB" w:rsidP="001E07CB">
          <w:pPr>
            <w:pStyle w:val="TOC1"/>
            <w:tabs>
              <w:tab w:val="right" w:leader="dot" w:pos="10070"/>
            </w:tabs>
            <w:spacing w:line="360" w:lineRule="auto"/>
            <w:jc w:val="both"/>
            <w:rPr>
              <w:rFonts w:eastAsiaTheme="minorEastAsia"/>
              <w:noProof/>
              <w:sz w:val="28"/>
              <w:szCs w:val="22"/>
            </w:rPr>
          </w:pPr>
          <w:hyperlink w:anchor="_Toc235899875" w:history="1">
            <w:r w:rsidRPr="001E07CB">
              <w:rPr>
                <w:rStyle w:val="Hyperlink"/>
                <w:noProof/>
                <w:sz w:val="24"/>
              </w:rPr>
              <w:t>Appendices</w:t>
            </w:r>
            <w:r w:rsidRPr="001E07CB">
              <w:rPr>
                <w:noProof/>
                <w:webHidden/>
                <w:sz w:val="24"/>
              </w:rPr>
              <w:tab/>
            </w:r>
            <w:r w:rsidRPr="001E07CB">
              <w:rPr>
                <w:noProof/>
                <w:webHidden/>
                <w:sz w:val="24"/>
              </w:rPr>
              <w:fldChar w:fldCharType="begin"/>
            </w:r>
            <w:r w:rsidRPr="001E07CB">
              <w:rPr>
                <w:noProof/>
                <w:webHidden/>
                <w:sz w:val="24"/>
              </w:rPr>
              <w:instrText xml:space="preserve"> PAGEREF _Toc235899875 \h </w:instrText>
            </w:r>
            <w:r w:rsidRPr="001E07CB">
              <w:rPr>
                <w:noProof/>
                <w:webHidden/>
                <w:sz w:val="24"/>
              </w:rPr>
            </w:r>
            <w:r w:rsidRPr="001E07CB">
              <w:rPr>
                <w:noProof/>
                <w:webHidden/>
                <w:sz w:val="24"/>
              </w:rPr>
              <w:fldChar w:fldCharType="separate"/>
            </w:r>
            <w:r>
              <w:rPr>
                <w:noProof/>
                <w:webHidden/>
                <w:sz w:val="24"/>
              </w:rPr>
              <w:t>23</w:t>
            </w:r>
            <w:r w:rsidRPr="001E07CB">
              <w:rPr>
                <w:noProof/>
                <w:webHidden/>
                <w:sz w:val="24"/>
              </w:rPr>
              <w:fldChar w:fldCharType="end"/>
            </w:r>
          </w:hyperlink>
        </w:p>
        <w:p w14:paraId="4406D621" w14:textId="77777777" w:rsidR="001E07CB" w:rsidRPr="001E07CB" w:rsidRDefault="001E07CB" w:rsidP="001E07CB">
          <w:pPr>
            <w:pStyle w:val="TOC2"/>
            <w:tabs>
              <w:tab w:val="right" w:leader="dot" w:pos="10070"/>
            </w:tabs>
            <w:spacing w:line="360" w:lineRule="auto"/>
            <w:jc w:val="both"/>
            <w:rPr>
              <w:rFonts w:eastAsiaTheme="minorEastAsia"/>
              <w:noProof/>
              <w:sz w:val="28"/>
              <w:szCs w:val="22"/>
            </w:rPr>
          </w:pPr>
          <w:hyperlink w:anchor="_Toc235899876" w:history="1">
            <w:r w:rsidRPr="001E07CB">
              <w:rPr>
                <w:rStyle w:val="Hyperlink"/>
                <w:noProof/>
                <w:sz w:val="24"/>
              </w:rPr>
              <w:t>Appendix 1: Raw Financial Data of Hilton Worldwide Holdings Inc. FY2020-FY2024</w:t>
            </w:r>
            <w:r w:rsidRPr="001E07CB">
              <w:rPr>
                <w:noProof/>
                <w:webHidden/>
                <w:sz w:val="24"/>
              </w:rPr>
              <w:tab/>
            </w:r>
            <w:r w:rsidRPr="001E07CB">
              <w:rPr>
                <w:noProof/>
                <w:webHidden/>
                <w:sz w:val="24"/>
              </w:rPr>
              <w:fldChar w:fldCharType="begin"/>
            </w:r>
            <w:r w:rsidRPr="001E07CB">
              <w:rPr>
                <w:noProof/>
                <w:webHidden/>
                <w:sz w:val="24"/>
              </w:rPr>
              <w:instrText xml:space="preserve"> PAGEREF _Toc235899876 \h </w:instrText>
            </w:r>
            <w:r w:rsidRPr="001E07CB">
              <w:rPr>
                <w:noProof/>
                <w:webHidden/>
                <w:sz w:val="24"/>
              </w:rPr>
            </w:r>
            <w:r w:rsidRPr="001E07CB">
              <w:rPr>
                <w:noProof/>
                <w:webHidden/>
                <w:sz w:val="24"/>
              </w:rPr>
              <w:fldChar w:fldCharType="separate"/>
            </w:r>
            <w:r>
              <w:rPr>
                <w:noProof/>
                <w:webHidden/>
                <w:sz w:val="24"/>
              </w:rPr>
              <w:t>23</w:t>
            </w:r>
            <w:r w:rsidRPr="001E07CB">
              <w:rPr>
                <w:noProof/>
                <w:webHidden/>
                <w:sz w:val="24"/>
              </w:rPr>
              <w:fldChar w:fldCharType="end"/>
            </w:r>
          </w:hyperlink>
        </w:p>
        <w:p w14:paraId="5551845B" w14:textId="77777777" w:rsidR="001E07CB" w:rsidRDefault="001E07CB" w:rsidP="001E07CB">
          <w:pPr>
            <w:pStyle w:val="TOC2"/>
            <w:tabs>
              <w:tab w:val="right" w:leader="dot" w:pos="10070"/>
            </w:tabs>
            <w:spacing w:line="360" w:lineRule="auto"/>
            <w:jc w:val="both"/>
            <w:rPr>
              <w:rFonts w:asciiTheme="minorHAnsi" w:eastAsiaTheme="minorEastAsia" w:hAnsiTheme="minorHAnsi" w:cstheme="minorBidi"/>
              <w:noProof/>
              <w:sz w:val="22"/>
              <w:szCs w:val="22"/>
            </w:rPr>
          </w:pPr>
          <w:hyperlink w:anchor="_Toc235899877" w:history="1">
            <w:r w:rsidRPr="001E07CB">
              <w:rPr>
                <w:rStyle w:val="Hyperlink"/>
                <w:noProof/>
                <w:sz w:val="24"/>
              </w:rPr>
              <w:t>Appendix 2: Investment appraisal calculations</w:t>
            </w:r>
            <w:r w:rsidRPr="001E07CB">
              <w:rPr>
                <w:noProof/>
                <w:webHidden/>
                <w:sz w:val="24"/>
              </w:rPr>
              <w:tab/>
            </w:r>
            <w:r w:rsidRPr="001E07CB">
              <w:rPr>
                <w:noProof/>
                <w:webHidden/>
                <w:sz w:val="24"/>
              </w:rPr>
              <w:fldChar w:fldCharType="begin"/>
            </w:r>
            <w:r w:rsidRPr="001E07CB">
              <w:rPr>
                <w:noProof/>
                <w:webHidden/>
                <w:sz w:val="24"/>
              </w:rPr>
              <w:instrText xml:space="preserve"> PAGEREF _Toc235899877 \h </w:instrText>
            </w:r>
            <w:r w:rsidRPr="001E07CB">
              <w:rPr>
                <w:noProof/>
                <w:webHidden/>
                <w:sz w:val="24"/>
              </w:rPr>
            </w:r>
            <w:r w:rsidRPr="001E07CB">
              <w:rPr>
                <w:noProof/>
                <w:webHidden/>
                <w:sz w:val="24"/>
              </w:rPr>
              <w:fldChar w:fldCharType="separate"/>
            </w:r>
            <w:r>
              <w:rPr>
                <w:noProof/>
                <w:webHidden/>
                <w:sz w:val="24"/>
              </w:rPr>
              <w:t>24</w:t>
            </w:r>
            <w:r w:rsidRPr="001E07CB">
              <w:rPr>
                <w:noProof/>
                <w:webHidden/>
                <w:sz w:val="24"/>
              </w:rPr>
              <w:fldChar w:fldCharType="end"/>
            </w:r>
          </w:hyperlink>
        </w:p>
        <w:p w14:paraId="334F8521" w14:textId="77777777" w:rsidR="00A60CC5" w:rsidRPr="00A60CC5" w:rsidRDefault="00A60CC5" w:rsidP="00A60CC5">
          <w:pPr>
            <w:spacing w:line="360" w:lineRule="auto"/>
            <w:jc w:val="both"/>
            <w:rPr>
              <w:color w:val="000000" w:themeColor="text1"/>
              <w:sz w:val="24"/>
              <w:szCs w:val="24"/>
            </w:rPr>
          </w:pPr>
          <w:r w:rsidRPr="00A60CC5">
            <w:rPr>
              <w:b/>
              <w:bCs/>
              <w:noProof/>
              <w:color w:val="000000" w:themeColor="text1"/>
              <w:sz w:val="24"/>
              <w:szCs w:val="24"/>
            </w:rPr>
            <w:fldChar w:fldCharType="end"/>
          </w:r>
        </w:p>
      </w:sdtContent>
    </w:sdt>
    <w:p w14:paraId="0CB31650" w14:textId="77777777" w:rsidR="007918F4" w:rsidRPr="00733834" w:rsidRDefault="007918F4" w:rsidP="00D575BB">
      <w:pPr>
        <w:spacing w:before="240" w:line="360" w:lineRule="auto"/>
        <w:rPr>
          <w:color w:val="2E74B5"/>
          <w:sz w:val="24"/>
          <w:szCs w:val="24"/>
        </w:rPr>
      </w:pPr>
      <w:r w:rsidRPr="00733834">
        <w:rPr>
          <w:sz w:val="24"/>
          <w:szCs w:val="24"/>
        </w:rPr>
        <w:br w:type="page"/>
      </w:r>
    </w:p>
    <w:p w14:paraId="4D6BADF0" w14:textId="77777777" w:rsidR="007B70E3" w:rsidRPr="007B70E3" w:rsidRDefault="00733834" w:rsidP="007B70E3">
      <w:pPr>
        <w:pStyle w:val="Heading1"/>
      </w:pPr>
      <w:bookmarkStart w:id="0" w:name="_Toc235899848"/>
      <w:r w:rsidRPr="007B70E3">
        <w:lastRenderedPageBreak/>
        <w:t xml:space="preserve">1. </w:t>
      </w:r>
      <w:r w:rsidR="007918F4" w:rsidRPr="007B70E3">
        <w:t>Introduction</w:t>
      </w:r>
      <w:bookmarkEnd w:id="0"/>
      <w:r w:rsidR="007918F4" w:rsidRPr="007B70E3">
        <w:t xml:space="preserve"> </w:t>
      </w:r>
    </w:p>
    <w:p w14:paraId="36FCB6D7" w14:textId="77777777" w:rsidR="00901611" w:rsidRPr="007B70E3" w:rsidRDefault="00901611" w:rsidP="007B70E3">
      <w:pPr>
        <w:spacing w:before="240" w:line="360" w:lineRule="auto"/>
        <w:jc w:val="both"/>
        <w:rPr>
          <w:sz w:val="24"/>
        </w:rPr>
      </w:pPr>
      <w:r w:rsidRPr="007B70E3">
        <w:rPr>
          <w:sz w:val="24"/>
        </w:rPr>
        <w:t>Technological advances, changing customer expectations, sustainability efforts, and the post-COVID 19 eras have significantly changed the global hospitality sector. As the leading hotel companies increasingly implement asset light business models, digital technologies and programme to build customer loyalty, they are looking to increase the efficiency of their operations, better their financial performance and enhance their long-term competitiveness. Hilton Worldwide Holdings Inc. was established in 1919, and it is currently one of the biggest hospitality firms in the world, boasting 8,447 properties and 1.26 million rooms in 140 countries and territories</w:t>
      </w:r>
      <w:r w:rsidR="00463A9F" w:rsidRPr="007B70E3">
        <w:rPr>
          <w:sz w:val="24"/>
        </w:rPr>
        <w:t xml:space="preserve"> (Hilton Worldwide Holdings, 2025a)</w:t>
      </w:r>
      <w:r w:rsidRPr="007B70E3">
        <w:rPr>
          <w:sz w:val="24"/>
        </w:rPr>
        <w:t>. The company also boasts over 211 million Hilton Honors' members, which is a testament to the company's reach and loyalty.</w:t>
      </w:r>
    </w:p>
    <w:p w14:paraId="17FF2A1A" w14:textId="77777777" w:rsidR="00901611" w:rsidRPr="007B70E3" w:rsidRDefault="00901611" w:rsidP="007B70E3">
      <w:pPr>
        <w:spacing w:before="240" w:line="360" w:lineRule="auto"/>
        <w:jc w:val="both"/>
        <w:rPr>
          <w:sz w:val="24"/>
        </w:rPr>
      </w:pPr>
      <w:r w:rsidRPr="007B70E3">
        <w:rPr>
          <w:sz w:val="24"/>
        </w:rPr>
        <w:t>However, Hilton's financial situation is affected by various factors such as inflation, high interest rates, and volatility in foreign currencies, geopolitical uncertainty, labour shortages and fierce competition from the leading international hotel chains. These factors call for good financial planning, allocation of capital resources and sustainable strategic decision making.</w:t>
      </w:r>
    </w:p>
    <w:p w14:paraId="32FEF2AD" w14:textId="77777777" w:rsidR="00901611" w:rsidRPr="007B70E3" w:rsidRDefault="00901611" w:rsidP="007B70E3">
      <w:pPr>
        <w:spacing w:before="240" w:line="360" w:lineRule="auto"/>
        <w:jc w:val="both"/>
        <w:rPr>
          <w:sz w:val="24"/>
        </w:rPr>
      </w:pPr>
      <w:r w:rsidRPr="007B70E3">
        <w:rPr>
          <w:sz w:val="24"/>
        </w:rPr>
        <w:t>This report is from the perspective of the Chief Financial Officer (CFO) of Hilton Worldwide Holdings Inc. It analyses the financial statements of the company over the last five years along with financial ratio analysis, looks at working capital management, suggests financial restructuring plans, considers investment projects by applying capital budgeting methods and reviews the use of Artificial Intelligence in the process of financial decision making.</w:t>
      </w:r>
    </w:p>
    <w:p w14:paraId="79B09868" w14:textId="77777777" w:rsidR="005C7E84" w:rsidRPr="00901611" w:rsidRDefault="00621346" w:rsidP="007B70E3">
      <w:pPr>
        <w:pStyle w:val="Heading1"/>
      </w:pPr>
      <w:bookmarkStart w:id="1" w:name="_Toc235899849"/>
      <w:r w:rsidRPr="00901611">
        <w:rPr>
          <w:rFonts w:eastAsia="Calibri"/>
        </w:rPr>
        <w:t>2. Financial Health Check: Hilton Worldwide Holdings Inc. (2020-2024)</w:t>
      </w:r>
      <w:bookmarkEnd w:id="1"/>
    </w:p>
    <w:p w14:paraId="06D3CB84" w14:textId="77777777" w:rsidR="00901611" w:rsidRPr="007B70E3" w:rsidRDefault="00621346" w:rsidP="007B70E3">
      <w:pPr>
        <w:pStyle w:val="Heading2"/>
      </w:pPr>
      <w:bookmarkStart w:id="2" w:name="_Toc235899850"/>
      <w:r w:rsidRPr="007B70E3">
        <w:t>2.1 Company Financial Performance Overview</w:t>
      </w:r>
      <w:bookmarkEnd w:id="2"/>
    </w:p>
    <w:tbl>
      <w:tblPr>
        <w:tblW w:w="10200" w:type="dxa"/>
        <w:tblInd w:w="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600"/>
        <w:gridCol w:w="1700"/>
        <w:gridCol w:w="1700"/>
        <w:gridCol w:w="1900"/>
        <w:gridCol w:w="2100"/>
      </w:tblGrid>
      <w:tr w:rsidR="00901611" w:rsidRPr="00733834" w14:paraId="5A9AA6F6" w14:textId="77777777" w:rsidTr="004C1447">
        <w:trPr>
          <w:tblHeader/>
        </w:trPr>
        <w:tc>
          <w:tcPr>
            <w:tcW w:w="1200" w:type="dxa"/>
            <w:shd w:val="clear" w:color="auto" w:fill="1F3864"/>
            <w:tcMar>
              <w:top w:w="80" w:type="dxa"/>
              <w:left w:w="100" w:type="dxa"/>
              <w:bottom w:w="80" w:type="dxa"/>
              <w:right w:w="100" w:type="dxa"/>
            </w:tcMar>
            <w:vAlign w:val="center"/>
          </w:tcPr>
          <w:p w14:paraId="063332A4" w14:textId="77777777" w:rsidR="00901611" w:rsidRPr="00733834" w:rsidRDefault="00901611" w:rsidP="004C1447">
            <w:pPr>
              <w:spacing w:before="240" w:line="360" w:lineRule="auto"/>
              <w:jc w:val="both"/>
              <w:rPr>
                <w:sz w:val="24"/>
                <w:szCs w:val="24"/>
              </w:rPr>
            </w:pPr>
            <w:r w:rsidRPr="00733834">
              <w:rPr>
                <w:rFonts w:eastAsia="Calibri"/>
                <w:b/>
                <w:bCs/>
                <w:color w:val="FFFFFF"/>
                <w:sz w:val="24"/>
                <w:szCs w:val="24"/>
              </w:rPr>
              <w:t>Year</w:t>
            </w:r>
          </w:p>
        </w:tc>
        <w:tc>
          <w:tcPr>
            <w:tcW w:w="1600" w:type="dxa"/>
            <w:shd w:val="clear" w:color="auto" w:fill="1F3864"/>
            <w:tcMar>
              <w:top w:w="80" w:type="dxa"/>
              <w:left w:w="100" w:type="dxa"/>
              <w:bottom w:w="80" w:type="dxa"/>
              <w:right w:w="100" w:type="dxa"/>
            </w:tcMar>
            <w:vAlign w:val="center"/>
          </w:tcPr>
          <w:p w14:paraId="752A6D14" w14:textId="77777777" w:rsidR="00901611" w:rsidRPr="00733834" w:rsidRDefault="00901611" w:rsidP="004C1447">
            <w:pPr>
              <w:spacing w:before="240" w:line="360" w:lineRule="auto"/>
              <w:jc w:val="both"/>
              <w:rPr>
                <w:sz w:val="24"/>
                <w:szCs w:val="24"/>
              </w:rPr>
            </w:pPr>
            <w:r w:rsidRPr="00733834">
              <w:rPr>
                <w:rFonts w:eastAsia="Calibri"/>
                <w:b/>
                <w:bCs/>
                <w:color w:val="FFFFFF"/>
                <w:sz w:val="24"/>
                <w:szCs w:val="24"/>
              </w:rPr>
              <w:t>Revenue</w:t>
            </w:r>
          </w:p>
        </w:tc>
        <w:tc>
          <w:tcPr>
            <w:tcW w:w="1700" w:type="dxa"/>
            <w:shd w:val="clear" w:color="auto" w:fill="1F3864"/>
            <w:tcMar>
              <w:top w:w="80" w:type="dxa"/>
              <w:left w:w="100" w:type="dxa"/>
              <w:bottom w:w="80" w:type="dxa"/>
              <w:right w:w="100" w:type="dxa"/>
            </w:tcMar>
            <w:vAlign w:val="center"/>
          </w:tcPr>
          <w:p w14:paraId="77A79E9C" w14:textId="77777777" w:rsidR="00901611" w:rsidRPr="00733834" w:rsidRDefault="00901611" w:rsidP="004C1447">
            <w:pPr>
              <w:spacing w:before="240" w:line="360" w:lineRule="auto"/>
              <w:jc w:val="both"/>
              <w:rPr>
                <w:sz w:val="24"/>
                <w:szCs w:val="24"/>
              </w:rPr>
            </w:pPr>
            <w:r w:rsidRPr="00733834">
              <w:rPr>
                <w:rFonts w:eastAsia="Calibri"/>
                <w:b/>
                <w:bCs/>
                <w:color w:val="FFFFFF"/>
                <w:sz w:val="24"/>
                <w:szCs w:val="24"/>
              </w:rPr>
              <w:t>Net Income</w:t>
            </w:r>
          </w:p>
        </w:tc>
        <w:tc>
          <w:tcPr>
            <w:tcW w:w="1700" w:type="dxa"/>
            <w:shd w:val="clear" w:color="auto" w:fill="1F3864"/>
            <w:tcMar>
              <w:top w:w="80" w:type="dxa"/>
              <w:left w:w="100" w:type="dxa"/>
              <w:bottom w:w="80" w:type="dxa"/>
              <w:right w:w="100" w:type="dxa"/>
            </w:tcMar>
            <w:vAlign w:val="center"/>
          </w:tcPr>
          <w:p w14:paraId="747CBABC" w14:textId="77777777" w:rsidR="00901611" w:rsidRPr="00733834" w:rsidRDefault="00901611" w:rsidP="004C1447">
            <w:pPr>
              <w:spacing w:before="240" w:line="360" w:lineRule="auto"/>
              <w:jc w:val="both"/>
              <w:rPr>
                <w:sz w:val="24"/>
                <w:szCs w:val="24"/>
              </w:rPr>
            </w:pPr>
            <w:r w:rsidRPr="00733834">
              <w:rPr>
                <w:rFonts w:eastAsia="Calibri"/>
                <w:b/>
                <w:bCs/>
                <w:color w:val="FFFFFF"/>
                <w:sz w:val="24"/>
                <w:szCs w:val="24"/>
              </w:rPr>
              <w:t>Total Assets</w:t>
            </w:r>
          </w:p>
        </w:tc>
        <w:tc>
          <w:tcPr>
            <w:tcW w:w="1900" w:type="dxa"/>
            <w:shd w:val="clear" w:color="auto" w:fill="1F3864"/>
            <w:tcMar>
              <w:top w:w="80" w:type="dxa"/>
              <w:left w:w="100" w:type="dxa"/>
              <w:bottom w:w="80" w:type="dxa"/>
              <w:right w:w="100" w:type="dxa"/>
            </w:tcMar>
            <w:vAlign w:val="center"/>
          </w:tcPr>
          <w:p w14:paraId="7014A612" w14:textId="77777777" w:rsidR="00901611" w:rsidRPr="00733834" w:rsidRDefault="00901611" w:rsidP="004C1447">
            <w:pPr>
              <w:spacing w:before="240" w:line="360" w:lineRule="auto"/>
              <w:jc w:val="both"/>
              <w:rPr>
                <w:sz w:val="24"/>
                <w:szCs w:val="24"/>
              </w:rPr>
            </w:pPr>
            <w:r w:rsidRPr="00733834">
              <w:rPr>
                <w:rFonts w:eastAsia="Calibri"/>
                <w:b/>
                <w:bCs/>
                <w:color w:val="FFFFFF"/>
                <w:sz w:val="24"/>
                <w:szCs w:val="24"/>
              </w:rPr>
              <w:t>Total Liabilities</w:t>
            </w:r>
          </w:p>
        </w:tc>
        <w:tc>
          <w:tcPr>
            <w:tcW w:w="2100" w:type="dxa"/>
            <w:shd w:val="clear" w:color="auto" w:fill="1F3864"/>
            <w:tcMar>
              <w:top w:w="80" w:type="dxa"/>
              <w:left w:w="100" w:type="dxa"/>
              <w:bottom w:w="80" w:type="dxa"/>
              <w:right w:w="100" w:type="dxa"/>
            </w:tcMar>
            <w:vAlign w:val="center"/>
          </w:tcPr>
          <w:p w14:paraId="6333F068" w14:textId="77777777" w:rsidR="00901611" w:rsidRPr="00733834" w:rsidRDefault="00901611" w:rsidP="004C1447">
            <w:pPr>
              <w:spacing w:before="240" w:line="360" w:lineRule="auto"/>
              <w:jc w:val="both"/>
              <w:rPr>
                <w:sz w:val="24"/>
                <w:szCs w:val="24"/>
              </w:rPr>
            </w:pPr>
            <w:r w:rsidRPr="00733834">
              <w:rPr>
                <w:rFonts w:eastAsia="Calibri"/>
                <w:b/>
                <w:bCs/>
                <w:color w:val="FFFFFF"/>
                <w:sz w:val="24"/>
                <w:szCs w:val="24"/>
              </w:rPr>
              <w:t>Operating Cash Flow</w:t>
            </w:r>
          </w:p>
        </w:tc>
      </w:tr>
      <w:tr w:rsidR="00901611" w:rsidRPr="00733834" w14:paraId="09026049" w14:textId="77777777" w:rsidTr="004C1447">
        <w:tc>
          <w:tcPr>
            <w:tcW w:w="1200" w:type="dxa"/>
            <w:tcMar>
              <w:top w:w="80" w:type="dxa"/>
              <w:left w:w="100" w:type="dxa"/>
              <w:bottom w:w="80" w:type="dxa"/>
              <w:right w:w="100" w:type="dxa"/>
            </w:tcMar>
            <w:vAlign w:val="center"/>
          </w:tcPr>
          <w:p w14:paraId="7A041BC2"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2020</w:t>
            </w:r>
          </w:p>
        </w:tc>
        <w:tc>
          <w:tcPr>
            <w:tcW w:w="1600" w:type="dxa"/>
            <w:tcMar>
              <w:top w:w="80" w:type="dxa"/>
              <w:left w:w="100" w:type="dxa"/>
              <w:bottom w:w="80" w:type="dxa"/>
              <w:right w:w="100" w:type="dxa"/>
            </w:tcMar>
            <w:vAlign w:val="center"/>
          </w:tcPr>
          <w:p w14:paraId="0AA9CD01"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4,311</w:t>
            </w:r>
          </w:p>
        </w:tc>
        <w:tc>
          <w:tcPr>
            <w:tcW w:w="1700" w:type="dxa"/>
            <w:tcMar>
              <w:top w:w="80" w:type="dxa"/>
              <w:left w:w="100" w:type="dxa"/>
              <w:bottom w:w="80" w:type="dxa"/>
              <w:right w:w="100" w:type="dxa"/>
            </w:tcMar>
            <w:vAlign w:val="center"/>
          </w:tcPr>
          <w:p w14:paraId="2F2A45A7"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(720)</w:t>
            </w:r>
          </w:p>
        </w:tc>
        <w:tc>
          <w:tcPr>
            <w:tcW w:w="1700" w:type="dxa"/>
            <w:tcMar>
              <w:top w:w="80" w:type="dxa"/>
              <w:left w:w="100" w:type="dxa"/>
              <w:bottom w:w="80" w:type="dxa"/>
              <w:right w:w="100" w:type="dxa"/>
            </w:tcMar>
            <w:vAlign w:val="center"/>
          </w:tcPr>
          <w:p w14:paraId="03BEEA8B"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16,755</w:t>
            </w:r>
          </w:p>
        </w:tc>
        <w:tc>
          <w:tcPr>
            <w:tcW w:w="1900" w:type="dxa"/>
            <w:tcMar>
              <w:top w:w="80" w:type="dxa"/>
              <w:left w:w="100" w:type="dxa"/>
              <w:bottom w:w="80" w:type="dxa"/>
              <w:right w:w="100" w:type="dxa"/>
            </w:tcMar>
            <w:vAlign w:val="center"/>
          </w:tcPr>
          <w:p w14:paraId="4E3885ED"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18,241</w:t>
            </w:r>
          </w:p>
        </w:tc>
        <w:tc>
          <w:tcPr>
            <w:tcW w:w="2100" w:type="dxa"/>
            <w:tcMar>
              <w:top w:w="80" w:type="dxa"/>
              <w:left w:w="100" w:type="dxa"/>
              <w:bottom w:w="80" w:type="dxa"/>
              <w:right w:w="100" w:type="dxa"/>
            </w:tcMar>
            <w:vAlign w:val="center"/>
          </w:tcPr>
          <w:p w14:paraId="6976AE1C"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708</w:t>
            </w:r>
          </w:p>
        </w:tc>
      </w:tr>
      <w:tr w:rsidR="00901611" w:rsidRPr="00733834" w14:paraId="3ABB6996" w14:textId="77777777" w:rsidTr="004C1447">
        <w:tc>
          <w:tcPr>
            <w:tcW w:w="1200" w:type="dxa"/>
            <w:shd w:val="clear" w:color="auto" w:fill="EDEDED"/>
            <w:tcMar>
              <w:top w:w="80" w:type="dxa"/>
              <w:left w:w="100" w:type="dxa"/>
              <w:bottom w:w="80" w:type="dxa"/>
              <w:right w:w="100" w:type="dxa"/>
            </w:tcMar>
            <w:vAlign w:val="center"/>
          </w:tcPr>
          <w:p w14:paraId="3B348A84"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2021</w:t>
            </w:r>
          </w:p>
        </w:tc>
        <w:tc>
          <w:tcPr>
            <w:tcW w:w="1600" w:type="dxa"/>
            <w:shd w:val="clear" w:color="auto" w:fill="EDEDED"/>
            <w:tcMar>
              <w:top w:w="80" w:type="dxa"/>
              <w:left w:w="100" w:type="dxa"/>
              <w:bottom w:w="80" w:type="dxa"/>
              <w:right w:w="100" w:type="dxa"/>
            </w:tcMar>
            <w:vAlign w:val="center"/>
          </w:tcPr>
          <w:p w14:paraId="69B2B40E"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5,788</w:t>
            </w:r>
          </w:p>
        </w:tc>
        <w:tc>
          <w:tcPr>
            <w:tcW w:w="1700" w:type="dxa"/>
            <w:shd w:val="clear" w:color="auto" w:fill="EDEDED"/>
            <w:tcMar>
              <w:top w:w="80" w:type="dxa"/>
              <w:left w:w="100" w:type="dxa"/>
              <w:bottom w:w="80" w:type="dxa"/>
              <w:right w:w="100" w:type="dxa"/>
            </w:tcMar>
            <w:vAlign w:val="center"/>
          </w:tcPr>
          <w:p w14:paraId="07B26F95"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407</w:t>
            </w:r>
          </w:p>
        </w:tc>
        <w:tc>
          <w:tcPr>
            <w:tcW w:w="1700" w:type="dxa"/>
            <w:shd w:val="clear" w:color="auto" w:fill="EDEDED"/>
            <w:tcMar>
              <w:top w:w="80" w:type="dxa"/>
              <w:left w:w="100" w:type="dxa"/>
              <w:bottom w:w="80" w:type="dxa"/>
              <w:right w:w="100" w:type="dxa"/>
            </w:tcMar>
            <w:vAlign w:val="center"/>
          </w:tcPr>
          <w:p w14:paraId="636F4938"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15,441</w:t>
            </w:r>
          </w:p>
        </w:tc>
        <w:tc>
          <w:tcPr>
            <w:tcW w:w="1900" w:type="dxa"/>
            <w:shd w:val="clear" w:color="auto" w:fill="EDEDED"/>
            <w:tcMar>
              <w:top w:w="80" w:type="dxa"/>
              <w:left w:w="100" w:type="dxa"/>
              <w:bottom w:w="80" w:type="dxa"/>
              <w:right w:w="100" w:type="dxa"/>
            </w:tcMar>
            <w:vAlign w:val="center"/>
          </w:tcPr>
          <w:p w14:paraId="3F58DBFC"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16,260</w:t>
            </w:r>
          </w:p>
        </w:tc>
        <w:tc>
          <w:tcPr>
            <w:tcW w:w="2100" w:type="dxa"/>
            <w:shd w:val="clear" w:color="auto" w:fill="EDEDED"/>
            <w:tcMar>
              <w:top w:w="80" w:type="dxa"/>
              <w:left w:w="100" w:type="dxa"/>
              <w:bottom w:w="80" w:type="dxa"/>
              <w:right w:w="100" w:type="dxa"/>
            </w:tcMar>
            <w:vAlign w:val="center"/>
          </w:tcPr>
          <w:p w14:paraId="4EFC28F0"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109</w:t>
            </w:r>
          </w:p>
        </w:tc>
      </w:tr>
      <w:tr w:rsidR="00901611" w:rsidRPr="00733834" w14:paraId="6AD2CBDB" w14:textId="77777777" w:rsidTr="004C1447">
        <w:tc>
          <w:tcPr>
            <w:tcW w:w="1200" w:type="dxa"/>
            <w:tcMar>
              <w:top w:w="80" w:type="dxa"/>
              <w:left w:w="100" w:type="dxa"/>
              <w:bottom w:w="80" w:type="dxa"/>
              <w:right w:w="100" w:type="dxa"/>
            </w:tcMar>
            <w:vAlign w:val="center"/>
          </w:tcPr>
          <w:p w14:paraId="42CE76A2"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lastRenderedPageBreak/>
              <w:t>2022</w:t>
            </w:r>
          </w:p>
        </w:tc>
        <w:tc>
          <w:tcPr>
            <w:tcW w:w="1600" w:type="dxa"/>
            <w:tcMar>
              <w:top w:w="80" w:type="dxa"/>
              <w:left w:w="100" w:type="dxa"/>
              <w:bottom w:w="80" w:type="dxa"/>
              <w:right w:w="100" w:type="dxa"/>
            </w:tcMar>
            <w:vAlign w:val="center"/>
          </w:tcPr>
          <w:p w14:paraId="05AA0836"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8,773</w:t>
            </w:r>
          </w:p>
        </w:tc>
        <w:tc>
          <w:tcPr>
            <w:tcW w:w="1700" w:type="dxa"/>
            <w:tcMar>
              <w:top w:w="80" w:type="dxa"/>
              <w:left w:w="100" w:type="dxa"/>
              <w:bottom w:w="80" w:type="dxa"/>
              <w:right w:w="100" w:type="dxa"/>
            </w:tcMar>
            <w:vAlign w:val="center"/>
          </w:tcPr>
          <w:p w14:paraId="6709AD8C"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1,257</w:t>
            </w:r>
          </w:p>
        </w:tc>
        <w:tc>
          <w:tcPr>
            <w:tcW w:w="1700" w:type="dxa"/>
            <w:tcMar>
              <w:top w:w="80" w:type="dxa"/>
              <w:left w:w="100" w:type="dxa"/>
              <w:bottom w:w="80" w:type="dxa"/>
              <w:right w:w="100" w:type="dxa"/>
            </w:tcMar>
            <w:vAlign w:val="center"/>
          </w:tcPr>
          <w:p w14:paraId="7953BAF5"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15,512</w:t>
            </w:r>
          </w:p>
        </w:tc>
        <w:tc>
          <w:tcPr>
            <w:tcW w:w="1900" w:type="dxa"/>
            <w:tcMar>
              <w:top w:w="80" w:type="dxa"/>
              <w:left w:w="100" w:type="dxa"/>
              <w:bottom w:w="80" w:type="dxa"/>
              <w:right w:w="100" w:type="dxa"/>
            </w:tcMar>
            <w:vAlign w:val="center"/>
          </w:tcPr>
          <w:p w14:paraId="1C3846D0"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16,610</w:t>
            </w:r>
          </w:p>
        </w:tc>
        <w:tc>
          <w:tcPr>
            <w:tcW w:w="2100" w:type="dxa"/>
            <w:tcMar>
              <w:top w:w="80" w:type="dxa"/>
              <w:left w:w="100" w:type="dxa"/>
              <w:bottom w:w="80" w:type="dxa"/>
              <w:right w:w="100" w:type="dxa"/>
            </w:tcMar>
            <w:vAlign w:val="center"/>
          </w:tcPr>
          <w:p w14:paraId="36014C24"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1,681</w:t>
            </w:r>
          </w:p>
        </w:tc>
      </w:tr>
      <w:tr w:rsidR="00901611" w:rsidRPr="00733834" w14:paraId="2062250C" w14:textId="77777777" w:rsidTr="004C1447">
        <w:tc>
          <w:tcPr>
            <w:tcW w:w="1200" w:type="dxa"/>
            <w:shd w:val="clear" w:color="auto" w:fill="EDEDED"/>
            <w:tcMar>
              <w:top w:w="80" w:type="dxa"/>
              <w:left w:w="100" w:type="dxa"/>
              <w:bottom w:w="80" w:type="dxa"/>
              <w:right w:w="100" w:type="dxa"/>
            </w:tcMar>
            <w:vAlign w:val="center"/>
          </w:tcPr>
          <w:p w14:paraId="33E3750A"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2023</w:t>
            </w:r>
          </w:p>
        </w:tc>
        <w:tc>
          <w:tcPr>
            <w:tcW w:w="1600" w:type="dxa"/>
            <w:shd w:val="clear" w:color="auto" w:fill="EDEDED"/>
            <w:tcMar>
              <w:top w:w="80" w:type="dxa"/>
              <w:left w:w="100" w:type="dxa"/>
              <w:bottom w:w="80" w:type="dxa"/>
              <w:right w:w="100" w:type="dxa"/>
            </w:tcMar>
            <w:vAlign w:val="center"/>
          </w:tcPr>
          <w:p w14:paraId="380DCA70"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10,235</w:t>
            </w:r>
          </w:p>
        </w:tc>
        <w:tc>
          <w:tcPr>
            <w:tcW w:w="1700" w:type="dxa"/>
            <w:shd w:val="clear" w:color="auto" w:fill="EDEDED"/>
            <w:tcMar>
              <w:top w:w="80" w:type="dxa"/>
              <w:left w:w="100" w:type="dxa"/>
              <w:bottom w:w="80" w:type="dxa"/>
              <w:right w:w="100" w:type="dxa"/>
            </w:tcMar>
            <w:vAlign w:val="center"/>
          </w:tcPr>
          <w:p w14:paraId="041C014F"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1,151</w:t>
            </w:r>
          </w:p>
        </w:tc>
        <w:tc>
          <w:tcPr>
            <w:tcW w:w="1700" w:type="dxa"/>
            <w:shd w:val="clear" w:color="auto" w:fill="EDEDED"/>
            <w:tcMar>
              <w:top w:w="80" w:type="dxa"/>
              <w:left w:w="100" w:type="dxa"/>
              <w:bottom w:w="80" w:type="dxa"/>
              <w:right w:w="100" w:type="dxa"/>
            </w:tcMar>
            <w:vAlign w:val="center"/>
          </w:tcPr>
          <w:p w14:paraId="416AE647"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15,401</w:t>
            </w:r>
          </w:p>
        </w:tc>
        <w:tc>
          <w:tcPr>
            <w:tcW w:w="1900" w:type="dxa"/>
            <w:shd w:val="clear" w:color="auto" w:fill="EDEDED"/>
            <w:tcMar>
              <w:top w:w="80" w:type="dxa"/>
              <w:left w:w="100" w:type="dxa"/>
              <w:bottom w:w="80" w:type="dxa"/>
              <w:right w:w="100" w:type="dxa"/>
            </w:tcMar>
            <w:vAlign w:val="center"/>
          </w:tcPr>
          <w:p w14:paraId="3D10FC92"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17,748</w:t>
            </w:r>
          </w:p>
        </w:tc>
        <w:tc>
          <w:tcPr>
            <w:tcW w:w="2100" w:type="dxa"/>
            <w:shd w:val="clear" w:color="auto" w:fill="EDEDED"/>
            <w:tcMar>
              <w:top w:w="80" w:type="dxa"/>
              <w:left w:w="100" w:type="dxa"/>
              <w:bottom w:w="80" w:type="dxa"/>
              <w:right w:w="100" w:type="dxa"/>
            </w:tcMar>
            <w:vAlign w:val="center"/>
          </w:tcPr>
          <w:p w14:paraId="4FB65184"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1,946</w:t>
            </w:r>
          </w:p>
        </w:tc>
      </w:tr>
      <w:tr w:rsidR="00901611" w:rsidRPr="00733834" w14:paraId="4F8035D4" w14:textId="77777777" w:rsidTr="004C1447">
        <w:tc>
          <w:tcPr>
            <w:tcW w:w="1200" w:type="dxa"/>
            <w:tcMar>
              <w:top w:w="80" w:type="dxa"/>
              <w:left w:w="100" w:type="dxa"/>
              <w:bottom w:w="80" w:type="dxa"/>
              <w:right w:w="100" w:type="dxa"/>
            </w:tcMar>
            <w:vAlign w:val="center"/>
          </w:tcPr>
          <w:p w14:paraId="70340D01"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2024</w:t>
            </w:r>
          </w:p>
        </w:tc>
        <w:tc>
          <w:tcPr>
            <w:tcW w:w="1600" w:type="dxa"/>
            <w:tcMar>
              <w:top w:w="80" w:type="dxa"/>
              <w:left w:w="100" w:type="dxa"/>
              <w:bottom w:w="80" w:type="dxa"/>
              <w:right w:w="100" w:type="dxa"/>
            </w:tcMar>
            <w:vAlign w:val="center"/>
          </w:tcPr>
          <w:p w14:paraId="17E3E2CA"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11,174</w:t>
            </w:r>
          </w:p>
        </w:tc>
        <w:tc>
          <w:tcPr>
            <w:tcW w:w="1700" w:type="dxa"/>
            <w:tcMar>
              <w:top w:w="80" w:type="dxa"/>
              <w:left w:w="100" w:type="dxa"/>
              <w:bottom w:w="80" w:type="dxa"/>
              <w:right w:w="100" w:type="dxa"/>
            </w:tcMar>
            <w:vAlign w:val="center"/>
          </w:tcPr>
          <w:p w14:paraId="1C8029F0"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1,539</w:t>
            </w:r>
          </w:p>
        </w:tc>
        <w:tc>
          <w:tcPr>
            <w:tcW w:w="1700" w:type="dxa"/>
            <w:tcMar>
              <w:top w:w="80" w:type="dxa"/>
              <w:left w:w="100" w:type="dxa"/>
              <w:bottom w:w="80" w:type="dxa"/>
              <w:right w:w="100" w:type="dxa"/>
            </w:tcMar>
            <w:vAlign w:val="center"/>
          </w:tcPr>
          <w:p w14:paraId="7BD5ABC2"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16,522</w:t>
            </w:r>
          </w:p>
        </w:tc>
        <w:tc>
          <w:tcPr>
            <w:tcW w:w="1900" w:type="dxa"/>
            <w:tcMar>
              <w:top w:w="80" w:type="dxa"/>
              <w:left w:w="100" w:type="dxa"/>
              <w:bottom w:w="80" w:type="dxa"/>
              <w:right w:w="100" w:type="dxa"/>
            </w:tcMar>
            <w:vAlign w:val="center"/>
          </w:tcPr>
          <w:p w14:paraId="4F2B2DEF"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20,211</w:t>
            </w:r>
          </w:p>
        </w:tc>
        <w:tc>
          <w:tcPr>
            <w:tcW w:w="2100" w:type="dxa"/>
            <w:tcMar>
              <w:top w:w="80" w:type="dxa"/>
              <w:left w:w="100" w:type="dxa"/>
              <w:bottom w:w="80" w:type="dxa"/>
              <w:right w:w="100" w:type="dxa"/>
            </w:tcMar>
            <w:vAlign w:val="center"/>
          </w:tcPr>
          <w:p w14:paraId="468DF86D" w14:textId="77777777" w:rsidR="00901611" w:rsidRPr="00733834" w:rsidRDefault="00901611" w:rsidP="004C1447">
            <w:pPr>
              <w:spacing w:before="240" w:line="360" w:lineRule="auto"/>
              <w:jc w:val="both"/>
              <w:rPr>
                <w:sz w:val="24"/>
                <w:szCs w:val="24"/>
              </w:rPr>
            </w:pPr>
            <w:r w:rsidRPr="00733834">
              <w:rPr>
                <w:rFonts w:eastAsia="Calibri"/>
                <w:color w:val="000000"/>
                <w:sz w:val="24"/>
                <w:szCs w:val="24"/>
              </w:rPr>
              <w:t>2,010</w:t>
            </w:r>
          </w:p>
        </w:tc>
      </w:tr>
    </w:tbl>
    <w:p w14:paraId="049DE3C1" w14:textId="77777777" w:rsidR="00901611" w:rsidRPr="007B70E3" w:rsidRDefault="007B70E3" w:rsidP="007B70E3">
      <w:pPr>
        <w:spacing w:line="360" w:lineRule="auto"/>
        <w:jc w:val="center"/>
        <w:rPr>
          <w:rFonts w:eastAsia="Calibri"/>
          <w:b/>
          <w:sz w:val="24"/>
        </w:rPr>
      </w:pPr>
      <w:r>
        <w:rPr>
          <w:rFonts w:eastAsia="Calibri"/>
          <w:b/>
          <w:sz w:val="24"/>
        </w:rPr>
        <w:t xml:space="preserve">Table </w:t>
      </w:r>
      <w:r w:rsidR="00901611" w:rsidRPr="007B70E3">
        <w:rPr>
          <w:rFonts w:eastAsia="Calibri"/>
          <w:b/>
          <w:sz w:val="24"/>
        </w:rPr>
        <w:t>1: Five-Year Financial Trend ($ millions)</w:t>
      </w:r>
    </w:p>
    <w:p w14:paraId="38371F82" w14:textId="77777777" w:rsidR="00901611" w:rsidRPr="00901611" w:rsidRDefault="00901611" w:rsidP="00901611">
      <w:pPr>
        <w:spacing w:before="240" w:after="160" w:line="360" w:lineRule="auto"/>
        <w:jc w:val="both"/>
        <w:rPr>
          <w:rFonts w:eastAsia="Calibri"/>
          <w:b/>
          <w:bCs/>
          <w:color w:val="000000" w:themeColor="text1"/>
          <w:sz w:val="24"/>
          <w:szCs w:val="24"/>
        </w:rPr>
      </w:pPr>
      <w:r w:rsidRPr="00901611">
        <w:rPr>
          <w:rFonts w:eastAsia="Calibri"/>
          <w:sz w:val="24"/>
          <w:szCs w:val="24"/>
        </w:rPr>
        <w:t xml:space="preserve">Hilton Worldwide Holdings Inc. (NYSE: HLT) had one of the biggest turns around of any hotel company from 2020 to 2024. Revenue declined to $4.31 billion, and COVID-19 resulted in a net loss of $720 million for the 2020 fiscal year, due to a steep drop in travel demand along with a decrease in RevPAR throughout the portfolio (Hilton Worldwide Holdings, 2021 Annual Report). They were quick to turn around, with revenue increasing in each year since and net income going from a loss of $720 million to $1.54 billion (Hilton Worldwide Holdings, 2025 Annual Report) in 2024. Operating income also followed the same trend; from an operating loss in 2020 to a positive operating income of $2.37 billion in 2024. Total assets did not change significantly at $15-17 billion due to the asset light, fee-based business model of Hilton's franchise operations. </w:t>
      </w:r>
    </w:p>
    <w:p w14:paraId="35C08123" w14:textId="77777777" w:rsidR="005C7E84" w:rsidRPr="00733834" w:rsidRDefault="00621346" w:rsidP="007B70E3">
      <w:pPr>
        <w:pStyle w:val="Heading2"/>
      </w:pPr>
      <w:bookmarkStart w:id="3" w:name="_Toc235899851"/>
      <w:r w:rsidRPr="00733834">
        <w:t>2.2 Profitability Ratio Analysis</w:t>
      </w:r>
      <w:bookmarkEnd w:id="3"/>
    </w:p>
    <w:tbl>
      <w:tblPr>
        <w:tblW w:w="9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900"/>
        <w:gridCol w:w="1900"/>
        <w:gridCol w:w="1600"/>
        <w:gridCol w:w="1400"/>
        <w:gridCol w:w="1300"/>
      </w:tblGrid>
      <w:tr w:rsidR="005C7E84" w:rsidRPr="00733834" w14:paraId="3A6D3355" w14:textId="77777777" w:rsidTr="00463A9F">
        <w:trPr>
          <w:tblHeader/>
          <w:jc w:val="center"/>
        </w:trPr>
        <w:tc>
          <w:tcPr>
            <w:tcW w:w="1200" w:type="dxa"/>
            <w:shd w:val="clear" w:color="auto" w:fill="1F3864"/>
            <w:tcMar>
              <w:top w:w="80" w:type="dxa"/>
              <w:left w:w="100" w:type="dxa"/>
              <w:bottom w:w="80" w:type="dxa"/>
              <w:right w:w="100" w:type="dxa"/>
            </w:tcMar>
            <w:vAlign w:val="center"/>
          </w:tcPr>
          <w:p w14:paraId="3526FD6C"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Year</w:t>
            </w:r>
          </w:p>
        </w:tc>
        <w:tc>
          <w:tcPr>
            <w:tcW w:w="1900" w:type="dxa"/>
            <w:shd w:val="clear" w:color="auto" w:fill="1F3864"/>
            <w:tcMar>
              <w:top w:w="80" w:type="dxa"/>
              <w:left w:w="100" w:type="dxa"/>
              <w:bottom w:w="80" w:type="dxa"/>
              <w:right w:w="100" w:type="dxa"/>
            </w:tcMar>
            <w:vAlign w:val="center"/>
          </w:tcPr>
          <w:p w14:paraId="33D4ECAE"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Gross Margin</w:t>
            </w:r>
          </w:p>
        </w:tc>
        <w:tc>
          <w:tcPr>
            <w:tcW w:w="1900" w:type="dxa"/>
            <w:shd w:val="clear" w:color="auto" w:fill="1F3864"/>
            <w:tcMar>
              <w:top w:w="80" w:type="dxa"/>
              <w:left w:w="100" w:type="dxa"/>
              <w:bottom w:w="80" w:type="dxa"/>
              <w:right w:w="100" w:type="dxa"/>
            </w:tcMar>
            <w:vAlign w:val="center"/>
          </w:tcPr>
          <w:p w14:paraId="0A889DE4"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Operating Margin</w:t>
            </w:r>
          </w:p>
        </w:tc>
        <w:tc>
          <w:tcPr>
            <w:tcW w:w="1600" w:type="dxa"/>
            <w:shd w:val="clear" w:color="auto" w:fill="1F3864"/>
            <w:tcMar>
              <w:top w:w="80" w:type="dxa"/>
              <w:left w:w="100" w:type="dxa"/>
              <w:bottom w:w="80" w:type="dxa"/>
              <w:right w:w="100" w:type="dxa"/>
            </w:tcMar>
            <w:vAlign w:val="center"/>
          </w:tcPr>
          <w:p w14:paraId="361DDCAA"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Net Margin</w:t>
            </w:r>
          </w:p>
        </w:tc>
        <w:tc>
          <w:tcPr>
            <w:tcW w:w="1400" w:type="dxa"/>
            <w:shd w:val="clear" w:color="auto" w:fill="1F3864"/>
            <w:tcMar>
              <w:top w:w="80" w:type="dxa"/>
              <w:left w:w="100" w:type="dxa"/>
              <w:bottom w:w="80" w:type="dxa"/>
              <w:right w:w="100" w:type="dxa"/>
            </w:tcMar>
            <w:vAlign w:val="center"/>
          </w:tcPr>
          <w:p w14:paraId="32A73F60"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ROA</w:t>
            </w:r>
          </w:p>
        </w:tc>
        <w:tc>
          <w:tcPr>
            <w:tcW w:w="1300" w:type="dxa"/>
            <w:shd w:val="clear" w:color="auto" w:fill="1F3864"/>
            <w:tcMar>
              <w:top w:w="80" w:type="dxa"/>
              <w:left w:w="100" w:type="dxa"/>
              <w:bottom w:w="80" w:type="dxa"/>
              <w:right w:w="100" w:type="dxa"/>
            </w:tcMar>
            <w:vAlign w:val="center"/>
          </w:tcPr>
          <w:p w14:paraId="553702A4"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ROE*</w:t>
            </w:r>
          </w:p>
        </w:tc>
      </w:tr>
      <w:tr w:rsidR="005C7E84" w:rsidRPr="00733834" w14:paraId="4B4AD4F5" w14:textId="77777777" w:rsidTr="00463A9F">
        <w:trPr>
          <w:jc w:val="center"/>
        </w:trPr>
        <w:tc>
          <w:tcPr>
            <w:tcW w:w="1200" w:type="dxa"/>
            <w:tcMar>
              <w:top w:w="80" w:type="dxa"/>
              <w:left w:w="100" w:type="dxa"/>
              <w:bottom w:w="80" w:type="dxa"/>
              <w:right w:w="100" w:type="dxa"/>
            </w:tcMar>
            <w:vAlign w:val="center"/>
          </w:tcPr>
          <w:p w14:paraId="0A5710F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2020</w:t>
            </w:r>
          </w:p>
        </w:tc>
        <w:tc>
          <w:tcPr>
            <w:tcW w:w="1900" w:type="dxa"/>
            <w:tcMar>
              <w:top w:w="80" w:type="dxa"/>
              <w:left w:w="100" w:type="dxa"/>
              <w:bottom w:w="80" w:type="dxa"/>
              <w:right w:w="100" w:type="dxa"/>
            </w:tcMar>
            <w:vAlign w:val="center"/>
          </w:tcPr>
          <w:p w14:paraId="4933438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85.6%</w:t>
            </w:r>
          </w:p>
        </w:tc>
        <w:tc>
          <w:tcPr>
            <w:tcW w:w="1900" w:type="dxa"/>
            <w:tcMar>
              <w:top w:w="80" w:type="dxa"/>
              <w:left w:w="100" w:type="dxa"/>
              <w:bottom w:w="80" w:type="dxa"/>
              <w:right w:w="100" w:type="dxa"/>
            </w:tcMar>
            <w:vAlign w:val="center"/>
          </w:tcPr>
          <w:p w14:paraId="4EB168E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-9.7%</w:t>
            </w:r>
          </w:p>
        </w:tc>
        <w:tc>
          <w:tcPr>
            <w:tcW w:w="1600" w:type="dxa"/>
            <w:tcMar>
              <w:top w:w="80" w:type="dxa"/>
              <w:left w:w="100" w:type="dxa"/>
              <w:bottom w:w="80" w:type="dxa"/>
              <w:right w:w="100" w:type="dxa"/>
            </w:tcMar>
            <w:vAlign w:val="center"/>
          </w:tcPr>
          <w:p w14:paraId="07134DB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-16.7%</w:t>
            </w:r>
          </w:p>
        </w:tc>
        <w:tc>
          <w:tcPr>
            <w:tcW w:w="1400" w:type="dxa"/>
            <w:tcMar>
              <w:top w:w="80" w:type="dxa"/>
              <w:left w:w="100" w:type="dxa"/>
              <w:bottom w:w="80" w:type="dxa"/>
              <w:right w:w="100" w:type="dxa"/>
            </w:tcMar>
            <w:vAlign w:val="center"/>
          </w:tcPr>
          <w:p w14:paraId="0A99953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-4.3%</w:t>
            </w:r>
          </w:p>
        </w:tc>
        <w:tc>
          <w:tcPr>
            <w:tcW w:w="1300" w:type="dxa"/>
            <w:tcMar>
              <w:top w:w="80" w:type="dxa"/>
              <w:left w:w="100" w:type="dxa"/>
              <w:bottom w:w="80" w:type="dxa"/>
              <w:right w:w="100" w:type="dxa"/>
            </w:tcMar>
            <w:vAlign w:val="center"/>
          </w:tcPr>
          <w:p w14:paraId="40FD2A4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n/m</w:t>
            </w:r>
          </w:p>
        </w:tc>
      </w:tr>
      <w:tr w:rsidR="005C7E84" w:rsidRPr="00733834" w14:paraId="56880847" w14:textId="77777777" w:rsidTr="00463A9F">
        <w:trPr>
          <w:jc w:val="center"/>
        </w:trPr>
        <w:tc>
          <w:tcPr>
            <w:tcW w:w="1200" w:type="dxa"/>
            <w:shd w:val="clear" w:color="auto" w:fill="EDEDED"/>
            <w:tcMar>
              <w:top w:w="80" w:type="dxa"/>
              <w:left w:w="100" w:type="dxa"/>
              <w:bottom w:w="80" w:type="dxa"/>
              <w:right w:w="100" w:type="dxa"/>
            </w:tcMar>
            <w:vAlign w:val="center"/>
          </w:tcPr>
          <w:p w14:paraId="10D8909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2021</w:t>
            </w:r>
          </w:p>
        </w:tc>
        <w:tc>
          <w:tcPr>
            <w:tcW w:w="1900" w:type="dxa"/>
            <w:shd w:val="clear" w:color="auto" w:fill="EDEDED"/>
            <w:tcMar>
              <w:top w:w="80" w:type="dxa"/>
              <w:left w:w="100" w:type="dxa"/>
              <w:bottom w:w="80" w:type="dxa"/>
              <w:right w:w="100" w:type="dxa"/>
            </w:tcMar>
            <w:vAlign w:val="center"/>
          </w:tcPr>
          <w:p w14:paraId="5F2F1B8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88.3%</w:t>
            </w:r>
          </w:p>
        </w:tc>
        <w:tc>
          <w:tcPr>
            <w:tcW w:w="1900" w:type="dxa"/>
            <w:shd w:val="clear" w:color="auto" w:fill="EDEDED"/>
            <w:tcMar>
              <w:top w:w="80" w:type="dxa"/>
              <w:left w:w="100" w:type="dxa"/>
              <w:bottom w:w="80" w:type="dxa"/>
              <w:right w:w="100" w:type="dxa"/>
            </w:tcMar>
            <w:vAlign w:val="center"/>
          </w:tcPr>
          <w:p w14:paraId="2D3F4EB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17.5%</w:t>
            </w:r>
          </w:p>
        </w:tc>
        <w:tc>
          <w:tcPr>
            <w:tcW w:w="1600" w:type="dxa"/>
            <w:shd w:val="clear" w:color="auto" w:fill="EDEDED"/>
            <w:tcMar>
              <w:top w:w="80" w:type="dxa"/>
              <w:left w:w="100" w:type="dxa"/>
              <w:bottom w:w="80" w:type="dxa"/>
              <w:right w:w="100" w:type="dxa"/>
            </w:tcMar>
            <w:vAlign w:val="center"/>
          </w:tcPr>
          <w:p w14:paraId="70BB084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7.0%</w:t>
            </w:r>
          </w:p>
        </w:tc>
        <w:tc>
          <w:tcPr>
            <w:tcW w:w="1400" w:type="dxa"/>
            <w:shd w:val="clear" w:color="auto" w:fill="EDEDED"/>
            <w:tcMar>
              <w:top w:w="80" w:type="dxa"/>
              <w:left w:w="100" w:type="dxa"/>
              <w:bottom w:w="80" w:type="dxa"/>
              <w:right w:w="100" w:type="dxa"/>
            </w:tcMar>
            <w:vAlign w:val="center"/>
          </w:tcPr>
          <w:p w14:paraId="5238C70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2.6%</w:t>
            </w:r>
          </w:p>
        </w:tc>
        <w:tc>
          <w:tcPr>
            <w:tcW w:w="1300" w:type="dxa"/>
            <w:shd w:val="clear" w:color="auto" w:fill="EDEDED"/>
            <w:tcMar>
              <w:top w:w="80" w:type="dxa"/>
              <w:left w:w="100" w:type="dxa"/>
              <w:bottom w:w="80" w:type="dxa"/>
              <w:right w:w="100" w:type="dxa"/>
            </w:tcMar>
            <w:vAlign w:val="center"/>
          </w:tcPr>
          <w:p w14:paraId="67377B7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n/m</w:t>
            </w:r>
          </w:p>
        </w:tc>
      </w:tr>
      <w:tr w:rsidR="005C7E84" w:rsidRPr="00733834" w14:paraId="3A0DE5CD" w14:textId="77777777" w:rsidTr="00463A9F">
        <w:trPr>
          <w:jc w:val="center"/>
        </w:trPr>
        <w:tc>
          <w:tcPr>
            <w:tcW w:w="1200" w:type="dxa"/>
            <w:tcMar>
              <w:top w:w="80" w:type="dxa"/>
              <w:left w:w="100" w:type="dxa"/>
              <w:bottom w:w="80" w:type="dxa"/>
              <w:right w:w="100" w:type="dxa"/>
            </w:tcMar>
            <w:vAlign w:val="center"/>
          </w:tcPr>
          <w:p w14:paraId="3BB25E4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2022</w:t>
            </w:r>
          </w:p>
        </w:tc>
        <w:tc>
          <w:tcPr>
            <w:tcW w:w="1900" w:type="dxa"/>
            <w:tcMar>
              <w:top w:w="80" w:type="dxa"/>
              <w:left w:w="100" w:type="dxa"/>
              <w:bottom w:w="80" w:type="dxa"/>
              <w:right w:w="100" w:type="dxa"/>
            </w:tcMar>
            <w:vAlign w:val="center"/>
          </w:tcPr>
          <w:p w14:paraId="44D8163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88.6%</w:t>
            </w:r>
          </w:p>
        </w:tc>
        <w:tc>
          <w:tcPr>
            <w:tcW w:w="1900" w:type="dxa"/>
            <w:tcMar>
              <w:top w:w="80" w:type="dxa"/>
              <w:left w:w="100" w:type="dxa"/>
              <w:bottom w:w="80" w:type="dxa"/>
              <w:right w:w="100" w:type="dxa"/>
            </w:tcMar>
            <w:vAlign w:val="center"/>
          </w:tcPr>
          <w:p w14:paraId="30D869C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23.9%</w:t>
            </w:r>
          </w:p>
        </w:tc>
        <w:tc>
          <w:tcPr>
            <w:tcW w:w="1600" w:type="dxa"/>
            <w:tcMar>
              <w:top w:w="80" w:type="dxa"/>
              <w:left w:w="100" w:type="dxa"/>
              <w:bottom w:w="80" w:type="dxa"/>
              <w:right w:w="100" w:type="dxa"/>
            </w:tcMar>
            <w:vAlign w:val="center"/>
          </w:tcPr>
          <w:p w14:paraId="795F13E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14.3%</w:t>
            </w:r>
          </w:p>
        </w:tc>
        <w:tc>
          <w:tcPr>
            <w:tcW w:w="1400" w:type="dxa"/>
            <w:tcMar>
              <w:top w:w="80" w:type="dxa"/>
              <w:left w:w="100" w:type="dxa"/>
              <w:bottom w:w="80" w:type="dxa"/>
              <w:right w:w="100" w:type="dxa"/>
            </w:tcMar>
            <w:vAlign w:val="center"/>
          </w:tcPr>
          <w:p w14:paraId="4F8B03C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8.1%</w:t>
            </w:r>
          </w:p>
        </w:tc>
        <w:tc>
          <w:tcPr>
            <w:tcW w:w="1300" w:type="dxa"/>
            <w:tcMar>
              <w:top w:w="80" w:type="dxa"/>
              <w:left w:w="100" w:type="dxa"/>
              <w:bottom w:w="80" w:type="dxa"/>
              <w:right w:w="100" w:type="dxa"/>
            </w:tcMar>
            <w:vAlign w:val="center"/>
          </w:tcPr>
          <w:p w14:paraId="231D673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n/m</w:t>
            </w:r>
          </w:p>
        </w:tc>
      </w:tr>
      <w:tr w:rsidR="005C7E84" w:rsidRPr="00733834" w14:paraId="274E060E" w14:textId="77777777" w:rsidTr="00463A9F">
        <w:trPr>
          <w:jc w:val="center"/>
        </w:trPr>
        <w:tc>
          <w:tcPr>
            <w:tcW w:w="1200" w:type="dxa"/>
            <w:shd w:val="clear" w:color="auto" w:fill="EDEDED"/>
            <w:tcMar>
              <w:top w:w="80" w:type="dxa"/>
              <w:left w:w="100" w:type="dxa"/>
              <w:bottom w:w="80" w:type="dxa"/>
              <w:right w:w="100" w:type="dxa"/>
            </w:tcMar>
            <w:vAlign w:val="center"/>
          </w:tcPr>
          <w:p w14:paraId="4235B91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2023</w:t>
            </w:r>
          </w:p>
        </w:tc>
        <w:tc>
          <w:tcPr>
            <w:tcW w:w="1900" w:type="dxa"/>
            <w:shd w:val="clear" w:color="auto" w:fill="EDEDED"/>
            <w:tcMar>
              <w:top w:w="80" w:type="dxa"/>
              <w:left w:w="100" w:type="dxa"/>
              <w:bottom w:w="80" w:type="dxa"/>
              <w:right w:w="100" w:type="dxa"/>
            </w:tcMar>
            <w:vAlign w:val="center"/>
          </w:tcPr>
          <w:p w14:paraId="220BB75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88.9%</w:t>
            </w:r>
          </w:p>
        </w:tc>
        <w:tc>
          <w:tcPr>
            <w:tcW w:w="1900" w:type="dxa"/>
            <w:shd w:val="clear" w:color="auto" w:fill="EDEDED"/>
            <w:tcMar>
              <w:top w:w="80" w:type="dxa"/>
              <w:left w:w="100" w:type="dxa"/>
              <w:bottom w:w="80" w:type="dxa"/>
              <w:right w:w="100" w:type="dxa"/>
            </w:tcMar>
            <w:vAlign w:val="center"/>
          </w:tcPr>
          <w:p w14:paraId="3684B58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21.7%</w:t>
            </w:r>
          </w:p>
        </w:tc>
        <w:tc>
          <w:tcPr>
            <w:tcW w:w="1600" w:type="dxa"/>
            <w:shd w:val="clear" w:color="auto" w:fill="EDEDED"/>
            <w:tcMar>
              <w:top w:w="80" w:type="dxa"/>
              <w:left w:w="100" w:type="dxa"/>
              <w:bottom w:w="80" w:type="dxa"/>
              <w:right w:w="100" w:type="dxa"/>
            </w:tcMar>
            <w:vAlign w:val="center"/>
          </w:tcPr>
          <w:p w14:paraId="1C35F09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11.3%</w:t>
            </w:r>
          </w:p>
        </w:tc>
        <w:tc>
          <w:tcPr>
            <w:tcW w:w="1400" w:type="dxa"/>
            <w:shd w:val="clear" w:color="auto" w:fill="EDEDED"/>
            <w:tcMar>
              <w:top w:w="80" w:type="dxa"/>
              <w:left w:w="100" w:type="dxa"/>
              <w:bottom w:w="80" w:type="dxa"/>
              <w:right w:w="100" w:type="dxa"/>
            </w:tcMar>
            <w:vAlign w:val="center"/>
          </w:tcPr>
          <w:p w14:paraId="5C5B88D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7.5%</w:t>
            </w:r>
          </w:p>
        </w:tc>
        <w:tc>
          <w:tcPr>
            <w:tcW w:w="1300" w:type="dxa"/>
            <w:shd w:val="clear" w:color="auto" w:fill="EDEDED"/>
            <w:tcMar>
              <w:top w:w="80" w:type="dxa"/>
              <w:left w:w="100" w:type="dxa"/>
              <w:bottom w:w="80" w:type="dxa"/>
              <w:right w:w="100" w:type="dxa"/>
            </w:tcMar>
            <w:vAlign w:val="center"/>
          </w:tcPr>
          <w:p w14:paraId="3E9CFAC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n/m</w:t>
            </w:r>
          </w:p>
        </w:tc>
      </w:tr>
      <w:tr w:rsidR="005C7E84" w:rsidRPr="00733834" w14:paraId="67EC2E12" w14:textId="77777777" w:rsidTr="00463A9F">
        <w:trPr>
          <w:jc w:val="center"/>
        </w:trPr>
        <w:tc>
          <w:tcPr>
            <w:tcW w:w="1200" w:type="dxa"/>
            <w:tcMar>
              <w:top w:w="80" w:type="dxa"/>
              <w:left w:w="100" w:type="dxa"/>
              <w:bottom w:w="80" w:type="dxa"/>
              <w:right w:w="100" w:type="dxa"/>
            </w:tcMar>
            <w:vAlign w:val="center"/>
          </w:tcPr>
          <w:p w14:paraId="774B056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lastRenderedPageBreak/>
              <w:t>2024</w:t>
            </w:r>
          </w:p>
        </w:tc>
        <w:tc>
          <w:tcPr>
            <w:tcW w:w="1900" w:type="dxa"/>
            <w:tcMar>
              <w:top w:w="80" w:type="dxa"/>
              <w:left w:w="100" w:type="dxa"/>
              <w:bottom w:w="80" w:type="dxa"/>
              <w:right w:w="100" w:type="dxa"/>
            </w:tcMar>
            <w:vAlign w:val="center"/>
          </w:tcPr>
          <w:p w14:paraId="141C053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89.9%</w:t>
            </w:r>
          </w:p>
        </w:tc>
        <w:tc>
          <w:tcPr>
            <w:tcW w:w="1900" w:type="dxa"/>
            <w:tcMar>
              <w:top w:w="80" w:type="dxa"/>
              <w:left w:w="100" w:type="dxa"/>
              <w:bottom w:w="80" w:type="dxa"/>
              <w:right w:w="100" w:type="dxa"/>
            </w:tcMar>
            <w:vAlign w:val="center"/>
          </w:tcPr>
          <w:p w14:paraId="1201922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21.2%</w:t>
            </w:r>
          </w:p>
        </w:tc>
        <w:tc>
          <w:tcPr>
            <w:tcW w:w="1600" w:type="dxa"/>
            <w:tcMar>
              <w:top w:w="80" w:type="dxa"/>
              <w:left w:w="100" w:type="dxa"/>
              <w:bottom w:w="80" w:type="dxa"/>
              <w:right w:w="100" w:type="dxa"/>
            </w:tcMar>
            <w:vAlign w:val="center"/>
          </w:tcPr>
          <w:p w14:paraId="6150EDA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13.8%</w:t>
            </w:r>
          </w:p>
        </w:tc>
        <w:tc>
          <w:tcPr>
            <w:tcW w:w="1400" w:type="dxa"/>
            <w:tcMar>
              <w:top w:w="80" w:type="dxa"/>
              <w:left w:w="100" w:type="dxa"/>
              <w:bottom w:w="80" w:type="dxa"/>
              <w:right w:w="100" w:type="dxa"/>
            </w:tcMar>
            <w:vAlign w:val="center"/>
          </w:tcPr>
          <w:p w14:paraId="78BB34A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9.3%</w:t>
            </w:r>
          </w:p>
        </w:tc>
        <w:tc>
          <w:tcPr>
            <w:tcW w:w="1300" w:type="dxa"/>
            <w:tcMar>
              <w:top w:w="80" w:type="dxa"/>
              <w:left w:w="100" w:type="dxa"/>
              <w:bottom w:w="80" w:type="dxa"/>
              <w:right w:w="100" w:type="dxa"/>
            </w:tcMar>
            <w:vAlign w:val="center"/>
          </w:tcPr>
          <w:p w14:paraId="40DFE1F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n/m</w:t>
            </w:r>
          </w:p>
        </w:tc>
      </w:tr>
    </w:tbl>
    <w:p w14:paraId="6AB05FF9" w14:textId="77777777" w:rsidR="007B70E3" w:rsidRPr="007B70E3" w:rsidRDefault="007B70E3" w:rsidP="007B70E3">
      <w:pPr>
        <w:spacing w:before="240" w:after="160" w:line="360" w:lineRule="auto"/>
        <w:jc w:val="center"/>
        <w:rPr>
          <w:b/>
          <w:sz w:val="24"/>
          <w:szCs w:val="24"/>
        </w:rPr>
      </w:pPr>
      <w:r w:rsidRPr="007B70E3">
        <w:rPr>
          <w:b/>
          <w:sz w:val="24"/>
          <w:szCs w:val="24"/>
        </w:rPr>
        <w:t>Table 2: Profitability Ratio Analysis</w:t>
      </w:r>
    </w:p>
    <w:p w14:paraId="0B5EC1D4" w14:textId="77777777" w:rsidR="00901611" w:rsidRPr="00733834" w:rsidRDefault="00901611" w:rsidP="00D575BB">
      <w:pPr>
        <w:spacing w:before="240" w:after="160" w:line="360" w:lineRule="auto"/>
        <w:jc w:val="both"/>
        <w:rPr>
          <w:sz w:val="24"/>
          <w:szCs w:val="24"/>
        </w:rPr>
      </w:pPr>
      <w:r w:rsidRPr="00901611">
        <w:rPr>
          <w:sz w:val="24"/>
          <w:szCs w:val="24"/>
        </w:rPr>
        <w:t>Over the 5-year period, Hilton's profitability jumped greatly and steadily. Gross margin was close, and remained in the 86-90% range throughout as it has a high share of revenue from fees for the franchise and licensing, which has almost zero direct cost of sale (Macrotrends, 2025). Operating margin was at -9.7% in 2020, improved to a record 23.9% in 2022 (the year after the pandemic started) and is projected to be slightly lower at 21.0% in 2023-2024, as higher general and administrative expenses are expected to be partially offset by the on</w:t>
      </w:r>
      <w:r>
        <w:rPr>
          <w:sz w:val="24"/>
          <w:szCs w:val="24"/>
        </w:rPr>
        <w:t>-</w:t>
      </w:r>
      <w:r w:rsidRPr="00901611">
        <w:rPr>
          <w:sz w:val="24"/>
          <w:szCs w:val="24"/>
        </w:rPr>
        <w:t>going brand-integration spending</w:t>
      </w:r>
      <w:r w:rsidR="00647164">
        <w:rPr>
          <w:sz w:val="24"/>
          <w:szCs w:val="24"/>
        </w:rPr>
        <w:t xml:space="preserve"> (Hilton Worldwide Holdings, </w:t>
      </w:r>
      <w:r w:rsidR="00647164" w:rsidRPr="00463A9F">
        <w:rPr>
          <w:sz w:val="24"/>
          <w:szCs w:val="24"/>
        </w:rPr>
        <w:t>2025a)</w:t>
      </w:r>
      <w:r w:rsidRPr="00901611">
        <w:rPr>
          <w:sz w:val="24"/>
          <w:szCs w:val="24"/>
        </w:rPr>
        <w:t>. The net margin has improved from a pandemic low of -16.7% in 2020, to 13.8% in 2024, indicating that it was a temporary shock, rather than a structural issue. The ROA moved from -4.3% to 9.3% during the period, indicating that Hilton is much more profitable per dollar of assets than it was prior to the recovery, largely due to its fee-based business model which requires little additio</w:t>
      </w:r>
      <w:r w:rsidR="00647164">
        <w:rPr>
          <w:sz w:val="24"/>
          <w:szCs w:val="24"/>
        </w:rPr>
        <w:t xml:space="preserve">nal capital to increase revenue (Hilton Worldwide Holdings, </w:t>
      </w:r>
      <w:r w:rsidR="00647164" w:rsidRPr="00463A9F">
        <w:rPr>
          <w:sz w:val="24"/>
          <w:szCs w:val="24"/>
        </w:rPr>
        <w:t>2025a)</w:t>
      </w:r>
      <w:r w:rsidR="00647164" w:rsidRPr="00901611">
        <w:rPr>
          <w:sz w:val="24"/>
          <w:szCs w:val="24"/>
        </w:rPr>
        <w:t>.</w:t>
      </w:r>
    </w:p>
    <w:p w14:paraId="4D3EAAD8" w14:textId="77777777" w:rsidR="005C7E84" w:rsidRPr="00733834" w:rsidRDefault="00621346" w:rsidP="007B70E3">
      <w:pPr>
        <w:pStyle w:val="Heading2"/>
      </w:pPr>
      <w:bookmarkStart w:id="4" w:name="_Toc235899852"/>
      <w:r w:rsidRPr="00733834">
        <w:t>2.3 Liquidity Ratio Analysis</w:t>
      </w:r>
      <w:bookmarkEnd w:id="4"/>
    </w:p>
    <w:tbl>
      <w:tblPr>
        <w:tblW w:w="82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2200"/>
        <w:gridCol w:w="2200"/>
        <w:gridCol w:w="2200"/>
      </w:tblGrid>
      <w:tr w:rsidR="005C7E84" w:rsidRPr="00733834" w14:paraId="662112A4" w14:textId="77777777" w:rsidTr="00901611">
        <w:trPr>
          <w:tblHeader/>
          <w:jc w:val="center"/>
        </w:trPr>
        <w:tc>
          <w:tcPr>
            <w:tcW w:w="1600" w:type="dxa"/>
            <w:shd w:val="clear" w:color="auto" w:fill="1F3864"/>
            <w:tcMar>
              <w:top w:w="80" w:type="dxa"/>
              <w:left w:w="100" w:type="dxa"/>
              <w:bottom w:w="80" w:type="dxa"/>
              <w:right w:w="100" w:type="dxa"/>
            </w:tcMar>
            <w:vAlign w:val="center"/>
          </w:tcPr>
          <w:p w14:paraId="782D0F96"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Year</w:t>
            </w:r>
          </w:p>
        </w:tc>
        <w:tc>
          <w:tcPr>
            <w:tcW w:w="2200" w:type="dxa"/>
            <w:shd w:val="clear" w:color="auto" w:fill="1F3864"/>
            <w:tcMar>
              <w:top w:w="80" w:type="dxa"/>
              <w:left w:w="100" w:type="dxa"/>
              <w:bottom w:w="80" w:type="dxa"/>
              <w:right w:w="100" w:type="dxa"/>
            </w:tcMar>
            <w:vAlign w:val="center"/>
          </w:tcPr>
          <w:p w14:paraId="73BBD5A4"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Current Ratio</w:t>
            </w:r>
          </w:p>
        </w:tc>
        <w:tc>
          <w:tcPr>
            <w:tcW w:w="2200" w:type="dxa"/>
            <w:shd w:val="clear" w:color="auto" w:fill="1F3864"/>
            <w:tcMar>
              <w:top w:w="80" w:type="dxa"/>
              <w:left w:w="100" w:type="dxa"/>
              <w:bottom w:w="80" w:type="dxa"/>
              <w:right w:w="100" w:type="dxa"/>
            </w:tcMar>
            <w:vAlign w:val="center"/>
          </w:tcPr>
          <w:p w14:paraId="07FFE101"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Quick Ratio</w:t>
            </w:r>
          </w:p>
        </w:tc>
        <w:tc>
          <w:tcPr>
            <w:tcW w:w="2200" w:type="dxa"/>
            <w:shd w:val="clear" w:color="auto" w:fill="1F3864"/>
            <w:tcMar>
              <w:top w:w="80" w:type="dxa"/>
              <w:left w:w="100" w:type="dxa"/>
              <w:bottom w:w="80" w:type="dxa"/>
              <w:right w:w="100" w:type="dxa"/>
            </w:tcMar>
            <w:vAlign w:val="center"/>
          </w:tcPr>
          <w:p w14:paraId="7E67908B"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Cash Ratio</w:t>
            </w:r>
          </w:p>
        </w:tc>
      </w:tr>
      <w:tr w:rsidR="005C7E84" w:rsidRPr="00733834" w14:paraId="0AA51502" w14:textId="77777777" w:rsidTr="00901611">
        <w:trPr>
          <w:jc w:val="center"/>
        </w:trPr>
        <w:tc>
          <w:tcPr>
            <w:tcW w:w="1600" w:type="dxa"/>
            <w:tcMar>
              <w:top w:w="80" w:type="dxa"/>
              <w:left w:w="100" w:type="dxa"/>
              <w:bottom w:w="80" w:type="dxa"/>
              <w:right w:w="100" w:type="dxa"/>
            </w:tcMar>
            <w:vAlign w:val="center"/>
          </w:tcPr>
          <w:p w14:paraId="1DD4F80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2021</w:t>
            </w:r>
          </w:p>
        </w:tc>
        <w:tc>
          <w:tcPr>
            <w:tcW w:w="2200" w:type="dxa"/>
            <w:tcMar>
              <w:top w:w="80" w:type="dxa"/>
              <w:left w:w="100" w:type="dxa"/>
              <w:bottom w:w="80" w:type="dxa"/>
              <w:right w:w="100" w:type="dxa"/>
            </w:tcMar>
            <w:vAlign w:val="center"/>
          </w:tcPr>
          <w:p w14:paraId="0E3B948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0.95</w:t>
            </w:r>
          </w:p>
        </w:tc>
        <w:tc>
          <w:tcPr>
            <w:tcW w:w="2200" w:type="dxa"/>
            <w:tcMar>
              <w:top w:w="80" w:type="dxa"/>
              <w:left w:w="100" w:type="dxa"/>
              <w:bottom w:w="80" w:type="dxa"/>
              <w:right w:w="100" w:type="dxa"/>
            </w:tcMar>
            <w:vAlign w:val="center"/>
          </w:tcPr>
          <w:p w14:paraId="1EBD1E0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0.86</w:t>
            </w:r>
          </w:p>
        </w:tc>
        <w:tc>
          <w:tcPr>
            <w:tcW w:w="2200" w:type="dxa"/>
            <w:tcMar>
              <w:top w:w="80" w:type="dxa"/>
              <w:left w:w="100" w:type="dxa"/>
              <w:bottom w:w="80" w:type="dxa"/>
              <w:right w:w="100" w:type="dxa"/>
            </w:tcMar>
            <w:vAlign w:val="center"/>
          </w:tcPr>
          <w:p w14:paraId="58352A5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0.50</w:t>
            </w:r>
          </w:p>
        </w:tc>
      </w:tr>
      <w:tr w:rsidR="005C7E84" w:rsidRPr="00733834" w14:paraId="4400799E" w14:textId="77777777" w:rsidTr="00901611">
        <w:trPr>
          <w:jc w:val="center"/>
        </w:trPr>
        <w:tc>
          <w:tcPr>
            <w:tcW w:w="1600" w:type="dxa"/>
            <w:shd w:val="clear" w:color="auto" w:fill="EDEDED"/>
            <w:tcMar>
              <w:top w:w="80" w:type="dxa"/>
              <w:left w:w="100" w:type="dxa"/>
              <w:bottom w:w="80" w:type="dxa"/>
              <w:right w:w="100" w:type="dxa"/>
            </w:tcMar>
            <w:vAlign w:val="center"/>
          </w:tcPr>
          <w:p w14:paraId="7A23AE5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2022</w:t>
            </w:r>
          </w:p>
        </w:tc>
        <w:tc>
          <w:tcPr>
            <w:tcW w:w="2200" w:type="dxa"/>
            <w:shd w:val="clear" w:color="auto" w:fill="EDEDED"/>
            <w:tcMar>
              <w:top w:w="80" w:type="dxa"/>
              <w:left w:w="100" w:type="dxa"/>
              <w:bottom w:w="80" w:type="dxa"/>
              <w:right w:w="100" w:type="dxa"/>
            </w:tcMar>
            <w:vAlign w:val="center"/>
          </w:tcPr>
          <w:p w14:paraId="45E322E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0.85</w:t>
            </w:r>
          </w:p>
        </w:tc>
        <w:tc>
          <w:tcPr>
            <w:tcW w:w="2200" w:type="dxa"/>
            <w:shd w:val="clear" w:color="auto" w:fill="EDEDED"/>
            <w:tcMar>
              <w:top w:w="80" w:type="dxa"/>
              <w:left w:w="100" w:type="dxa"/>
              <w:bottom w:w="80" w:type="dxa"/>
              <w:right w:w="100" w:type="dxa"/>
            </w:tcMar>
            <w:vAlign w:val="center"/>
          </w:tcPr>
          <w:p w14:paraId="35BFE5A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0.78</w:t>
            </w:r>
          </w:p>
        </w:tc>
        <w:tc>
          <w:tcPr>
            <w:tcW w:w="2200" w:type="dxa"/>
            <w:shd w:val="clear" w:color="auto" w:fill="EDEDED"/>
            <w:tcMar>
              <w:top w:w="80" w:type="dxa"/>
              <w:left w:w="100" w:type="dxa"/>
              <w:bottom w:w="80" w:type="dxa"/>
              <w:right w:w="100" w:type="dxa"/>
            </w:tcMar>
            <w:vAlign w:val="center"/>
          </w:tcPr>
          <w:p w14:paraId="1DD9B4F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0.38</w:t>
            </w:r>
          </w:p>
        </w:tc>
      </w:tr>
      <w:tr w:rsidR="005C7E84" w:rsidRPr="00733834" w14:paraId="2FC75F30" w14:textId="77777777" w:rsidTr="00901611">
        <w:trPr>
          <w:jc w:val="center"/>
        </w:trPr>
        <w:tc>
          <w:tcPr>
            <w:tcW w:w="1600" w:type="dxa"/>
            <w:tcMar>
              <w:top w:w="80" w:type="dxa"/>
              <w:left w:w="100" w:type="dxa"/>
              <w:bottom w:w="80" w:type="dxa"/>
              <w:right w:w="100" w:type="dxa"/>
            </w:tcMar>
            <w:vAlign w:val="center"/>
          </w:tcPr>
          <w:p w14:paraId="61466EF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2023</w:t>
            </w:r>
          </w:p>
        </w:tc>
        <w:tc>
          <w:tcPr>
            <w:tcW w:w="2200" w:type="dxa"/>
            <w:tcMar>
              <w:top w:w="80" w:type="dxa"/>
              <w:left w:w="100" w:type="dxa"/>
              <w:bottom w:w="80" w:type="dxa"/>
              <w:right w:w="100" w:type="dxa"/>
            </w:tcMar>
            <w:vAlign w:val="center"/>
          </w:tcPr>
          <w:p w14:paraId="661C38B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0.70</w:t>
            </w:r>
          </w:p>
        </w:tc>
        <w:tc>
          <w:tcPr>
            <w:tcW w:w="2200" w:type="dxa"/>
            <w:tcMar>
              <w:top w:w="80" w:type="dxa"/>
              <w:left w:w="100" w:type="dxa"/>
              <w:bottom w:w="80" w:type="dxa"/>
              <w:right w:w="100" w:type="dxa"/>
            </w:tcMar>
            <w:vAlign w:val="center"/>
          </w:tcPr>
          <w:p w14:paraId="63B8EB1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0.64</w:t>
            </w:r>
          </w:p>
        </w:tc>
        <w:tc>
          <w:tcPr>
            <w:tcW w:w="2200" w:type="dxa"/>
            <w:tcMar>
              <w:top w:w="80" w:type="dxa"/>
              <w:left w:w="100" w:type="dxa"/>
              <w:bottom w:w="80" w:type="dxa"/>
              <w:right w:w="100" w:type="dxa"/>
            </w:tcMar>
            <w:vAlign w:val="center"/>
          </w:tcPr>
          <w:p w14:paraId="4820DCE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0.24</w:t>
            </w:r>
          </w:p>
        </w:tc>
      </w:tr>
      <w:tr w:rsidR="005C7E84" w:rsidRPr="00733834" w14:paraId="55B6B62F" w14:textId="77777777" w:rsidTr="00901611">
        <w:trPr>
          <w:jc w:val="center"/>
        </w:trPr>
        <w:tc>
          <w:tcPr>
            <w:tcW w:w="1600" w:type="dxa"/>
            <w:shd w:val="clear" w:color="auto" w:fill="EDEDED"/>
            <w:tcMar>
              <w:top w:w="80" w:type="dxa"/>
              <w:left w:w="100" w:type="dxa"/>
              <w:bottom w:w="80" w:type="dxa"/>
              <w:right w:w="100" w:type="dxa"/>
            </w:tcMar>
            <w:vAlign w:val="center"/>
          </w:tcPr>
          <w:p w14:paraId="0E9B830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2024</w:t>
            </w:r>
          </w:p>
        </w:tc>
        <w:tc>
          <w:tcPr>
            <w:tcW w:w="2200" w:type="dxa"/>
            <w:shd w:val="clear" w:color="auto" w:fill="EDEDED"/>
            <w:tcMar>
              <w:top w:w="80" w:type="dxa"/>
              <w:left w:w="100" w:type="dxa"/>
              <w:bottom w:w="80" w:type="dxa"/>
              <w:right w:w="100" w:type="dxa"/>
            </w:tcMar>
            <w:vAlign w:val="center"/>
          </w:tcPr>
          <w:p w14:paraId="7EFEDED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0.70</w:t>
            </w:r>
          </w:p>
        </w:tc>
        <w:tc>
          <w:tcPr>
            <w:tcW w:w="2200" w:type="dxa"/>
            <w:shd w:val="clear" w:color="auto" w:fill="EDEDED"/>
            <w:tcMar>
              <w:top w:w="80" w:type="dxa"/>
              <w:left w:w="100" w:type="dxa"/>
              <w:bottom w:w="80" w:type="dxa"/>
              <w:right w:w="100" w:type="dxa"/>
            </w:tcMar>
            <w:vAlign w:val="center"/>
          </w:tcPr>
          <w:p w14:paraId="12B8A20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0.63</w:t>
            </w:r>
          </w:p>
        </w:tc>
        <w:tc>
          <w:tcPr>
            <w:tcW w:w="2200" w:type="dxa"/>
            <w:shd w:val="clear" w:color="auto" w:fill="EDEDED"/>
            <w:tcMar>
              <w:top w:w="80" w:type="dxa"/>
              <w:left w:w="100" w:type="dxa"/>
              <w:bottom w:w="80" w:type="dxa"/>
              <w:right w:w="100" w:type="dxa"/>
            </w:tcMar>
            <w:vAlign w:val="center"/>
          </w:tcPr>
          <w:p w14:paraId="502C7CA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0.29</w:t>
            </w:r>
          </w:p>
        </w:tc>
      </w:tr>
    </w:tbl>
    <w:p w14:paraId="5D7806A8" w14:textId="77777777" w:rsidR="007B70E3" w:rsidRPr="006015B2" w:rsidRDefault="006015B2" w:rsidP="006015B2">
      <w:pPr>
        <w:spacing w:before="240" w:line="360" w:lineRule="auto"/>
        <w:jc w:val="center"/>
        <w:rPr>
          <w:rFonts w:eastAsia="Calibri"/>
          <w:b/>
          <w:sz w:val="24"/>
        </w:rPr>
      </w:pPr>
      <w:r w:rsidRPr="006015B2">
        <w:rPr>
          <w:rFonts w:eastAsia="Calibri"/>
          <w:b/>
          <w:sz w:val="24"/>
        </w:rPr>
        <w:t>Table 3: Liquidity Ratio</w:t>
      </w:r>
    </w:p>
    <w:p w14:paraId="60A45636" w14:textId="77777777" w:rsidR="00901611" w:rsidRPr="007B70E3" w:rsidRDefault="00901611" w:rsidP="007B70E3">
      <w:pPr>
        <w:spacing w:before="240" w:line="360" w:lineRule="auto"/>
        <w:jc w:val="both"/>
        <w:rPr>
          <w:rFonts w:eastAsia="Calibri"/>
          <w:sz w:val="24"/>
        </w:rPr>
      </w:pPr>
      <w:r w:rsidRPr="007B70E3">
        <w:rPr>
          <w:rFonts w:eastAsia="Calibri"/>
          <w:sz w:val="24"/>
        </w:rPr>
        <w:lastRenderedPageBreak/>
        <w:t>The liquidity ratios have been declining over the past few years and are below the typical ratio of 1.0x for the current ratio in each of the years displayed, dropping from 0.95x (2021) to 0.70x (2024). The quick and cash ratios trend in the same direction and the cash ratio has reduced from 0.50x to 0.24x in 2023, but improved slightly in 2024</w:t>
      </w:r>
      <w:r w:rsidR="00647164" w:rsidRPr="007B70E3">
        <w:rPr>
          <w:rFonts w:eastAsia="Calibri"/>
          <w:sz w:val="24"/>
        </w:rPr>
        <w:t xml:space="preserve"> </w:t>
      </w:r>
      <w:r w:rsidR="00647164" w:rsidRPr="007B70E3">
        <w:rPr>
          <w:sz w:val="24"/>
        </w:rPr>
        <w:t>(Hilton Worldwide Holdings, 2025a)</w:t>
      </w:r>
      <w:r w:rsidRPr="007B70E3">
        <w:rPr>
          <w:rFonts w:eastAsia="Calibri"/>
          <w:sz w:val="24"/>
        </w:rPr>
        <w:t xml:space="preserve">. This is average for the ability to settle short-term obligations in isolation, but for Hilton it isn't quite as bad as the numbers suggest. Its business model is asset-light and franchise-based, so it doesn’t need to have as large a working capital buffer as a capital-heavy hotel owner and a high percentage of its current liabilities is deferred revenue and liabilities for Hilton Honors loyalty points which do not need to be paid in the near term. In addition to on-balance-sheet cash, Hilton has an undrawn $2.0 billion revolving credit facility as a liquidity backstop for its needs. </w:t>
      </w:r>
    </w:p>
    <w:p w14:paraId="1B8C4723" w14:textId="77777777" w:rsidR="005C7E84" w:rsidRPr="00733834" w:rsidRDefault="00621346" w:rsidP="007B70E3">
      <w:pPr>
        <w:pStyle w:val="Heading2"/>
      </w:pPr>
      <w:bookmarkStart w:id="5" w:name="_Toc235899853"/>
      <w:r w:rsidRPr="00733834">
        <w:t>2.4 Industry Benchmark Comparison</w:t>
      </w:r>
      <w:bookmarkEnd w:id="5"/>
    </w:p>
    <w:tbl>
      <w:tblPr>
        <w:tblW w:w="8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500"/>
        <w:gridCol w:w="1500"/>
        <w:gridCol w:w="1300"/>
        <w:gridCol w:w="2000"/>
      </w:tblGrid>
      <w:tr w:rsidR="005C7E84" w:rsidRPr="00733834" w14:paraId="17C53BAF" w14:textId="77777777" w:rsidTr="00901611">
        <w:trPr>
          <w:tblHeader/>
          <w:jc w:val="center"/>
        </w:trPr>
        <w:tc>
          <w:tcPr>
            <w:tcW w:w="2400" w:type="dxa"/>
            <w:shd w:val="clear" w:color="auto" w:fill="1F3864"/>
            <w:tcMar>
              <w:top w:w="80" w:type="dxa"/>
              <w:left w:w="100" w:type="dxa"/>
              <w:bottom w:w="80" w:type="dxa"/>
              <w:right w:w="100" w:type="dxa"/>
            </w:tcMar>
            <w:vAlign w:val="center"/>
          </w:tcPr>
          <w:p w14:paraId="6F91C44E"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Ratio (FY2024)</w:t>
            </w:r>
          </w:p>
        </w:tc>
        <w:tc>
          <w:tcPr>
            <w:tcW w:w="1500" w:type="dxa"/>
            <w:shd w:val="clear" w:color="auto" w:fill="1F3864"/>
            <w:tcMar>
              <w:top w:w="80" w:type="dxa"/>
              <w:left w:w="100" w:type="dxa"/>
              <w:bottom w:w="80" w:type="dxa"/>
              <w:right w:w="100" w:type="dxa"/>
            </w:tcMar>
            <w:vAlign w:val="center"/>
          </w:tcPr>
          <w:p w14:paraId="4624E630"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Hilton</w:t>
            </w:r>
          </w:p>
        </w:tc>
        <w:tc>
          <w:tcPr>
            <w:tcW w:w="1500" w:type="dxa"/>
            <w:shd w:val="clear" w:color="auto" w:fill="1F3864"/>
            <w:tcMar>
              <w:top w:w="80" w:type="dxa"/>
              <w:left w:w="100" w:type="dxa"/>
              <w:bottom w:w="80" w:type="dxa"/>
              <w:right w:w="100" w:type="dxa"/>
            </w:tcMar>
            <w:vAlign w:val="center"/>
          </w:tcPr>
          <w:p w14:paraId="109F910A"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Marriott</w:t>
            </w:r>
          </w:p>
        </w:tc>
        <w:tc>
          <w:tcPr>
            <w:tcW w:w="1300" w:type="dxa"/>
            <w:shd w:val="clear" w:color="auto" w:fill="1F3864"/>
            <w:tcMar>
              <w:top w:w="80" w:type="dxa"/>
              <w:left w:w="100" w:type="dxa"/>
              <w:bottom w:w="80" w:type="dxa"/>
              <w:right w:w="100" w:type="dxa"/>
            </w:tcMar>
            <w:vAlign w:val="center"/>
          </w:tcPr>
          <w:p w14:paraId="548BD8B1"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IHG</w:t>
            </w:r>
          </w:p>
        </w:tc>
        <w:tc>
          <w:tcPr>
            <w:tcW w:w="2000" w:type="dxa"/>
            <w:shd w:val="clear" w:color="auto" w:fill="1F3864"/>
            <w:tcMar>
              <w:top w:w="80" w:type="dxa"/>
              <w:left w:w="100" w:type="dxa"/>
              <w:bottom w:w="80" w:type="dxa"/>
              <w:right w:w="100" w:type="dxa"/>
            </w:tcMar>
            <w:vAlign w:val="center"/>
          </w:tcPr>
          <w:p w14:paraId="1404D0A6"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Industry Average</w:t>
            </w:r>
          </w:p>
        </w:tc>
      </w:tr>
      <w:tr w:rsidR="005C7E84" w:rsidRPr="00733834" w14:paraId="00E9780E" w14:textId="77777777" w:rsidTr="00901611">
        <w:trPr>
          <w:jc w:val="center"/>
        </w:trPr>
        <w:tc>
          <w:tcPr>
            <w:tcW w:w="2400" w:type="dxa"/>
            <w:tcMar>
              <w:top w:w="80" w:type="dxa"/>
              <w:left w:w="100" w:type="dxa"/>
              <w:bottom w:w="80" w:type="dxa"/>
              <w:right w:w="100" w:type="dxa"/>
            </w:tcMar>
            <w:vAlign w:val="center"/>
          </w:tcPr>
          <w:p w14:paraId="048F781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Revenue ($m)</w:t>
            </w:r>
          </w:p>
        </w:tc>
        <w:tc>
          <w:tcPr>
            <w:tcW w:w="1500" w:type="dxa"/>
            <w:tcMar>
              <w:top w:w="80" w:type="dxa"/>
              <w:left w:w="100" w:type="dxa"/>
              <w:bottom w:w="80" w:type="dxa"/>
              <w:right w:w="100" w:type="dxa"/>
            </w:tcMar>
            <w:vAlign w:val="center"/>
          </w:tcPr>
          <w:p w14:paraId="0EFE400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11,174</w:t>
            </w:r>
          </w:p>
        </w:tc>
        <w:tc>
          <w:tcPr>
            <w:tcW w:w="1500" w:type="dxa"/>
            <w:tcMar>
              <w:top w:w="80" w:type="dxa"/>
              <w:left w:w="100" w:type="dxa"/>
              <w:bottom w:w="80" w:type="dxa"/>
              <w:right w:w="100" w:type="dxa"/>
            </w:tcMar>
            <w:vAlign w:val="center"/>
          </w:tcPr>
          <w:p w14:paraId="4AEB1F3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25,100</w:t>
            </w:r>
          </w:p>
        </w:tc>
        <w:tc>
          <w:tcPr>
            <w:tcW w:w="1300" w:type="dxa"/>
            <w:tcMar>
              <w:top w:w="80" w:type="dxa"/>
              <w:left w:w="100" w:type="dxa"/>
              <w:bottom w:w="80" w:type="dxa"/>
              <w:right w:w="100" w:type="dxa"/>
            </w:tcMar>
            <w:vAlign w:val="center"/>
          </w:tcPr>
          <w:p w14:paraId="39185BB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4,923</w:t>
            </w:r>
          </w:p>
        </w:tc>
        <w:tc>
          <w:tcPr>
            <w:tcW w:w="2000" w:type="dxa"/>
            <w:tcMar>
              <w:top w:w="80" w:type="dxa"/>
              <w:left w:w="100" w:type="dxa"/>
              <w:bottom w:w="80" w:type="dxa"/>
              <w:right w:w="100" w:type="dxa"/>
            </w:tcMar>
            <w:vAlign w:val="center"/>
          </w:tcPr>
          <w:p w14:paraId="7682545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~13,700</w:t>
            </w:r>
          </w:p>
        </w:tc>
      </w:tr>
      <w:tr w:rsidR="005C7E84" w:rsidRPr="00733834" w14:paraId="2268E0F6" w14:textId="77777777" w:rsidTr="00901611">
        <w:trPr>
          <w:jc w:val="center"/>
        </w:trPr>
        <w:tc>
          <w:tcPr>
            <w:tcW w:w="2400" w:type="dxa"/>
            <w:shd w:val="clear" w:color="auto" w:fill="EDEDED"/>
            <w:tcMar>
              <w:top w:w="80" w:type="dxa"/>
              <w:left w:w="100" w:type="dxa"/>
              <w:bottom w:w="80" w:type="dxa"/>
              <w:right w:w="100" w:type="dxa"/>
            </w:tcMar>
            <w:vAlign w:val="center"/>
          </w:tcPr>
          <w:p w14:paraId="17AF4F4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Net Margin</w:t>
            </w:r>
          </w:p>
        </w:tc>
        <w:tc>
          <w:tcPr>
            <w:tcW w:w="1500" w:type="dxa"/>
            <w:shd w:val="clear" w:color="auto" w:fill="EDEDED"/>
            <w:tcMar>
              <w:top w:w="80" w:type="dxa"/>
              <w:left w:w="100" w:type="dxa"/>
              <w:bottom w:w="80" w:type="dxa"/>
              <w:right w:w="100" w:type="dxa"/>
            </w:tcMar>
            <w:vAlign w:val="center"/>
          </w:tcPr>
          <w:p w14:paraId="3B815EB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13.8%</w:t>
            </w:r>
          </w:p>
        </w:tc>
        <w:tc>
          <w:tcPr>
            <w:tcW w:w="1500" w:type="dxa"/>
            <w:shd w:val="clear" w:color="auto" w:fill="EDEDED"/>
            <w:tcMar>
              <w:top w:w="80" w:type="dxa"/>
              <w:left w:w="100" w:type="dxa"/>
              <w:bottom w:w="80" w:type="dxa"/>
              <w:right w:w="100" w:type="dxa"/>
            </w:tcMar>
            <w:vAlign w:val="center"/>
          </w:tcPr>
          <w:p w14:paraId="6D1B647D"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9.5%</w:t>
            </w:r>
          </w:p>
        </w:tc>
        <w:tc>
          <w:tcPr>
            <w:tcW w:w="1300" w:type="dxa"/>
            <w:shd w:val="clear" w:color="auto" w:fill="EDEDED"/>
            <w:tcMar>
              <w:top w:w="80" w:type="dxa"/>
              <w:left w:w="100" w:type="dxa"/>
              <w:bottom w:w="80" w:type="dxa"/>
              <w:right w:w="100" w:type="dxa"/>
            </w:tcMar>
            <w:vAlign w:val="center"/>
          </w:tcPr>
          <w:p w14:paraId="4EEAF50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12.8%</w:t>
            </w:r>
          </w:p>
        </w:tc>
        <w:tc>
          <w:tcPr>
            <w:tcW w:w="2000" w:type="dxa"/>
            <w:shd w:val="clear" w:color="auto" w:fill="EDEDED"/>
            <w:tcMar>
              <w:top w:w="80" w:type="dxa"/>
              <w:left w:w="100" w:type="dxa"/>
              <w:bottom w:w="80" w:type="dxa"/>
              <w:right w:w="100" w:type="dxa"/>
            </w:tcMar>
            <w:vAlign w:val="center"/>
          </w:tcPr>
          <w:p w14:paraId="26C6599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~12.0%</w:t>
            </w:r>
          </w:p>
        </w:tc>
      </w:tr>
      <w:tr w:rsidR="005C7E84" w:rsidRPr="00733834" w14:paraId="0CCE63F0" w14:textId="77777777" w:rsidTr="00901611">
        <w:trPr>
          <w:jc w:val="center"/>
        </w:trPr>
        <w:tc>
          <w:tcPr>
            <w:tcW w:w="2400" w:type="dxa"/>
            <w:tcMar>
              <w:top w:w="80" w:type="dxa"/>
              <w:left w:w="100" w:type="dxa"/>
              <w:bottom w:w="80" w:type="dxa"/>
              <w:right w:w="100" w:type="dxa"/>
            </w:tcMar>
            <w:vAlign w:val="center"/>
          </w:tcPr>
          <w:p w14:paraId="2C8AF9B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ROA</w:t>
            </w:r>
          </w:p>
        </w:tc>
        <w:tc>
          <w:tcPr>
            <w:tcW w:w="1500" w:type="dxa"/>
            <w:tcMar>
              <w:top w:w="80" w:type="dxa"/>
              <w:left w:w="100" w:type="dxa"/>
              <w:bottom w:w="80" w:type="dxa"/>
              <w:right w:w="100" w:type="dxa"/>
            </w:tcMar>
            <w:vAlign w:val="center"/>
          </w:tcPr>
          <w:p w14:paraId="6A9990E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9.3%</w:t>
            </w:r>
          </w:p>
        </w:tc>
        <w:tc>
          <w:tcPr>
            <w:tcW w:w="1500" w:type="dxa"/>
            <w:tcMar>
              <w:top w:w="80" w:type="dxa"/>
              <w:left w:w="100" w:type="dxa"/>
              <w:bottom w:w="80" w:type="dxa"/>
              <w:right w:w="100" w:type="dxa"/>
            </w:tcMar>
            <w:vAlign w:val="center"/>
          </w:tcPr>
          <w:p w14:paraId="2057ED9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9.1%</w:t>
            </w:r>
          </w:p>
        </w:tc>
        <w:tc>
          <w:tcPr>
            <w:tcW w:w="1300" w:type="dxa"/>
            <w:tcMar>
              <w:top w:w="80" w:type="dxa"/>
              <w:left w:w="100" w:type="dxa"/>
              <w:bottom w:w="80" w:type="dxa"/>
              <w:right w:w="100" w:type="dxa"/>
            </w:tcMar>
            <w:vAlign w:val="center"/>
          </w:tcPr>
          <w:p w14:paraId="6841A7B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13.2%</w:t>
            </w:r>
          </w:p>
        </w:tc>
        <w:tc>
          <w:tcPr>
            <w:tcW w:w="2000" w:type="dxa"/>
            <w:tcMar>
              <w:top w:w="80" w:type="dxa"/>
              <w:left w:w="100" w:type="dxa"/>
              <w:bottom w:w="80" w:type="dxa"/>
              <w:right w:w="100" w:type="dxa"/>
            </w:tcMar>
            <w:vAlign w:val="center"/>
          </w:tcPr>
          <w:p w14:paraId="39CD1C9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~10.5%</w:t>
            </w:r>
          </w:p>
        </w:tc>
      </w:tr>
      <w:tr w:rsidR="005C7E84" w:rsidRPr="00733834" w14:paraId="52F98FE6" w14:textId="77777777" w:rsidTr="00901611">
        <w:trPr>
          <w:jc w:val="center"/>
        </w:trPr>
        <w:tc>
          <w:tcPr>
            <w:tcW w:w="2400" w:type="dxa"/>
            <w:shd w:val="clear" w:color="auto" w:fill="EDEDED"/>
            <w:tcMar>
              <w:top w:w="80" w:type="dxa"/>
              <w:left w:w="100" w:type="dxa"/>
              <w:bottom w:w="80" w:type="dxa"/>
              <w:right w:w="100" w:type="dxa"/>
            </w:tcMar>
            <w:vAlign w:val="center"/>
          </w:tcPr>
          <w:p w14:paraId="64DC9F9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Current Ratio</w:t>
            </w:r>
          </w:p>
        </w:tc>
        <w:tc>
          <w:tcPr>
            <w:tcW w:w="1500" w:type="dxa"/>
            <w:shd w:val="clear" w:color="auto" w:fill="EDEDED"/>
            <w:tcMar>
              <w:top w:w="80" w:type="dxa"/>
              <w:left w:w="100" w:type="dxa"/>
              <w:bottom w:w="80" w:type="dxa"/>
              <w:right w:w="100" w:type="dxa"/>
            </w:tcMar>
            <w:vAlign w:val="center"/>
          </w:tcPr>
          <w:p w14:paraId="7EE24C0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0.70</w:t>
            </w:r>
          </w:p>
        </w:tc>
        <w:tc>
          <w:tcPr>
            <w:tcW w:w="1500" w:type="dxa"/>
            <w:shd w:val="clear" w:color="auto" w:fill="EDEDED"/>
            <w:tcMar>
              <w:top w:w="80" w:type="dxa"/>
              <w:left w:w="100" w:type="dxa"/>
              <w:bottom w:w="80" w:type="dxa"/>
              <w:right w:w="100" w:type="dxa"/>
            </w:tcMar>
            <w:vAlign w:val="center"/>
          </w:tcPr>
          <w:p w14:paraId="4A8C686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0.40</w:t>
            </w:r>
          </w:p>
        </w:tc>
        <w:tc>
          <w:tcPr>
            <w:tcW w:w="1300" w:type="dxa"/>
            <w:shd w:val="clear" w:color="auto" w:fill="EDEDED"/>
            <w:tcMar>
              <w:top w:w="80" w:type="dxa"/>
              <w:left w:w="100" w:type="dxa"/>
              <w:bottom w:w="80" w:type="dxa"/>
              <w:right w:w="100" w:type="dxa"/>
            </w:tcMar>
            <w:vAlign w:val="center"/>
          </w:tcPr>
          <w:p w14:paraId="078E6E5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0.67</w:t>
            </w:r>
          </w:p>
        </w:tc>
        <w:tc>
          <w:tcPr>
            <w:tcW w:w="2000" w:type="dxa"/>
            <w:shd w:val="clear" w:color="auto" w:fill="EDEDED"/>
            <w:tcMar>
              <w:top w:w="80" w:type="dxa"/>
              <w:left w:w="100" w:type="dxa"/>
              <w:bottom w:w="80" w:type="dxa"/>
              <w:right w:w="100" w:type="dxa"/>
            </w:tcMar>
            <w:vAlign w:val="center"/>
          </w:tcPr>
          <w:p w14:paraId="7E2B020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w:t>
            </w:r>
          </w:p>
        </w:tc>
      </w:tr>
      <w:tr w:rsidR="005C7E84" w:rsidRPr="00733834" w14:paraId="05FE72BF" w14:textId="77777777" w:rsidTr="00901611">
        <w:trPr>
          <w:jc w:val="center"/>
        </w:trPr>
        <w:tc>
          <w:tcPr>
            <w:tcW w:w="2400" w:type="dxa"/>
            <w:tcMar>
              <w:top w:w="80" w:type="dxa"/>
              <w:left w:w="100" w:type="dxa"/>
              <w:bottom w:w="80" w:type="dxa"/>
              <w:right w:w="100" w:type="dxa"/>
            </w:tcMar>
            <w:vAlign w:val="center"/>
          </w:tcPr>
          <w:p w14:paraId="4B123DCD"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Debt/Assets</w:t>
            </w:r>
          </w:p>
        </w:tc>
        <w:tc>
          <w:tcPr>
            <w:tcW w:w="1500" w:type="dxa"/>
            <w:tcMar>
              <w:top w:w="80" w:type="dxa"/>
              <w:left w:w="100" w:type="dxa"/>
              <w:bottom w:w="80" w:type="dxa"/>
              <w:right w:w="100" w:type="dxa"/>
            </w:tcMar>
            <w:vAlign w:val="center"/>
          </w:tcPr>
          <w:p w14:paraId="15D9B3B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1.22</w:t>
            </w:r>
          </w:p>
        </w:tc>
        <w:tc>
          <w:tcPr>
            <w:tcW w:w="1500" w:type="dxa"/>
            <w:tcMar>
              <w:top w:w="80" w:type="dxa"/>
              <w:left w:w="100" w:type="dxa"/>
              <w:bottom w:w="80" w:type="dxa"/>
              <w:right w:w="100" w:type="dxa"/>
            </w:tcMar>
            <w:vAlign w:val="center"/>
          </w:tcPr>
          <w:p w14:paraId="5BD16AC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1.11</w:t>
            </w:r>
          </w:p>
        </w:tc>
        <w:tc>
          <w:tcPr>
            <w:tcW w:w="1300" w:type="dxa"/>
            <w:tcMar>
              <w:top w:w="80" w:type="dxa"/>
              <w:left w:w="100" w:type="dxa"/>
              <w:bottom w:w="80" w:type="dxa"/>
              <w:right w:w="100" w:type="dxa"/>
            </w:tcMar>
            <w:vAlign w:val="center"/>
          </w:tcPr>
          <w:p w14:paraId="0BFAE7B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1.49</w:t>
            </w:r>
          </w:p>
        </w:tc>
        <w:tc>
          <w:tcPr>
            <w:tcW w:w="2000" w:type="dxa"/>
            <w:tcMar>
              <w:top w:w="80" w:type="dxa"/>
              <w:left w:w="100" w:type="dxa"/>
              <w:bottom w:w="80" w:type="dxa"/>
              <w:right w:w="100" w:type="dxa"/>
            </w:tcMar>
            <w:vAlign w:val="center"/>
          </w:tcPr>
          <w:p w14:paraId="3398BFA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~1.3</w:t>
            </w:r>
          </w:p>
        </w:tc>
      </w:tr>
    </w:tbl>
    <w:p w14:paraId="0D84B885" w14:textId="77777777" w:rsidR="005D6463" w:rsidRPr="005D6463" w:rsidRDefault="005D6463" w:rsidP="005D6463">
      <w:pPr>
        <w:spacing w:before="240" w:line="360" w:lineRule="auto"/>
        <w:jc w:val="center"/>
        <w:rPr>
          <w:rFonts w:eastAsia="Calibri"/>
          <w:b/>
          <w:sz w:val="24"/>
        </w:rPr>
      </w:pPr>
      <w:r w:rsidRPr="005D6463">
        <w:rPr>
          <w:rFonts w:eastAsia="Calibri"/>
          <w:b/>
          <w:sz w:val="24"/>
        </w:rPr>
        <w:t>Table 4: Industry Benchmark Comparison</w:t>
      </w:r>
    </w:p>
    <w:p w14:paraId="37A78375" w14:textId="77777777" w:rsidR="00647164" w:rsidRPr="005D6463" w:rsidRDefault="00901611" w:rsidP="005D6463">
      <w:pPr>
        <w:spacing w:before="240" w:line="360" w:lineRule="auto"/>
        <w:jc w:val="both"/>
        <w:rPr>
          <w:rFonts w:eastAsia="Calibri"/>
          <w:sz w:val="24"/>
        </w:rPr>
      </w:pPr>
      <w:r w:rsidRPr="005D6463">
        <w:rPr>
          <w:rFonts w:eastAsia="Calibri"/>
          <w:sz w:val="24"/>
        </w:rPr>
        <w:t>Hilton is coming up just as good as its two biggest global competitors. Net margin (13.8%) is higher than that of IHG (12.8%) and is higher than Marriott's net margin of 9.5% due to Hilton's higher mix of high-margin revenue from its franchise and licensing fees versus the larger owned/leased and cost-reimbursement revenue base of Marriott International, Inc. (2025 Form 10-K)</w:t>
      </w:r>
      <w:r w:rsidR="00647164" w:rsidRPr="005D6463">
        <w:rPr>
          <w:rFonts w:eastAsia="Calibri"/>
          <w:sz w:val="24"/>
        </w:rPr>
        <w:t xml:space="preserve"> </w:t>
      </w:r>
      <w:r w:rsidR="00647164" w:rsidRPr="005D6463">
        <w:rPr>
          <w:sz w:val="24"/>
        </w:rPr>
        <w:t>(Hilton Worldwide Holdings, 2025a)</w:t>
      </w:r>
      <w:r w:rsidRPr="005D6463">
        <w:rPr>
          <w:rFonts w:eastAsia="Calibri"/>
          <w:sz w:val="24"/>
        </w:rPr>
        <w:t xml:space="preserve">. Among the three, IHG has the lowest capital invested compared to its fee income, hence the best ROA (13.2%). The current ratio is materially stronger at Hilton than it is at Marriott, </w:t>
      </w:r>
      <w:r w:rsidRPr="005D6463">
        <w:rPr>
          <w:rFonts w:eastAsia="Calibri"/>
          <w:sz w:val="24"/>
        </w:rPr>
        <w:lastRenderedPageBreak/>
        <w:t>which has almost no cash on its balance sheet, and relies heavily on its revolving facility, and is close to Hilton at IHG</w:t>
      </w:r>
      <w:r w:rsidR="00647164" w:rsidRPr="005D6463">
        <w:rPr>
          <w:rFonts w:eastAsia="Calibri"/>
          <w:sz w:val="24"/>
        </w:rPr>
        <w:t xml:space="preserve"> </w:t>
      </w:r>
      <w:r w:rsidR="00647164" w:rsidRPr="005D6463">
        <w:rPr>
          <w:sz w:val="24"/>
        </w:rPr>
        <w:t>(Hilton Worldwide Holdings, 2025a)</w:t>
      </w:r>
      <w:r w:rsidRPr="005D6463">
        <w:rPr>
          <w:rFonts w:eastAsia="Calibri"/>
          <w:sz w:val="24"/>
        </w:rPr>
        <w:t xml:space="preserve">. On leverage, all three hotel companies have negative or close to negative equity, as a result of years of buybacks, with IHG having the highest ratio of liabilities to assets, followed by Hilton and then Marriott. </w:t>
      </w:r>
    </w:p>
    <w:p w14:paraId="306B01BC" w14:textId="77777777" w:rsidR="005C7E84" w:rsidRPr="00733834" w:rsidRDefault="00621346" w:rsidP="007B70E3">
      <w:pPr>
        <w:pStyle w:val="Heading2"/>
      </w:pPr>
      <w:bookmarkStart w:id="6" w:name="_Toc235899854"/>
      <w:r w:rsidRPr="00733834">
        <w:t>2.5 Efficiency Ratios</w:t>
      </w:r>
      <w:bookmarkEnd w:id="6"/>
    </w:p>
    <w:tbl>
      <w:tblPr>
        <w:tblW w:w="9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900"/>
        <w:gridCol w:w="2000"/>
        <w:gridCol w:w="1900"/>
        <w:gridCol w:w="2200"/>
      </w:tblGrid>
      <w:tr w:rsidR="005C7E84" w:rsidRPr="00733834" w14:paraId="54ABD302" w14:textId="77777777" w:rsidTr="00901611">
        <w:trPr>
          <w:tblHeader/>
          <w:jc w:val="center"/>
        </w:trPr>
        <w:tc>
          <w:tcPr>
            <w:tcW w:w="1400" w:type="dxa"/>
            <w:shd w:val="clear" w:color="auto" w:fill="1F3864"/>
            <w:tcMar>
              <w:top w:w="80" w:type="dxa"/>
              <w:left w:w="100" w:type="dxa"/>
              <w:bottom w:w="80" w:type="dxa"/>
              <w:right w:w="100" w:type="dxa"/>
            </w:tcMar>
            <w:vAlign w:val="center"/>
          </w:tcPr>
          <w:p w14:paraId="142E682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Year</w:t>
            </w:r>
          </w:p>
        </w:tc>
        <w:tc>
          <w:tcPr>
            <w:tcW w:w="1900" w:type="dxa"/>
            <w:shd w:val="clear" w:color="auto" w:fill="1F3864"/>
            <w:tcMar>
              <w:top w:w="80" w:type="dxa"/>
              <w:left w:w="100" w:type="dxa"/>
              <w:bottom w:w="80" w:type="dxa"/>
              <w:right w:w="100" w:type="dxa"/>
            </w:tcMar>
            <w:vAlign w:val="center"/>
          </w:tcPr>
          <w:p w14:paraId="535E9EB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Asset Turnover</w:t>
            </w:r>
          </w:p>
        </w:tc>
        <w:tc>
          <w:tcPr>
            <w:tcW w:w="2000" w:type="dxa"/>
            <w:shd w:val="clear" w:color="auto" w:fill="1F3864"/>
            <w:tcMar>
              <w:top w:w="80" w:type="dxa"/>
              <w:left w:w="100" w:type="dxa"/>
              <w:bottom w:w="80" w:type="dxa"/>
              <w:right w:w="100" w:type="dxa"/>
            </w:tcMar>
            <w:vAlign w:val="center"/>
          </w:tcPr>
          <w:p w14:paraId="6FFBF107"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Receivable Days</w:t>
            </w:r>
          </w:p>
        </w:tc>
        <w:tc>
          <w:tcPr>
            <w:tcW w:w="1900" w:type="dxa"/>
            <w:shd w:val="clear" w:color="auto" w:fill="1F3864"/>
            <w:tcMar>
              <w:top w:w="80" w:type="dxa"/>
              <w:left w:w="100" w:type="dxa"/>
              <w:bottom w:w="80" w:type="dxa"/>
              <w:right w:w="100" w:type="dxa"/>
            </w:tcMar>
            <w:vAlign w:val="center"/>
          </w:tcPr>
          <w:p w14:paraId="2F5A80DF"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Payable Days</w:t>
            </w:r>
          </w:p>
        </w:tc>
        <w:tc>
          <w:tcPr>
            <w:tcW w:w="2200" w:type="dxa"/>
            <w:shd w:val="clear" w:color="auto" w:fill="1F3864"/>
            <w:tcMar>
              <w:top w:w="80" w:type="dxa"/>
              <w:left w:w="100" w:type="dxa"/>
              <w:bottom w:w="80" w:type="dxa"/>
              <w:right w:w="100" w:type="dxa"/>
            </w:tcMar>
            <w:vAlign w:val="center"/>
          </w:tcPr>
          <w:p w14:paraId="3E0EB112"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Cash Conversion Cycle*</w:t>
            </w:r>
          </w:p>
        </w:tc>
      </w:tr>
      <w:tr w:rsidR="005C7E84" w:rsidRPr="00733834" w14:paraId="6EBB4596" w14:textId="77777777" w:rsidTr="00901611">
        <w:trPr>
          <w:jc w:val="center"/>
        </w:trPr>
        <w:tc>
          <w:tcPr>
            <w:tcW w:w="1400" w:type="dxa"/>
            <w:tcMar>
              <w:top w:w="80" w:type="dxa"/>
              <w:left w:w="100" w:type="dxa"/>
              <w:bottom w:w="80" w:type="dxa"/>
              <w:right w:w="100" w:type="dxa"/>
            </w:tcMar>
            <w:vAlign w:val="center"/>
          </w:tcPr>
          <w:p w14:paraId="5ECADAE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2021</w:t>
            </w:r>
          </w:p>
        </w:tc>
        <w:tc>
          <w:tcPr>
            <w:tcW w:w="1900" w:type="dxa"/>
            <w:tcMar>
              <w:top w:w="80" w:type="dxa"/>
              <w:left w:w="100" w:type="dxa"/>
              <w:bottom w:w="80" w:type="dxa"/>
              <w:right w:w="100" w:type="dxa"/>
            </w:tcMar>
            <w:vAlign w:val="center"/>
          </w:tcPr>
          <w:p w14:paraId="273CAE5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0.37x</w:t>
            </w:r>
          </w:p>
        </w:tc>
        <w:tc>
          <w:tcPr>
            <w:tcW w:w="2000" w:type="dxa"/>
            <w:tcMar>
              <w:top w:w="80" w:type="dxa"/>
              <w:left w:w="100" w:type="dxa"/>
              <w:bottom w:w="80" w:type="dxa"/>
              <w:right w:w="100" w:type="dxa"/>
            </w:tcMar>
            <w:vAlign w:val="center"/>
          </w:tcPr>
          <w:p w14:paraId="5DF8A14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67.3</w:t>
            </w:r>
          </w:p>
        </w:tc>
        <w:tc>
          <w:tcPr>
            <w:tcW w:w="1900" w:type="dxa"/>
            <w:tcMar>
              <w:top w:w="80" w:type="dxa"/>
              <w:left w:w="100" w:type="dxa"/>
              <w:bottom w:w="80" w:type="dxa"/>
              <w:right w:w="100" w:type="dxa"/>
            </w:tcMar>
            <w:vAlign w:val="center"/>
          </w:tcPr>
          <w:p w14:paraId="264F4B8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98.9</w:t>
            </w:r>
          </w:p>
        </w:tc>
        <w:tc>
          <w:tcPr>
            <w:tcW w:w="2200" w:type="dxa"/>
            <w:tcMar>
              <w:top w:w="80" w:type="dxa"/>
              <w:left w:w="100" w:type="dxa"/>
              <w:bottom w:w="80" w:type="dxa"/>
              <w:right w:w="100" w:type="dxa"/>
            </w:tcMar>
            <w:vAlign w:val="center"/>
          </w:tcPr>
          <w:p w14:paraId="4B1138C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-31.6</w:t>
            </w:r>
          </w:p>
        </w:tc>
      </w:tr>
      <w:tr w:rsidR="005C7E84" w:rsidRPr="00733834" w14:paraId="60B51E26" w14:textId="77777777" w:rsidTr="00901611">
        <w:trPr>
          <w:jc w:val="center"/>
        </w:trPr>
        <w:tc>
          <w:tcPr>
            <w:tcW w:w="1400" w:type="dxa"/>
            <w:shd w:val="clear" w:color="auto" w:fill="EDEDED"/>
            <w:tcMar>
              <w:top w:w="80" w:type="dxa"/>
              <w:left w:w="100" w:type="dxa"/>
              <w:bottom w:w="80" w:type="dxa"/>
              <w:right w:w="100" w:type="dxa"/>
            </w:tcMar>
            <w:vAlign w:val="center"/>
          </w:tcPr>
          <w:p w14:paraId="216986E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2022</w:t>
            </w:r>
          </w:p>
        </w:tc>
        <w:tc>
          <w:tcPr>
            <w:tcW w:w="1900" w:type="dxa"/>
            <w:shd w:val="clear" w:color="auto" w:fill="EDEDED"/>
            <w:tcMar>
              <w:top w:w="80" w:type="dxa"/>
              <w:left w:w="100" w:type="dxa"/>
              <w:bottom w:w="80" w:type="dxa"/>
              <w:right w:w="100" w:type="dxa"/>
            </w:tcMar>
            <w:vAlign w:val="center"/>
          </w:tcPr>
          <w:p w14:paraId="686905A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0.57x</w:t>
            </w:r>
          </w:p>
        </w:tc>
        <w:tc>
          <w:tcPr>
            <w:tcW w:w="2000" w:type="dxa"/>
            <w:shd w:val="clear" w:color="auto" w:fill="EDEDED"/>
            <w:tcMar>
              <w:top w:w="80" w:type="dxa"/>
              <w:left w:w="100" w:type="dxa"/>
              <w:bottom w:w="80" w:type="dxa"/>
              <w:right w:w="100" w:type="dxa"/>
            </w:tcMar>
            <w:vAlign w:val="center"/>
          </w:tcPr>
          <w:p w14:paraId="200C0C8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55.2</w:t>
            </w:r>
          </w:p>
        </w:tc>
        <w:tc>
          <w:tcPr>
            <w:tcW w:w="1900" w:type="dxa"/>
            <w:shd w:val="clear" w:color="auto" w:fill="EDEDED"/>
            <w:tcMar>
              <w:top w:w="80" w:type="dxa"/>
              <w:left w:w="100" w:type="dxa"/>
              <w:bottom w:w="80" w:type="dxa"/>
              <w:right w:w="100" w:type="dxa"/>
            </w:tcMar>
            <w:vAlign w:val="center"/>
          </w:tcPr>
          <w:p w14:paraId="094862F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74.5</w:t>
            </w:r>
          </w:p>
        </w:tc>
        <w:tc>
          <w:tcPr>
            <w:tcW w:w="2200" w:type="dxa"/>
            <w:shd w:val="clear" w:color="auto" w:fill="EDEDED"/>
            <w:tcMar>
              <w:top w:w="80" w:type="dxa"/>
              <w:left w:w="100" w:type="dxa"/>
              <w:bottom w:w="80" w:type="dxa"/>
              <w:right w:w="100" w:type="dxa"/>
            </w:tcMar>
            <w:vAlign w:val="center"/>
          </w:tcPr>
          <w:p w14:paraId="390A719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-19.3</w:t>
            </w:r>
          </w:p>
        </w:tc>
      </w:tr>
      <w:tr w:rsidR="005C7E84" w:rsidRPr="00733834" w14:paraId="0DF21EC8" w14:textId="77777777" w:rsidTr="00901611">
        <w:trPr>
          <w:jc w:val="center"/>
        </w:trPr>
        <w:tc>
          <w:tcPr>
            <w:tcW w:w="1400" w:type="dxa"/>
            <w:tcMar>
              <w:top w:w="80" w:type="dxa"/>
              <w:left w:w="100" w:type="dxa"/>
              <w:bottom w:w="80" w:type="dxa"/>
              <w:right w:w="100" w:type="dxa"/>
            </w:tcMar>
            <w:vAlign w:val="center"/>
          </w:tcPr>
          <w:p w14:paraId="1F5285A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2023</w:t>
            </w:r>
          </w:p>
        </w:tc>
        <w:tc>
          <w:tcPr>
            <w:tcW w:w="1900" w:type="dxa"/>
            <w:tcMar>
              <w:top w:w="80" w:type="dxa"/>
              <w:left w:w="100" w:type="dxa"/>
              <w:bottom w:w="80" w:type="dxa"/>
              <w:right w:w="100" w:type="dxa"/>
            </w:tcMar>
            <w:vAlign w:val="center"/>
          </w:tcPr>
          <w:p w14:paraId="3BDE161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0.66x</w:t>
            </w:r>
          </w:p>
        </w:tc>
        <w:tc>
          <w:tcPr>
            <w:tcW w:w="2000" w:type="dxa"/>
            <w:tcMar>
              <w:top w:w="80" w:type="dxa"/>
              <w:left w:w="100" w:type="dxa"/>
              <w:bottom w:w="80" w:type="dxa"/>
              <w:right w:w="100" w:type="dxa"/>
            </w:tcMar>
            <w:vAlign w:val="center"/>
          </w:tcPr>
          <w:p w14:paraId="5202093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53.0</w:t>
            </w:r>
          </w:p>
        </w:tc>
        <w:tc>
          <w:tcPr>
            <w:tcW w:w="1900" w:type="dxa"/>
            <w:tcMar>
              <w:top w:w="80" w:type="dxa"/>
              <w:left w:w="100" w:type="dxa"/>
              <w:bottom w:w="80" w:type="dxa"/>
              <w:right w:w="100" w:type="dxa"/>
            </w:tcMar>
            <w:vAlign w:val="center"/>
          </w:tcPr>
          <w:p w14:paraId="332901F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70.6</w:t>
            </w:r>
          </w:p>
        </w:tc>
        <w:tc>
          <w:tcPr>
            <w:tcW w:w="2200" w:type="dxa"/>
            <w:tcMar>
              <w:top w:w="80" w:type="dxa"/>
              <w:left w:w="100" w:type="dxa"/>
              <w:bottom w:w="80" w:type="dxa"/>
              <w:right w:w="100" w:type="dxa"/>
            </w:tcMar>
            <w:vAlign w:val="center"/>
          </w:tcPr>
          <w:p w14:paraId="473D18ED"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-17.6</w:t>
            </w:r>
          </w:p>
        </w:tc>
      </w:tr>
      <w:tr w:rsidR="005C7E84" w:rsidRPr="00733834" w14:paraId="1B8ABEE9" w14:textId="77777777" w:rsidTr="00901611">
        <w:trPr>
          <w:jc w:val="center"/>
        </w:trPr>
        <w:tc>
          <w:tcPr>
            <w:tcW w:w="1400" w:type="dxa"/>
            <w:shd w:val="clear" w:color="auto" w:fill="EDEDED"/>
            <w:tcMar>
              <w:top w:w="80" w:type="dxa"/>
              <w:left w:w="100" w:type="dxa"/>
              <w:bottom w:w="80" w:type="dxa"/>
              <w:right w:w="100" w:type="dxa"/>
            </w:tcMar>
            <w:vAlign w:val="center"/>
          </w:tcPr>
          <w:p w14:paraId="1C939A9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2024</w:t>
            </w:r>
          </w:p>
        </w:tc>
        <w:tc>
          <w:tcPr>
            <w:tcW w:w="1900" w:type="dxa"/>
            <w:shd w:val="clear" w:color="auto" w:fill="EDEDED"/>
            <w:tcMar>
              <w:top w:w="80" w:type="dxa"/>
              <w:left w:w="100" w:type="dxa"/>
              <w:bottom w:w="80" w:type="dxa"/>
              <w:right w:w="100" w:type="dxa"/>
            </w:tcMar>
            <w:vAlign w:val="center"/>
          </w:tcPr>
          <w:p w14:paraId="659EC56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0.68x</w:t>
            </w:r>
          </w:p>
        </w:tc>
        <w:tc>
          <w:tcPr>
            <w:tcW w:w="2000" w:type="dxa"/>
            <w:shd w:val="clear" w:color="auto" w:fill="EDEDED"/>
            <w:tcMar>
              <w:top w:w="80" w:type="dxa"/>
              <w:left w:w="100" w:type="dxa"/>
              <w:bottom w:w="80" w:type="dxa"/>
              <w:right w:w="100" w:type="dxa"/>
            </w:tcMar>
            <w:vAlign w:val="center"/>
          </w:tcPr>
          <w:p w14:paraId="1708213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51.7</w:t>
            </w:r>
          </w:p>
        </w:tc>
        <w:tc>
          <w:tcPr>
            <w:tcW w:w="1900" w:type="dxa"/>
            <w:shd w:val="clear" w:color="auto" w:fill="EDEDED"/>
            <w:tcMar>
              <w:top w:w="80" w:type="dxa"/>
              <w:left w:w="100" w:type="dxa"/>
              <w:bottom w:w="80" w:type="dxa"/>
              <w:right w:w="100" w:type="dxa"/>
            </w:tcMar>
            <w:vAlign w:val="center"/>
          </w:tcPr>
          <w:p w14:paraId="2DEF0D2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69.4</w:t>
            </w:r>
          </w:p>
        </w:tc>
        <w:tc>
          <w:tcPr>
            <w:tcW w:w="2200" w:type="dxa"/>
            <w:shd w:val="clear" w:color="auto" w:fill="EDEDED"/>
            <w:tcMar>
              <w:top w:w="80" w:type="dxa"/>
              <w:left w:w="100" w:type="dxa"/>
              <w:bottom w:w="80" w:type="dxa"/>
              <w:right w:w="100" w:type="dxa"/>
            </w:tcMar>
            <w:vAlign w:val="center"/>
          </w:tcPr>
          <w:p w14:paraId="46D95B2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-17.7</w:t>
            </w:r>
          </w:p>
        </w:tc>
      </w:tr>
    </w:tbl>
    <w:p w14:paraId="34CABF05" w14:textId="77777777" w:rsidR="005D6463" w:rsidRPr="005D6463" w:rsidRDefault="005D6463" w:rsidP="005D6463">
      <w:pPr>
        <w:spacing w:before="240" w:after="160" w:line="360" w:lineRule="auto"/>
        <w:jc w:val="center"/>
        <w:rPr>
          <w:b/>
          <w:sz w:val="24"/>
          <w:szCs w:val="24"/>
        </w:rPr>
      </w:pPr>
      <w:r w:rsidRPr="005D6463">
        <w:rPr>
          <w:b/>
          <w:sz w:val="24"/>
          <w:szCs w:val="24"/>
        </w:rPr>
        <w:t>Table 5: Efficiency Ratios</w:t>
      </w:r>
    </w:p>
    <w:p w14:paraId="610EFC81" w14:textId="77777777" w:rsidR="005D6463" w:rsidRDefault="00901611" w:rsidP="00D575BB">
      <w:pPr>
        <w:spacing w:before="240" w:after="160" w:line="360" w:lineRule="auto"/>
        <w:jc w:val="both"/>
        <w:rPr>
          <w:sz w:val="24"/>
          <w:szCs w:val="24"/>
        </w:rPr>
      </w:pPr>
      <w:r w:rsidRPr="00901611">
        <w:rPr>
          <w:sz w:val="24"/>
          <w:szCs w:val="24"/>
        </w:rPr>
        <w:t>Hilton's efficiency has improved significantly over the past few years, especially during the COVID-19 pandemic. On the asset side, asset turnover rose almost by double from 0.37x (2021) to 0.68x (2024), thereby indicating that every dollar of assets now generates more revenue as occupancy and fee income have rebounded in line with the revenue increase without a corresponding increase in the balance sheet. The decline in receivable days to 51.7 from 67.3 over the same period points to quicker hotel owner and hotel franchisee collections</w:t>
      </w:r>
      <w:r w:rsidR="00647164">
        <w:rPr>
          <w:sz w:val="24"/>
          <w:szCs w:val="24"/>
        </w:rPr>
        <w:t xml:space="preserve"> (Hilton Worldwide Holdings, </w:t>
      </w:r>
      <w:r w:rsidR="00647164" w:rsidRPr="00463A9F">
        <w:rPr>
          <w:sz w:val="24"/>
          <w:szCs w:val="24"/>
        </w:rPr>
        <w:t>2025a)</w:t>
      </w:r>
      <w:r w:rsidRPr="00901611">
        <w:rPr>
          <w:sz w:val="24"/>
          <w:szCs w:val="24"/>
        </w:rPr>
        <w:t xml:space="preserve">. </w:t>
      </w:r>
    </w:p>
    <w:p w14:paraId="16F9CAF7" w14:textId="77777777" w:rsidR="00901611" w:rsidRPr="00733834" w:rsidRDefault="00901611" w:rsidP="00D575BB">
      <w:pPr>
        <w:spacing w:before="240" w:after="160" w:line="360" w:lineRule="auto"/>
        <w:jc w:val="both"/>
        <w:rPr>
          <w:sz w:val="24"/>
          <w:szCs w:val="24"/>
        </w:rPr>
      </w:pPr>
      <w:r w:rsidRPr="00901611">
        <w:rPr>
          <w:sz w:val="24"/>
          <w:szCs w:val="24"/>
        </w:rPr>
        <w:t>Payable days also tumbled, from 98.9 days to 69.4 days, with the removal of some of the pandemic-era deferrals of payments from vendors and owners. As a result, the cash conversion cycle is negative across the years 2021-2024, a reflection of the fact that Hilton is likely to collect cash from its fee and loyalty-programme business before having to pay its own suppliers and partners, which represents very good working-capital efficiency, typical of asset-light franchise businesses</w:t>
      </w:r>
      <w:r w:rsidR="00647164">
        <w:rPr>
          <w:sz w:val="24"/>
          <w:szCs w:val="24"/>
        </w:rPr>
        <w:t xml:space="preserve"> (Hilton Worldwide Holdings, </w:t>
      </w:r>
      <w:r w:rsidR="00647164" w:rsidRPr="00463A9F">
        <w:rPr>
          <w:sz w:val="24"/>
          <w:szCs w:val="24"/>
        </w:rPr>
        <w:t>2025a)</w:t>
      </w:r>
      <w:r w:rsidRPr="00901611">
        <w:rPr>
          <w:sz w:val="24"/>
          <w:szCs w:val="24"/>
        </w:rPr>
        <w:t xml:space="preserve">. The gradual decrease in the negative CCC (from -31.6 to -17.7 days) does not mean that the </w:t>
      </w:r>
      <w:r w:rsidRPr="00901611">
        <w:rPr>
          <w:sz w:val="24"/>
          <w:szCs w:val="24"/>
        </w:rPr>
        <w:lastRenderedPageBreak/>
        <w:t>operational efficiency has been compromised as the business was gradually normalising the receivable and payable timings after the disruption caused by 2020-2021</w:t>
      </w:r>
      <w:r w:rsidR="00647164">
        <w:rPr>
          <w:sz w:val="24"/>
          <w:szCs w:val="24"/>
        </w:rPr>
        <w:t xml:space="preserve"> (Hilton Worldwide Holdings, </w:t>
      </w:r>
      <w:r w:rsidR="00647164" w:rsidRPr="00463A9F">
        <w:rPr>
          <w:sz w:val="24"/>
          <w:szCs w:val="24"/>
        </w:rPr>
        <w:t>2025a)</w:t>
      </w:r>
      <w:r w:rsidRPr="00901611">
        <w:rPr>
          <w:sz w:val="24"/>
          <w:szCs w:val="24"/>
        </w:rPr>
        <w:t>.</w:t>
      </w:r>
    </w:p>
    <w:p w14:paraId="07EC2101" w14:textId="77777777" w:rsidR="005C7E84" w:rsidRPr="00733834" w:rsidRDefault="00621346" w:rsidP="007B70E3">
      <w:pPr>
        <w:pStyle w:val="Heading2"/>
      </w:pPr>
      <w:bookmarkStart w:id="7" w:name="_Toc235899855"/>
      <w:r w:rsidRPr="00733834">
        <w:t>2.6 Gearing Ratios</w:t>
      </w:r>
      <w:bookmarkEnd w:id="7"/>
    </w:p>
    <w:tbl>
      <w:tblPr>
        <w:tblW w:w="8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700"/>
        <w:gridCol w:w="2600"/>
        <w:gridCol w:w="2700"/>
      </w:tblGrid>
      <w:tr w:rsidR="005C7E84" w:rsidRPr="00733834" w14:paraId="160370D8" w14:textId="77777777" w:rsidTr="00901611">
        <w:trPr>
          <w:tblHeader/>
          <w:jc w:val="center"/>
        </w:trPr>
        <w:tc>
          <w:tcPr>
            <w:tcW w:w="1400" w:type="dxa"/>
            <w:shd w:val="clear" w:color="auto" w:fill="1F3864"/>
            <w:tcMar>
              <w:top w:w="80" w:type="dxa"/>
              <w:left w:w="100" w:type="dxa"/>
              <w:bottom w:w="80" w:type="dxa"/>
              <w:right w:w="100" w:type="dxa"/>
            </w:tcMar>
            <w:vAlign w:val="center"/>
          </w:tcPr>
          <w:p w14:paraId="08BACA7B"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Year</w:t>
            </w:r>
          </w:p>
        </w:tc>
        <w:tc>
          <w:tcPr>
            <w:tcW w:w="1700" w:type="dxa"/>
            <w:shd w:val="clear" w:color="auto" w:fill="1F3864"/>
            <w:tcMar>
              <w:top w:w="80" w:type="dxa"/>
              <w:left w:w="100" w:type="dxa"/>
              <w:bottom w:w="80" w:type="dxa"/>
              <w:right w:w="100" w:type="dxa"/>
            </w:tcMar>
            <w:vAlign w:val="center"/>
          </w:tcPr>
          <w:p w14:paraId="00F67D1F"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Debt/Assets</w:t>
            </w:r>
          </w:p>
        </w:tc>
        <w:tc>
          <w:tcPr>
            <w:tcW w:w="2600" w:type="dxa"/>
            <w:shd w:val="clear" w:color="auto" w:fill="1F3864"/>
            <w:tcMar>
              <w:top w:w="80" w:type="dxa"/>
              <w:left w:w="100" w:type="dxa"/>
              <w:bottom w:w="80" w:type="dxa"/>
              <w:right w:w="100" w:type="dxa"/>
            </w:tcMar>
            <w:vAlign w:val="center"/>
          </w:tcPr>
          <w:p w14:paraId="0B2AB6BA"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Long-Term Debt ($m)</w:t>
            </w:r>
          </w:p>
        </w:tc>
        <w:tc>
          <w:tcPr>
            <w:tcW w:w="2700" w:type="dxa"/>
            <w:shd w:val="clear" w:color="auto" w:fill="1F3864"/>
            <w:tcMar>
              <w:top w:w="80" w:type="dxa"/>
              <w:left w:w="100" w:type="dxa"/>
              <w:bottom w:w="80" w:type="dxa"/>
              <w:right w:w="100" w:type="dxa"/>
            </w:tcMar>
            <w:vAlign w:val="center"/>
          </w:tcPr>
          <w:p w14:paraId="00B0B45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Interest Coverage (approx.)</w:t>
            </w:r>
          </w:p>
        </w:tc>
      </w:tr>
      <w:tr w:rsidR="005C7E84" w:rsidRPr="00733834" w14:paraId="234E4E8E" w14:textId="77777777" w:rsidTr="00901611">
        <w:trPr>
          <w:jc w:val="center"/>
        </w:trPr>
        <w:tc>
          <w:tcPr>
            <w:tcW w:w="1400" w:type="dxa"/>
            <w:tcMar>
              <w:top w:w="80" w:type="dxa"/>
              <w:left w:w="100" w:type="dxa"/>
              <w:bottom w:w="80" w:type="dxa"/>
              <w:right w:w="100" w:type="dxa"/>
            </w:tcMar>
            <w:vAlign w:val="center"/>
          </w:tcPr>
          <w:p w14:paraId="1D0CDAA3"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2021</w:t>
            </w:r>
          </w:p>
        </w:tc>
        <w:tc>
          <w:tcPr>
            <w:tcW w:w="1700" w:type="dxa"/>
            <w:tcMar>
              <w:top w:w="80" w:type="dxa"/>
              <w:left w:w="100" w:type="dxa"/>
              <w:bottom w:w="80" w:type="dxa"/>
              <w:right w:w="100" w:type="dxa"/>
            </w:tcMar>
            <w:vAlign w:val="center"/>
          </w:tcPr>
          <w:p w14:paraId="112C637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1.05</w:t>
            </w:r>
          </w:p>
        </w:tc>
        <w:tc>
          <w:tcPr>
            <w:tcW w:w="2600" w:type="dxa"/>
            <w:tcMar>
              <w:top w:w="80" w:type="dxa"/>
              <w:left w:w="100" w:type="dxa"/>
              <w:bottom w:w="80" w:type="dxa"/>
              <w:right w:w="100" w:type="dxa"/>
            </w:tcMar>
            <w:vAlign w:val="center"/>
          </w:tcPr>
          <w:p w14:paraId="6EF1050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8,712</w:t>
            </w:r>
          </w:p>
        </w:tc>
        <w:tc>
          <w:tcPr>
            <w:tcW w:w="2700" w:type="dxa"/>
            <w:tcMar>
              <w:top w:w="80" w:type="dxa"/>
              <w:left w:w="100" w:type="dxa"/>
              <w:bottom w:w="80" w:type="dxa"/>
              <w:right w:w="100" w:type="dxa"/>
            </w:tcMar>
            <w:vAlign w:val="center"/>
          </w:tcPr>
          <w:p w14:paraId="2F59CE5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n/m (recovering)</w:t>
            </w:r>
          </w:p>
        </w:tc>
      </w:tr>
      <w:tr w:rsidR="005C7E84" w:rsidRPr="00733834" w14:paraId="68E8735C" w14:textId="77777777" w:rsidTr="00901611">
        <w:trPr>
          <w:jc w:val="center"/>
        </w:trPr>
        <w:tc>
          <w:tcPr>
            <w:tcW w:w="1400" w:type="dxa"/>
            <w:shd w:val="clear" w:color="auto" w:fill="EDEDED"/>
            <w:tcMar>
              <w:top w:w="80" w:type="dxa"/>
              <w:left w:w="100" w:type="dxa"/>
              <w:bottom w:w="80" w:type="dxa"/>
              <w:right w:w="100" w:type="dxa"/>
            </w:tcMar>
            <w:vAlign w:val="center"/>
          </w:tcPr>
          <w:p w14:paraId="0E285ABB"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2022</w:t>
            </w:r>
          </w:p>
        </w:tc>
        <w:tc>
          <w:tcPr>
            <w:tcW w:w="1700" w:type="dxa"/>
            <w:shd w:val="clear" w:color="auto" w:fill="EDEDED"/>
            <w:tcMar>
              <w:top w:w="80" w:type="dxa"/>
              <w:left w:w="100" w:type="dxa"/>
              <w:bottom w:w="80" w:type="dxa"/>
              <w:right w:w="100" w:type="dxa"/>
            </w:tcMar>
            <w:vAlign w:val="center"/>
          </w:tcPr>
          <w:p w14:paraId="3D2D73CD"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1.07</w:t>
            </w:r>
          </w:p>
        </w:tc>
        <w:tc>
          <w:tcPr>
            <w:tcW w:w="2600" w:type="dxa"/>
            <w:shd w:val="clear" w:color="auto" w:fill="EDEDED"/>
            <w:tcMar>
              <w:top w:w="80" w:type="dxa"/>
              <w:left w:w="100" w:type="dxa"/>
              <w:bottom w:w="80" w:type="dxa"/>
              <w:right w:w="100" w:type="dxa"/>
            </w:tcMar>
            <w:vAlign w:val="center"/>
          </w:tcPr>
          <w:p w14:paraId="13C05E5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8,708</w:t>
            </w:r>
          </w:p>
        </w:tc>
        <w:tc>
          <w:tcPr>
            <w:tcW w:w="2700" w:type="dxa"/>
            <w:shd w:val="clear" w:color="auto" w:fill="EDEDED"/>
            <w:tcMar>
              <w:top w:w="80" w:type="dxa"/>
              <w:left w:w="100" w:type="dxa"/>
              <w:bottom w:w="80" w:type="dxa"/>
              <w:right w:w="100" w:type="dxa"/>
            </w:tcMar>
            <w:vAlign w:val="center"/>
          </w:tcPr>
          <w:p w14:paraId="55EFBB1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~5.8x</w:t>
            </w:r>
          </w:p>
        </w:tc>
      </w:tr>
      <w:tr w:rsidR="005C7E84" w:rsidRPr="00733834" w14:paraId="716172D0" w14:textId="77777777" w:rsidTr="00901611">
        <w:trPr>
          <w:jc w:val="center"/>
        </w:trPr>
        <w:tc>
          <w:tcPr>
            <w:tcW w:w="1400" w:type="dxa"/>
            <w:tcMar>
              <w:top w:w="80" w:type="dxa"/>
              <w:left w:w="100" w:type="dxa"/>
              <w:bottom w:w="80" w:type="dxa"/>
              <w:right w:w="100" w:type="dxa"/>
            </w:tcMar>
            <w:vAlign w:val="center"/>
          </w:tcPr>
          <w:p w14:paraId="389E77C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2023</w:t>
            </w:r>
          </w:p>
        </w:tc>
        <w:tc>
          <w:tcPr>
            <w:tcW w:w="1700" w:type="dxa"/>
            <w:tcMar>
              <w:top w:w="80" w:type="dxa"/>
              <w:left w:w="100" w:type="dxa"/>
              <w:bottom w:w="80" w:type="dxa"/>
              <w:right w:w="100" w:type="dxa"/>
            </w:tcMar>
            <w:vAlign w:val="center"/>
          </w:tcPr>
          <w:p w14:paraId="3264C6B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1.15</w:t>
            </w:r>
          </w:p>
        </w:tc>
        <w:tc>
          <w:tcPr>
            <w:tcW w:w="2600" w:type="dxa"/>
            <w:tcMar>
              <w:top w:w="80" w:type="dxa"/>
              <w:left w:w="100" w:type="dxa"/>
              <w:bottom w:w="80" w:type="dxa"/>
              <w:right w:w="100" w:type="dxa"/>
            </w:tcMar>
            <w:vAlign w:val="center"/>
          </w:tcPr>
          <w:p w14:paraId="5F28E6C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9,157</w:t>
            </w:r>
          </w:p>
        </w:tc>
        <w:tc>
          <w:tcPr>
            <w:tcW w:w="2700" w:type="dxa"/>
            <w:tcMar>
              <w:top w:w="80" w:type="dxa"/>
              <w:left w:w="100" w:type="dxa"/>
              <w:bottom w:w="80" w:type="dxa"/>
              <w:right w:w="100" w:type="dxa"/>
            </w:tcMar>
            <w:vAlign w:val="center"/>
          </w:tcPr>
          <w:p w14:paraId="3F2B0B6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~4.2x</w:t>
            </w:r>
          </w:p>
        </w:tc>
      </w:tr>
      <w:tr w:rsidR="005C7E84" w:rsidRPr="00733834" w14:paraId="4DD5655F" w14:textId="77777777" w:rsidTr="00901611">
        <w:trPr>
          <w:jc w:val="center"/>
        </w:trPr>
        <w:tc>
          <w:tcPr>
            <w:tcW w:w="1400" w:type="dxa"/>
            <w:shd w:val="clear" w:color="auto" w:fill="EDEDED"/>
            <w:tcMar>
              <w:top w:w="80" w:type="dxa"/>
              <w:left w:w="100" w:type="dxa"/>
              <w:bottom w:w="80" w:type="dxa"/>
              <w:right w:w="100" w:type="dxa"/>
            </w:tcMar>
            <w:vAlign w:val="center"/>
          </w:tcPr>
          <w:p w14:paraId="427E943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2024</w:t>
            </w:r>
          </w:p>
        </w:tc>
        <w:tc>
          <w:tcPr>
            <w:tcW w:w="1700" w:type="dxa"/>
            <w:shd w:val="clear" w:color="auto" w:fill="EDEDED"/>
            <w:tcMar>
              <w:top w:w="80" w:type="dxa"/>
              <w:left w:w="100" w:type="dxa"/>
              <w:bottom w:w="80" w:type="dxa"/>
              <w:right w:w="100" w:type="dxa"/>
            </w:tcMar>
            <w:vAlign w:val="center"/>
          </w:tcPr>
          <w:p w14:paraId="0D07F4B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1.22</w:t>
            </w:r>
          </w:p>
        </w:tc>
        <w:tc>
          <w:tcPr>
            <w:tcW w:w="2600" w:type="dxa"/>
            <w:shd w:val="clear" w:color="auto" w:fill="EDEDED"/>
            <w:tcMar>
              <w:top w:w="80" w:type="dxa"/>
              <w:left w:w="100" w:type="dxa"/>
              <w:bottom w:w="80" w:type="dxa"/>
              <w:right w:w="100" w:type="dxa"/>
            </w:tcMar>
            <w:vAlign w:val="center"/>
          </w:tcPr>
          <w:p w14:paraId="0544E7C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10,616</w:t>
            </w:r>
          </w:p>
        </w:tc>
        <w:tc>
          <w:tcPr>
            <w:tcW w:w="2700" w:type="dxa"/>
            <w:shd w:val="clear" w:color="auto" w:fill="EDEDED"/>
            <w:tcMar>
              <w:top w:w="80" w:type="dxa"/>
              <w:left w:w="100" w:type="dxa"/>
              <w:bottom w:w="80" w:type="dxa"/>
              <w:right w:w="100" w:type="dxa"/>
            </w:tcMar>
            <w:vAlign w:val="center"/>
          </w:tcPr>
          <w:p w14:paraId="3F7D87F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~4.0x</w:t>
            </w:r>
          </w:p>
        </w:tc>
      </w:tr>
    </w:tbl>
    <w:p w14:paraId="0E9EBD2A" w14:textId="77777777" w:rsidR="005D6463" w:rsidRPr="005D6463" w:rsidRDefault="005D6463" w:rsidP="005D6463">
      <w:pPr>
        <w:spacing w:before="240" w:line="360" w:lineRule="auto"/>
        <w:jc w:val="center"/>
        <w:rPr>
          <w:rFonts w:eastAsia="Calibri"/>
          <w:b/>
          <w:sz w:val="24"/>
        </w:rPr>
      </w:pPr>
      <w:r w:rsidRPr="005D6463">
        <w:rPr>
          <w:rFonts w:eastAsia="Calibri"/>
          <w:b/>
          <w:sz w:val="24"/>
        </w:rPr>
        <w:t>Table 6: Gearing Ratios</w:t>
      </w:r>
    </w:p>
    <w:p w14:paraId="7ACBAAF4" w14:textId="77777777" w:rsidR="00901611" w:rsidRPr="005D6463" w:rsidRDefault="00901611" w:rsidP="005D6463">
      <w:pPr>
        <w:spacing w:before="240" w:line="360" w:lineRule="auto"/>
        <w:jc w:val="both"/>
        <w:rPr>
          <w:rFonts w:eastAsia="Calibri"/>
          <w:sz w:val="24"/>
        </w:rPr>
      </w:pPr>
      <w:r w:rsidRPr="005D6463">
        <w:rPr>
          <w:rFonts w:eastAsia="Calibri"/>
          <w:sz w:val="24"/>
        </w:rPr>
        <w:t>Hilton's total liabilities have been higher than its total assets since 2021 and the debt/assets ratio is now above 1.0x, reflecting the company's negative equity position, which has been primarily due to the long term debt issued to finance the repurchase of shares and not due to operating losses</w:t>
      </w:r>
      <w:r w:rsidR="00647164" w:rsidRPr="005D6463">
        <w:rPr>
          <w:rFonts w:eastAsia="Calibri"/>
          <w:sz w:val="24"/>
        </w:rPr>
        <w:t xml:space="preserve"> </w:t>
      </w:r>
      <w:r w:rsidR="00647164" w:rsidRPr="005D6463">
        <w:rPr>
          <w:sz w:val="24"/>
        </w:rPr>
        <w:t>(Hilton Worldwide Holdings, 2025a)</w:t>
      </w:r>
      <w:r w:rsidRPr="005D6463">
        <w:rPr>
          <w:rFonts w:eastAsia="Calibri"/>
          <w:sz w:val="24"/>
        </w:rPr>
        <w:t xml:space="preserve">. The amount of long-term debt also increased from $8.7 billion (2022) to $10.6 billion (2024), with Hilton having issued $2.0 billion of senior notes in 2024 alone (Hilton Worldwide Holdings, 2025 Form 10-K). Interest coverage declined from approximately 5.8x (2022) to approximately 4.0x (2024) as debt levels increased and interest rates went up, but remained well above 1.0x. </w:t>
      </w:r>
    </w:p>
    <w:p w14:paraId="726A4368" w14:textId="77777777" w:rsidR="005C7E84" w:rsidRPr="00733834" w:rsidRDefault="00621346" w:rsidP="007B70E3">
      <w:pPr>
        <w:pStyle w:val="Heading2"/>
      </w:pPr>
      <w:bookmarkStart w:id="8" w:name="_Toc235899856"/>
      <w:r w:rsidRPr="00733834">
        <w:t>2.7 Investment Ratios</w:t>
      </w:r>
      <w:bookmarkEnd w:id="8"/>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900"/>
        <w:gridCol w:w="2400"/>
        <w:gridCol w:w="2200"/>
      </w:tblGrid>
      <w:tr w:rsidR="005C7E84" w:rsidRPr="00733834" w14:paraId="3B5DE195" w14:textId="77777777" w:rsidTr="00901611">
        <w:trPr>
          <w:tblHeader/>
          <w:jc w:val="center"/>
        </w:trPr>
        <w:tc>
          <w:tcPr>
            <w:tcW w:w="1400" w:type="dxa"/>
            <w:shd w:val="clear" w:color="auto" w:fill="1F3864"/>
            <w:tcMar>
              <w:top w:w="80" w:type="dxa"/>
              <w:left w:w="100" w:type="dxa"/>
              <w:bottom w:w="80" w:type="dxa"/>
              <w:right w:w="100" w:type="dxa"/>
            </w:tcMar>
            <w:vAlign w:val="center"/>
          </w:tcPr>
          <w:p w14:paraId="71A8D4DB"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Year</w:t>
            </w:r>
          </w:p>
        </w:tc>
        <w:tc>
          <w:tcPr>
            <w:tcW w:w="1900" w:type="dxa"/>
            <w:shd w:val="clear" w:color="auto" w:fill="1F3864"/>
            <w:tcMar>
              <w:top w:w="80" w:type="dxa"/>
              <w:left w:w="100" w:type="dxa"/>
              <w:bottom w:w="80" w:type="dxa"/>
              <w:right w:w="100" w:type="dxa"/>
            </w:tcMar>
            <w:vAlign w:val="center"/>
          </w:tcPr>
          <w:p w14:paraId="74FABAEF"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Diluted EPS</w:t>
            </w:r>
          </w:p>
        </w:tc>
        <w:tc>
          <w:tcPr>
            <w:tcW w:w="2400" w:type="dxa"/>
            <w:shd w:val="clear" w:color="auto" w:fill="1F3864"/>
            <w:tcMar>
              <w:top w:w="80" w:type="dxa"/>
              <w:left w:w="100" w:type="dxa"/>
              <w:bottom w:w="80" w:type="dxa"/>
              <w:right w:w="100" w:type="dxa"/>
            </w:tcMar>
            <w:vAlign w:val="center"/>
          </w:tcPr>
          <w:p w14:paraId="51E259E2"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Dividend per Share</w:t>
            </w:r>
          </w:p>
        </w:tc>
        <w:tc>
          <w:tcPr>
            <w:tcW w:w="2200" w:type="dxa"/>
            <w:shd w:val="clear" w:color="auto" w:fill="1F3864"/>
            <w:tcMar>
              <w:top w:w="80" w:type="dxa"/>
              <w:left w:w="100" w:type="dxa"/>
              <w:bottom w:w="80" w:type="dxa"/>
              <w:right w:w="100" w:type="dxa"/>
            </w:tcMar>
            <w:vAlign w:val="center"/>
          </w:tcPr>
          <w:p w14:paraId="739F2511"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Dividend Payout</w:t>
            </w:r>
          </w:p>
        </w:tc>
      </w:tr>
      <w:tr w:rsidR="005C7E84" w:rsidRPr="00733834" w14:paraId="4630AD63" w14:textId="77777777" w:rsidTr="00901611">
        <w:trPr>
          <w:jc w:val="center"/>
        </w:trPr>
        <w:tc>
          <w:tcPr>
            <w:tcW w:w="1400" w:type="dxa"/>
            <w:tcMar>
              <w:top w:w="80" w:type="dxa"/>
              <w:left w:w="100" w:type="dxa"/>
              <w:bottom w:w="80" w:type="dxa"/>
              <w:right w:w="100" w:type="dxa"/>
            </w:tcMar>
            <w:vAlign w:val="center"/>
          </w:tcPr>
          <w:p w14:paraId="1BA3D3E4"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2022</w:t>
            </w:r>
          </w:p>
        </w:tc>
        <w:tc>
          <w:tcPr>
            <w:tcW w:w="1900" w:type="dxa"/>
            <w:tcMar>
              <w:top w:w="80" w:type="dxa"/>
              <w:left w:w="100" w:type="dxa"/>
              <w:bottom w:w="80" w:type="dxa"/>
              <w:right w:w="100" w:type="dxa"/>
            </w:tcMar>
            <w:vAlign w:val="center"/>
          </w:tcPr>
          <w:p w14:paraId="7704A59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$4.36</w:t>
            </w:r>
          </w:p>
        </w:tc>
        <w:tc>
          <w:tcPr>
            <w:tcW w:w="2400" w:type="dxa"/>
            <w:tcMar>
              <w:top w:w="80" w:type="dxa"/>
              <w:left w:w="100" w:type="dxa"/>
              <w:bottom w:w="80" w:type="dxa"/>
              <w:right w:w="100" w:type="dxa"/>
            </w:tcMar>
            <w:vAlign w:val="center"/>
          </w:tcPr>
          <w:p w14:paraId="0851BB4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$0.00</w:t>
            </w:r>
          </w:p>
        </w:tc>
        <w:tc>
          <w:tcPr>
            <w:tcW w:w="2200" w:type="dxa"/>
            <w:tcMar>
              <w:top w:w="80" w:type="dxa"/>
              <w:left w:w="100" w:type="dxa"/>
              <w:bottom w:w="80" w:type="dxa"/>
              <w:right w:w="100" w:type="dxa"/>
            </w:tcMar>
            <w:vAlign w:val="center"/>
          </w:tcPr>
          <w:p w14:paraId="428A141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w:t>
            </w:r>
          </w:p>
        </w:tc>
      </w:tr>
      <w:tr w:rsidR="005C7E84" w:rsidRPr="00733834" w14:paraId="61F60D7F" w14:textId="77777777" w:rsidTr="00901611">
        <w:trPr>
          <w:jc w:val="center"/>
        </w:trPr>
        <w:tc>
          <w:tcPr>
            <w:tcW w:w="1400" w:type="dxa"/>
            <w:shd w:val="clear" w:color="auto" w:fill="EDEDED"/>
            <w:tcMar>
              <w:top w:w="80" w:type="dxa"/>
              <w:left w:w="100" w:type="dxa"/>
              <w:bottom w:w="80" w:type="dxa"/>
              <w:right w:w="100" w:type="dxa"/>
            </w:tcMar>
            <w:vAlign w:val="center"/>
          </w:tcPr>
          <w:p w14:paraId="5478874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lastRenderedPageBreak/>
              <w:t>2023</w:t>
            </w:r>
          </w:p>
        </w:tc>
        <w:tc>
          <w:tcPr>
            <w:tcW w:w="1900" w:type="dxa"/>
            <w:shd w:val="clear" w:color="auto" w:fill="EDEDED"/>
            <w:tcMar>
              <w:top w:w="80" w:type="dxa"/>
              <w:left w:w="100" w:type="dxa"/>
              <w:bottom w:w="80" w:type="dxa"/>
              <w:right w:w="100" w:type="dxa"/>
            </w:tcMar>
            <w:vAlign w:val="center"/>
          </w:tcPr>
          <w:p w14:paraId="2EEB9B1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$4.29</w:t>
            </w:r>
          </w:p>
        </w:tc>
        <w:tc>
          <w:tcPr>
            <w:tcW w:w="2400" w:type="dxa"/>
            <w:shd w:val="clear" w:color="auto" w:fill="EDEDED"/>
            <w:tcMar>
              <w:top w:w="80" w:type="dxa"/>
              <w:left w:w="100" w:type="dxa"/>
              <w:bottom w:w="80" w:type="dxa"/>
              <w:right w:w="100" w:type="dxa"/>
            </w:tcMar>
            <w:vAlign w:val="center"/>
          </w:tcPr>
          <w:p w14:paraId="1FA9C6C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$0.60</w:t>
            </w:r>
          </w:p>
        </w:tc>
        <w:tc>
          <w:tcPr>
            <w:tcW w:w="2200" w:type="dxa"/>
            <w:shd w:val="clear" w:color="auto" w:fill="EDEDED"/>
            <w:tcMar>
              <w:top w:w="80" w:type="dxa"/>
              <w:left w:w="100" w:type="dxa"/>
              <w:bottom w:w="80" w:type="dxa"/>
              <w:right w:w="100" w:type="dxa"/>
            </w:tcMar>
            <w:vAlign w:val="center"/>
          </w:tcPr>
          <w:p w14:paraId="4F3C9391"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13.7%</w:t>
            </w:r>
          </w:p>
        </w:tc>
      </w:tr>
      <w:tr w:rsidR="005C7E84" w:rsidRPr="00733834" w14:paraId="0A6177C2" w14:textId="77777777" w:rsidTr="00901611">
        <w:trPr>
          <w:jc w:val="center"/>
        </w:trPr>
        <w:tc>
          <w:tcPr>
            <w:tcW w:w="1400" w:type="dxa"/>
            <w:tcMar>
              <w:top w:w="80" w:type="dxa"/>
              <w:left w:w="100" w:type="dxa"/>
              <w:bottom w:w="80" w:type="dxa"/>
              <w:right w:w="100" w:type="dxa"/>
            </w:tcMar>
            <w:vAlign w:val="center"/>
          </w:tcPr>
          <w:p w14:paraId="3770A99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2024</w:t>
            </w:r>
          </w:p>
        </w:tc>
        <w:tc>
          <w:tcPr>
            <w:tcW w:w="1900" w:type="dxa"/>
            <w:tcMar>
              <w:top w:w="80" w:type="dxa"/>
              <w:left w:w="100" w:type="dxa"/>
              <w:bottom w:w="80" w:type="dxa"/>
              <w:right w:w="100" w:type="dxa"/>
            </w:tcMar>
            <w:vAlign w:val="center"/>
          </w:tcPr>
          <w:p w14:paraId="7826C14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$6.14</w:t>
            </w:r>
          </w:p>
        </w:tc>
        <w:tc>
          <w:tcPr>
            <w:tcW w:w="2400" w:type="dxa"/>
            <w:tcMar>
              <w:top w:w="80" w:type="dxa"/>
              <w:left w:w="100" w:type="dxa"/>
              <w:bottom w:w="80" w:type="dxa"/>
              <w:right w:w="100" w:type="dxa"/>
            </w:tcMar>
            <w:vAlign w:val="center"/>
          </w:tcPr>
          <w:p w14:paraId="01D175D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$0.60</w:t>
            </w:r>
          </w:p>
        </w:tc>
        <w:tc>
          <w:tcPr>
            <w:tcW w:w="2200" w:type="dxa"/>
            <w:tcMar>
              <w:top w:w="80" w:type="dxa"/>
              <w:left w:w="100" w:type="dxa"/>
              <w:bottom w:w="80" w:type="dxa"/>
              <w:right w:w="100" w:type="dxa"/>
            </w:tcMar>
            <w:vAlign w:val="center"/>
          </w:tcPr>
          <w:p w14:paraId="5BA2AA0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9.7%</w:t>
            </w:r>
          </w:p>
        </w:tc>
      </w:tr>
    </w:tbl>
    <w:p w14:paraId="583C1435" w14:textId="77777777" w:rsidR="005D6463" w:rsidRPr="005D6463" w:rsidRDefault="005D6463" w:rsidP="005D6463">
      <w:pPr>
        <w:spacing w:before="240" w:line="360" w:lineRule="auto"/>
        <w:jc w:val="center"/>
        <w:rPr>
          <w:rFonts w:eastAsia="Calibri"/>
          <w:b/>
          <w:sz w:val="24"/>
        </w:rPr>
      </w:pPr>
      <w:r w:rsidRPr="005D6463">
        <w:rPr>
          <w:rFonts w:eastAsia="Calibri"/>
          <w:b/>
          <w:sz w:val="24"/>
        </w:rPr>
        <w:t>Table 7: Investment Ratios</w:t>
      </w:r>
    </w:p>
    <w:p w14:paraId="13E02114" w14:textId="77777777" w:rsidR="004352CD" w:rsidRPr="005D6463" w:rsidRDefault="004352CD" w:rsidP="005D6463">
      <w:pPr>
        <w:spacing w:before="240" w:line="360" w:lineRule="auto"/>
        <w:jc w:val="both"/>
        <w:rPr>
          <w:rFonts w:eastAsia="Calibri"/>
          <w:sz w:val="24"/>
        </w:rPr>
      </w:pPr>
      <w:r w:rsidRPr="005D6463">
        <w:rPr>
          <w:rFonts w:eastAsia="Calibri"/>
          <w:sz w:val="24"/>
        </w:rPr>
        <w:t>Hilton suspended dividends in 2020 and restored them in 2022 (since then the company has paid a regular $0.15 per share quarterly dividend, while it has been spending the majority of its cash on share buybacks, $3.0 billion of which was paid in 2024 alone, see Hilton Worldwide Holdings, 2025 press release). Diluted EPS is up $4.29 (2023) to $6.14 (2024), due to both an improvement in net income and a reduction in the number of shares outstanding</w:t>
      </w:r>
      <w:r w:rsidR="00647164" w:rsidRPr="005D6463">
        <w:rPr>
          <w:rFonts w:eastAsia="Calibri"/>
          <w:sz w:val="24"/>
        </w:rPr>
        <w:t xml:space="preserve"> </w:t>
      </w:r>
      <w:r w:rsidR="00647164" w:rsidRPr="005D6463">
        <w:rPr>
          <w:sz w:val="24"/>
        </w:rPr>
        <w:t>(Hilton Worldwide Holdings, 2025a)</w:t>
      </w:r>
      <w:r w:rsidRPr="005D6463">
        <w:rPr>
          <w:rFonts w:eastAsia="Calibri"/>
          <w:sz w:val="24"/>
        </w:rPr>
        <w:t>. The low payout ratio (below 15%) suggests that the management and investors are more interested in returning capital to shareholders via buybacks and reinvesting in the company than paying out dividends, indicating investors' high expectations of future earnings growth.</w:t>
      </w:r>
    </w:p>
    <w:p w14:paraId="1861BE5B" w14:textId="77777777" w:rsidR="005C7E84" w:rsidRPr="00733834" w:rsidRDefault="00621346" w:rsidP="007B70E3">
      <w:pPr>
        <w:pStyle w:val="Heading2"/>
      </w:pPr>
      <w:bookmarkStart w:id="9" w:name="_Toc235899857"/>
      <w:r w:rsidRPr="00733834">
        <w:t>2.8 Cash Flow Analysis</w:t>
      </w:r>
      <w:bookmarkEnd w:id="9"/>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900"/>
        <w:gridCol w:w="1900"/>
        <w:gridCol w:w="1900"/>
        <w:gridCol w:w="2100"/>
      </w:tblGrid>
      <w:tr w:rsidR="005C7E84" w:rsidRPr="00733834" w14:paraId="50F259CF" w14:textId="77777777" w:rsidTr="004352CD">
        <w:trPr>
          <w:tblHeader/>
          <w:jc w:val="center"/>
        </w:trPr>
        <w:tc>
          <w:tcPr>
            <w:tcW w:w="1200" w:type="dxa"/>
            <w:shd w:val="clear" w:color="auto" w:fill="1F3864"/>
            <w:tcMar>
              <w:top w:w="80" w:type="dxa"/>
              <w:left w:w="100" w:type="dxa"/>
              <w:bottom w:w="80" w:type="dxa"/>
              <w:right w:w="100" w:type="dxa"/>
            </w:tcMar>
            <w:vAlign w:val="center"/>
          </w:tcPr>
          <w:p w14:paraId="78D0647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Year</w:t>
            </w:r>
          </w:p>
        </w:tc>
        <w:tc>
          <w:tcPr>
            <w:tcW w:w="1900" w:type="dxa"/>
            <w:shd w:val="clear" w:color="auto" w:fill="1F3864"/>
            <w:tcMar>
              <w:top w:w="80" w:type="dxa"/>
              <w:left w:w="100" w:type="dxa"/>
              <w:bottom w:w="80" w:type="dxa"/>
              <w:right w:w="100" w:type="dxa"/>
            </w:tcMar>
            <w:vAlign w:val="center"/>
          </w:tcPr>
          <w:p w14:paraId="6DAB77BB"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Operating CF</w:t>
            </w:r>
          </w:p>
        </w:tc>
        <w:tc>
          <w:tcPr>
            <w:tcW w:w="1900" w:type="dxa"/>
            <w:shd w:val="clear" w:color="auto" w:fill="1F3864"/>
            <w:tcMar>
              <w:top w:w="80" w:type="dxa"/>
              <w:left w:w="100" w:type="dxa"/>
              <w:bottom w:w="80" w:type="dxa"/>
              <w:right w:w="100" w:type="dxa"/>
            </w:tcMar>
            <w:vAlign w:val="center"/>
          </w:tcPr>
          <w:p w14:paraId="661D31D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Investing CF</w:t>
            </w:r>
          </w:p>
        </w:tc>
        <w:tc>
          <w:tcPr>
            <w:tcW w:w="1900" w:type="dxa"/>
            <w:shd w:val="clear" w:color="auto" w:fill="1F3864"/>
            <w:tcMar>
              <w:top w:w="80" w:type="dxa"/>
              <w:left w:w="100" w:type="dxa"/>
              <w:bottom w:w="80" w:type="dxa"/>
              <w:right w:w="100" w:type="dxa"/>
            </w:tcMar>
            <w:vAlign w:val="center"/>
          </w:tcPr>
          <w:p w14:paraId="090E47D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Financing CF</w:t>
            </w:r>
          </w:p>
        </w:tc>
        <w:tc>
          <w:tcPr>
            <w:tcW w:w="2100" w:type="dxa"/>
            <w:shd w:val="clear" w:color="auto" w:fill="1F3864"/>
            <w:tcMar>
              <w:top w:w="80" w:type="dxa"/>
              <w:left w:w="100" w:type="dxa"/>
              <w:bottom w:w="80" w:type="dxa"/>
              <w:right w:w="100" w:type="dxa"/>
            </w:tcMar>
            <w:vAlign w:val="center"/>
          </w:tcPr>
          <w:p w14:paraId="03E70689" w14:textId="77777777" w:rsidR="005C7E84" w:rsidRPr="00733834" w:rsidRDefault="00621346" w:rsidP="00D575BB">
            <w:pPr>
              <w:spacing w:before="240" w:line="360" w:lineRule="auto"/>
              <w:jc w:val="both"/>
              <w:rPr>
                <w:sz w:val="24"/>
                <w:szCs w:val="24"/>
              </w:rPr>
            </w:pPr>
            <w:r w:rsidRPr="00733834">
              <w:rPr>
                <w:rFonts w:eastAsia="Calibri"/>
                <w:b/>
                <w:bCs/>
                <w:color w:val="FFFFFF"/>
                <w:sz w:val="24"/>
                <w:szCs w:val="24"/>
              </w:rPr>
              <w:t>Free Cash Flow</w:t>
            </w:r>
          </w:p>
        </w:tc>
      </w:tr>
      <w:tr w:rsidR="005C7E84" w:rsidRPr="00733834" w14:paraId="63572FC8" w14:textId="77777777" w:rsidTr="004352CD">
        <w:trPr>
          <w:jc w:val="center"/>
        </w:trPr>
        <w:tc>
          <w:tcPr>
            <w:tcW w:w="1200" w:type="dxa"/>
            <w:tcMar>
              <w:top w:w="80" w:type="dxa"/>
              <w:left w:w="100" w:type="dxa"/>
              <w:bottom w:w="80" w:type="dxa"/>
              <w:right w:w="100" w:type="dxa"/>
            </w:tcMar>
            <w:vAlign w:val="center"/>
          </w:tcPr>
          <w:p w14:paraId="7C6C423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2021</w:t>
            </w:r>
          </w:p>
        </w:tc>
        <w:tc>
          <w:tcPr>
            <w:tcW w:w="1900" w:type="dxa"/>
            <w:tcMar>
              <w:top w:w="80" w:type="dxa"/>
              <w:left w:w="100" w:type="dxa"/>
              <w:bottom w:w="80" w:type="dxa"/>
              <w:right w:w="100" w:type="dxa"/>
            </w:tcMar>
            <w:vAlign w:val="center"/>
          </w:tcPr>
          <w:p w14:paraId="60347CDC"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109</w:t>
            </w:r>
          </w:p>
        </w:tc>
        <w:tc>
          <w:tcPr>
            <w:tcW w:w="1900" w:type="dxa"/>
            <w:tcMar>
              <w:top w:w="80" w:type="dxa"/>
              <w:left w:w="100" w:type="dxa"/>
              <w:bottom w:w="80" w:type="dxa"/>
              <w:right w:w="100" w:type="dxa"/>
            </w:tcMar>
            <w:vAlign w:val="center"/>
          </w:tcPr>
          <w:p w14:paraId="58A6F82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(57)</w:t>
            </w:r>
          </w:p>
        </w:tc>
        <w:tc>
          <w:tcPr>
            <w:tcW w:w="1900" w:type="dxa"/>
            <w:tcMar>
              <w:top w:w="80" w:type="dxa"/>
              <w:left w:w="100" w:type="dxa"/>
              <w:bottom w:w="80" w:type="dxa"/>
              <w:right w:w="100" w:type="dxa"/>
            </w:tcMar>
            <w:vAlign w:val="center"/>
          </w:tcPr>
          <w:p w14:paraId="188A25FE"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(1,791)</w:t>
            </w:r>
          </w:p>
        </w:tc>
        <w:tc>
          <w:tcPr>
            <w:tcW w:w="2100" w:type="dxa"/>
            <w:tcMar>
              <w:top w:w="80" w:type="dxa"/>
              <w:left w:w="100" w:type="dxa"/>
              <w:bottom w:w="80" w:type="dxa"/>
              <w:right w:w="100" w:type="dxa"/>
            </w:tcMar>
            <w:vAlign w:val="center"/>
          </w:tcPr>
          <w:p w14:paraId="06E03B7F"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30</w:t>
            </w:r>
          </w:p>
        </w:tc>
      </w:tr>
      <w:tr w:rsidR="005C7E84" w:rsidRPr="00733834" w14:paraId="1E1E8C50" w14:textId="77777777" w:rsidTr="004352CD">
        <w:trPr>
          <w:jc w:val="center"/>
        </w:trPr>
        <w:tc>
          <w:tcPr>
            <w:tcW w:w="1200" w:type="dxa"/>
            <w:shd w:val="clear" w:color="auto" w:fill="EDEDED"/>
            <w:tcMar>
              <w:top w:w="80" w:type="dxa"/>
              <w:left w:w="100" w:type="dxa"/>
              <w:bottom w:w="80" w:type="dxa"/>
              <w:right w:w="100" w:type="dxa"/>
            </w:tcMar>
            <w:vAlign w:val="center"/>
          </w:tcPr>
          <w:p w14:paraId="22D0F1C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2022</w:t>
            </w:r>
          </w:p>
        </w:tc>
        <w:tc>
          <w:tcPr>
            <w:tcW w:w="1900" w:type="dxa"/>
            <w:shd w:val="clear" w:color="auto" w:fill="EDEDED"/>
            <w:tcMar>
              <w:top w:w="80" w:type="dxa"/>
              <w:left w:w="100" w:type="dxa"/>
              <w:bottom w:w="80" w:type="dxa"/>
              <w:right w:w="100" w:type="dxa"/>
            </w:tcMar>
            <w:vAlign w:val="center"/>
          </w:tcPr>
          <w:p w14:paraId="44D87599"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1,681</w:t>
            </w:r>
          </w:p>
        </w:tc>
        <w:tc>
          <w:tcPr>
            <w:tcW w:w="1900" w:type="dxa"/>
            <w:shd w:val="clear" w:color="auto" w:fill="EDEDED"/>
            <w:tcMar>
              <w:top w:w="80" w:type="dxa"/>
              <w:left w:w="100" w:type="dxa"/>
              <w:bottom w:w="80" w:type="dxa"/>
              <w:right w:w="100" w:type="dxa"/>
            </w:tcMar>
            <w:vAlign w:val="center"/>
          </w:tcPr>
          <w:p w14:paraId="3F2456A8"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(123)</w:t>
            </w:r>
          </w:p>
        </w:tc>
        <w:tc>
          <w:tcPr>
            <w:tcW w:w="1900" w:type="dxa"/>
            <w:shd w:val="clear" w:color="auto" w:fill="EDEDED"/>
            <w:tcMar>
              <w:top w:w="80" w:type="dxa"/>
              <w:left w:w="100" w:type="dxa"/>
              <w:bottom w:w="80" w:type="dxa"/>
              <w:right w:w="100" w:type="dxa"/>
            </w:tcMar>
            <w:vAlign w:val="center"/>
          </w:tcPr>
          <w:p w14:paraId="701D505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(1,760)</w:t>
            </w:r>
          </w:p>
        </w:tc>
        <w:tc>
          <w:tcPr>
            <w:tcW w:w="2100" w:type="dxa"/>
            <w:shd w:val="clear" w:color="auto" w:fill="EDEDED"/>
            <w:tcMar>
              <w:top w:w="80" w:type="dxa"/>
              <w:left w:w="100" w:type="dxa"/>
              <w:bottom w:w="80" w:type="dxa"/>
              <w:right w:w="100" w:type="dxa"/>
            </w:tcMar>
            <w:vAlign w:val="center"/>
          </w:tcPr>
          <w:p w14:paraId="2F9FBCE6"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1,579</w:t>
            </w:r>
          </w:p>
        </w:tc>
      </w:tr>
      <w:tr w:rsidR="005C7E84" w:rsidRPr="00733834" w14:paraId="1FB0540B" w14:textId="77777777" w:rsidTr="004352CD">
        <w:trPr>
          <w:jc w:val="center"/>
        </w:trPr>
        <w:tc>
          <w:tcPr>
            <w:tcW w:w="1200" w:type="dxa"/>
            <w:tcMar>
              <w:top w:w="80" w:type="dxa"/>
              <w:left w:w="100" w:type="dxa"/>
              <w:bottom w:w="80" w:type="dxa"/>
              <w:right w:w="100" w:type="dxa"/>
            </w:tcMar>
            <w:vAlign w:val="center"/>
          </w:tcPr>
          <w:p w14:paraId="14F99AD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2023</w:t>
            </w:r>
          </w:p>
        </w:tc>
        <w:tc>
          <w:tcPr>
            <w:tcW w:w="1900" w:type="dxa"/>
            <w:tcMar>
              <w:top w:w="80" w:type="dxa"/>
              <w:left w:w="100" w:type="dxa"/>
              <w:bottom w:w="80" w:type="dxa"/>
              <w:right w:w="100" w:type="dxa"/>
            </w:tcMar>
            <w:vAlign w:val="center"/>
          </w:tcPr>
          <w:p w14:paraId="46B6631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1,946</w:t>
            </w:r>
          </w:p>
        </w:tc>
        <w:tc>
          <w:tcPr>
            <w:tcW w:w="1900" w:type="dxa"/>
            <w:tcMar>
              <w:top w:w="80" w:type="dxa"/>
              <w:left w:w="100" w:type="dxa"/>
              <w:bottom w:w="80" w:type="dxa"/>
              <w:right w:w="100" w:type="dxa"/>
            </w:tcMar>
            <w:vAlign w:val="center"/>
          </w:tcPr>
          <w:p w14:paraId="5E04C85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(305)</w:t>
            </w:r>
          </w:p>
        </w:tc>
        <w:tc>
          <w:tcPr>
            <w:tcW w:w="1900" w:type="dxa"/>
            <w:tcMar>
              <w:top w:w="80" w:type="dxa"/>
              <w:left w:w="100" w:type="dxa"/>
              <w:bottom w:w="80" w:type="dxa"/>
              <w:right w:w="100" w:type="dxa"/>
            </w:tcMar>
            <w:vAlign w:val="center"/>
          </w:tcPr>
          <w:p w14:paraId="7886A105"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(2,040)</w:t>
            </w:r>
          </w:p>
        </w:tc>
        <w:tc>
          <w:tcPr>
            <w:tcW w:w="2100" w:type="dxa"/>
            <w:tcMar>
              <w:top w:w="80" w:type="dxa"/>
              <w:left w:w="100" w:type="dxa"/>
              <w:bottom w:w="80" w:type="dxa"/>
              <w:right w:w="100" w:type="dxa"/>
            </w:tcMar>
            <w:vAlign w:val="center"/>
          </w:tcPr>
          <w:p w14:paraId="5FDC40D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1,704</w:t>
            </w:r>
          </w:p>
        </w:tc>
      </w:tr>
      <w:tr w:rsidR="005C7E84" w:rsidRPr="00733834" w14:paraId="67A18D12" w14:textId="77777777" w:rsidTr="004352CD">
        <w:trPr>
          <w:jc w:val="center"/>
        </w:trPr>
        <w:tc>
          <w:tcPr>
            <w:tcW w:w="1200" w:type="dxa"/>
            <w:shd w:val="clear" w:color="auto" w:fill="EDEDED"/>
            <w:tcMar>
              <w:top w:w="80" w:type="dxa"/>
              <w:left w:w="100" w:type="dxa"/>
              <w:bottom w:w="80" w:type="dxa"/>
              <w:right w:w="100" w:type="dxa"/>
            </w:tcMar>
            <w:vAlign w:val="center"/>
          </w:tcPr>
          <w:p w14:paraId="4A94FEF7"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2024</w:t>
            </w:r>
          </w:p>
        </w:tc>
        <w:tc>
          <w:tcPr>
            <w:tcW w:w="1900" w:type="dxa"/>
            <w:shd w:val="clear" w:color="auto" w:fill="EDEDED"/>
            <w:tcMar>
              <w:top w:w="80" w:type="dxa"/>
              <w:left w:w="100" w:type="dxa"/>
              <w:bottom w:w="80" w:type="dxa"/>
              <w:right w:w="100" w:type="dxa"/>
            </w:tcMar>
            <w:vAlign w:val="center"/>
          </w:tcPr>
          <w:p w14:paraId="510622D2"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2,010</w:t>
            </w:r>
          </w:p>
        </w:tc>
        <w:tc>
          <w:tcPr>
            <w:tcW w:w="1900" w:type="dxa"/>
            <w:shd w:val="clear" w:color="auto" w:fill="EDEDED"/>
            <w:tcMar>
              <w:top w:w="80" w:type="dxa"/>
              <w:left w:w="100" w:type="dxa"/>
              <w:bottom w:w="80" w:type="dxa"/>
              <w:right w:w="100" w:type="dxa"/>
            </w:tcMar>
            <w:vAlign w:val="center"/>
          </w:tcPr>
          <w:p w14:paraId="7372AB0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(446)</w:t>
            </w:r>
          </w:p>
        </w:tc>
        <w:tc>
          <w:tcPr>
            <w:tcW w:w="1900" w:type="dxa"/>
            <w:shd w:val="clear" w:color="auto" w:fill="EDEDED"/>
            <w:tcMar>
              <w:top w:w="80" w:type="dxa"/>
              <w:left w:w="100" w:type="dxa"/>
              <w:bottom w:w="80" w:type="dxa"/>
              <w:right w:w="100" w:type="dxa"/>
            </w:tcMar>
            <w:vAlign w:val="center"/>
          </w:tcPr>
          <w:p w14:paraId="1117219A"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(1,040)</w:t>
            </w:r>
          </w:p>
        </w:tc>
        <w:tc>
          <w:tcPr>
            <w:tcW w:w="2100" w:type="dxa"/>
            <w:shd w:val="clear" w:color="auto" w:fill="EDEDED"/>
            <w:tcMar>
              <w:top w:w="80" w:type="dxa"/>
              <w:left w:w="100" w:type="dxa"/>
              <w:bottom w:w="80" w:type="dxa"/>
              <w:right w:w="100" w:type="dxa"/>
            </w:tcMar>
            <w:vAlign w:val="center"/>
          </w:tcPr>
          <w:p w14:paraId="3F70DB80" w14:textId="77777777" w:rsidR="005C7E84" w:rsidRPr="00733834" w:rsidRDefault="00621346" w:rsidP="00D575BB">
            <w:pPr>
              <w:spacing w:before="240" w:line="360" w:lineRule="auto"/>
              <w:jc w:val="both"/>
              <w:rPr>
                <w:sz w:val="24"/>
                <w:szCs w:val="24"/>
              </w:rPr>
            </w:pPr>
            <w:r w:rsidRPr="00733834">
              <w:rPr>
                <w:rFonts w:eastAsia="Calibri"/>
                <w:color w:val="000000"/>
                <w:sz w:val="24"/>
                <w:szCs w:val="24"/>
              </w:rPr>
              <w:t>1,823</w:t>
            </w:r>
          </w:p>
        </w:tc>
      </w:tr>
    </w:tbl>
    <w:p w14:paraId="3BADE7FF" w14:textId="77777777" w:rsidR="005D6463" w:rsidRPr="005D6463" w:rsidRDefault="005D6463" w:rsidP="005D6463">
      <w:pPr>
        <w:spacing w:before="240" w:after="160" w:line="360" w:lineRule="auto"/>
        <w:jc w:val="center"/>
        <w:rPr>
          <w:b/>
          <w:sz w:val="24"/>
          <w:szCs w:val="24"/>
        </w:rPr>
      </w:pPr>
      <w:r w:rsidRPr="005D6463">
        <w:rPr>
          <w:b/>
          <w:sz w:val="24"/>
          <w:szCs w:val="24"/>
        </w:rPr>
        <w:t>Table 8: Cash Flow Analysis</w:t>
      </w:r>
    </w:p>
    <w:p w14:paraId="19A9F02A" w14:textId="77777777" w:rsidR="004352CD" w:rsidRPr="00733834" w:rsidRDefault="004352CD" w:rsidP="00D575BB">
      <w:pPr>
        <w:spacing w:before="240" w:after="160" w:line="360" w:lineRule="auto"/>
        <w:jc w:val="both"/>
        <w:rPr>
          <w:sz w:val="24"/>
          <w:szCs w:val="24"/>
        </w:rPr>
      </w:pPr>
      <w:r w:rsidRPr="004352CD">
        <w:rPr>
          <w:sz w:val="24"/>
          <w:szCs w:val="24"/>
        </w:rPr>
        <w:t xml:space="preserve">Operating cash flow bounced back to a pandemic low of $109 million (2021) to $2.01 billion (2024) as it improved consistently and surpasses net income, indicating excellent underlying cash conversion. The asset-light model is reflected in modest and rising investing outflows, primarily capital expenditure and </w:t>
      </w:r>
      <w:r w:rsidRPr="004352CD">
        <w:rPr>
          <w:sz w:val="24"/>
          <w:szCs w:val="24"/>
        </w:rPr>
        <w:lastRenderedPageBreak/>
        <w:t>capitalised software</w:t>
      </w:r>
      <w:r w:rsidR="00647164">
        <w:rPr>
          <w:sz w:val="24"/>
          <w:szCs w:val="24"/>
        </w:rPr>
        <w:t xml:space="preserve"> (Hilton Worldwide Holdings, </w:t>
      </w:r>
      <w:r w:rsidR="00647164" w:rsidRPr="00463A9F">
        <w:rPr>
          <w:sz w:val="24"/>
          <w:szCs w:val="24"/>
        </w:rPr>
        <w:t>2025a)</w:t>
      </w:r>
      <w:r w:rsidRPr="004352CD">
        <w:rPr>
          <w:sz w:val="24"/>
          <w:szCs w:val="24"/>
        </w:rPr>
        <w:t>. Financing activities have continually been negative as Hilton has been issuing new debt financing to finance large share repurchases and (since 2022) dividends using free cash flow. The $1.82 billion of free cash flow in 2024 exceeds the needs of both capital investment and shareholder returns, ensuring that Hilton has sufficient resources generated internally to sustain network growth without the need to turn to external equity markets for financing</w:t>
      </w:r>
      <w:r w:rsidR="00782847">
        <w:rPr>
          <w:sz w:val="24"/>
          <w:szCs w:val="24"/>
        </w:rPr>
        <w:t xml:space="preserve"> (Hilton Worldwide Holdings, </w:t>
      </w:r>
      <w:r w:rsidR="00782847" w:rsidRPr="00463A9F">
        <w:rPr>
          <w:sz w:val="24"/>
          <w:szCs w:val="24"/>
        </w:rPr>
        <w:t>2025a)</w:t>
      </w:r>
      <w:r w:rsidRPr="004352CD">
        <w:rPr>
          <w:sz w:val="24"/>
          <w:szCs w:val="24"/>
        </w:rPr>
        <w:t>.</w:t>
      </w:r>
    </w:p>
    <w:p w14:paraId="276F3C86" w14:textId="77777777" w:rsidR="005C7E84" w:rsidRPr="00733834" w:rsidRDefault="001E07CB" w:rsidP="001E07CB">
      <w:pPr>
        <w:pStyle w:val="Heading2"/>
      </w:pPr>
      <w:bookmarkStart w:id="10" w:name="_Toc235899858"/>
      <w:r>
        <w:t xml:space="preserve">2.9 </w:t>
      </w:r>
      <w:r w:rsidR="00621346" w:rsidRPr="00733834">
        <w:t>Key Findings</w:t>
      </w:r>
      <w:bookmarkEnd w:id="10"/>
    </w:p>
    <w:p w14:paraId="71719C2C" w14:textId="77777777" w:rsidR="004352CD" w:rsidRDefault="004352CD" w:rsidP="00D575BB">
      <w:pPr>
        <w:spacing w:before="240" w:after="80" w:line="360" w:lineRule="auto"/>
        <w:jc w:val="both"/>
        <w:rPr>
          <w:rFonts w:eastAsia="Calibri"/>
          <w:sz w:val="24"/>
          <w:szCs w:val="24"/>
        </w:rPr>
      </w:pPr>
      <w:r w:rsidRPr="004352CD">
        <w:rPr>
          <w:rFonts w:eastAsia="Calibri"/>
          <w:sz w:val="24"/>
          <w:szCs w:val="24"/>
        </w:rPr>
        <w:t>High and improving profitability (13.8% net marg</w:t>
      </w:r>
      <w:r>
        <w:rPr>
          <w:rFonts w:eastAsia="Calibri"/>
          <w:sz w:val="24"/>
          <w:szCs w:val="24"/>
        </w:rPr>
        <w:t>in; 89.9% gross margin in 2024) are</w:t>
      </w:r>
      <w:r w:rsidRPr="004352CD">
        <w:rPr>
          <w:rFonts w:eastAsia="Calibri"/>
          <w:sz w:val="24"/>
          <w:szCs w:val="24"/>
        </w:rPr>
        <w:t xml:space="preserve"> strong free cash flow generation ($1.8bn); negative cash conversion cycle, as a result of an efficient, capital-light franchise model. The negative stockholders' equity and the current ratio that's below 1.0x since 2022 is caused by buybacks financed with debt, not poor operations</w:t>
      </w:r>
      <w:r w:rsidR="00647164">
        <w:rPr>
          <w:rFonts w:eastAsia="Calibri"/>
          <w:sz w:val="24"/>
          <w:szCs w:val="24"/>
        </w:rPr>
        <w:t xml:space="preserve"> </w:t>
      </w:r>
      <w:r w:rsidR="00647164">
        <w:rPr>
          <w:sz w:val="24"/>
          <w:szCs w:val="24"/>
        </w:rPr>
        <w:t xml:space="preserve">(Hilton Worldwide Holdings, </w:t>
      </w:r>
      <w:r w:rsidR="00647164" w:rsidRPr="00463A9F">
        <w:rPr>
          <w:sz w:val="24"/>
          <w:szCs w:val="24"/>
        </w:rPr>
        <w:t>2025a)</w:t>
      </w:r>
      <w:r w:rsidRPr="004352CD">
        <w:rPr>
          <w:rFonts w:eastAsia="Calibri"/>
          <w:sz w:val="24"/>
          <w:szCs w:val="24"/>
        </w:rPr>
        <w:t>. More leverage and more interest expense</w:t>
      </w:r>
      <w:r>
        <w:rPr>
          <w:rFonts w:eastAsia="Calibri"/>
          <w:sz w:val="24"/>
          <w:szCs w:val="24"/>
        </w:rPr>
        <w:t xml:space="preserve"> is</w:t>
      </w:r>
      <w:r w:rsidRPr="004352CD">
        <w:rPr>
          <w:rFonts w:eastAsia="Calibri"/>
          <w:sz w:val="24"/>
          <w:szCs w:val="24"/>
        </w:rPr>
        <w:t xml:space="preserve"> in a higher interest rate; more sensitivity to macroeconomic shocks and travel demand, as highlighted dramatically in 2020. The expansion of global pipelines (close to 500,000 rooms are under construction as of 2024) and the additional margin increase via the high fee, low capit</w:t>
      </w:r>
      <w:r w:rsidR="00782847">
        <w:rPr>
          <w:rFonts w:eastAsia="Calibri"/>
          <w:sz w:val="24"/>
          <w:szCs w:val="24"/>
        </w:rPr>
        <w:t xml:space="preserve">al franchise model are observed </w:t>
      </w:r>
      <w:r w:rsidR="00782847">
        <w:rPr>
          <w:sz w:val="24"/>
          <w:szCs w:val="24"/>
        </w:rPr>
        <w:t xml:space="preserve">(Hilton Worldwide Holdings, </w:t>
      </w:r>
      <w:r w:rsidR="00782847" w:rsidRPr="00463A9F">
        <w:rPr>
          <w:sz w:val="24"/>
          <w:szCs w:val="24"/>
        </w:rPr>
        <w:t>2025a)</w:t>
      </w:r>
      <w:r w:rsidR="00782847">
        <w:rPr>
          <w:sz w:val="24"/>
          <w:szCs w:val="24"/>
        </w:rPr>
        <w:t>.</w:t>
      </w:r>
    </w:p>
    <w:p w14:paraId="2E81265E" w14:textId="77777777" w:rsidR="00D36C16" w:rsidRPr="004352CD" w:rsidRDefault="000C496D" w:rsidP="005D6463">
      <w:pPr>
        <w:pStyle w:val="Heading1"/>
      </w:pPr>
      <w:bookmarkStart w:id="11" w:name="_Toc235899859"/>
      <w:r w:rsidRPr="004352CD">
        <w:t xml:space="preserve">3. </w:t>
      </w:r>
      <w:r w:rsidR="00D36C16" w:rsidRPr="004352CD">
        <w:t>Working Capital Management Analysis</w:t>
      </w:r>
      <w:bookmarkEnd w:id="11"/>
      <w:r w:rsidR="00D36C16" w:rsidRPr="004352CD">
        <w:t xml:space="preserve"> </w:t>
      </w:r>
    </w:p>
    <w:p w14:paraId="2BA9AAA8" w14:textId="77777777" w:rsidR="00D36C16" w:rsidRPr="004352CD" w:rsidRDefault="004352CD" w:rsidP="005D6463">
      <w:pPr>
        <w:pStyle w:val="Heading2"/>
      </w:pPr>
      <w:bookmarkStart w:id="12" w:name="_Toc235899860"/>
      <w:r>
        <w:t xml:space="preserve">a. </w:t>
      </w:r>
      <w:r w:rsidR="00D36C16" w:rsidRPr="004352CD">
        <w:t>Cash operating cycle</w:t>
      </w:r>
      <w:bookmarkEnd w:id="12"/>
    </w:p>
    <w:p w14:paraId="2704C5F3" w14:textId="77777777" w:rsidR="004352CD" w:rsidRDefault="004352CD" w:rsidP="00D575BB">
      <w:pPr>
        <w:spacing w:before="240" w:line="360" w:lineRule="auto"/>
        <w:jc w:val="both"/>
        <w:rPr>
          <w:sz w:val="24"/>
        </w:rPr>
      </w:pPr>
      <w:r w:rsidRPr="004352CD">
        <w:rPr>
          <w:sz w:val="24"/>
        </w:rPr>
        <w:t xml:space="preserve">The cash operating cycle equals payable days plus inventory days minus receivable days and indicates the number of days that elapse from paying suppliers to receiving cash from customers. The relationship among working capital, firm performance and hospitality firms is identified in the hospitality literature as non-linear and inverted U-shaped such that both under-investment and over-investment of WC can negatively affect the returns of the firm; particularly, this relationship holds true in the accommodation and food service sectors (Chambers and </w:t>
      </w:r>
      <w:proofErr w:type="spellStart"/>
      <w:r w:rsidRPr="004352CD">
        <w:rPr>
          <w:sz w:val="24"/>
        </w:rPr>
        <w:t>Cifter</w:t>
      </w:r>
      <w:proofErr w:type="spellEnd"/>
      <w:r w:rsidRPr="004352CD">
        <w:rPr>
          <w:sz w:val="24"/>
        </w:rPr>
        <w:t xml:space="preserve">, 2022). Inventory days is effectively zero because Hilton is an asset light, fee based franchise. Receivables days are decreasing slightly and are at 51.7 days in 2024, which indicates quicker collections from hotel owners and franchisees, while payable days are slightly down from 98.9 days in 2021 to 69.4 days in 2024 as the deferrals of payments during the pandemic era are now normalising (Hilton Worldwide Holdings, 2025 Annual Report). </w:t>
      </w:r>
    </w:p>
    <w:p w14:paraId="7D2AC9B9" w14:textId="77777777" w:rsidR="004352CD" w:rsidRDefault="004352CD" w:rsidP="00D575BB">
      <w:pPr>
        <w:spacing w:before="240" w:line="360" w:lineRule="auto"/>
        <w:jc w:val="both"/>
        <w:rPr>
          <w:sz w:val="24"/>
        </w:rPr>
      </w:pPr>
      <w:r w:rsidRPr="004352CD">
        <w:rPr>
          <w:sz w:val="24"/>
        </w:rPr>
        <w:t xml:space="preserve">The resulting cash operating cycle is structurally negative over the period, as Hilton are able to generate cash from franchise, management and loyalty programme activity prior to paying its own suppliers and </w:t>
      </w:r>
      <w:r w:rsidRPr="004352CD">
        <w:rPr>
          <w:sz w:val="24"/>
        </w:rPr>
        <w:lastRenderedPageBreak/>
        <w:t xml:space="preserve">hotel owner partners, a recent study found to be associated with better working capital efficiency and less dependency on external short term funding sources (Habib and </w:t>
      </w:r>
      <w:proofErr w:type="spellStart"/>
      <w:r w:rsidRPr="004352CD">
        <w:rPr>
          <w:sz w:val="24"/>
        </w:rPr>
        <w:t>Dalwai</w:t>
      </w:r>
      <w:proofErr w:type="spellEnd"/>
      <w:r w:rsidRPr="004352CD">
        <w:rPr>
          <w:sz w:val="24"/>
        </w:rPr>
        <w:t>, 2023). The negative cycle has become shorter from negative 31.6 days in the first quarter of 2020 to negative 17.7 days in the first quarter of 2021, which is a normalisation of the collection and payment process since the pandemic, rather than a decline in efficiency.</w:t>
      </w:r>
    </w:p>
    <w:p w14:paraId="6D89C53A" w14:textId="77777777" w:rsidR="00D36C16" w:rsidRPr="004352CD" w:rsidRDefault="004352CD" w:rsidP="005D6463">
      <w:pPr>
        <w:pStyle w:val="Heading2"/>
      </w:pPr>
      <w:bookmarkStart w:id="13" w:name="_Toc235899861"/>
      <w:r>
        <w:t xml:space="preserve">b. </w:t>
      </w:r>
      <w:r w:rsidR="00D36C16" w:rsidRPr="004352CD">
        <w:t>Strategies to improve liquidity</w:t>
      </w:r>
      <w:bookmarkEnd w:id="13"/>
    </w:p>
    <w:p w14:paraId="59602832" w14:textId="77777777" w:rsidR="004352CD" w:rsidRDefault="004352CD" w:rsidP="00D575BB">
      <w:pPr>
        <w:spacing w:before="240" w:line="360" w:lineRule="auto"/>
        <w:jc w:val="both"/>
        <w:rPr>
          <w:sz w:val="24"/>
        </w:rPr>
      </w:pPr>
      <w:r w:rsidRPr="004352CD">
        <w:rPr>
          <w:sz w:val="24"/>
        </w:rPr>
        <w:t xml:space="preserve">There are a number of short-term working capital improvements that could enhance Hilton's short term position. CFO level management of receivables has been found to have a significant impact on working capital results; the more experienced the CFO is in the industry, the tighter the discipline of receivables and payables, which would help to tighten the credit terms and automate the invoicing of receivables and payables in Hilton's franchised and owned accounts and shorten the current receivables cycle of 51.7 days (Hu, Bhuiyan and </w:t>
      </w:r>
      <w:proofErr w:type="spellStart"/>
      <w:r w:rsidRPr="004352CD">
        <w:rPr>
          <w:sz w:val="24"/>
        </w:rPr>
        <w:t>Houqe</w:t>
      </w:r>
      <w:proofErr w:type="spellEnd"/>
      <w:r w:rsidRPr="004352CD">
        <w:rPr>
          <w:sz w:val="24"/>
        </w:rPr>
        <w:t>, 2023). Partnering with technology, marketing and procurement companies to renegotiate the terms with suppliers and vendors would maintain the good negative cash cycle without affecting relationships. Having digital payment systems on the reservation and loyalty system would help to accelerate cash flow from guests and Corporate Customers and also help provide better forecasting accuracy. Hilton's treasury should consider RevPAR fully recovering in the range of 94-121 percent of 2019 levels by late 2023, with a range of performance across the globe that should be incorporated into rolling forecasts (STR, 2025). In the smaller owned and leased sector, inventory optimisation is still relevant, even if it is not a factor in the fee based model.</w:t>
      </w:r>
    </w:p>
    <w:p w14:paraId="58F2F62E" w14:textId="77777777" w:rsidR="00D36C16" w:rsidRPr="004352CD" w:rsidRDefault="004352CD" w:rsidP="005D6463">
      <w:pPr>
        <w:pStyle w:val="Heading2"/>
      </w:pPr>
      <w:bookmarkStart w:id="14" w:name="_Toc235899862"/>
      <w:r w:rsidRPr="004352CD">
        <w:t xml:space="preserve">c. </w:t>
      </w:r>
      <w:r w:rsidR="00D36C16" w:rsidRPr="004352CD">
        <w:t>Short term versus long term financing</w:t>
      </w:r>
      <w:bookmarkEnd w:id="14"/>
    </w:p>
    <w:p w14:paraId="7BDB31C0" w14:textId="77777777" w:rsidR="004352CD" w:rsidRDefault="004352CD" w:rsidP="00D575BB">
      <w:pPr>
        <w:spacing w:before="240" w:line="360" w:lineRule="auto"/>
        <w:jc w:val="both"/>
        <w:rPr>
          <w:sz w:val="24"/>
        </w:rPr>
      </w:pPr>
      <w:r w:rsidRPr="004352CD">
        <w:rPr>
          <w:sz w:val="24"/>
        </w:rPr>
        <w:t>Hilton has flexible liquidity through bank loans and revolving credit facilities which are useful in the short term, but carry the risk of floating rates and renewal. If the market continues to be available, then commercial paper might be used in conjunction with this</w:t>
      </w:r>
      <w:r w:rsidR="00782847">
        <w:rPr>
          <w:sz w:val="24"/>
        </w:rPr>
        <w:t xml:space="preserve"> </w:t>
      </w:r>
      <w:r w:rsidR="00782847">
        <w:rPr>
          <w:sz w:val="24"/>
          <w:szCs w:val="24"/>
        </w:rPr>
        <w:t xml:space="preserve">(Hilton Worldwide Holdings, </w:t>
      </w:r>
      <w:r w:rsidR="00782847" w:rsidRPr="00463A9F">
        <w:rPr>
          <w:sz w:val="24"/>
          <w:szCs w:val="24"/>
        </w:rPr>
        <w:t>2025a)</w:t>
      </w:r>
      <w:r w:rsidRPr="004352CD">
        <w:rPr>
          <w:sz w:val="24"/>
        </w:rPr>
        <w:t xml:space="preserve">. Hilton has generally been funding its acquisition strategy through corporate bond issues, which have increased its leverage and interest expenses; for companies with longer time horizons, the research in capital structure indicates that leverage has a positive effect on company value for a financially sound firm, but the return diminishes and eventually turns negative as leverage increases, matching Hilton's own trajectory of rising leverage </w:t>
      </w:r>
      <w:r>
        <w:rPr>
          <w:sz w:val="24"/>
        </w:rPr>
        <w:t>and falling interest coverage (</w:t>
      </w:r>
      <w:r w:rsidRPr="004352CD">
        <w:rPr>
          <w:sz w:val="24"/>
        </w:rPr>
        <w:t xml:space="preserve">Chen, 2024). The public share issue is on hold but is not in line with the buyback strategy followed by Hilton and will dilute existing shareholders. In general, the short term facilities are appropriate for day to day liquidity requirements, and the long term </w:t>
      </w:r>
      <w:r w:rsidRPr="004352CD">
        <w:rPr>
          <w:sz w:val="24"/>
        </w:rPr>
        <w:lastRenderedPageBreak/>
        <w:t>fixed rate debt is appropriate for the structural multiyear financing requirements, such as buyback funding, to avoid risks of rollover on core operations.</w:t>
      </w:r>
    </w:p>
    <w:p w14:paraId="23109A4C" w14:textId="77777777" w:rsidR="00D36C16" w:rsidRPr="004352CD" w:rsidRDefault="00901611" w:rsidP="005D6463">
      <w:pPr>
        <w:pStyle w:val="Heading1"/>
      </w:pPr>
      <w:bookmarkStart w:id="15" w:name="_Toc235899863"/>
      <w:r w:rsidRPr="004352CD">
        <w:t xml:space="preserve">4. </w:t>
      </w:r>
      <w:r w:rsidR="00D36C16" w:rsidRPr="004352CD">
        <w:t>Strategic Financial Restructuring Plan</w:t>
      </w:r>
      <w:bookmarkEnd w:id="15"/>
      <w:r w:rsidR="00D36C16" w:rsidRPr="004352CD">
        <w:t xml:space="preserve"> </w:t>
      </w:r>
    </w:p>
    <w:p w14:paraId="4EFC1FB6" w14:textId="77777777" w:rsidR="00D36C16" w:rsidRPr="004352CD" w:rsidRDefault="005D6463" w:rsidP="005D6463">
      <w:pPr>
        <w:pStyle w:val="Heading2"/>
      </w:pPr>
      <w:bookmarkStart w:id="16" w:name="_Toc235899864"/>
      <w:r>
        <w:t xml:space="preserve">a. </w:t>
      </w:r>
      <w:r w:rsidR="00D36C16" w:rsidRPr="004352CD">
        <w:t>Restructuring options</w:t>
      </w:r>
      <w:bookmarkEnd w:id="16"/>
    </w:p>
    <w:p w14:paraId="39597B9C" w14:textId="77777777" w:rsidR="005D6463" w:rsidRDefault="004352CD" w:rsidP="00D575BB">
      <w:pPr>
        <w:spacing w:before="240" w:line="360" w:lineRule="auto"/>
        <w:jc w:val="both"/>
        <w:rPr>
          <w:sz w:val="24"/>
        </w:rPr>
      </w:pPr>
      <w:r w:rsidRPr="004352CD">
        <w:rPr>
          <w:sz w:val="24"/>
        </w:rPr>
        <w:t xml:space="preserve">With Hilton's consistent fee cash flows, a balanced restructuring plan should include an extended debt maturity structure and a more diversified debt profile with more long dated, fixed rate senior notes, while minimizing the refinancing risk without merely reducing total debt. Hospitality debt studies indicate that financial leverage benefits the hospitality industry or the cost efficiency of the operations until the time of debt service, when it becomes value destructive (Chen and Zhao, 2023; Park and Kim, 2022), with longer maturities and more synchronized debt financing and cash flow times having a stronger positive impact on financial performance (Osei and Boateng, 2023; Kalima, </w:t>
      </w:r>
      <w:proofErr w:type="spellStart"/>
      <w:r w:rsidRPr="004352CD">
        <w:rPr>
          <w:sz w:val="24"/>
        </w:rPr>
        <w:t>Mwachikoka</w:t>
      </w:r>
      <w:proofErr w:type="spellEnd"/>
      <w:r w:rsidRPr="004352CD">
        <w:rPr>
          <w:sz w:val="24"/>
        </w:rPr>
        <w:t xml:space="preserve"> and </w:t>
      </w:r>
      <w:proofErr w:type="spellStart"/>
      <w:r w:rsidRPr="004352CD">
        <w:rPr>
          <w:sz w:val="24"/>
        </w:rPr>
        <w:t>Habazoka</w:t>
      </w:r>
      <w:proofErr w:type="spellEnd"/>
      <w:r w:rsidRPr="004352CD">
        <w:rPr>
          <w:sz w:val="24"/>
        </w:rPr>
        <w:t xml:space="preserve">, 2026). </w:t>
      </w:r>
    </w:p>
    <w:p w14:paraId="38E7D821" w14:textId="77777777" w:rsidR="004352CD" w:rsidRDefault="004352CD" w:rsidP="00D575BB">
      <w:pPr>
        <w:spacing w:before="240" w:line="360" w:lineRule="auto"/>
        <w:jc w:val="both"/>
        <w:rPr>
          <w:sz w:val="24"/>
        </w:rPr>
      </w:pPr>
      <w:r w:rsidRPr="004352CD">
        <w:rPr>
          <w:sz w:val="24"/>
        </w:rPr>
        <w:t>A public share issue in the context of dilution cost is not recommended but a temporary slowdown in buybacks will act as an equity strengthening measure. It would speed up the transition to a pure fee based model and free up capital for debt reduction, as capital structure research indicates that the leverage-performances curve is not linear, but rather asymmetric and firm specific; therefore, restructuring should be designed to suit Hilton's own cash flow situation versus a general target for leverage (Nikhil et al., 2024). A formal buyback review, which would tie re-purchase speed to leverage covenants, would allay the market fears and on</w:t>
      </w:r>
      <w:r>
        <w:rPr>
          <w:sz w:val="24"/>
        </w:rPr>
        <w:t>-</w:t>
      </w:r>
      <w:r w:rsidRPr="004352CD">
        <w:rPr>
          <w:sz w:val="24"/>
        </w:rPr>
        <w:t>going digital investment coupled with a shift to Asia would diversify Hilton's revenue mix.</w:t>
      </w:r>
    </w:p>
    <w:p w14:paraId="315B3644" w14:textId="77777777" w:rsidR="00D36C16" w:rsidRPr="004352CD" w:rsidRDefault="005D6463" w:rsidP="005D6463">
      <w:pPr>
        <w:pStyle w:val="Heading2"/>
      </w:pPr>
      <w:bookmarkStart w:id="17" w:name="_Toc235899865"/>
      <w:r>
        <w:t xml:space="preserve">b. </w:t>
      </w:r>
      <w:r w:rsidR="00D36C16" w:rsidRPr="004352CD">
        <w:t>Impact on shareholders, debt and flexibility</w:t>
      </w:r>
      <w:bookmarkEnd w:id="17"/>
    </w:p>
    <w:p w14:paraId="133DA519" w14:textId="77777777" w:rsidR="004352CD" w:rsidRPr="000664BC" w:rsidRDefault="004352CD" w:rsidP="00D575BB">
      <w:pPr>
        <w:spacing w:before="240" w:line="360" w:lineRule="auto"/>
        <w:jc w:val="both"/>
        <w:rPr>
          <w:sz w:val="24"/>
        </w:rPr>
      </w:pPr>
      <w:r w:rsidRPr="004352CD">
        <w:rPr>
          <w:sz w:val="24"/>
        </w:rPr>
        <w:t>These would have differing impact on stakeholders. Shareholder value is likely to be enhanced in the medium term, as a modest and covenant linked slowdown in buybacks would depress near term EPS growth but should benefit the valuation multiple; sentiment surrounding pay</w:t>
      </w:r>
      <w:r>
        <w:rPr>
          <w:sz w:val="24"/>
        </w:rPr>
        <w:t>-</w:t>
      </w:r>
      <w:r w:rsidRPr="004352CD">
        <w:rPr>
          <w:sz w:val="24"/>
        </w:rPr>
        <w:t xml:space="preserve">out announcements is itself a key factor in driving near term share price reaction (Álvarez-Díez et al., 2024), so a credible and covenant linked framework should be communicated carefully to avoid being misread as weakness. Debt reduction through divestiture proceeds and disciplined buybacks would help the equity deficit to shrink slowly to 1.05-1.10x debt to asset and disciplined and predictable buyback and dividend policies are more effective at reducing volatility in stock price and increasing confidence over the long term in </w:t>
      </w:r>
      <w:r w:rsidRPr="004352CD">
        <w:rPr>
          <w:sz w:val="24"/>
        </w:rPr>
        <w:lastRenderedPageBreak/>
        <w:t>the market (Ali Taher and Al-</w:t>
      </w:r>
      <w:proofErr w:type="spellStart"/>
      <w:r w:rsidRPr="004352CD">
        <w:rPr>
          <w:sz w:val="24"/>
        </w:rPr>
        <w:t>Shboul</w:t>
      </w:r>
      <w:proofErr w:type="spellEnd"/>
      <w:r w:rsidRPr="004352CD">
        <w:rPr>
          <w:sz w:val="24"/>
        </w:rPr>
        <w:t>, 2023). The financial flexibility would be boosted and would provide Hilton with some breathing space in the event of a demand shock such as 2020.</w:t>
      </w:r>
    </w:p>
    <w:p w14:paraId="3EF3741E" w14:textId="77777777" w:rsidR="00D36C16" w:rsidRPr="004352CD" w:rsidRDefault="005D6463" w:rsidP="005D6463">
      <w:pPr>
        <w:pStyle w:val="Heading2"/>
      </w:pPr>
      <w:bookmarkStart w:id="18" w:name="_Toc235899866"/>
      <w:r>
        <w:t xml:space="preserve">c. </w:t>
      </w:r>
      <w:r w:rsidR="00D36C16" w:rsidRPr="004352CD">
        <w:t>International and ethical considerations</w:t>
      </w:r>
      <w:bookmarkEnd w:id="18"/>
    </w:p>
    <w:p w14:paraId="1CBA7A0B" w14:textId="77777777" w:rsidR="00782847" w:rsidRDefault="004352CD" w:rsidP="00D575BB">
      <w:pPr>
        <w:spacing w:before="240" w:line="360" w:lineRule="auto"/>
        <w:jc w:val="both"/>
        <w:rPr>
          <w:sz w:val="24"/>
        </w:rPr>
      </w:pPr>
      <w:r w:rsidRPr="004352CD">
        <w:rPr>
          <w:sz w:val="24"/>
        </w:rPr>
        <w:t xml:space="preserve">The currency risk is also present as Hilton's fee revenue would need to be converted into USD in order to be recorded in their financial books. The material currency exposure is higher for multinational hospitality and lodging companies that have foreign sales ratios that are higher, but operational hedging and franchising structures have been found to decrease this exposure significantly (Akbar and Mishra, 2023; </w:t>
      </w:r>
      <w:proofErr w:type="spellStart"/>
      <w:r w:rsidRPr="004352CD">
        <w:rPr>
          <w:sz w:val="24"/>
        </w:rPr>
        <w:t>Alaryani</w:t>
      </w:r>
      <w:proofErr w:type="spellEnd"/>
      <w:r w:rsidRPr="004352CD">
        <w:rPr>
          <w:sz w:val="24"/>
        </w:rPr>
        <w:t xml:space="preserve"> et al., 2024), complementing Hilton's current approach of relying on an "operational hedge" in new markets in Asia by holding a multitude of franchising agreements. </w:t>
      </w:r>
    </w:p>
    <w:p w14:paraId="38E8B4FD" w14:textId="77777777" w:rsidR="004352CD" w:rsidRDefault="004352CD" w:rsidP="00D575BB">
      <w:pPr>
        <w:spacing w:before="240" w:line="360" w:lineRule="auto"/>
        <w:jc w:val="both"/>
        <w:rPr>
          <w:sz w:val="24"/>
        </w:rPr>
      </w:pPr>
      <w:r w:rsidRPr="004352CD">
        <w:rPr>
          <w:sz w:val="24"/>
        </w:rPr>
        <w:t xml:space="preserve">Transfer pricing and the tax regime considerations of the various companies are brought up in cross-border operations. Regarding CSR and ESG, restructuring should be aligned with Hilton's sustainability goals, with willingness to pay for CSR initiatives among guests being highest when CSR is managed strategically, not as an add-on; links between CSR and financial performance of tourism and hospitality firms are becoming stronger over time, but are inconsistently measured and reported (Kuokkanen and Sun, 2024; Lee, Yeon and Song, 2023; </w:t>
      </w:r>
      <w:proofErr w:type="spellStart"/>
      <w:r w:rsidRPr="004352CD">
        <w:rPr>
          <w:sz w:val="24"/>
        </w:rPr>
        <w:t>Korca</w:t>
      </w:r>
      <w:proofErr w:type="spellEnd"/>
      <w:r w:rsidRPr="004352CD">
        <w:rPr>
          <w:sz w:val="24"/>
        </w:rPr>
        <w:t>, Costa and Bouten, 2023). Hilton should thus develop any divest and restructuring actions in accordance with credible and comparable ESG reporting frameworks instead of fragmented disclosure, which is identified as common throughout the hospitality industry (</w:t>
      </w:r>
      <w:proofErr w:type="spellStart"/>
      <w:r w:rsidRPr="004352CD">
        <w:rPr>
          <w:sz w:val="24"/>
        </w:rPr>
        <w:t>Guix</w:t>
      </w:r>
      <w:proofErr w:type="spellEnd"/>
      <w:r w:rsidRPr="004352CD">
        <w:rPr>
          <w:sz w:val="24"/>
        </w:rPr>
        <w:t xml:space="preserve"> and Petry, 2024).</w:t>
      </w:r>
    </w:p>
    <w:p w14:paraId="52742234" w14:textId="77777777" w:rsidR="005D6463" w:rsidRDefault="004352CD" w:rsidP="005D6463">
      <w:pPr>
        <w:pStyle w:val="Heading1"/>
      </w:pPr>
      <w:bookmarkStart w:id="19" w:name="_Toc235899867"/>
      <w:r>
        <w:t xml:space="preserve">5. </w:t>
      </w:r>
      <w:r w:rsidR="00987BAC" w:rsidRPr="004352CD">
        <w:t>Investment Appraisal and Capital Budgeting</w:t>
      </w:r>
      <w:bookmarkEnd w:id="19"/>
      <w:r w:rsidR="00987BAC" w:rsidRPr="004352CD">
        <w:t xml:space="preserve"> </w:t>
      </w:r>
    </w:p>
    <w:p w14:paraId="4C510BFE" w14:textId="77777777" w:rsidR="004352CD" w:rsidRPr="000664BC" w:rsidRDefault="004352CD" w:rsidP="00D575BB">
      <w:pPr>
        <w:spacing w:before="240" w:line="360" w:lineRule="auto"/>
        <w:jc w:val="both"/>
        <w:rPr>
          <w:sz w:val="24"/>
        </w:rPr>
      </w:pPr>
      <w:r w:rsidRPr="004352CD">
        <w:rPr>
          <w:sz w:val="24"/>
        </w:rPr>
        <w:t>The initial capital investment is 50 million pounds for each project, the project will be appraised with an 8 percent discount rate for 5 years, and the depreciation will be calculated as a straight line to 0, so the ARR will have 10 million pounds a year. All five techniques are used in the same manner across Projects A, B and C, thereby basing the recommendation on a like for like basis rather than any one metric.</w:t>
      </w:r>
    </w:p>
    <w:p w14:paraId="5C45E6B7" w14:textId="77777777" w:rsidR="00987BAC" w:rsidRPr="004352CD" w:rsidRDefault="005D6463" w:rsidP="005D6463">
      <w:pPr>
        <w:pStyle w:val="Heading2"/>
      </w:pPr>
      <w:bookmarkStart w:id="20" w:name="_Toc235899868"/>
      <w:r>
        <w:t xml:space="preserve">a. </w:t>
      </w:r>
      <w:r w:rsidR="00987BAC" w:rsidRPr="004352CD">
        <w:t>Payback period</w:t>
      </w:r>
      <w:bookmarkEnd w:id="20"/>
    </w:p>
    <w:p w14:paraId="00B0D35A" w14:textId="77777777" w:rsidR="004352CD" w:rsidRPr="000664BC" w:rsidRDefault="004352CD" w:rsidP="00D575BB">
      <w:pPr>
        <w:spacing w:before="240" w:line="360" w:lineRule="auto"/>
        <w:jc w:val="both"/>
        <w:rPr>
          <w:sz w:val="24"/>
        </w:rPr>
      </w:pPr>
      <w:r w:rsidRPr="004352CD">
        <w:rPr>
          <w:sz w:val="24"/>
        </w:rPr>
        <w:t xml:space="preserve">The investment for Project A is recovered in 4.5 years, for Project B in 4.55 years and for Project C in 3.6 years. Although considering the time value of money and cash flows beyond the cut-off point, the payback period is one of the most popular first screens for analysis, as it is easy to communicate and </w:t>
      </w:r>
      <w:r w:rsidRPr="004352CD">
        <w:rPr>
          <w:sz w:val="24"/>
        </w:rPr>
        <w:lastRenderedPageBreak/>
        <w:t>provides a sense of intuitive risk exposure (Sinaga et al., 2023). Project C has the highest annual inflows in years 3 and 4, so this project will pay back quickest. A quick return on investment also protects a business like Hilton, which is in a cyclical industry, from a significant drop in RevPAR like the one Hilton experienced during the pandemic in 2020. On this measure alone it is Project C that is preferred, but never discounting is ignored.</w:t>
      </w:r>
    </w:p>
    <w:p w14:paraId="1AA8C125" w14:textId="77777777" w:rsidR="00987BAC" w:rsidRPr="004352CD" w:rsidRDefault="005D6463" w:rsidP="005D6463">
      <w:pPr>
        <w:pStyle w:val="Heading2"/>
      </w:pPr>
      <w:bookmarkStart w:id="21" w:name="_Toc235899869"/>
      <w:r>
        <w:t xml:space="preserve">b. </w:t>
      </w:r>
      <w:r w:rsidR="00987BAC" w:rsidRPr="004352CD">
        <w:t>Accounting rate of return</w:t>
      </w:r>
      <w:bookmarkEnd w:id="21"/>
    </w:p>
    <w:p w14:paraId="57066AAE" w14:textId="77777777" w:rsidR="004352CD" w:rsidRPr="005D6463" w:rsidRDefault="004352CD" w:rsidP="00D575BB">
      <w:pPr>
        <w:spacing w:before="240" w:line="360" w:lineRule="auto"/>
        <w:jc w:val="both"/>
        <w:rPr>
          <w:sz w:val="24"/>
        </w:rPr>
      </w:pPr>
      <w:r w:rsidRPr="004352CD">
        <w:rPr>
          <w:sz w:val="24"/>
        </w:rPr>
        <w:t>Project A shows an average accounting profit of 3.2 percent on average investment of 25 million pounds, while project B shows an accounting profit of 4.0 percent on average investment of 25 million pounds, and project C shows an accounting profit of 12.0 percent on average investment of 25 million pounds. Project C has a higher ARR due to the greater inflows in the project, in this case the total undiscounted inflows is 65 million pounds compared to 54 million pounds in Project A and 55 million pounds in Project B. Payback is also an accounting profit-based measure and it also considers a selected and somewhat arbitrary depreciation charge and does not take into account the discounting of cash flows or any other measure, and therefore, ARR should be used in addition to the discounted measures that follow, and not as a replacement (Sinaga et al., 2023). The advantage of ARR is that it can be compared to Hilton's current return on assets, which is 9.3 percent as reported in its Section 2. Projects A and B would reduce Hilton's asset efficiency, while Projects A and B will increase it.</w:t>
      </w:r>
    </w:p>
    <w:p w14:paraId="2C376A12" w14:textId="77777777" w:rsidR="00987BAC" w:rsidRPr="004352CD" w:rsidRDefault="00987BAC" w:rsidP="00D575BB">
      <w:pPr>
        <w:spacing w:before="240" w:line="360" w:lineRule="auto"/>
        <w:jc w:val="both"/>
        <w:rPr>
          <w:b/>
          <w:sz w:val="24"/>
        </w:rPr>
      </w:pPr>
      <w:r w:rsidRPr="004352CD">
        <w:rPr>
          <w:b/>
          <w:sz w:val="24"/>
        </w:rPr>
        <w:t>Net present value</w:t>
      </w:r>
    </w:p>
    <w:p w14:paraId="64ECF008" w14:textId="77777777" w:rsidR="004352CD" w:rsidRPr="000664BC" w:rsidRDefault="004352CD" w:rsidP="00D575BB">
      <w:pPr>
        <w:spacing w:before="240" w:line="360" w:lineRule="auto"/>
        <w:jc w:val="both"/>
        <w:rPr>
          <w:sz w:val="24"/>
        </w:rPr>
      </w:pPr>
      <w:r w:rsidRPr="004352CD">
        <w:rPr>
          <w:sz w:val="24"/>
        </w:rPr>
        <w:t>If the discount rate for each cash flow is 8 percent, then the NPV of Project A is minus 6.54 million pounds, the NPV of Project B is minus 6.08 million pounds, and the NPV of Project C is plus 0.86 million pounds. The NPV is widely considered as the most theoretically sound criterion in a reasonably certain environment as far as the discount rate is concerned because it directly measures the incremental gain in shareholder wealth in present value terms in the currency units of the outlay (Sokolov, 2023). While both Project A and Project B have positive cash inflows, the board must consider the time value of money: Project C creates value at the assumed cost of capital (8 percent), whereas Projects A and B destroy value once the time value of money is taken into account.</w:t>
      </w:r>
    </w:p>
    <w:p w14:paraId="70C14549" w14:textId="77777777" w:rsidR="00987BAC" w:rsidRPr="004352CD" w:rsidRDefault="00987BAC" w:rsidP="00D575BB">
      <w:pPr>
        <w:spacing w:before="240" w:line="360" w:lineRule="auto"/>
        <w:jc w:val="both"/>
        <w:rPr>
          <w:b/>
          <w:sz w:val="24"/>
        </w:rPr>
      </w:pPr>
      <w:r w:rsidRPr="004352CD">
        <w:rPr>
          <w:b/>
          <w:sz w:val="24"/>
        </w:rPr>
        <w:t>Profitability index</w:t>
      </w:r>
    </w:p>
    <w:p w14:paraId="418BEE51" w14:textId="77777777" w:rsidR="00BA3781" w:rsidRPr="000664BC" w:rsidRDefault="00BA3781" w:rsidP="00D575BB">
      <w:pPr>
        <w:spacing w:before="240" w:line="360" w:lineRule="auto"/>
        <w:jc w:val="both"/>
        <w:rPr>
          <w:sz w:val="24"/>
        </w:rPr>
      </w:pPr>
      <w:r w:rsidRPr="00BA3781">
        <w:rPr>
          <w:sz w:val="24"/>
        </w:rPr>
        <w:t xml:space="preserve">The profitability index for project A is 0.87, project B is 0.88 and project C is 1.02, indicating that project C is the only project where the discounted returns are greater than the cost of capital. The </w:t>
      </w:r>
      <w:r w:rsidRPr="00BA3781">
        <w:rPr>
          <w:sz w:val="24"/>
        </w:rPr>
        <w:lastRenderedPageBreak/>
        <w:t>profitability index is especially valuable when capital is limited, as in the current case, when limited capital of 100 million pounds is to be allocated between competing projects, and not just by absolute NPV (Sokolov, 2023). The NPV ranking is similar here, since all three projects were invested for the same amount of pounds (50 million pounds), but in future rounds, the NPV would be the deciding factor when considering projects of different size.</w:t>
      </w:r>
    </w:p>
    <w:p w14:paraId="30426960" w14:textId="77777777" w:rsidR="00987BAC" w:rsidRPr="00BA3781" w:rsidRDefault="00987BAC" w:rsidP="00D575BB">
      <w:pPr>
        <w:spacing w:before="240" w:line="360" w:lineRule="auto"/>
        <w:jc w:val="both"/>
        <w:rPr>
          <w:b/>
          <w:sz w:val="24"/>
        </w:rPr>
      </w:pPr>
      <w:r w:rsidRPr="00BA3781">
        <w:rPr>
          <w:b/>
          <w:sz w:val="24"/>
        </w:rPr>
        <w:t>Internal rate of return</w:t>
      </w:r>
    </w:p>
    <w:p w14:paraId="7ED15A71" w14:textId="77777777" w:rsidR="00BA3781" w:rsidRPr="000664BC" w:rsidRDefault="00BA3781" w:rsidP="00D575BB">
      <w:pPr>
        <w:spacing w:before="240" w:line="360" w:lineRule="auto"/>
        <w:jc w:val="both"/>
        <w:rPr>
          <w:sz w:val="24"/>
        </w:rPr>
      </w:pPr>
      <w:r w:rsidRPr="00BA3781">
        <w:rPr>
          <w:sz w:val="24"/>
        </w:rPr>
        <w:t xml:space="preserve">The signal was confirmed by the IRRs: Project C (8.59 percent) is the only one that surpasses the required IRR of 8 percent set by Hilton; Projects A and B </w:t>
      </w:r>
      <w:r w:rsidR="005D6463" w:rsidRPr="00BA3781">
        <w:rPr>
          <w:sz w:val="24"/>
        </w:rPr>
        <w:t>has</w:t>
      </w:r>
      <w:r w:rsidRPr="00BA3781">
        <w:rPr>
          <w:sz w:val="24"/>
        </w:rPr>
        <w:t xml:space="preserve"> IRRs of 2.72 percent and 3.26 percent, respectively. Some practitioners prefer IRR because it results in a single percentage return that can be compared on projects of any scale, but can be misleading for projects when the cash flow pattern is not conventional; this is not a problem here because there is only one sign change (Sokolov, 2023). The agreement of IRR, NPV and PI in this case, all recommending Project C, provides confidence in the recommendation, as when the results of any two are inconsistent, further investigation is warranted.</w:t>
      </w:r>
    </w:p>
    <w:p w14:paraId="4087A7B2" w14:textId="77777777" w:rsidR="00987BAC" w:rsidRPr="00BA3781" w:rsidRDefault="00847EF0" w:rsidP="005D6463">
      <w:pPr>
        <w:pStyle w:val="Heading2"/>
      </w:pPr>
      <w:bookmarkStart w:id="22" w:name="_Toc235899870"/>
      <w:r>
        <w:t>c</w:t>
      </w:r>
      <w:r w:rsidR="005D6463">
        <w:t xml:space="preserve">. </w:t>
      </w:r>
      <w:r w:rsidR="00987BAC" w:rsidRPr="00BA3781">
        <w:t>Recommendation</w:t>
      </w:r>
      <w:bookmarkEnd w:id="22"/>
    </w:p>
    <w:p w14:paraId="2F39413D" w14:textId="77777777" w:rsidR="00BA3781" w:rsidRDefault="00BA3781" w:rsidP="00D575BB">
      <w:pPr>
        <w:spacing w:before="240" w:line="360" w:lineRule="auto"/>
        <w:jc w:val="both"/>
        <w:rPr>
          <w:sz w:val="24"/>
        </w:rPr>
      </w:pPr>
      <w:r w:rsidRPr="00BA3781">
        <w:rPr>
          <w:sz w:val="24"/>
        </w:rPr>
        <w:t xml:space="preserve">There is no conflict between the techniques that needs to be resolved given the following: On every discounted measure (NPV, PI and IRR), and on both of the undiscounted measures (payback and ARR), Project C is clearly better. Project C's cash flow profile is low in year one and year five, and high in years three and four, which is typical of a phased hotel development or major renovation programme, whereby early years are absorbed by construction and ramp up costs, the middle years are when the asset sees peak demand as it is stabilised, and the final year represents a mature, more competitive trading environment. </w:t>
      </w:r>
    </w:p>
    <w:p w14:paraId="42889860" w14:textId="77777777" w:rsidR="00BA3781" w:rsidRPr="000664BC" w:rsidRDefault="00BA3781" w:rsidP="00D575BB">
      <w:pPr>
        <w:spacing w:before="240" w:line="360" w:lineRule="auto"/>
        <w:jc w:val="both"/>
        <w:rPr>
          <w:sz w:val="24"/>
        </w:rPr>
      </w:pPr>
      <w:r w:rsidRPr="00BA3781">
        <w:rPr>
          <w:sz w:val="24"/>
        </w:rPr>
        <w:t>If it is a new international market, especially in the Greater China region, then there is some political or regulatory risk involved in such a project, and if there is a lag in occupancy as compared to the projections, there is some execution risk also. Hilton's net margin has been improving, from the negative 16.7 percent in 2020 to 13.8 percent in 2024, and the liquidity backstop mentioned in Section 2 means that Hilton is in a strong position to manage that execution risk without compromising its overall balance sheet</w:t>
      </w:r>
      <w:r w:rsidR="00782847">
        <w:rPr>
          <w:sz w:val="24"/>
        </w:rPr>
        <w:t xml:space="preserve"> </w:t>
      </w:r>
      <w:r w:rsidR="00782847">
        <w:rPr>
          <w:sz w:val="24"/>
          <w:szCs w:val="24"/>
        </w:rPr>
        <w:t xml:space="preserve">(Hilton Worldwide Holdings, </w:t>
      </w:r>
      <w:r w:rsidR="00782847" w:rsidRPr="00463A9F">
        <w:rPr>
          <w:sz w:val="24"/>
          <w:szCs w:val="24"/>
        </w:rPr>
        <w:t>2025a)</w:t>
      </w:r>
      <w:r w:rsidRPr="00BA3781">
        <w:rPr>
          <w:sz w:val="24"/>
        </w:rPr>
        <w:t xml:space="preserve">. Another benefit of the 211 million Hilton Honors users is their ability to ramp up demand for a new or renovated property faster than an unbranded competitor, as customer loyalty programmes have been proven to draw existing loyal guests to new </w:t>
      </w:r>
      <w:r w:rsidRPr="00BA3781">
        <w:rPr>
          <w:sz w:val="24"/>
        </w:rPr>
        <w:lastRenderedPageBreak/>
        <w:t>properties the day they open (Han, 2024). The appraisal, combined with these non-financial factors, strongly supports Project C.</w:t>
      </w:r>
    </w:p>
    <w:p w14:paraId="0D4A8534" w14:textId="77777777" w:rsidR="00987BAC" w:rsidRPr="00BA3781" w:rsidRDefault="00847EF0" w:rsidP="005D6463">
      <w:pPr>
        <w:pStyle w:val="Heading2"/>
      </w:pPr>
      <w:bookmarkStart w:id="23" w:name="_Toc235899871"/>
      <w:r>
        <w:t>d</w:t>
      </w:r>
      <w:r w:rsidR="005D6463">
        <w:t xml:space="preserve">. </w:t>
      </w:r>
      <w:r w:rsidR="00987BAC" w:rsidRPr="00BA3781">
        <w:t>Capital rationing</w:t>
      </w:r>
      <w:bookmarkEnd w:id="23"/>
    </w:p>
    <w:p w14:paraId="7EE4C5B2" w14:textId="77777777" w:rsidR="00BA3781" w:rsidRDefault="00BA3781" w:rsidP="00D575BB">
      <w:pPr>
        <w:spacing w:before="240" w:line="360" w:lineRule="auto"/>
        <w:jc w:val="both"/>
        <w:rPr>
          <w:sz w:val="24"/>
        </w:rPr>
      </w:pPr>
      <w:r w:rsidRPr="00BA3781">
        <w:rPr>
          <w:sz w:val="24"/>
        </w:rPr>
        <w:t>Each project costs 50 million pounds, and the combined funding of two of the three projects is limited to 100 million pounds. The combined NPV of Projects A and B is negative 12.62 million pounds, while the combined NPV of Projects A and C is negative 5.69 million pounds, and the combined NPV of Projects B and C is negative 5.22 million pounds</w:t>
      </w:r>
      <w:r w:rsidR="00782847">
        <w:rPr>
          <w:sz w:val="24"/>
        </w:rPr>
        <w:t xml:space="preserve"> </w:t>
      </w:r>
      <w:r w:rsidR="00782847">
        <w:rPr>
          <w:sz w:val="24"/>
          <w:szCs w:val="24"/>
        </w:rPr>
        <w:t xml:space="preserve">(Hilton Worldwide Holdings, </w:t>
      </w:r>
      <w:r w:rsidR="00782847" w:rsidRPr="00463A9F">
        <w:rPr>
          <w:sz w:val="24"/>
          <w:szCs w:val="24"/>
        </w:rPr>
        <w:t>2025a)</w:t>
      </w:r>
      <w:r w:rsidRPr="00BA3781">
        <w:rPr>
          <w:sz w:val="24"/>
        </w:rPr>
        <w:t xml:space="preserve">. No two </w:t>
      </w:r>
      <w:r w:rsidR="00B93B0C" w:rsidRPr="00BA3781">
        <w:rPr>
          <w:sz w:val="24"/>
        </w:rPr>
        <w:t>combinations</w:t>
      </w:r>
      <w:r w:rsidRPr="00BA3781">
        <w:rPr>
          <w:sz w:val="24"/>
        </w:rPr>
        <w:t xml:space="preserve"> is a value creating project, since the only value creating project is Project C alone and combining it with A or B provides a value destroying project in addition to a value creating project. The usual method of dealing with capital rationing is to evaluate projects in order of their profitability index, which is the ratio of project value to the number of pounds of scarce capital that are used in the project (Sinaga et al., 2023). </w:t>
      </w:r>
    </w:p>
    <w:p w14:paraId="29814B81" w14:textId="77777777" w:rsidR="00BA3781" w:rsidRPr="000664BC" w:rsidRDefault="00BA3781" w:rsidP="00D575BB">
      <w:pPr>
        <w:spacing w:before="240" w:line="360" w:lineRule="auto"/>
        <w:jc w:val="both"/>
        <w:rPr>
          <w:sz w:val="24"/>
        </w:rPr>
      </w:pPr>
      <w:r w:rsidRPr="00BA3781">
        <w:rPr>
          <w:sz w:val="24"/>
        </w:rPr>
        <w:t>If that applies to the current situation, then the logical course of action is to spend only 50 million pounds on Project C, and to consciously refrain from spending the remaining 50 million pounds on this one particular group of three projects, but instead on the debt maturity extension and buyback discipline discussed in Section 4, to create the opportunity to spend it elsewhere. This represents an important principle, namely that capital rationing decisions must be based on the value creation per project, rather than the level of capital deployment, as the latter will not deliver value to the shareholders but will just be part of the budget.</w:t>
      </w:r>
    </w:p>
    <w:p w14:paraId="603A67DB" w14:textId="77777777" w:rsidR="00D36C16" w:rsidRPr="00BA3781" w:rsidRDefault="00BA3781" w:rsidP="00847EF0">
      <w:pPr>
        <w:pStyle w:val="Heading1"/>
      </w:pPr>
      <w:bookmarkStart w:id="24" w:name="_Toc235899872"/>
      <w:r w:rsidRPr="00BA3781">
        <w:t>6</w:t>
      </w:r>
      <w:r w:rsidR="00901611" w:rsidRPr="00BA3781">
        <w:t xml:space="preserve">. </w:t>
      </w:r>
      <w:r w:rsidR="00D36C16" w:rsidRPr="00BA3781">
        <w:t>Critical Reflection on AI Usage</w:t>
      </w:r>
      <w:bookmarkEnd w:id="24"/>
      <w:r w:rsidR="00D36C16" w:rsidRPr="00BA3781">
        <w:t xml:space="preserve"> </w:t>
      </w:r>
    </w:p>
    <w:p w14:paraId="3BAF2E27" w14:textId="77777777" w:rsidR="00B93B0C" w:rsidRPr="00847EF0" w:rsidRDefault="00D36C16" w:rsidP="00D575BB">
      <w:pPr>
        <w:spacing w:before="240" w:line="360" w:lineRule="auto"/>
        <w:jc w:val="both"/>
        <w:rPr>
          <w:b/>
          <w:sz w:val="24"/>
        </w:rPr>
      </w:pPr>
      <w:r w:rsidRPr="00BA3781">
        <w:rPr>
          <w:b/>
          <w:sz w:val="24"/>
        </w:rPr>
        <w:t>Tool disclosure</w:t>
      </w:r>
      <w:r w:rsidR="00847EF0">
        <w:rPr>
          <w:b/>
          <w:sz w:val="24"/>
        </w:rPr>
        <w:t xml:space="preserve">: </w:t>
      </w:r>
      <w:r w:rsidR="00B93B0C" w:rsidRPr="00B93B0C">
        <w:rPr>
          <w:sz w:val="24"/>
        </w:rPr>
        <w:t>I have utilized AI and productivity tools to prepare this assignment, as outlined in the AI use acknowledgement in this assessment. For organization, the assistance of an AI was invoked to help me organize sections, write explanatory text around financial ratios, and find formulas that I checked for myself. All quantitative calculations were performed in Microsoft Excel and formulas were handcrafted to allow for results to be traced and audited. The software used was only Grammar and Clarity, which is called “Grammarly”. Any final numbers provided in the financial section were provided without being generated using AI tools, but were verified against primary sources.</w:t>
      </w:r>
    </w:p>
    <w:p w14:paraId="4A8A4FBB" w14:textId="77777777" w:rsidR="00B93B0C" w:rsidRPr="00847EF0" w:rsidRDefault="00D36C16" w:rsidP="00D575BB">
      <w:pPr>
        <w:spacing w:before="240" w:line="360" w:lineRule="auto"/>
        <w:jc w:val="both"/>
        <w:rPr>
          <w:b/>
          <w:sz w:val="24"/>
        </w:rPr>
      </w:pPr>
      <w:r w:rsidRPr="00B93B0C">
        <w:rPr>
          <w:b/>
          <w:sz w:val="24"/>
        </w:rPr>
        <w:t>Critical evaluation of AI output</w:t>
      </w:r>
      <w:r w:rsidR="00847EF0">
        <w:rPr>
          <w:b/>
          <w:sz w:val="24"/>
        </w:rPr>
        <w:t xml:space="preserve">: </w:t>
      </w:r>
      <w:r w:rsidR="00B93B0C" w:rsidRPr="00B93B0C">
        <w:rPr>
          <w:sz w:val="24"/>
        </w:rPr>
        <w:t xml:space="preserve">All figures created using AI tools have been verified against the sources, with primary sources being Hilton's Annual Report and Form 10-K reports. If there is AI </w:t>
      </w:r>
      <w:r w:rsidR="00B93B0C" w:rsidRPr="00B93B0C">
        <w:rPr>
          <w:sz w:val="24"/>
        </w:rPr>
        <w:lastRenderedPageBreak/>
        <w:t>conflict with primary filings, I relied on the primary source definition and ignored the AI-generated information. This step was deemed non-negotiable, even though generative AI algorithms are known to make up references and financial details at significant rates, even up to 20 percent for some large language models and much higher for others (2025 review of AI in financial decision making), and forecasting research in financial accounting also points to hallucination and explainability gaps as constant, unsolved dangers of AI financial output (</w:t>
      </w:r>
      <w:proofErr w:type="spellStart"/>
      <w:r w:rsidR="00B93B0C" w:rsidRPr="00B93B0C">
        <w:rPr>
          <w:sz w:val="24"/>
        </w:rPr>
        <w:t>Kureljusic</w:t>
      </w:r>
      <w:proofErr w:type="spellEnd"/>
      <w:r w:rsidR="00B93B0C" w:rsidRPr="00B93B0C">
        <w:rPr>
          <w:sz w:val="24"/>
        </w:rPr>
        <w:t xml:space="preserve"> and Karger, 2023).</w:t>
      </w:r>
    </w:p>
    <w:p w14:paraId="3721904D" w14:textId="77777777" w:rsidR="00B93B0C" w:rsidRPr="00847EF0" w:rsidRDefault="00D36C16" w:rsidP="00D575BB">
      <w:pPr>
        <w:spacing w:before="240" w:line="360" w:lineRule="auto"/>
        <w:jc w:val="both"/>
        <w:rPr>
          <w:b/>
          <w:sz w:val="24"/>
        </w:rPr>
      </w:pPr>
      <w:r w:rsidRPr="00B93B0C">
        <w:rPr>
          <w:b/>
          <w:sz w:val="24"/>
        </w:rPr>
        <w:t>Contribution analysis</w:t>
      </w:r>
      <w:r w:rsidR="00847EF0">
        <w:rPr>
          <w:b/>
          <w:sz w:val="24"/>
        </w:rPr>
        <w:t xml:space="preserve">: </w:t>
      </w:r>
      <w:r w:rsidR="00B93B0C" w:rsidRPr="00B93B0C">
        <w:rPr>
          <w:sz w:val="24"/>
        </w:rPr>
        <w:t>AI contributions were mostly generative and structural, outlining the structure of paragraphs, recommending ratio formulas, and suggesting potential restructuring options as a preliminary list to respond to. My role was evaluative, and my contribution was evident and was to source and verify all of the primary financial data, build and test the Excel model, and create the final analysis, interpretation and conclusions.</w:t>
      </w:r>
    </w:p>
    <w:p w14:paraId="1DA9ABDF" w14:textId="77777777" w:rsidR="00B93B0C" w:rsidRPr="00847EF0" w:rsidRDefault="00D36C16" w:rsidP="00D575BB">
      <w:pPr>
        <w:spacing w:before="240" w:line="360" w:lineRule="auto"/>
        <w:jc w:val="both"/>
        <w:rPr>
          <w:b/>
          <w:sz w:val="24"/>
        </w:rPr>
      </w:pPr>
      <w:r w:rsidRPr="00B93B0C">
        <w:rPr>
          <w:b/>
          <w:sz w:val="24"/>
        </w:rPr>
        <w:t>Ethical and professional reflection</w:t>
      </w:r>
      <w:r w:rsidR="00847EF0">
        <w:rPr>
          <w:b/>
          <w:sz w:val="24"/>
        </w:rPr>
        <w:t xml:space="preserve">: </w:t>
      </w:r>
      <w:r w:rsidR="00B93B0C" w:rsidRPr="00B93B0C">
        <w:rPr>
          <w:sz w:val="24"/>
        </w:rPr>
        <w:t>Being aware of bias, as AI training data can be skewed towards certain markets, I looked at figures based on disclosures from Hilton and not generalisations. Only public company data was utilised and there was no real concern about privacy. My own financial judgement still played a key role because the AI tool provides me with options and the final recommendations are my responsibility, and my financial judgement is the one that is responsible for the recommendations, not the AI.</w:t>
      </w:r>
    </w:p>
    <w:p w14:paraId="113351F2" w14:textId="77777777" w:rsidR="00D36C16" w:rsidRPr="00B93B0C" w:rsidRDefault="00901611" w:rsidP="00847EF0">
      <w:pPr>
        <w:pStyle w:val="Heading1"/>
      </w:pPr>
      <w:bookmarkStart w:id="25" w:name="_Toc235899873"/>
      <w:r w:rsidRPr="00B93B0C">
        <w:t xml:space="preserve">6. </w:t>
      </w:r>
      <w:r w:rsidR="00B93B0C">
        <w:t>Conclusion</w:t>
      </w:r>
      <w:bookmarkEnd w:id="25"/>
    </w:p>
    <w:p w14:paraId="78DB72C6" w14:textId="77777777" w:rsidR="00782847" w:rsidRDefault="00B93B0C" w:rsidP="00D575BB">
      <w:pPr>
        <w:spacing w:before="240" w:line="360" w:lineRule="auto"/>
        <w:jc w:val="both"/>
        <w:rPr>
          <w:sz w:val="24"/>
        </w:rPr>
      </w:pPr>
      <w:r w:rsidRPr="00B93B0C">
        <w:rPr>
          <w:sz w:val="24"/>
        </w:rPr>
        <w:t xml:space="preserve">Hilton Worldwide Holdings' financial performance has been astounding since hitting its lowest point in 2020 during the pandemic, as the company's revenue, profitability and cash generation have all reached new highs in 2024. Profitability and cash flow metrics indicate a solid, high-margin asset light business, while the balance sheet appears under </w:t>
      </w:r>
      <w:r w:rsidR="006B7428" w:rsidRPr="00B93B0C">
        <w:rPr>
          <w:sz w:val="24"/>
        </w:rPr>
        <w:t>strain;</w:t>
      </w:r>
      <w:r w:rsidRPr="00B93B0C">
        <w:rPr>
          <w:sz w:val="24"/>
        </w:rPr>
        <w:t xml:space="preserve"> although it is likely that this is due to a capital return buyback strategy and not a lack of profitability. Hilton's negative working capital is offset by its very favourable cash operating cycle, which is well documented in the hospitality working capital literature and by its undrawn revolving credit facility. </w:t>
      </w:r>
    </w:p>
    <w:p w14:paraId="15CF092C" w14:textId="77777777" w:rsidR="00B93B0C" w:rsidRPr="000664BC" w:rsidRDefault="00B93B0C" w:rsidP="00D575BB">
      <w:pPr>
        <w:spacing w:before="240" w:line="360" w:lineRule="auto"/>
        <w:jc w:val="both"/>
        <w:rPr>
          <w:sz w:val="24"/>
        </w:rPr>
      </w:pPr>
      <w:r w:rsidRPr="00B93B0C">
        <w:rPr>
          <w:sz w:val="24"/>
        </w:rPr>
        <w:t>The restructuring plan, debt maturity extension, buybacks based on leverage covenants, selective divestment, and on</w:t>
      </w:r>
      <w:r w:rsidR="006B7428">
        <w:rPr>
          <w:sz w:val="24"/>
        </w:rPr>
        <w:t>-</w:t>
      </w:r>
      <w:r w:rsidRPr="00B93B0C">
        <w:rPr>
          <w:sz w:val="24"/>
        </w:rPr>
        <w:t xml:space="preserve">going investment in digital solutions and the Asian expansion would maintain profitable strengths and re-establish balance sheet strengths. Capital should be invested selectively, as the investment appraisal has shown that the only value creating opportunity is Project C, the other two being unfeasible. Hilton's is positive on the growth in global travel demand, the pipeline of </w:t>
      </w:r>
      <w:r w:rsidRPr="00B93B0C">
        <w:rPr>
          <w:sz w:val="24"/>
        </w:rPr>
        <w:lastRenderedPageBreak/>
        <w:t>approximately 500,000 rooms and the cash generative model of its franchise, with the proviso that management will remain disciplined on leverage and interest rate exposure.</w:t>
      </w:r>
    </w:p>
    <w:p w14:paraId="429F9E8C" w14:textId="77777777" w:rsidR="00733834" w:rsidRDefault="00733834" w:rsidP="00D575BB">
      <w:pPr>
        <w:spacing w:before="240"/>
        <w:rPr>
          <w:rFonts w:eastAsia="Calibri"/>
          <w:sz w:val="24"/>
          <w:szCs w:val="24"/>
        </w:rPr>
      </w:pPr>
    </w:p>
    <w:p w14:paraId="0092383B" w14:textId="77777777" w:rsidR="005C7E84" w:rsidRPr="0089288E" w:rsidRDefault="00B569EF" w:rsidP="00847EF0">
      <w:pPr>
        <w:pStyle w:val="Heading1"/>
      </w:pPr>
      <w:bookmarkStart w:id="26" w:name="_Toc235899874"/>
      <w:r w:rsidRPr="0089288E">
        <w:t>Reference List</w:t>
      </w:r>
      <w:bookmarkEnd w:id="26"/>
    </w:p>
    <w:p w14:paraId="0483DAF9" w14:textId="77777777" w:rsidR="0089288E" w:rsidRPr="0001001E" w:rsidRDefault="0089288E" w:rsidP="006911CE">
      <w:pPr>
        <w:pStyle w:val="pdq2pgselectionanchorcontainer"/>
        <w:spacing w:line="360" w:lineRule="auto"/>
        <w:jc w:val="both"/>
      </w:pPr>
      <w:r w:rsidRPr="0001001E">
        <w:t xml:space="preserve">Akbar, S. and Mishra, S. (2023) ‘The effectiveness of currency hedging strategies: evidence from Indian firms’, </w:t>
      </w:r>
      <w:r w:rsidRPr="0001001E">
        <w:rPr>
          <w:rStyle w:val="Emphasis"/>
        </w:rPr>
        <w:t>Journal of International Financial Markets, Institutions and Money</w:t>
      </w:r>
      <w:r w:rsidRPr="0001001E">
        <w:t xml:space="preserve">, </w:t>
      </w:r>
      <w:r w:rsidRPr="0001001E">
        <w:rPr>
          <w:rStyle w:val="Strong"/>
          <w:b w:val="0"/>
        </w:rPr>
        <w:t>82</w:t>
      </w:r>
      <w:r w:rsidRPr="0001001E">
        <w:t>, 101703.</w:t>
      </w:r>
    </w:p>
    <w:p w14:paraId="51742406" w14:textId="77777777" w:rsidR="0089288E" w:rsidRPr="0001001E" w:rsidRDefault="0089288E" w:rsidP="006911CE">
      <w:pPr>
        <w:pStyle w:val="NormalWeb"/>
        <w:spacing w:line="360" w:lineRule="auto"/>
        <w:jc w:val="both"/>
      </w:pPr>
      <w:proofErr w:type="spellStart"/>
      <w:r w:rsidRPr="0001001E">
        <w:t>Alaryani</w:t>
      </w:r>
      <w:proofErr w:type="spellEnd"/>
      <w:r w:rsidRPr="0001001E">
        <w:t xml:space="preserve">, A., Alameri, B., </w:t>
      </w:r>
      <w:proofErr w:type="spellStart"/>
      <w:r w:rsidRPr="0001001E">
        <w:t>Alshamsi</w:t>
      </w:r>
      <w:proofErr w:type="spellEnd"/>
      <w:r w:rsidRPr="0001001E">
        <w:t xml:space="preserve">, S., </w:t>
      </w:r>
      <w:proofErr w:type="spellStart"/>
      <w:r w:rsidRPr="0001001E">
        <w:t>AlGhafli</w:t>
      </w:r>
      <w:proofErr w:type="spellEnd"/>
      <w:r w:rsidRPr="0001001E">
        <w:t xml:space="preserve">, Z. and </w:t>
      </w:r>
      <w:proofErr w:type="spellStart"/>
      <w:r w:rsidRPr="0001001E">
        <w:t>Nobanee</w:t>
      </w:r>
      <w:proofErr w:type="spellEnd"/>
      <w:r w:rsidRPr="0001001E">
        <w:t xml:space="preserve">, H. (2024) ‘Foreign exchange exposure and hedging strategies: a case-based analysis of MNCs’, </w:t>
      </w:r>
      <w:r w:rsidRPr="0001001E">
        <w:rPr>
          <w:rStyle w:val="Emphasis"/>
        </w:rPr>
        <w:t>SSRN Working Paper</w:t>
      </w:r>
      <w:r w:rsidRPr="0001001E">
        <w:t xml:space="preserve">. Available at: </w:t>
      </w:r>
      <w:hyperlink r:id="rId9" w:tgtFrame="_new" w:history="1">
        <w:r w:rsidRPr="0001001E">
          <w:rPr>
            <w:rStyle w:val="Hyperlink"/>
          </w:rPr>
          <w:t>https://ssrn.com/abstract=4986846</w:t>
        </w:r>
      </w:hyperlink>
      <w:r w:rsidRPr="0001001E">
        <w:t xml:space="preserve"> (Accessed: 25 July 2026).</w:t>
      </w:r>
    </w:p>
    <w:p w14:paraId="6F96EDE6" w14:textId="77777777" w:rsidR="0089288E" w:rsidRPr="0001001E" w:rsidRDefault="0089288E" w:rsidP="006911CE">
      <w:pPr>
        <w:pStyle w:val="NormalWeb"/>
        <w:spacing w:line="360" w:lineRule="auto"/>
        <w:jc w:val="both"/>
      </w:pPr>
      <w:r w:rsidRPr="0001001E">
        <w:t>Ali Taher, F.N. and Al-</w:t>
      </w:r>
      <w:proofErr w:type="spellStart"/>
      <w:r w:rsidRPr="0001001E">
        <w:t>Shboul</w:t>
      </w:r>
      <w:proofErr w:type="spellEnd"/>
      <w:r w:rsidRPr="0001001E">
        <w:t xml:space="preserve">, M. (2023) ‘Dividend policy, its asymmetric </w:t>
      </w:r>
      <w:proofErr w:type="spellStart"/>
      <w:r w:rsidRPr="0001001E">
        <w:t>behavior</w:t>
      </w:r>
      <w:proofErr w:type="spellEnd"/>
      <w:r w:rsidRPr="0001001E">
        <w:t xml:space="preserve"> and stock liquidity’, </w:t>
      </w:r>
      <w:r w:rsidRPr="0001001E">
        <w:rPr>
          <w:rStyle w:val="Emphasis"/>
        </w:rPr>
        <w:t>Journal of Economic Studies</w:t>
      </w:r>
      <w:r w:rsidRPr="0001001E">
        <w:t xml:space="preserve">, </w:t>
      </w:r>
      <w:r w:rsidRPr="0001001E">
        <w:rPr>
          <w:rStyle w:val="Strong"/>
          <w:b w:val="0"/>
        </w:rPr>
        <w:t>50</w:t>
      </w:r>
      <w:r w:rsidRPr="0001001E">
        <w:t xml:space="preserve">(3), pp. 578–600. </w:t>
      </w:r>
      <w:hyperlink r:id="rId10" w:tgtFrame="_new" w:history="1">
        <w:r w:rsidRPr="0001001E">
          <w:rPr>
            <w:rStyle w:val="Hyperlink"/>
          </w:rPr>
          <w:t>https://doi.org/10.1108/JES-10-2021-0513</w:t>
        </w:r>
      </w:hyperlink>
      <w:r w:rsidRPr="0001001E">
        <w:t>.</w:t>
      </w:r>
    </w:p>
    <w:p w14:paraId="0C318AD7" w14:textId="77777777" w:rsidR="0089288E" w:rsidRPr="0001001E" w:rsidRDefault="0089288E" w:rsidP="006911CE">
      <w:pPr>
        <w:pStyle w:val="NormalWeb"/>
        <w:spacing w:line="360" w:lineRule="auto"/>
        <w:jc w:val="both"/>
      </w:pPr>
      <w:r w:rsidRPr="0001001E">
        <w:t xml:space="preserve">Álvarez-Díez, S., </w:t>
      </w:r>
      <w:proofErr w:type="spellStart"/>
      <w:r w:rsidRPr="0001001E">
        <w:t>Baixauli</w:t>
      </w:r>
      <w:proofErr w:type="spellEnd"/>
      <w:r w:rsidRPr="0001001E">
        <w:t xml:space="preserve">-Soler, J.S., Kondratenko, A. and Lozano-Reina, G. (2024) ‘Dividend announcement and the value of sentiment analysis’, </w:t>
      </w:r>
      <w:r w:rsidRPr="0001001E">
        <w:rPr>
          <w:rStyle w:val="Emphasis"/>
        </w:rPr>
        <w:t>Journal of Management Analytics</w:t>
      </w:r>
      <w:r w:rsidRPr="0001001E">
        <w:t xml:space="preserve">, pp. 1–21. </w:t>
      </w:r>
      <w:hyperlink r:id="rId11" w:tgtFrame="_new" w:history="1">
        <w:r w:rsidRPr="0001001E">
          <w:rPr>
            <w:rStyle w:val="Hyperlink"/>
          </w:rPr>
          <w:t>https://doi.org/10.1080/23270012.2024.2306929</w:t>
        </w:r>
      </w:hyperlink>
      <w:r w:rsidRPr="0001001E">
        <w:t>.</w:t>
      </w:r>
    </w:p>
    <w:p w14:paraId="63A81E5D" w14:textId="77777777" w:rsidR="0089288E" w:rsidRPr="0001001E" w:rsidRDefault="0089288E" w:rsidP="006911CE">
      <w:pPr>
        <w:pStyle w:val="NormalWeb"/>
        <w:spacing w:line="360" w:lineRule="auto"/>
        <w:jc w:val="both"/>
      </w:pPr>
      <w:r w:rsidRPr="0001001E">
        <w:t xml:space="preserve">Ben Salah, O. and Jarboui, A. (2024) ‘The relationship between dividend policy and earnings management: a causality analysis’, </w:t>
      </w:r>
      <w:r w:rsidRPr="0001001E">
        <w:rPr>
          <w:rStyle w:val="Emphasis"/>
        </w:rPr>
        <w:t>Journal of Economics, Finance and Administrative Science</w:t>
      </w:r>
      <w:r w:rsidRPr="0001001E">
        <w:t xml:space="preserve">, </w:t>
      </w:r>
      <w:r w:rsidRPr="0001001E">
        <w:rPr>
          <w:rStyle w:val="Strong"/>
          <w:b w:val="0"/>
        </w:rPr>
        <w:t>29</w:t>
      </w:r>
      <w:r w:rsidRPr="0001001E">
        <w:t xml:space="preserve">(57), pp. 166–185. </w:t>
      </w:r>
      <w:hyperlink r:id="rId12" w:tgtFrame="_new" w:history="1">
        <w:r w:rsidRPr="0001001E">
          <w:rPr>
            <w:rStyle w:val="Hyperlink"/>
          </w:rPr>
          <w:t>https://doi.org/10.1108/JEFAS-09-2021-0198</w:t>
        </w:r>
      </w:hyperlink>
      <w:r w:rsidRPr="0001001E">
        <w:t>.</w:t>
      </w:r>
    </w:p>
    <w:p w14:paraId="43A1C1D5" w14:textId="77777777" w:rsidR="0089288E" w:rsidRPr="0001001E" w:rsidRDefault="0089288E" w:rsidP="006911CE">
      <w:pPr>
        <w:pStyle w:val="NormalWeb"/>
        <w:spacing w:line="360" w:lineRule="auto"/>
        <w:jc w:val="both"/>
      </w:pPr>
      <w:r w:rsidRPr="0001001E">
        <w:t xml:space="preserve">Bhama, V. (2024) ‘Free cash flows and corporate buybacks: a study of Indian firms’, </w:t>
      </w:r>
      <w:r w:rsidRPr="0001001E">
        <w:rPr>
          <w:rStyle w:val="Emphasis"/>
        </w:rPr>
        <w:t>International Journal of Economics and Management</w:t>
      </w:r>
      <w:r w:rsidRPr="0001001E">
        <w:t xml:space="preserve">, </w:t>
      </w:r>
      <w:r w:rsidRPr="0001001E">
        <w:rPr>
          <w:rStyle w:val="Strong"/>
          <w:b w:val="0"/>
        </w:rPr>
        <w:t>18</w:t>
      </w:r>
      <w:r w:rsidRPr="0001001E">
        <w:t>(2).</w:t>
      </w:r>
    </w:p>
    <w:p w14:paraId="2F95DF5F" w14:textId="77777777" w:rsidR="0089288E" w:rsidRPr="0001001E" w:rsidRDefault="0089288E" w:rsidP="006911CE">
      <w:pPr>
        <w:pStyle w:val="NormalWeb"/>
        <w:spacing w:line="360" w:lineRule="auto"/>
        <w:jc w:val="both"/>
      </w:pPr>
      <w:r w:rsidRPr="0001001E">
        <w:t xml:space="preserve">Chambers, N. and </w:t>
      </w:r>
      <w:proofErr w:type="spellStart"/>
      <w:r w:rsidRPr="0001001E">
        <w:t>Cifter</w:t>
      </w:r>
      <w:proofErr w:type="spellEnd"/>
      <w:r w:rsidRPr="0001001E">
        <w:t xml:space="preserve">, A. (2022) ‘Working capital management and firm performance in the hospitality and tourism industry’, </w:t>
      </w:r>
      <w:r w:rsidRPr="0001001E">
        <w:rPr>
          <w:rStyle w:val="Emphasis"/>
        </w:rPr>
        <w:t>International Journal of Hospitality Management</w:t>
      </w:r>
      <w:r w:rsidRPr="0001001E">
        <w:t xml:space="preserve">, </w:t>
      </w:r>
      <w:r w:rsidRPr="0001001E">
        <w:rPr>
          <w:rStyle w:val="Strong"/>
          <w:b w:val="0"/>
        </w:rPr>
        <w:t>102</w:t>
      </w:r>
      <w:r w:rsidRPr="0001001E">
        <w:t xml:space="preserve">, 103144. </w:t>
      </w:r>
      <w:hyperlink r:id="rId13" w:tgtFrame="_new" w:history="1">
        <w:r w:rsidRPr="0001001E">
          <w:rPr>
            <w:rStyle w:val="Hyperlink"/>
          </w:rPr>
          <w:t>https://doi.org/10.1016/j.ijhm.2022.103144</w:t>
        </w:r>
      </w:hyperlink>
      <w:r w:rsidRPr="0001001E">
        <w:t>.</w:t>
      </w:r>
    </w:p>
    <w:p w14:paraId="23A714EF" w14:textId="77777777" w:rsidR="0089288E" w:rsidRPr="0001001E" w:rsidRDefault="0089288E" w:rsidP="006911CE">
      <w:pPr>
        <w:pStyle w:val="NormalWeb"/>
        <w:spacing w:line="360" w:lineRule="auto"/>
        <w:jc w:val="both"/>
      </w:pPr>
      <w:r w:rsidRPr="0001001E">
        <w:t xml:space="preserve">Chen, L. and Zhao, Y. (2023) ‘Financial leverage and operational efficiency in hospitality firms’, </w:t>
      </w:r>
      <w:r w:rsidRPr="0001001E">
        <w:rPr>
          <w:rStyle w:val="Emphasis"/>
        </w:rPr>
        <w:t>International Journal of Hospitality Management</w:t>
      </w:r>
      <w:r w:rsidRPr="0001001E">
        <w:t xml:space="preserve">, </w:t>
      </w:r>
      <w:r w:rsidRPr="0001001E">
        <w:rPr>
          <w:rStyle w:val="Strong"/>
          <w:b w:val="0"/>
        </w:rPr>
        <w:t>110</w:t>
      </w:r>
      <w:r w:rsidRPr="0001001E">
        <w:t>, 103440.</w:t>
      </w:r>
    </w:p>
    <w:p w14:paraId="5BDACAFF" w14:textId="77777777" w:rsidR="0089288E" w:rsidRPr="0001001E" w:rsidRDefault="0089288E" w:rsidP="006911CE">
      <w:pPr>
        <w:pStyle w:val="NormalWeb"/>
        <w:spacing w:line="360" w:lineRule="auto"/>
        <w:jc w:val="both"/>
      </w:pPr>
      <w:r w:rsidRPr="0001001E">
        <w:t xml:space="preserve">Chen, S. (2024) ‘How hotel firm value fluctuates with alternative leveraging strategies’, </w:t>
      </w:r>
      <w:r w:rsidRPr="0001001E">
        <w:rPr>
          <w:rStyle w:val="Emphasis"/>
        </w:rPr>
        <w:t>The American Journal of Economics and Sociology</w:t>
      </w:r>
      <w:r w:rsidRPr="0001001E">
        <w:t xml:space="preserve">. </w:t>
      </w:r>
      <w:hyperlink r:id="rId14" w:tgtFrame="_new" w:history="1">
        <w:r w:rsidRPr="0001001E">
          <w:rPr>
            <w:rStyle w:val="Hyperlink"/>
          </w:rPr>
          <w:t>https://doi.org/10.1111/ajes.12528</w:t>
        </w:r>
      </w:hyperlink>
      <w:r w:rsidRPr="0001001E">
        <w:t>.</w:t>
      </w:r>
    </w:p>
    <w:p w14:paraId="73AA7EFC" w14:textId="77777777" w:rsidR="0089288E" w:rsidRPr="0001001E" w:rsidRDefault="0089288E" w:rsidP="006911CE">
      <w:pPr>
        <w:pStyle w:val="NormalWeb"/>
        <w:spacing w:line="360" w:lineRule="auto"/>
        <w:jc w:val="both"/>
      </w:pPr>
      <w:proofErr w:type="spellStart"/>
      <w:r w:rsidRPr="0001001E">
        <w:lastRenderedPageBreak/>
        <w:t>Guix</w:t>
      </w:r>
      <w:proofErr w:type="spellEnd"/>
      <w:r w:rsidRPr="0001001E">
        <w:t xml:space="preserve">, M. and Petry, T. (2024) ‘CSR managers as hybrid professionals: managing at the intersection of coexisting logics’, </w:t>
      </w:r>
      <w:r w:rsidRPr="0001001E">
        <w:rPr>
          <w:rStyle w:val="Emphasis"/>
        </w:rPr>
        <w:t>Journal of Sustainable Tourism</w:t>
      </w:r>
      <w:r w:rsidRPr="0001001E">
        <w:t xml:space="preserve">, </w:t>
      </w:r>
      <w:r w:rsidRPr="0001001E">
        <w:rPr>
          <w:rStyle w:val="Strong"/>
          <w:b w:val="0"/>
        </w:rPr>
        <w:t>32</w:t>
      </w:r>
      <w:r w:rsidRPr="0001001E">
        <w:t xml:space="preserve">(8), pp. 1511–1533. </w:t>
      </w:r>
      <w:hyperlink r:id="rId15" w:tgtFrame="_new" w:history="1">
        <w:r w:rsidRPr="0001001E">
          <w:rPr>
            <w:rStyle w:val="Hyperlink"/>
          </w:rPr>
          <w:t>https://doi.org/10.1080/09669582.2023.2246702</w:t>
        </w:r>
      </w:hyperlink>
      <w:r w:rsidRPr="0001001E">
        <w:t>.</w:t>
      </w:r>
    </w:p>
    <w:p w14:paraId="6ED68E64" w14:textId="77777777" w:rsidR="0089288E" w:rsidRPr="0001001E" w:rsidRDefault="0089288E" w:rsidP="006911CE">
      <w:pPr>
        <w:pStyle w:val="NormalWeb"/>
        <w:spacing w:line="360" w:lineRule="auto"/>
        <w:jc w:val="both"/>
      </w:pPr>
      <w:r w:rsidRPr="0001001E">
        <w:t xml:space="preserve">Habib, A.M. and </w:t>
      </w:r>
      <w:proofErr w:type="spellStart"/>
      <w:r w:rsidRPr="0001001E">
        <w:t>Dalwai</w:t>
      </w:r>
      <w:proofErr w:type="spellEnd"/>
      <w:r w:rsidRPr="0001001E">
        <w:t xml:space="preserve">, T. (2023) ‘Does the efficiency of a firm's intellectual capital and working capital management affect its performance?’, </w:t>
      </w:r>
      <w:r w:rsidRPr="0001001E">
        <w:rPr>
          <w:rStyle w:val="Emphasis"/>
        </w:rPr>
        <w:t>Journal of the Knowledge Economy</w:t>
      </w:r>
      <w:r w:rsidRPr="0001001E">
        <w:t xml:space="preserve">. </w:t>
      </w:r>
      <w:hyperlink r:id="rId16" w:tgtFrame="_new" w:history="1">
        <w:r w:rsidRPr="0001001E">
          <w:rPr>
            <w:rStyle w:val="Hyperlink"/>
          </w:rPr>
          <w:t>https://doi.org/10.1007/s13132-023-01138-7</w:t>
        </w:r>
      </w:hyperlink>
      <w:r w:rsidRPr="0001001E">
        <w:t>.</w:t>
      </w:r>
    </w:p>
    <w:p w14:paraId="3821947B" w14:textId="77777777" w:rsidR="0089288E" w:rsidRPr="0001001E" w:rsidRDefault="0089288E" w:rsidP="006911CE">
      <w:pPr>
        <w:pStyle w:val="NormalWeb"/>
        <w:spacing w:line="360" w:lineRule="auto"/>
        <w:jc w:val="both"/>
      </w:pPr>
      <w:r w:rsidRPr="0001001E">
        <w:t xml:space="preserve">Han, H. (2024) ‘Environmental, social, and governance (ESG) in the hotel industry: a strategy for brand management, brand tribalism, and brand choice’, </w:t>
      </w:r>
      <w:r w:rsidRPr="0001001E">
        <w:rPr>
          <w:rStyle w:val="Emphasis"/>
        </w:rPr>
        <w:t>Journal of Travel and Tourism Marketing</w:t>
      </w:r>
      <w:r w:rsidRPr="0001001E">
        <w:t xml:space="preserve">, </w:t>
      </w:r>
      <w:r w:rsidRPr="0001001E">
        <w:rPr>
          <w:rStyle w:val="Strong"/>
          <w:b w:val="0"/>
        </w:rPr>
        <w:t>41</w:t>
      </w:r>
      <w:r w:rsidRPr="0001001E">
        <w:t xml:space="preserve">(9), pp. 1226–1243. </w:t>
      </w:r>
      <w:hyperlink r:id="rId17" w:tgtFrame="_new" w:history="1">
        <w:r w:rsidRPr="0001001E">
          <w:rPr>
            <w:rStyle w:val="Hyperlink"/>
          </w:rPr>
          <w:t>https://doi.org/10.1080/10548408.2024.2406346</w:t>
        </w:r>
      </w:hyperlink>
      <w:r w:rsidRPr="0001001E">
        <w:t>.</w:t>
      </w:r>
    </w:p>
    <w:p w14:paraId="7B49F9CA" w14:textId="77777777" w:rsidR="0089288E" w:rsidRPr="0001001E" w:rsidRDefault="0089288E" w:rsidP="006911CE">
      <w:pPr>
        <w:pStyle w:val="NormalWeb"/>
        <w:spacing w:line="360" w:lineRule="auto"/>
        <w:jc w:val="both"/>
      </w:pPr>
      <w:r w:rsidRPr="0001001E">
        <w:t xml:space="preserve">Hoang, G., Yang, M. and Luu, T.T. (2023) ‘Ethical leadership in tourism and hospitality management: a systematic literature review and research agenda’, </w:t>
      </w:r>
      <w:r w:rsidRPr="0001001E">
        <w:rPr>
          <w:rStyle w:val="Emphasis"/>
        </w:rPr>
        <w:t>International Journal of Hospitality Management</w:t>
      </w:r>
      <w:r w:rsidRPr="0001001E">
        <w:t xml:space="preserve">, </w:t>
      </w:r>
      <w:r w:rsidRPr="0001001E">
        <w:rPr>
          <w:rStyle w:val="Strong"/>
          <w:b w:val="0"/>
        </w:rPr>
        <w:t>114</w:t>
      </w:r>
      <w:r w:rsidRPr="0001001E">
        <w:t xml:space="preserve">, 103563. </w:t>
      </w:r>
      <w:hyperlink r:id="rId18" w:tgtFrame="_new" w:history="1">
        <w:r w:rsidRPr="0001001E">
          <w:rPr>
            <w:rStyle w:val="Hyperlink"/>
          </w:rPr>
          <w:t>https://doi.org/10.1016/j.ijhm.2023.103563</w:t>
        </w:r>
      </w:hyperlink>
      <w:r w:rsidRPr="0001001E">
        <w:t>.</w:t>
      </w:r>
    </w:p>
    <w:p w14:paraId="6000A2AE" w14:textId="77777777" w:rsidR="0089288E" w:rsidRPr="0001001E" w:rsidRDefault="0089288E" w:rsidP="006911CE">
      <w:pPr>
        <w:pStyle w:val="NormalWeb"/>
        <w:spacing w:line="360" w:lineRule="auto"/>
        <w:jc w:val="both"/>
      </w:pPr>
      <w:r w:rsidRPr="0001001E">
        <w:t xml:space="preserve">Hu, Q., Bhuiyan, M.B.U. and </w:t>
      </w:r>
      <w:proofErr w:type="spellStart"/>
      <w:r w:rsidRPr="0001001E">
        <w:t>Houqe</w:t>
      </w:r>
      <w:proofErr w:type="spellEnd"/>
      <w:r w:rsidRPr="0001001E">
        <w:t xml:space="preserve">, M.N. (2023) ‘CFO demographics and working capital management in China’, </w:t>
      </w:r>
      <w:r w:rsidRPr="0001001E">
        <w:rPr>
          <w:rStyle w:val="Emphasis"/>
        </w:rPr>
        <w:t>Journal of Emerging Market Finance</w:t>
      </w:r>
      <w:r w:rsidRPr="0001001E">
        <w:t>.</w:t>
      </w:r>
    </w:p>
    <w:p w14:paraId="136DE76C" w14:textId="77777777" w:rsidR="0089288E" w:rsidRPr="0001001E" w:rsidRDefault="0089288E" w:rsidP="006911CE">
      <w:pPr>
        <w:pStyle w:val="NormalWeb"/>
        <w:spacing w:line="360" w:lineRule="auto"/>
        <w:jc w:val="both"/>
      </w:pPr>
      <w:r w:rsidRPr="0001001E">
        <w:t xml:space="preserve">Kalima, M., </w:t>
      </w:r>
      <w:proofErr w:type="spellStart"/>
      <w:r w:rsidRPr="0001001E">
        <w:t>Mwachikoka</w:t>
      </w:r>
      <w:proofErr w:type="spellEnd"/>
      <w:r w:rsidRPr="0001001E">
        <w:t xml:space="preserve">, C.F. and Habazoka, L. (2026) ‘Debt financing and financial performance in the hospitality industry: evidence from hotels in Livingstone, Zambia’, </w:t>
      </w:r>
      <w:r w:rsidRPr="0001001E">
        <w:rPr>
          <w:rStyle w:val="Emphasis"/>
        </w:rPr>
        <w:t>African Journal of Commercial Studies</w:t>
      </w:r>
      <w:r w:rsidRPr="0001001E">
        <w:t xml:space="preserve">, </w:t>
      </w:r>
      <w:r w:rsidRPr="0001001E">
        <w:rPr>
          <w:rStyle w:val="Strong"/>
          <w:b w:val="0"/>
        </w:rPr>
        <w:t>7</w:t>
      </w:r>
      <w:r w:rsidRPr="0001001E">
        <w:t>(3).</w:t>
      </w:r>
    </w:p>
    <w:p w14:paraId="7A53D786" w14:textId="77777777" w:rsidR="0089288E" w:rsidRPr="0001001E" w:rsidRDefault="0089288E" w:rsidP="006911CE">
      <w:pPr>
        <w:pStyle w:val="NormalWeb"/>
        <w:spacing w:line="360" w:lineRule="auto"/>
        <w:jc w:val="both"/>
      </w:pPr>
      <w:proofErr w:type="spellStart"/>
      <w:r w:rsidRPr="0001001E">
        <w:t>Korca</w:t>
      </w:r>
      <w:proofErr w:type="spellEnd"/>
      <w:r w:rsidRPr="0001001E">
        <w:t xml:space="preserve">, B., Costa, E. and Bouten, L. (2023) ‘Disentangling the concept of comparability in sustainability reporting’, </w:t>
      </w:r>
      <w:r w:rsidRPr="0001001E">
        <w:rPr>
          <w:rStyle w:val="Emphasis"/>
        </w:rPr>
        <w:t>Sustainability Accounting, Management and Policy Journal</w:t>
      </w:r>
      <w:r w:rsidRPr="0001001E">
        <w:t xml:space="preserve">, </w:t>
      </w:r>
      <w:r w:rsidRPr="0001001E">
        <w:rPr>
          <w:rStyle w:val="Strong"/>
          <w:b w:val="0"/>
        </w:rPr>
        <w:t>14</w:t>
      </w:r>
      <w:r w:rsidRPr="0001001E">
        <w:t xml:space="preserve">(4), pp. 815–851. </w:t>
      </w:r>
      <w:hyperlink r:id="rId19" w:tgtFrame="_new" w:history="1">
        <w:r w:rsidRPr="0001001E">
          <w:rPr>
            <w:rStyle w:val="Hyperlink"/>
          </w:rPr>
          <w:t>https://doi.org/10.1108/SAMPJ-05-2022-0284</w:t>
        </w:r>
      </w:hyperlink>
      <w:r w:rsidRPr="0001001E">
        <w:t>.</w:t>
      </w:r>
    </w:p>
    <w:p w14:paraId="7D801FD8" w14:textId="77777777" w:rsidR="0089288E" w:rsidRPr="0001001E" w:rsidRDefault="0089288E" w:rsidP="006911CE">
      <w:pPr>
        <w:pStyle w:val="NormalWeb"/>
        <w:spacing w:line="360" w:lineRule="auto"/>
        <w:jc w:val="both"/>
      </w:pPr>
      <w:r w:rsidRPr="0001001E">
        <w:t xml:space="preserve">Kuokkanen, H. and Sun, W. (2024) ‘Willingness to pay for corporate social responsibility (CSR): does strategic CSR management matter?’, </w:t>
      </w:r>
      <w:r w:rsidRPr="0001001E">
        <w:rPr>
          <w:rStyle w:val="Emphasis"/>
        </w:rPr>
        <w:t>Journal of Hospitality and Tourism Research</w:t>
      </w:r>
      <w:r w:rsidRPr="0001001E">
        <w:t xml:space="preserve">, </w:t>
      </w:r>
      <w:r w:rsidRPr="0001001E">
        <w:rPr>
          <w:rStyle w:val="Strong"/>
          <w:b w:val="0"/>
        </w:rPr>
        <w:t>48</w:t>
      </w:r>
      <w:r w:rsidRPr="0001001E">
        <w:t>(4), pp. 657–670.</w:t>
      </w:r>
    </w:p>
    <w:p w14:paraId="37529E86" w14:textId="77777777" w:rsidR="0089288E" w:rsidRPr="0001001E" w:rsidRDefault="0089288E" w:rsidP="006911CE">
      <w:pPr>
        <w:pStyle w:val="NormalWeb"/>
        <w:spacing w:line="360" w:lineRule="auto"/>
        <w:jc w:val="both"/>
      </w:pPr>
      <w:proofErr w:type="spellStart"/>
      <w:r w:rsidRPr="0001001E">
        <w:t>Kureljusic</w:t>
      </w:r>
      <w:proofErr w:type="spellEnd"/>
      <w:r w:rsidRPr="0001001E">
        <w:t xml:space="preserve">, M. and Karger, E. (2023) ‘Forecasting in financial accounting with artificial intelligence: a systematic literature review and future research agenda’, </w:t>
      </w:r>
      <w:r w:rsidRPr="0001001E">
        <w:rPr>
          <w:rStyle w:val="Emphasis"/>
        </w:rPr>
        <w:t>Journal of Applied Accounting Research</w:t>
      </w:r>
      <w:r w:rsidRPr="0001001E">
        <w:t>.</w:t>
      </w:r>
    </w:p>
    <w:p w14:paraId="77985AA9" w14:textId="77777777" w:rsidR="0089288E" w:rsidRPr="0001001E" w:rsidRDefault="0089288E" w:rsidP="006911CE">
      <w:pPr>
        <w:pStyle w:val="NormalWeb"/>
        <w:spacing w:line="360" w:lineRule="auto"/>
        <w:jc w:val="both"/>
      </w:pPr>
      <w:r w:rsidRPr="0001001E">
        <w:t xml:space="preserve">Lee, S., Yeon, J. and Song, H.J. (2023) ‘Current status and future perspective of the link of corporate social responsibility-corporate financial performance in the tourism and hospitality industry’, </w:t>
      </w:r>
      <w:r w:rsidRPr="0001001E">
        <w:rPr>
          <w:rStyle w:val="Emphasis"/>
        </w:rPr>
        <w:t>Tourism Economics</w:t>
      </w:r>
      <w:r w:rsidRPr="0001001E">
        <w:t xml:space="preserve">, </w:t>
      </w:r>
      <w:r w:rsidRPr="0001001E">
        <w:rPr>
          <w:rStyle w:val="Strong"/>
          <w:b w:val="0"/>
        </w:rPr>
        <w:t>29</w:t>
      </w:r>
      <w:r w:rsidRPr="0001001E">
        <w:t>(7), pp. 1703–1735.</w:t>
      </w:r>
    </w:p>
    <w:p w14:paraId="2ADAF963" w14:textId="77777777" w:rsidR="0089288E" w:rsidRPr="0001001E" w:rsidRDefault="0089288E" w:rsidP="006911CE">
      <w:pPr>
        <w:pStyle w:val="NormalWeb"/>
        <w:spacing w:line="360" w:lineRule="auto"/>
        <w:jc w:val="both"/>
      </w:pPr>
      <w:r w:rsidRPr="0001001E">
        <w:lastRenderedPageBreak/>
        <w:t xml:space="preserve">Meng, Z., Bhatti, S.M., Naveed, R.T., Kanwal, S. and Adnan, M. (2024) ‘Green sustainability in the hotel sector: the role of CSR, intrinsic green motivation, and personal environmental norms’, </w:t>
      </w:r>
      <w:r w:rsidRPr="0001001E">
        <w:rPr>
          <w:rStyle w:val="Emphasis"/>
        </w:rPr>
        <w:t>PLOS ONE</w:t>
      </w:r>
      <w:r w:rsidRPr="0001001E">
        <w:t xml:space="preserve">, </w:t>
      </w:r>
      <w:r w:rsidRPr="0001001E">
        <w:rPr>
          <w:rStyle w:val="Strong"/>
          <w:b w:val="0"/>
        </w:rPr>
        <w:t>19</w:t>
      </w:r>
      <w:r w:rsidRPr="0001001E">
        <w:t xml:space="preserve">(6), e0295850. </w:t>
      </w:r>
      <w:hyperlink r:id="rId20" w:tgtFrame="_new" w:history="1">
        <w:r w:rsidRPr="0001001E">
          <w:rPr>
            <w:rStyle w:val="Hyperlink"/>
          </w:rPr>
          <w:t>https://doi.org/10.1371/journal.pone.0295850</w:t>
        </w:r>
      </w:hyperlink>
      <w:r w:rsidRPr="0001001E">
        <w:t>.</w:t>
      </w:r>
    </w:p>
    <w:p w14:paraId="2D9E0556" w14:textId="77777777" w:rsidR="0089288E" w:rsidRPr="0001001E" w:rsidRDefault="0089288E" w:rsidP="006911CE">
      <w:pPr>
        <w:pStyle w:val="NormalWeb"/>
        <w:spacing w:line="360" w:lineRule="auto"/>
        <w:jc w:val="both"/>
      </w:pPr>
      <w:r w:rsidRPr="0001001E">
        <w:t xml:space="preserve">Nikhil, M.N., Shenoy, S.S., Chakraborty, S. and Lithin, B.M. (2024) ‘Is the nexus between capital structure and firm performance asymmetric? An emerging market perspective’, </w:t>
      </w:r>
      <w:r w:rsidRPr="0001001E">
        <w:rPr>
          <w:rStyle w:val="Emphasis"/>
        </w:rPr>
        <w:t>Cogent Economics &amp; Finance</w:t>
      </w:r>
      <w:r w:rsidRPr="0001001E">
        <w:t xml:space="preserve">, </w:t>
      </w:r>
      <w:r w:rsidRPr="0001001E">
        <w:rPr>
          <w:rStyle w:val="Strong"/>
          <w:b w:val="0"/>
        </w:rPr>
        <w:t>12</w:t>
      </w:r>
      <w:r w:rsidRPr="0001001E">
        <w:t xml:space="preserve">(1). </w:t>
      </w:r>
      <w:hyperlink r:id="rId21" w:tgtFrame="_new" w:history="1">
        <w:r w:rsidRPr="0001001E">
          <w:rPr>
            <w:rStyle w:val="Hyperlink"/>
          </w:rPr>
          <w:t>https://doi.org/10.1080/23322039.2023.2296195</w:t>
        </w:r>
      </w:hyperlink>
      <w:r w:rsidRPr="0001001E">
        <w:t>.</w:t>
      </w:r>
    </w:p>
    <w:p w14:paraId="223F7AD4" w14:textId="77777777" w:rsidR="0089288E" w:rsidRPr="0001001E" w:rsidRDefault="0089288E" w:rsidP="006911CE">
      <w:pPr>
        <w:pStyle w:val="NormalWeb"/>
        <w:spacing w:line="360" w:lineRule="auto"/>
        <w:jc w:val="both"/>
      </w:pPr>
      <w:r w:rsidRPr="0001001E">
        <w:t xml:space="preserve">Osei, K. and Boateng, A. (2023) ‘Debt financing and financial performance in hospitality firms’, </w:t>
      </w:r>
      <w:r w:rsidRPr="0001001E">
        <w:rPr>
          <w:rStyle w:val="Emphasis"/>
        </w:rPr>
        <w:t>Journal of Hospitality Financial Management</w:t>
      </w:r>
      <w:r w:rsidRPr="0001001E">
        <w:t xml:space="preserve">, </w:t>
      </w:r>
      <w:r w:rsidRPr="0001001E">
        <w:rPr>
          <w:rStyle w:val="Strong"/>
          <w:b w:val="0"/>
        </w:rPr>
        <w:t>31</w:t>
      </w:r>
      <w:r w:rsidRPr="0001001E">
        <w:t>(1), pp. 54–71.</w:t>
      </w:r>
    </w:p>
    <w:p w14:paraId="7857CE89" w14:textId="77777777" w:rsidR="0089288E" w:rsidRPr="0001001E" w:rsidRDefault="0089288E" w:rsidP="006911CE">
      <w:pPr>
        <w:pStyle w:val="NormalWeb"/>
        <w:spacing w:line="360" w:lineRule="auto"/>
        <w:jc w:val="both"/>
      </w:pPr>
      <w:r w:rsidRPr="0001001E">
        <w:t xml:space="preserve">Park, S. and Kim, J. (2022) ‘Financial leverage and hotel profitability’, </w:t>
      </w:r>
      <w:r w:rsidRPr="0001001E">
        <w:rPr>
          <w:rStyle w:val="Emphasis"/>
        </w:rPr>
        <w:t>International Journal of Hospitality Management</w:t>
      </w:r>
      <w:r w:rsidRPr="0001001E">
        <w:t xml:space="preserve">, </w:t>
      </w:r>
      <w:r w:rsidRPr="0001001E">
        <w:rPr>
          <w:rStyle w:val="Strong"/>
          <w:b w:val="0"/>
        </w:rPr>
        <w:t>104</w:t>
      </w:r>
      <w:r w:rsidRPr="0001001E">
        <w:t>, 103251.</w:t>
      </w:r>
    </w:p>
    <w:p w14:paraId="5B9B4E76" w14:textId="77777777" w:rsidR="0089288E" w:rsidRPr="0001001E" w:rsidRDefault="0089288E" w:rsidP="006911CE">
      <w:pPr>
        <w:pStyle w:val="NormalWeb"/>
        <w:spacing w:line="360" w:lineRule="auto"/>
        <w:jc w:val="both"/>
      </w:pPr>
      <w:r w:rsidRPr="0001001E">
        <w:t>Serrano-Baena, M.M., Hidalgo Fernández, R.E., Ruiz-Díaz, C. and Triviño-</w:t>
      </w:r>
      <w:proofErr w:type="spellStart"/>
      <w:r w:rsidRPr="0001001E">
        <w:t>Tarradas</w:t>
      </w:r>
      <w:proofErr w:type="spellEnd"/>
      <w:r w:rsidRPr="0001001E">
        <w:t xml:space="preserve">, P. (2023) ‘Promoting the sustainable recovery of hospitality in the post-pandemic era: a comparative study to optimize the </w:t>
      </w:r>
      <w:proofErr w:type="spellStart"/>
      <w:r w:rsidRPr="0001001E">
        <w:t>servicescapes</w:t>
      </w:r>
      <w:proofErr w:type="spellEnd"/>
      <w:r w:rsidRPr="0001001E">
        <w:t xml:space="preserve">’, </w:t>
      </w:r>
      <w:r w:rsidRPr="0001001E">
        <w:rPr>
          <w:rStyle w:val="Emphasis"/>
        </w:rPr>
        <w:t>International Journal of Environmental Research and Public Health</w:t>
      </w:r>
      <w:r w:rsidRPr="0001001E">
        <w:t xml:space="preserve">, </w:t>
      </w:r>
      <w:r w:rsidRPr="0001001E">
        <w:rPr>
          <w:rStyle w:val="Strong"/>
          <w:b w:val="0"/>
        </w:rPr>
        <w:t>20</w:t>
      </w:r>
      <w:r w:rsidRPr="0001001E">
        <w:t xml:space="preserve">(2), 1100. </w:t>
      </w:r>
      <w:hyperlink r:id="rId22" w:tgtFrame="_new" w:history="1">
        <w:r w:rsidRPr="0001001E">
          <w:rPr>
            <w:rStyle w:val="Hyperlink"/>
          </w:rPr>
          <w:t>https://doi.org/10.3390/ijerph20021100</w:t>
        </w:r>
      </w:hyperlink>
      <w:r w:rsidRPr="0001001E">
        <w:t>.</w:t>
      </w:r>
    </w:p>
    <w:p w14:paraId="701DE5E6" w14:textId="77777777" w:rsidR="0089288E" w:rsidRPr="0001001E" w:rsidRDefault="0089288E" w:rsidP="006911CE">
      <w:pPr>
        <w:pStyle w:val="NormalWeb"/>
        <w:spacing w:line="360" w:lineRule="auto"/>
        <w:jc w:val="both"/>
      </w:pPr>
      <w:r w:rsidRPr="0001001E">
        <w:t xml:space="preserve">Sinaga, A.S., Sari, M.M., </w:t>
      </w:r>
      <w:proofErr w:type="spellStart"/>
      <w:r w:rsidRPr="0001001E">
        <w:t>Hutasuhut</w:t>
      </w:r>
      <w:proofErr w:type="spellEnd"/>
      <w:r w:rsidRPr="0001001E">
        <w:t xml:space="preserve">, A.A., Zahara, S.T., Amanda, A. and Fitri, A. (2023) ‘Comparison of capital budgeting methods: NPV, IRR, payback period’, </w:t>
      </w:r>
      <w:r w:rsidRPr="0001001E">
        <w:rPr>
          <w:rStyle w:val="Emphasis"/>
        </w:rPr>
        <w:t>World Journal of Advanced Research and Reviews</w:t>
      </w:r>
      <w:r w:rsidRPr="0001001E">
        <w:t xml:space="preserve">, </w:t>
      </w:r>
      <w:r w:rsidRPr="0001001E">
        <w:rPr>
          <w:rStyle w:val="Strong"/>
          <w:b w:val="0"/>
        </w:rPr>
        <w:t>19</w:t>
      </w:r>
      <w:r w:rsidRPr="0001001E">
        <w:t xml:space="preserve">(2), pp. 1078–1081. </w:t>
      </w:r>
      <w:hyperlink r:id="rId23" w:tgtFrame="_new" w:history="1">
        <w:r w:rsidRPr="0001001E">
          <w:rPr>
            <w:rStyle w:val="Hyperlink"/>
          </w:rPr>
          <w:t>https://doi.org/10.30574/wjarr.2023.19.2.1483</w:t>
        </w:r>
      </w:hyperlink>
      <w:r w:rsidRPr="0001001E">
        <w:t>.</w:t>
      </w:r>
    </w:p>
    <w:p w14:paraId="46098B03" w14:textId="77777777" w:rsidR="0089288E" w:rsidRPr="0001001E" w:rsidRDefault="0089288E" w:rsidP="006911CE">
      <w:pPr>
        <w:pStyle w:val="NormalWeb"/>
        <w:spacing w:line="360" w:lineRule="auto"/>
        <w:jc w:val="both"/>
      </w:pPr>
      <w:r w:rsidRPr="0001001E">
        <w:t xml:space="preserve">Sokolov, M.V. (2023) ‘NPV, IRR, PI, PP, and DPP: a unified view’, </w:t>
      </w:r>
      <w:proofErr w:type="spellStart"/>
      <w:r w:rsidRPr="0001001E">
        <w:rPr>
          <w:rStyle w:val="Emphasis"/>
        </w:rPr>
        <w:t>arXiv</w:t>
      </w:r>
      <w:proofErr w:type="spellEnd"/>
      <w:r w:rsidRPr="0001001E">
        <w:t xml:space="preserve">. Available at: </w:t>
      </w:r>
      <w:hyperlink r:id="rId24" w:tgtFrame="_new" w:history="1">
        <w:r w:rsidRPr="0001001E">
          <w:rPr>
            <w:rStyle w:val="Hyperlink"/>
          </w:rPr>
          <w:t>https://arxiv.org/pdf/2302.02875</w:t>
        </w:r>
      </w:hyperlink>
      <w:r w:rsidRPr="0001001E">
        <w:t xml:space="preserve"> (Accessed: 25 July 2026).</w:t>
      </w:r>
    </w:p>
    <w:p w14:paraId="7726BFA3" w14:textId="77777777" w:rsidR="0089288E" w:rsidRPr="0001001E" w:rsidRDefault="0089288E" w:rsidP="006911CE">
      <w:pPr>
        <w:pStyle w:val="NormalWeb"/>
        <w:spacing w:line="360" w:lineRule="auto"/>
        <w:jc w:val="both"/>
      </w:pPr>
      <w:r w:rsidRPr="0001001E">
        <w:t xml:space="preserve">Hilton Worldwide Holdings (2021) </w:t>
      </w:r>
      <w:r w:rsidRPr="0001001E">
        <w:rPr>
          <w:rStyle w:val="Emphasis"/>
        </w:rPr>
        <w:t>Annual Report 2020</w:t>
      </w:r>
      <w:r w:rsidRPr="0001001E">
        <w:t xml:space="preserve">. Available at: </w:t>
      </w:r>
      <w:hyperlink r:id="rId25" w:tgtFrame="_new" w:history="1">
        <w:r w:rsidRPr="0001001E">
          <w:rPr>
            <w:rStyle w:val="Hyperlink"/>
          </w:rPr>
          <w:t>https://ir.hilton.com/financial-reporting/annual-reports</w:t>
        </w:r>
      </w:hyperlink>
      <w:r w:rsidRPr="0001001E">
        <w:t xml:space="preserve"> (Accessed: 25 July 2026).</w:t>
      </w:r>
    </w:p>
    <w:p w14:paraId="2492D058" w14:textId="77777777" w:rsidR="0089288E" w:rsidRPr="0001001E" w:rsidRDefault="0089288E" w:rsidP="006911CE">
      <w:pPr>
        <w:pStyle w:val="NormalWeb"/>
        <w:spacing w:line="360" w:lineRule="auto"/>
        <w:jc w:val="both"/>
      </w:pPr>
      <w:r w:rsidRPr="0001001E">
        <w:t xml:space="preserve">Hilton Worldwide Holdings (2025a) </w:t>
      </w:r>
      <w:r w:rsidRPr="0001001E">
        <w:rPr>
          <w:rStyle w:val="Emphasis"/>
        </w:rPr>
        <w:t>Annual Report 2024</w:t>
      </w:r>
      <w:r w:rsidRPr="0001001E">
        <w:t xml:space="preserve">. Available at: </w:t>
      </w:r>
      <w:hyperlink r:id="rId26" w:tgtFrame="_new" w:history="1">
        <w:r w:rsidRPr="0001001E">
          <w:rPr>
            <w:rStyle w:val="Hyperlink"/>
          </w:rPr>
          <w:t>https://ir.hilton.com/financial-reporting/annual-reports</w:t>
        </w:r>
      </w:hyperlink>
      <w:r w:rsidRPr="0001001E">
        <w:t xml:space="preserve"> (Accessed: 25 July 2026).</w:t>
      </w:r>
    </w:p>
    <w:p w14:paraId="2F4F8AD3" w14:textId="77777777" w:rsidR="0089288E" w:rsidRPr="0001001E" w:rsidRDefault="0089288E" w:rsidP="006911CE">
      <w:pPr>
        <w:pStyle w:val="NormalWeb"/>
        <w:spacing w:line="360" w:lineRule="auto"/>
        <w:jc w:val="both"/>
      </w:pPr>
      <w:r w:rsidRPr="0001001E">
        <w:t xml:space="preserve">Hilton Worldwide Holdings (2025b) </w:t>
      </w:r>
      <w:r w:rsidRPr="0001001E">
        <w:rPr>
          <w:rStyle w:val="Emphasis"/>
        </w:rPr>
        <w:t>Form 10-K 2024</w:t>
      </w:r>
      <w:r w:rsidRPr="0001001E">
        <w:t xml:space="preserve">. Available at: </w:t>
      </w:r>
      <w:hyperlink r:id="rId27" w:tgtFrame="_new" w:history="1">
        <w:r w:rsidRPr="0001001E">
          <w:rPr>
            <w:rStyle w:val="Hyperlink"/>
          </w:rPr>
          <w:t>https://www.sec.gov/cgi-bin/browse-edgar?action=getcompany&amp;company=hilton+worldwide&amp;type=10-K</w:t>
        </w:r>
      </w:hyperlink>
      <w:r w:rsidRPr="0001001E">
        <w:t xml:space="preserve"> (Accessed: 25 July 2026).</w:t>
      </w:r>
    </w:p>
    <w:p w14:paraId="198D85BD" w14:textId="77777777" w:rsidR="0089288E" w:rsidRPr="0001001E" w:rsidRDefault="0089288E" w:rsidP="006911CE">
      <w:pPr>
        <w:pStyle w:val="NormalWeb"/>
        <w:spacing w:line="360" w:lineRule="auto"/>
        <w:jc w:val="both"/>
      </w:pPr>
      <w:r w:rsidRPr="0001001E">
        <w:lastRenderedPageBreak/>
        <w:t xml:space="preserve">Hilton Worldwide Holdings (2025c) </w:t>
      </w:r>
      <w:r w:rsidRPr="0001001E">
        <w:rPr>
          <w:rStyle w:val="Emphasis"/>
        </w:rPr>
        <w:t>Press release: Fourth quarter and full year 2024 results</w:t>
      </w:r>
      <w:r w:rsidRPr="0001001E">
        <w:t xml:space="preserve">. Available at: </w:t>
      </w:r>
      <w:hyperlink r:id="rId28" w:tgtFrame="_new" w:history="1">
        <w:r w:rsidRPr="0001001E">
          <w:rPr>
            <w:rStyle w:val="Hyperlink"/>
          </w:rPr>
          <w:t>https://ir.hilton.com/news-and-events/news</w:t>
        </w:r>
      </w:hyperlink>
      <w:r w:rsidRPr="0001001E">
        <w:t xml:space="preserve"> (Accessed: 25 July 2026).</w:t>
      </w:r>
    </w:p>
    <w:p w14:paraId="65506944" w14:textId="77777777" w:rsidR="0089288E" w:rsidRPr="0001001E" w:rsidRDefault="0089288E" w:rsidP="006911CE">
      <w:pPr>
        <w:pStyle w:val="NormalWeb"/>
        <w:spacing w:line="360" w:lineRule="auto"/>
        <w:jc w:val="both"/>
      </w:pPr>
      <w:r w:rsidRPr="0001001E">
        <w:t xml:space="preserve">IHG Hotels &amp; Resorts (2025) </w:t>
      </w:r>
      <w:r w:rsidRPr="0001001E">
        <w:rPr>
          <w:rStyle w:val="Emphasis"/>
        </w:rPr>
        <w:t>Full Year Results 2024</w:t>
      </w:r>
      <w:r w:rsidRPr="0001001E">
        <w:t xml:space="preserve">. Available at: </w:t>
      </w:r>
      <w:hyperlink r:id="rId29" w:tgtFrame="_new" w:history="1">
        <w:r w:rsidRPr="0001001E">
          <w:rPr>
            <w:rStyle w:val="Hyperlink"/>
          </w:rPr>
          <w:t>https://www.ihgplc.com/en/investors/results-reports-and-presentations</w:t>
        </w:r>
      </w:hyperlink>
      <w:r w:rsidRPr="0001001E">
        <w:t xml:space="preserve"> (Accessed: 25 July 2026).</w:t>
      </w:r>
    </w:p>
    <w:p w14:paraId="58E34C17" w14:textId="77777777" w:rsidR="0089288E" w:rsidRPr="0001001E" w:rsidRDefault="0089288E" w:rsidP="006911CE">
      <w:pPr>
        <w:pStyle w:val="NormalWeb"/>
        <w:spacing w:line="360" w:lineRule="auto"/>
        <w:jc w:val="both"/>
      </w:pPr>
      <w:r w:rsidRPr="0001001E">
        <w:t xml:space="preserve">Macrotrends (2025) </w:t>
      </w:r>
      <w:r w:rsidRPr="0001001E">
        <w:rPr>
          <w:rStyle w:val="Emphasis"/>
        </w:rPr>
        <w:t>Hilton Worldwide Holdings gross profit margin 2010 to 2025</w:t>
      </w:r>
      <w:r w:rsidRPr="0001001E">
        <w:t xml:space="preserve">. Available at: </w:t>
      </w:r>
      <w:hyperlink r:id="rId30" w:tgtFrame="_new" w:history="1">
        <w:r w:rsidRPr="0001001E">
          <w:rPr>
            <w:rStyle w:val="Hyperlink"/>
          </w:rPr>
          <w:t>https://www.macrotrends.net/stocks/charts/HLT/hilton-worldwide-holdings/gross-profit</w:t>
        </w:r>
      </w:hyperlink>
      <w:r w:rsidRPr="0001001E">
        <w:t xml:space="preserve"> (Accessed: 25 July 2026).</w:t>
      </w:r>
    </w:p>
    <w:p w14:paraId="22EAE7E6" w14:textId="77777777" w:rsidR="0089288E" w:rsidRPr="0001001E" w:rsidRDefault="0089288E" w:rsidP="006911CE">
      <w:pPr>
        <w:pStyle w:val="NormalWeb"/>
        <w:spacing w:line="360" w:lineRule="auto"/>
        <w:jc w:val="both"/>
      </w:pPr>
      <w:r w:rsidRPr="0001001E">
        <w:t xml:space="preserve">Marriott International, Inc. (2025) </w:t>
      </w:r>
      <w:r w:rsidRPr="0001001E">
        <w:rPr>
          <w:rStyle w:val="Emphasis"/>
        </w:rPr>
        <w:t>Form 10-K 2024</w:t>
      </w:r>
      <w:r w:rsidRPr="0001001E">
        <w:t xml:space="preserve">. Available at: </w:t>
      </w:r>
      <w:hyperlink r:id="rId31" w:tgtFrame="_new" w:history="1">
        <w:r w:rsidRPr="0001001E">
          <w:rPr>
            <w:rStyle w:val="Hyperlink"/>
          </w:rPr>
          <w:t>https://www.sec.gov/cgi-bin/browse-edgar?action=getcompany&amp;company=marriott+international&amp;type=10-K</w:t>
        </w:r>
      </w:hyperlink>
      <w:r w:rsidRPr="0001001E">
        <w:t xml:space="preserve"> (Accessed: 25 July 2026).</w:t>
      </w:r>
    </w:p>
    <w:p w14:paraId="28CF185B" w14:textId="77777777" w:rsidR="0089288E" w:rsidRPr="0001001E" w:rsidRDefault="0089288E" w:rsidP="006911CE">
      <w:pPr>
        <w:pStyle w:val="NormalWeb"/>
        <w:spacing w:line="360" w:lineRule="auto"/>
        <w:jc w:val="both"/>
      </w:pPr>
      <w:r w:rsidRPr="0001001E">
        <w:t xml:space="preserve">STR (a CoStar company) (2025) </w:t>
      </w:r>
      <w:r w:rsidRPr="0001001E">
        <w:rPr>
          <w:rStyle w:val="Emphasis"/>
        </w:rPr>
        <w:t>Global hotel performance data</w:t>
      </w:r>
      <w:r w:rsidRPr="0001001E">
        <w:t xml:space="preserve">. Available at: </w:t>
      </w:r>
      <w:hyperlink r:id="rId32" w:tgtFrame="_new" w:history="1">
        <w:r w:rsidRPr="0001001E">
          <w:rPr>
            <w:rStyle w:val="Hyperlink"/>
          </w:rPr>
          <w:t>https://str.com/data-insights-blog</w:t>
        </w:r>
      </w:hyperlink>
      <w:r w:rsidRPr="0001001E">
        <w:t xml:space="preserve"> (Accessed: 25 July 2026).</w:t>
      </w:r>
    </w:p>
    <w:p w14:paraId="2BE61E92" w14:textId="77777777" w:rsidR="0089288E" w:rsidRPr="0001001E" w:rsidRDefault="0089288E" w:rsidP="006911CE">
      <w:pPr>
        <w:pStyle w:val="NormalWeb"/>
        <w:spacing w:line="360" w:lineRule="auto"/>
        <w:jc w:val="both"/>
      </w:pPr>
      <w:r w:rsidRPr="0001001E">
        <w:t xml:space="preserve">U.S. Securities and Exchange Commission (2025) </w:t>
      </w:r>
      <w:r w:rsidRPr="0001001E">
        <w:rPr>
          <w:rStyle w:val="Emphasis"/>
        </w:rPr>
        <w:t>EDGAR full-text search</w:t>
      </w:r>
      <w:r w:rsidRPr="0001001E">
        <w:t xml:space="preserve">. Available at: </w:t>
      </w:r>
      <w:hyperlink r:id="rId33" w:tgtFrame="_new" w:history="1">
        <w:r w:rsidRPr="0001001E">
          <w:rPr>
            <w:rStyle w:val="Hyperlink"/>
          </w:rPr>
          <w:t>https://www.sec.gov/edgar/search/</w:t>
        </w:r>
      </w:hyperlink>
      <w:r w:rsidRPr="0001001E">
        <w:t xml:space="preserve"> (Accessed: 25 July 2026).</w:t>
      </w:r>
    </w:p>
    <w:p w14:paraId="362F93C4" w14:textId="77777777" w:rsidR="00463A9F" w:rsidRDefault="0089288E" w:rsidP="006911CE">
      <w:pPr>
        <w:pStyle w:val="NormalWeb"/>
        <w:spacing w:line="360" w:lineRule="auto"/>
        <w:jc w:val="both"/>
      </w:pPr>
      <w:r w:rsidRPr="0001001E">
        <w:t xml:space="preserve">World Travel &amp; Tourism Council (2025) </w:t>
      </w:r>
      <w:r w:rsidRPr="0001001E">
        <w:rPr>
          <w:rStyle w:val="Emphasis"/>
        </w:rPr>
        <w:t>Economic impact research</w:t>
      </w:r>
      <w:r w:rsidRPr="0001001E">
        <w:t xml:space="preserve">. Available at: </w:t>
      </w:r>
      <w:hyperlink r:id="rId34" w:tgtFrame="_new" w:history="1">
        <w:r w:rsidRPr="0001001E">
          <w:rPr>
            <w:rStyle w:val="Hyperlink"/>
          </w:rPr>
          <w:t>https://wttc.org/research/economic-impact</w:t>
        </w:r>
      </w:hyperlink>
      <w:r w:rsidRPr="0001001E">
        <w:t xml:space="preserve"> (Accessed: 25 July 2026).</w:t>
      </w:r>
    </w:p>
    <w:p w14:paraId="5A44A00A" w14:textId="77777777" w:rsidR="00463A9F" w:rsidRDefault="00463A9F">
      <w:pPr>
        <w:rPr>
          <w:sz w:val="24"/>
          <w:szCs w:val="24"/>
        </w:rPr>
      </w:pPr>
      <w:r>
        <w:br w:type="page"/>
      </w:r>
    </w:p>
    <w:p w14:paraId="15BC97AC" w14:textId="77777777" w:rsidR="0089288E" w:rsidRDefault="00463A9F" w:rsidP="00C07CC3">
      <w:pPr>
        <w:pStyle w:val="Heading1"/>
      </w:pPr>
      <w:bookmarkStart w:id="27" w:name="_Toc235899875"/>
      <w:r>
        <w:lastRenderedPageBreak/>
        <w:t>Appendices</w:t>
      </w:r>
      <w:bookmarkEnd w:id="27"/>
    </w:p>
    <w:p w14:paraId="7F135482" w14:textId="77777777" w:rsidR="00B17255" w:rsidRDefault="00B17255" w:rsidP="00C116FD">
      <w:pPr>
        <w:pStyle w:val="Heading2"/>
      </w:pPr>
      <w:bookmarkStart w:id="28" w:name="_Toc235899876"/>
      <w:r>
        <w:t xml:space="preserve">Appendix 1: </w:t>
      </w:r>
      <w:r w:rsidRPr="00B17255">
        <w:t>Raw Financial Data</w:t>
      </w:r>
      <w:r>
        <w:t xml:space="preserve"> of </w:t>
      </w:r>
      <w:r w:rsidRPr="00B17255">
        <w:t>H</w:t>
      </w:r>
      <w:r>
        <w:t xml:space="preserve">ilton Worldwide Holdings Inc. </w:t>
      </w:r>
      <w:r w:rsidRPr="00B17255">
        <w:t>FY2020-FY2024</w:t>
      </w:r>
      <w:bookmarkEnd w:id="28"/>
    </w:p>
    <w:tbl>
      <w:tblPr>
        <w:tblW w:w="10100" w:type="dxa"/>
        <w:tblInd w:w="93" w:type="dxa"/>
        <w:tblLook w:val="04A0" w:firstRow="1" w:lastRow="0" w:firstColumn="1" w:lastColumn="0" w:noHBand="0" w:noVBand="1"/>
      </w:tblPr>
      <w:tblGrid>
        <w:gridCol w:w="4300"/>
        <w:gridCol w:w="1160"/>
        <w:gridCol w:w="1160"/>
        <w:gridCol w:w="1160"/>
        <w:gridCol w:w="1160"/>
        <w:gridCol w:w="1160"/>
      </w:tblGrid>
      <w:tr w:rsidR="00B17255" w:rsidRPr="00B17255" w14:paraId="62F8A273" w14:textId="77777777" w:rsidTr="00B17255">
        <w:trPr>
          <w:trHeight w:val="300"/>
        </w:trPr>
        <w:tc>
          <w:tcPr>
            <w:tcW w:w="4300" w:type="dxa"/>
            <w:tcBorders>
              <w:top w:val="single" w:sz="4" w:space="0" w:color="auto"/>
              <w:left w:val="single" w:sz="4" w:space="0" w:color="auto"/>
              <w:bottom w:val="single" w:sz="4" w:space="0" w:color="auto"/>
              <w:right w:val="single" w:sz="4" w:space="0" w:color="auto"/>
            </w:tcBorders>
            <w:vAlign w:val="center"/>
            <w:hideMark/>
          </w:tcPr>
          <w:p w14:paraId="239DF3D1" w14:textId="77777777" w:rsidR="00B17255" w:rsidRPr="00B17255" w:rsidRDefault="00B17255" w:rsidP="00B17255">
            <w:pPr>
              <w:spacing w:line="360" w:lineRule="auto"/>
              <w:jc w:val="center"/>
              <w:rPr>
                <w:b/>
                <w:bCs/>
                <w:sz w:val="24"/>
                <w:szCs w:val="24"/>
              </w:rPr>
            </w:pPr>
            <w:r w:rsidRPr="00B17255">
              <w:rPr>
                <w:b/>
                <w:bCs/>
                <w:sz w:val="24"/>
                <w:szCs w:val="24"/>
              </w:rPr>
              <w:t>Line Item</w:t>
            </w:r>
          </w:p>
        </w:tc>
        <w:tc>
          <w:tcPr>
            <w:tcW w:w="1160" w:type="dxa"/>
            <w:tcBorders>
              <w:top w:val="single" w:sz="4" w:space="0" w:color="auto"/>
              <w:left w:val="nil"/>
              <w:bottom w:val="single" w:sz="4" w:space="0" w:color="auto"/>
              <w:right w:val="single" w:sz="4" w:space="0" w:color="auto"/>
            </w:tcBorders>
            <w:vAlign w:val="center"/>
            <w:hideMark/>
          </w:tcPr>
          <w:p w14:paraId="7D9F64AD" w14:textId="77777777" w:rsidR="00B17255" w:rsidRPr="00B17255" w:rsidRDefault="00B17255" w:rsidP="00B17255">
            <w:pPr>
              <w:spacing w:line="360" w:lineRule="auto"/>
              <w:jc w:val="center"/>
              <w:rPr>
                <w:b/>
                <w:bCs/>
                <w:sz w:val="24"/>
                <w:szCs w:val="24"/>
              </w:rPr>
            </w:pPr>
            <w:r w:rsidRPr="00B17255">
              <w:rPr>
                <w:b/>
                <w:bCs/>
                <w:sz w:val="24"/>
                <w:szCs w:val="24"/>
              </w:rPr>
              <w:t>2020</w:t>
            </w:r>
            <w:r w:rsidRPr="00B17255">
              <w:rPr>
                <w:b/>
                <w:bCs/>
                <w:sz w:val="32"/>
                <w:szCs w:val="24"/>
              </w:rPr>
              <w:t xml:space="preserve"> </w:t>
            </w:r>
            <w:r w:rsidRPr="00B17255">
              <w:rPr>
                <w:sz w:val="24"/>
              </w:rPr>
              <w:t>($ millions)</w:t>
            </w:r>
          </w:p>
        </w:tc>
        <w:tc>
          <w:tcPr>
            <w:tcW w:w="1160" w:type="dxa"/>
            <w:tcBorders>
              <w:top w:val="single" w:sz="4" w:space="0" w:color="auto"/>
              <w:left w:val="nil"/>
              <w:bottom w:val="single" w:sz="4" w:space="0" w:color="auto"/>
              <w:right w:val="single" w:sz="4" w:space="0" w:color="auto"/>
            </w:tcBorders>
            <w:vAlign w:val="center"/>
            <w:hideMark/>
          </w:tcPr>
          <w:p w14:paraId="66E63330" w14:textId="77777777" w:rsidR="00B17255" w:rsidRPr="00B17255" w:rsidRDefault="00B17255" w:rsidP="00B17255">
            <w:pPr>
              <w:spacing w:line="360" w:lineRule="auto"/>
              <w:jc w:val="center"/>
              <w:rPr>
                <w:b/>
                <w:bCs/>
                <w:sz w:val="24"/>
                <w:szCs w:val="24"/>
              </w:rPr>
            </w:pPr>
            <w:r w:rsidRPr="00B17255">
              <w:rPr>
                <w:b/>
                <w:bCs/>
                <w:sz w:val="24"/>
                <w:szCs w:val="24"/>
              </w:rPr>
              <w:t>2021</w:t>
            </w:r>
            <w:r>
              <w:rPr>
                <w:b/>
                <w:bCs/>
                <w:sz w:val="24"/>
                <w:szCs w:val="24"/>
              </w:rPr>
              <w:t xml:space="preserve"> </w:t>
            </w:r>
            <w:r w:rsidRPr="00B17255">
              <w:rPr>
                <w:b/>
                <w:bCs/>
                <w:sz w:val="32"/>
                <w:szCs w:val="24"/>
              </w:rPr>
              <w:t xml:space="preserve"> </w:t>
            </w:r>
            <w:r w:rsidRPr="00B17255">
              <w:rPr>
                <w:sz w:val="24"/>
              </w:rPr>
              <w:t>($ millions)</w:t>
            </w:r>
          </w:p>
        </w:tc>
        <w:tc>
          <w:tcPr>
            <w:tcW w:w="1160" w:type="dxa"/>
            <w:tcBorders>
              <w:top w:val="single" w:sz="4" w:space="0" w:color="auto"/>
              <w:left w:val="nil"/>
              <w:bottom w:val="single" w:sz="4" w:space="0" w:color="auto"/>
              <w:right w:val="single" w:sz="4" w:space="0" w:color="auto"/>
            </w:tcBorders>
            <w:vAlign w:val="center"/>
            <w:hideMark/>
          </w:tcPr>
          <w:p w14:paraId="28469979" w14:textId="77777777" w:rsidR="00B17255" w:rsidRPr="00B17255" w:rsidRDefault="00B17255" w:rsidP="00B17255">
            <w:pPr>
              <w:spacing w:line="360" w:lineRule="auto"/>
              <w:jc w:val="center"/>
              <w:rPr>
                <w:b/>
                <w:bCs/>
                <w:sz w:val="24"/>
                <w:szCs w:val="24"/>
              </w:rPr>
            </w:pPr>
            <w:r w:rsidRPr="00B17255">
              <w:rPr>
                <w:b/>
                <w:bCs/>
                <w:sz w:val="24"/>
                <w:szCs w:val="24"/>
              </w:rPr>
              <w:t>2022</w:t>
            </w:r>
            <w:r>
              <w:rPr>
                <w:b/>
                <w:bCs/>
                <w:sz w:val="24"/>
                <w:szCs w:val="24"/>
              </w:rPr>
              <w:t xml:space="preserve"> </w:t>
            </w:r>
            <w:r w:rsidRPr="00B17255">
              <w:rPr>
                <w:b/>
                <w:bCs/>
                <w:sz w:val="32"/>
                <w:szCs w:val="24"/>
              </w:rPr>
              <w:t xml:space="preserve"> </w:t>
            </w:r>
            <w:r w:rsidRPr="00B17255">
              <w:rPr>
                <w:sz w:val="24"/>
              </w:rPr>
              <w:t>($ millions)</w:t>
            </w:r>
          </w:p>
        </w:tc>
        <w:tc>
          <w:tcPr>
            <w:tcW w:w="1160" w:type="dxa"/>
            <w:tcBorders>
              <w:top w:val="single" w:sz="4" w:space="0" w:color="auto"/>
              <w:left w:val="nil"/>
              <w:bottom w:val="single" w:sz="4" w:space="0" w:color="auto"/>
              <w:right w:val="single" w:sz="4" w:space="0" w:color="auto"/>
            </w:tcBorders>
            <w:vAlign w:val="center"/>
            <w:hideMark/>
          </w:tcPr>
          <w:p w14:paraId="377A730D" w14:textId="77777777" w:rsidR="00B17255" w:rsidRPr="00B17255" w:rsidRDefault="00B17255" w:rsidP="00B17255">
            <w:pPr>
              <w:spacing w:line="360" w:lineRule="auto"/>
              <w:jc w:val="center"/>
              <w:rPr>
                <w:b/>
                <w:bCs/>
                <w:sz w:val="24"/>
                <w:szCs w:val="24"/>
              </w:rPr>
            </w:pPr>
            <w:r w:rsidRPr="00B17255">
              <w:rPr>
                <w:b/>
                <w:bCs/>
                <w:sz w:val="24"/>
                <w:szCs w:val="24"/>
              </w:rPr>
              <w:t>2023</w:t>
            </w:r>
            <w:r>
              <w:rPr>
                <w:b/>
                <w:bCs/>
                <w:sz w:val="24"/>
                <w:szCs w:val="24"/>
              </w:rPr>
              <w:t xml:space="preserve"> </w:t>
            </w:r>
            <w:r w:rsidRPr="00B17255">
              <w:rPr>
                <w:b/>
                <w:bCs/>
                <w:sz w:val="32"/>
                <w:szCs w:val="24"/>
              </w:rPr>
              <w:t xml:space="preserve"> </w:t>
            </w:r>
            <w:r w:rsidRPr="00B17255">
              <w:rPr>
                <w:sz w:val="24"/>
              </w:rPr>
              <w:t>($ millions)</w:t>
            </w:r>
          </w:p>
        </w:tc>
        <w:tc>
          <w:tcPr>
            <w:tcW w:w="1160" w:type="dxa"/>
            <w:tcBorders>
              <w:top w:val="single" w:sz="4" w:space="0" w:color="auto"/>
              <w:left w:val="nil"/>
              <w:bottom w:val="single" w:sz="4" w:space="0" w:color="auto"/>
              <w:right w:val="single" w:sz="4" w:space="0" w:color="auto"/>
            </w:tcBorders>
            <w:vAlign w:val="center"/>
            <w:hideMark/>
          </w:tcPr>
          <w:p w14:paraId="6F9C871F" w14:textId="77777777" w:rsidR="00B17255" w:rsidRPr="00B17255" w:rsidRDefault="00B17255" w:rsidP="00B17255">
            <w:pPr>
              <w:spacing w:line="360" w:lineRule="auto"/>
              <w:jc w:val="center"/>
              <w:rPr>
                <w:b/>
                <w:bCs/>
                <w:sz w:val="24"/>
                <w:szCs w:val="24"/>
              </w:rPr>
            </w:pPr>
            <w:r w:rsidRPr="00B17255">
              <w:rPr>
                <w:b/>
                <w:bCs/>
                <w:sz w:val="24"/>
                <w:szCs w:val="24"/>
              </w:rPr>
              <w:t>2024</w:t>
            </w:r>
            <w:r>
              <w:rPr>
                <w:b/>
                <w:bCs/>
                <w:sz w:val="24"/>
                <w:szCs w:val="24"/>
              </w:rPr>
              <w:t xml:space="preserve"> </w:t>
            </w:r>
            <w:r w:rsidRPr="00B17255">
              <w:rPr>
                <w:b/>
                <w:bCs/>
                <w:sz w:val="32"/>
                <w:szCs w:val="24"/>
              </w:rPr>
              <w:t xml:space="preserve"> </w:t>
            </w:r>
            <w:r w:rsidRPr="00B17255">
              <w:rPr>
                <w:sz w:val="24"/>
              </w:rPr>
              <w:t>($ millions)</w:t>
            </w:r>
          </w:p>
        </w:tc>
      </w:tr>
      <w:tr w:rsidR="00B17255" w:rsidRPr="00B17255" w14:paraId="3A19BE49"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777D0F15" w14:textId="77777777" w:rsidR="00B17255" w:rsidRPr="00B17255" w:rsidRDefault="00B17255" w:rsidP="00B17255">
            <w:pPr>
              <w:spacing w:line="360" w:lineRule="auto"/>
              <w:rPr>
                <w:sz w:val="24"/>
                <w:szCs w:val="24"/>
              </w:rPr>
            </w:pPr>
            <w:r w:rsidRPr="00B17255">
              <w:rPr>
                <w:sz w:val="24"/>
                <w:szCs w:val="24"/>
              </w:rPr>
              <w:t>Revenue</w:t>
            </w:r>
          </w:p>
        </w:tc>
        <w:tc>
          <w:tcPr>
            <w:tcW w:w="1160" w:type="dxa"/>
            <w:tcBorders>
              <w:top w:val="nil"/>
              <w:left w:val="nil"/>
              <w:bottom w:val="single" w:sz="4" w:space="0" w:color="auto"/>
              <w:right w:val="single" w:sz="4" w:space="0" w:color="auto"/>
            </w:tcBorders>
            <w:noWrap/>
            <w:vAlign w:val="center"/>
            <w:hideMark/>
          </w:tcPr>
          <w:p w14:paraId="13B89BC2" w14:textId="77777777" w:rsidR="00B17255" w:rsidRPr="00B17255" w:rsidRDefault="00B17255" w:rsidP="00B17255">
            <w:pPr>
              <w:spacing w:line="360" w:lineRule="auto"/>
              <w:jc w:val="center"/>
              <w:rPr>
                <w:sz w:val="24"/>
                <w:szCs w:val="24"/>
              </w:rPr>
            </w:pPr>
            <w:r w:rsidRPr="00B17255">
              <w:rPr>
                <w:sz w:val="24"/>
                <w:szCs w:val="24"/>
              </w:rPr>
              <w:t>4,311</w:t>
            </w:r>
          </w:p>
        </w:tc>
        <w:tc>
          <w:tcPr>
            <w:tcW w:w="1160" w:type="dxa"/>
            <w:tcBorders>
              <w:top w:val="nil"/>
              <w:left w:val="nil"/>
              <w:bottom w:val="single" w:sz="4" w:space="0" w:color="auto"/>
              <w:right w:val="single" w:sz="4" w:space="0" w:color="auto"/>
            </w:tcBorders>
            <w:noWrap/>
            <w:vAlign w:val="center"/>
            <w:hideMark/>
          </w:tcPr>
          <w:p w14:paraId="2C3C1029" w14:textId="77777777" w:rsidR="00B17255" w:rsidRPr="00B17255" w:rsidRDefault="00B17255" w:rsidP="00B17255">
            <w:pPr>
              <w:spacing w:line="360" w:lineRule="auto"/>
              <w:jc w:val="center"/>
              <w:rPr>
                <w:sz w:val="24"/>
                <w:szCs w:val="24"/>
              </w:rPr>
            </w:pPr>
            <w:r w:rsidRPr="00B17255">
              <w:rPr>
                <w:sz w:val="24"/>
                <w:szCs w:val="24"/>
              </w:rPr>
              <w:t>5,788</w:t>
            </w:r>
          </w:p>
        </w:tc>
        <w:tc>
          <w:tcPr>
            <w:tcW w:w="1160" w:type="dxa"/>
            <w:tcBorders>
              <w:top w:val="nil"/>
              <w:left w:val="nil"/>
              <w:bottom w:val="single" w:sz="4" w:space="0" w:color="auto"/>
              <w:right w:val="single" w:sz="4" w:space="0" w:color="auto"/>
            </w:tcBorders>
            <w:noWrap/>
            <w:vAlign w:val="center"/>
            <w:hideMark/>
          </w:tcPr>
          <w:p w14:paraId="1744AE98" w14:textId="77777777" w:rsidR="00B17255" w:rsidRPr="00B17255" w:rsidRDefault="00B17255" w:rsidP="00B17255">
            <w:pPr>
              <w:spacing w:line="360" w:lineRule="auto"/>
              <w:jc w:val="center"/>
              <w:rPr>
                <w:sz w:val="24"/>
                <w:szCs w:val="24"/>
              </w:rPr>
            </w:pPr>
            <w:r w:rsidRPr="00B17255">
              <w:rPr>
                <w:sz w:val="24"/>
                <w:szCs w:val="24"/>
              </w:rPr>
              <w:t>8,773</w:t>
            </w:r>
          </w:p>
        </w:tc>
        <w:tc>
          <w:tcPr>
            <w:tcW w:w="1160" w:type="dxa"/>
            <w:tcBorders>
              <w:top w:val="nil"/>
              <w:left w:val="nil"/>
              <w:bottom w:val="single" w:sz="4" w:space="0" w:color="auto"/>
              <w:right w:val="single" w:sz="4" w:space="0" w:color="auto"/>
            </w:tcBorders>
            <w:noWrap/>
            <w:vAlign w:val="center"/>
            <w:hideMark/>
          </w:tcPr>
          <w:p w14:paraId="40EAAB73" w14:textId="77777777" w:rsidR="00B17255" w:rsidRPr="00B17255" w:rsidRDefault="00B17255" w:rsidP="00B17255">
            <w:pPr>
              <w:spacing w:line="360" w:lineRule="auto"/>
              <w:jc w:val="center"/>
              <w:rPr>
                <w:sz w:val="24"/>
                <w:szCs w:val="24"/>
              </w:rPr>
            </w:pPr>
            <w:r w:rsidRPr="00B17255">
              <w:rPr>
                <w:sz w:val="24"/>
                <w:szCs w:val="24"/>
              </w:rPr>
              <w:t>10,235</w:t>
            </w:r>
          </w:p>
        </w:tc>
        <w:tc>
          <w:tcPr>
            <w:tcW w:w="1160" w:type="dxa"/>
            <w:tcBorders>
              <w:top w:val="nil"/>
              <w:left w:val="nil"/>
              <w:bottom w:val="single" w:sz="4" w:space="0" w:color="auto"/>
              <w:right w:val="single" w:sz="4" w:space="0" w:color="auto"/>
            </w:tcBorders>
            <w:noWrap/>
            <w:vAlign w:val="center"/>
            <w:hideMark/>
          </w:tcPr>
          <w:p w14:paraId="05C03765" w14:textId="77777777" w:rsidR="00B17255" w:rsidRPr="00B17255" w:rsidRDefault="00B17255" w:rsidP="00B17255">
            <w:pPr>
              <w:spacing w:line="360" w:lineRule="auto"/>
              <w:jc w:val="center"/>
              <w:rPr>
                <w:sz w:val="24"/>
                <w:szCs w:val="24"/>
              </w:rPr>
            </w:pPr>
            <w:r w:rsidRPr="00B17255">
              <w:rPr>
                <w:sz w:val="24"/>
                <w:szCs w:val="24"/>
              </w:rPr>
              <w:t>11,174</w:t>
            </w:r>
          </w:p>
        </w:tc>
      </w:tr>
      <w:tr w:rsidR="00B17255" w:rsidRPr="00B17255" w14:paraId="2AAC6263"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08A5D0E3" w14:textId="77777777" w:rsidR="00B17255" w:rsidRPr="00B17255" w:rsidRDefault="00B17255" w:rsidP="00B17255">
            <w:pPr>
              <w:spacing w:line="360" w:lineRule="auto"/>
              <w:rPr>
                <w:sz w:val="24"/>
                <w:szCs w:val="24"/>
              </w:rPr>
            </w:pPr>
            <w:r w:rsidRPr="00B17255">
              <w:rPr>
                <w:sz w:val="24"/>
                <w:szCs w:val="24"/>
              </w:rPr>
              <w:t>Gross Profit</w:t>
            </w:r>
          </w:p>
        </w:tc>
        <w:tc>
          <w:tcPr>
            <w:tcW w:w="1160" w:type="dxa"/>
            <w:tcBorders>
              <w:top w:val="nil"/>
              <w:left w:val="nil"/>
              <w:bottom w:val="single" w:sz="4" w:space="0" w:color="auto"/>
              <w:right w:val="single" w:sz="4" w:space="0" w:color="auto"/>
            </w:tcBorders>
            <w:noWrap/>
            <w:vAlign w:val="center"/>
            <w:hideMark/>
          </w:tcPr>
          <w:p w14:paraId="5C4B4A30" w14:textId="77777777" w:rsidR="00B17255" w:rsidRPr="00B17255" w:rsidRDefault="00B17255" w:rsidP="00B17255">
            <w:pPr>
              <w:spacing w:line="360" w:lineRule="auto"/>
              <w:jc w:val="center"/>
              <w:rPr>
                <w:sz w:val="24"/>
                <w:szCs w:val="24"/>
              </w:rPr>
            </w:pPr>
            <w:r w:rsidRPr="00B17255">
              <w:rPr>
                <w:sz w:val="24"/>
                <w:szCs w:val="24"/>
              </w:rPr>
              <w:t>3,690</w:t>
            </w:r>
          </w:p>
        </w:tc>
        <w:tc>
          <w:tcPr>
            <w:tcW w:w="1160" w:type="dxa"/>
            <w:tcBorders>
              <w:top w:val="nil"/>
              <w:left w:val="nil"/>
              <w:bottom w:val="single" w:sz="4" w:space="0" w:color="auto"/>
              <w:right w:val="single" w:sz="4" w:space="0" w:color="auto"/>
            </w:tcBorders>
            <w:noWrap/>
            <w:vAlign w:val="center"/>
            <w:hideMark/>
          </w:tcPr>
          <w:p w14:paraId="4F69F658" w14:textId="77777777" w:rsidR="00B17255" w:rsidRPr="00B17255" w:rsidRDefault="00B17255" w:rsidP="00B17255">
            <w:pPr>
              <w:spacing w:line="360" w:lineRule="auto"/>
              <w:jc w:val="center"/>
              <w:rPr>
                <w:sz w:val="24"/>
                <w:szCs w:val="24"/>
              </w:rPr>
            </w:pPr>
            <w:r w:rsidRPr="00B17255">
              <w:rPr>
                <w:sz w:val="24"/>
                <w:szCs w:val="24"/>
              </w:rPr>
              <w:t>5,110</w:t>
            </w:r>
          </w:p>
        </w:tc>
        <w:tc>
          <w:tcPr>
            <w:tcW w:w="1160" w:type="dxa"/>
            <w:tcBorders>
              <w:top w:val="nil"/>
              <w:left w:val="nil"/>
              <w:bottom w:val="single" w:sz="4" w:space="0" w:color="auto"/>
              <w:right w:val="single" w:sz="4" w:space="0" w:color="auto"/>
            </w:tcBorders>
            <w:noWrap/>
            <w:vAlign w:val="center"/>
            <w:hideMark/>
          </w:tcPr>
          <w:p w14:paraId="2F1C5ED1" w14:textId="77777777" w:rsidR="00B17255" w:rsidRPr="00B17255" w:rsidRDefault="00B17255" w:rsidP="00B17255">
            <w:pPr>
              <w:spacing w:line="360" w:lineRule="auto"/>
              <w:jc w:val="center"/>
              <w:rPr>
                <w:sz w:val="24"/>
                <w:szCs w:val="24"/>
              </w:rPr>
            </w:pPr>
            <w:r w:rsidRPr="00B17255">
              <w:rPr>
                <w:sz w:val="24"/>
                <w:szCs w:val="24"/>
              </w:rPr>
              <w:t>7,770</w:t>
            </w:r>
          </w:p>
        </w:tc>
        <w:tc>
          <w:tcPr>
            <w:tcW w:w="1160" w:type="dxa"/>
            <w:tcBorders>
              <w:top w:val="nil"/>
              <w:left w:val="nil"/>
              <w:bottom w:val="single" w:sz="4" w:space="0" w:color="auto"/>
              <w:right w:val="single" w:sz="4" w:space="0" w:color="auto"/>
            </w:tcBorders>
            <w:noWrap/>
            <w:vAlign w:val="center"/>
            <w:hideMark/>
          </w:tcPr>
          <w:p w14:paraId="6E6E5163" w14:textId="77777777" w:rsidR="00B17255" w:rsidRPr="00B17255" w:rsidRDefault="00B17255" w:rsidP="00B17255">
            <w:pPr>
              <w:spacing w:line="360" w:lineRule="auto"/>
              <w:jc w:val="center"/>
              <w:rPr>
                <w:sz w:val="24"/>
                <w:szCs w:val="24"/>
              </w:rPr>
            </w:pPr>
            <w:r w:rsidRPr="00B17255">
              <w:rPr>
                <w:sz w:val="24"/>
                <w:szCs w:val="24"/>
              </w:rPr>
              <w:t>9,094</w:t>
            </w:r>
          </w:p>
        </w:tc>
        <w:tc>
          <w:tcPr>
            <w:tcW w:w="1160" w:type="dxa"/>
            <w:tcBorders>
              <w:top w:val="nil"/>
              <w:left w:val="nil"/>
              <w:bottom w:val="single" w:sz="4" w:space="0" w:color="auto"/>
              <w:right w:val="single" w:sz="4" w:space="0" w:color="auto"/>
            </w:tcBorders>
            <w:noWrap/>
            <w:vAlign w:val="center"/>
            <w:hideMark/>
          </w:tcPr>
          <w:p w14:paraId="19353E86" w14:textId="77777777" w:rsidR="00B17255" w:rsidRPr="00B17255" w:rsidRDefault="00B17255" w:rsidP="00B17255">
            <w:pPr>
              <w:spacing w:line="360" w:lineRule="auto"/>
              <w:jc w:val="center"/>
              <w:rPr>
                <w:sz w:val="24"/>
                <w:szCs w:val="24"/>
              </w:rPr>
            </w:pPr>
            <w:r w:rsidRPr="00B17255">
              <w:rPr>
                <w:sz w:val="24"/>
                <w:szCs w:val="24"/>
              </w:rPr>
              <w:t>10,048</w:t>
            </w:r>
          </w:p>
        </w:tc>
      </w:tr>
      <w:tr w:rsidR="00B17255" w:rsidRPr="00B17255" w14:paraId="3351F055"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32474349" w14:textId="77777777" w:rsidR="00B17255" w:rsidRPr="00B17255" w:rsidRDefault="00B17255" w:rsidP="00B17255">
            <w:pPr>
              <w:spacing w:line="360" w:lineRule="auto"/>
              <w:rPr>
                <w:sz w:val="24"/>
                <w:szCs w:val="24"/>
              </w:rPr>
            </w:pPr>
            <w:r w:rsidRPr="00B17255">
              <w:rPr>
                <w:sz w:val="24"/>
                <w:szCs w:val="24"/>
              </w:rPr>
              <w:t>Operating Income</w:t>
            </w:r>
          </w:p>
        </w:tc>
        <w:tc>
          <w:tcPr>
            <w:tcW w:w="1160" w:type="dxa"/>
            <w:tcBorders>
              <w:top w:val="nil"/>
              <w:left w:val="nil"/>
              <w:bottom w:val="single" w:sz="4" w:space="0" w:color="auto"/>
              <w:right w:val="single" w:sz="4" w:space="0" w:color="auto"/>
            </w:tcBorders>
            <w:noWrap/>
            <w:vAlign w:val="center"/>
            <w:hideMark/>
          </w:tcPr>
          <w:p w14:paraId="72ED20C2" w14:textId="77777777" w:rsidR="00B17255" w:rsidRPr="00B17255" w:rsidRDefault="00B17255" w:rsidP="00B17255">
            <w:pPr>
              <w:spacing w:line="360" w:lineRule="auto"/>
              <w:jc w:val="center"/>
              <w:rPr>
                <w:sz w:val="24"/>
                <w:szCs w:val="24"/>
              </w:rPr>
            </w:pPr>
            <w:r w:rsidRPr="00B17255">
              <w:rPr>
                <w:sz w:val="24"/>
                <w:szCs w:val="24"/>
              </w:rPr>
              <w:t>(419)</w:t>
            </w:r>
          </w:p>
        </w:tc>
        <w:tc>
          <w:tcPr>
            <w:tcW w:w="1160" w:type="dxa"/>
            <w:tcBorders>
              <w:top w:val="nil"/>
              <w:left w:val="nil"/>
              <w:bottom w:val="single" w:sz="4" w:space="0" w:color="auto"/>
              <w:right w:val="single" w:sz="4" w:space="0" w:color="auto"/>
            </w:tcBorders>
            <w:noWrap/>
            <w:vAlign w:val="center"/>
            <w:hideMark/>
          </w:tcPr>
          <w:p w14:paraId="0E0E9922" w14:textId="77777777" w:rsidR="00B17255" w:rsidRPr="00B17255" w:rsidRDefault="00B17255" w:rsidP="00B17255">
            <w:pPr>
              <w:spacing w:line="360" w:lineRule="auto"/>
              <w:jc w:val="center"/>
              <w:rPr>
                <w:sz w:val="24"/>
                <w:szCs w:val="24"/>
              </w:rPr>
            </w:pPr>
            <w:r w:rsidRPr="00B17255">
              <w:rPr>
                <w:sz w:val="24"/>
                <w:szCs w:val="24"/>
              </w:rPr>
              <w:t>1,010</w:t>
            </w:r>
          </w:p>
        </w:tc>
        <w:tc>
          <w:tcPr>
            <w:tcW w:w="1160" w:type="dxa"/>
            <w:tcBorders>
              <w:top w:val="nil"/>
              <w:left w:val="nil"/>
              <w:bottom w:val="single" w:sz="4" w:space="0" w:color="auto"/>
              <w:right w:val="single" w:sz="4" w:space="0" w:color="auto"/>
            </w:tcBorders>
            <w:noWrap/>
            <w:vAlign w:val="center"/>
            <w:hideMark/>
          </w:tcPr>
          <w:p w14:paraId="61155B22" w14:textId="77777777" w:rsidR="00B17255" w:rsidRPr="00B17255" w:rsidRDefault="00B17255" w:rsidP="00B17255">
            <w:pPr>
              <w:spacing w:line="360" w:lineRule="auto"/>
              <w:jc w:val="center"/>
              <w:rPr>
                <w:sz w:val="24"/>
                <w:szCs w:val="24"/>
              </w:rPr>
            </w:pPr>
            <w:r w:rsidRPr="00B17255">
              <w:rPr>
                <w:sz w:val="24"/>
                <w:szCs w:val="24"/>
              </w:rPr>
              <w:t>2,094</w:t>
            </w:r>
          </w:p>
        </w:tc>
        <w:tc>
          <w:tcPr>
            <w:tcW w:w="1160" w:type="dxa"/>
            <w:tcBorders>
              <w:top w:val="nil"/>
              <w:left w:val="nil"/>
              <w:bottom w:val="single" w:sz="4" w:space="0" w:color="auto"/>
              <w:right w:val="single" w:sz="4" w:space="0" w:color="auto"/>
            </w:tcBorders>
            <w:noWrap/>
            <w:vAlign w:val="center"/>
            <w:hideMark/>
          </w:tcPr>
          <w:p w14:paraId="0B560085" w14:textId="77777777" w:rsidR="00B17255" w:rsidRPr="00B17255" w:rsidRDefault="00B17255" w:rsidP="00B17255">
            <w:pPr>
              <w:spacing w:line="360" w:lineRule="auto"/>
              <w:jc w:val="center"/>
              <w:rPr>
                <w:sz w:val="24"/>
                <w:szCs w:val="24"/>
              </w:rPr>
            </w:pPr>
            <w:r w:rsidRPr="00B17255">
              <w:rPr>
                <w:sz w:val="24"/>
                <w:szCs w:val="24"/>
              </w:rPr>
              <w:t>2,225</w:t>
            </w:r>
          </w:p>
        </w:tc>
        <w:tc>
          <w:tcPr>
            <w:tcW w:w="1160" w:type="dxa"/>
            <w:tcBorders>
              <w:top w:val="nil"/>
              <w:left w:val="nil"/>
              <w:bottom w:val="single" w:sz="4" w:space="0" w:color="auto"/>
              <w:right w:val="single" w:sz="4" w:space="0" w:color="auto"/>
            </w:tcBorders>
            <w:noWrap/>
            <w:vAlign w:val="center"/>
            <w:hideMark/>
          </w:tcPr>
          <w:p w14:paraId="7D5EA7A2" w14:textId="77777777" w:rsidR="00B17255" w:rsidRPr="00B17255" w:rsidRDefault="00B17255" w:rsidP="00B17255">
            <w:pPr>
              <w:spacing w:line="360" w:lineRule="auto"/>
              <w:jc w:val="center"/>
              <w:rPr>
                <w:sz w:val="24"/>
                <w:szCs w:val="24"/>
              </w:rPr>
            </w:pPr>
            <w:r w:rsidRPr="00B17255">
              <w:rPr>
                <w:sz w:val="24"/>
                <w:szCs w:val="24"/>
              </w:rPr>
              <w:t>2,370</w:t>
            </w:r>
          </w:p>
        </w:tc>
      </w:tr>
      <w:tr w:rsidR="00B17255" w:rsidRPr="00B17255" w14:paraId="5FF5B131"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697DB7BB" w14:textId="77777777" w:rsidR="00B17255" w:rsidRPr="00B17255" w:rsidRDefault="00B17255" w:rsidP="00B17255">
            <w:pPr>
              <w:spacing w:line="360" w:lineRule="auto"/>
              <w:rPr>
                <w:sz w:val="24"/>
                <w:szCs w:val="24"/>
              </w:rPr>
            </w:pPr>
            <w:r w:rsidRPr="00B17255">
              <w:rPr>
                <w:sz w:val="24"/>
                <w:szCs w:val="24"/>
              </w:rPr>
              <w:t>Pre-Tax Income</w:t>
            </w:r>
          </w:p>
        </w:tc>
        <w:tc>
          <w:tcPr>
            <w:tcW w:w="1160" w:type="dxa"/>
            <w:tcBorders>
              <w:top w:val="nil"/>
              <w:left w:val="nil"/>
              <w:bottom w:val="single" w:sz="4" w:space="0" w:color="auto"/>
              <w:right w:val="single" w:sz="4" w:space="0" w:color="auto"/>
            </w:tcBorders>
            <w:noWrap/>
            <w:vAlign w:val="center"/>
            <w:hideMark/>
          </w:tcPr>
          <w:p w14:paraId="16FE6C62"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3990B136"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7EEB34A3" w14:textId="77777777" w:rsidR="00B17255" w:rsidRPr="00B17255" w:rsidRDefault="00B17255" w:rsidP="00B17255">
            <w:pPr>
              <w:spacing w:line="360" w:lineRule="auto"/>
              <w:jc w:val="center"/>
              <w:rPr>
                <w:sz w:val="24"/>
                <w:szCs w:val="24"/>
              </w:rPr>
            </w:pPr>
            <w:r w:rsidRPr="00B17255">
              <w:rPr>
                <w:sz w:val="24"/>
                <w:szCs w:val="24"/>
              </w:rPr>
              <w:t>1,734</w:t>
            </w:r>
          </w:p>
        </w:tc>
        <w:tc>
          <w:tcPr>
            <w:tcW w:w="1160" w:type="dxa"/>
            <w:tcBorders>
              <w:top w:val="nil"/>
              <w:left w:val="nil"/>
              <w:bottom w:val="single" w:sz="4" w:space="0" w:color="auto"/>
              <w:right w:val="single" w:sz="4" w:space="0" w:color="auto"/>
            </w:tcBorders>
            <w:noWrap/>
            <w:vAlign w:val="center"/>
            <w:hideMark/>
          </w:tcPr>
          <w:p w14:paraId="204F511F" w14:textId="77777777" w:rsidR="00B17255" w:rsidRPr="00B17255" w:rsidRDefault="00B17255" w:rsidP="00B17255">
            <w:pPr>
              <w:spacing w:line="360" w:lineRule="auto"/>
              <w:jc w:val="center"/>
              <w:rPr>
                <w:sz w:val="24"/>
                <w:szCs w:val="24"/>
              </w:rPr>
            </w:pPr>
            <w:r w:rsidRPr="00B17255">
              <w:rPr>
                <w:sz w:val="24"/>
                <w:szCs w:val="24"/>
              </w:rPr>
              <w:t>1,692</w:t>
            </w:r>
          </w:p>
        </w:tc>
        <w:tc>
          <w:tcPr>
            <w:tcW w:w="1160" w:type="dxa"/>
            <w:tcBorders>
              <w:top w:val="nil"/>
              <w:left w:val="nil"/>
              <w:bottom w:val="single" w:sz="4" w:space="0" w:color="auto"/>
              <w:right w:val="single" w:sz="4" w:space="0" w:color="auto"/>
            </w:tcBorders>
            <w:noWrap/>
            <w:vAlign w:val="center"/>
            <w:hideMark/>
          </w:tcPr>
          <w:p w14:paraId="1DE7C823" w14:textId="77777777" w:rsidR="00B17255" w:rsidRPr="00B17255" w:rsidRDefault="00B17255" w:rsidP="00B17255">
            <w:pPr>
              <w:spacing w:line="360" w:lineRule="auto"/>
              <w:jc w:val="center"/>
              <w:rPr>
                <w:sz w:val="24"/>
                <w:szCs w:val="24"/>
              </w:rPr>
            </w:pPr>
            <w:r w:rsidRPr="00B17255">
              <w:rPr>
                <w:sz w:val="24"/>
                <w:szCs w:val="24"/>
              </w:rPr>
              <w:t>1,783</w:t>
            </w:r>
          </w:p>
        </w:tc>
      </w:tr>
      <w:tr w:rsidR="00B17255" w:rsidRPr="00B17255" w14:paraId="55842599"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6F9B93C4" w14:textId="77777777" w:rsidR="00B17255" w:rsidRPr="00B17255" w:rsidRDefault="00B17255" w:rsidP="00B17255">
            <w:pPr>
              <w:spacing w:line="360" w:lineRule="auto"/>
              <w:rPr>
                <w:sz w:val="24"/>
                <w:szCs w:val="24"/>
              </w:rPr>
            </w:pPr>
            <w:r w:rsidRPr="00B17255">
              <w:rPr>
                <w:sz w:val="24"/>
                <w:szCs w:val="24"/>
              </w:rPr>
              <w:t>Net Income</w:t>
            </w:r>
          </w:p>
        </w:tc>
        <w:tc>
          <w:tcPr>
            <w:tcW w:w="1160" w:type="dxa"/>
            <w:tcBorders>
              <w:top w:val="nil"/>
              <w:left w:val="nil"/>
              <w:bottom w:val="single" w:sz="4" w:space="0" w:color="auto"/>
              <w:right w:val="single" w:sz="4" w:space="0" w:color="auto"/>
            </w:tcBorders>
            <w:noWrap/>
            <w:vAlign w:val="center"/>
            <w:hideMark/>
          </w:tcPr>
          <w:p w14:paraId="3E80C6C8" w14:textId="77777777" w:rsidR="00B17255" w:rsidRPr="00B17255" w:rsidRDefault="00B17255" w:rsidP="00B17255">
            <w:pPr>
              <w:spacing w:line="360" w:lineRule="auto"/>
              <w:jc w:val="center"/>
              <w:rPr>
                <w:sz w:val="24"/>
                <w:szCs w:val="24"/>
              </w:rPr>
            </w:pPr>
            <w:r w:rsidRPr="00B17255">
              <w:rPr>
                <w:sz w:val="24"/>
                <w:szCs w:val="24"/>
              </w:rPr>
              <w:t>(720)</w:t>
            </w:r>
          </w:p>
        </w:tc>
        <w:tc>
          <w:tcPr>
            <w:tcW w:w="1160" w:type="dxa"/>
            <w:tcBorders>
              <w:top w:val="nil"/>
              <w:left w:val="nil"/>
              <w:bottom w:val="single" w:sz="4" w:space="0" w:color="auto"/>
              <w:right w:val="single" w:sz="4" w:space="0" w:color="auto"/>
            </w:tcBorders>
            <w:noWrap/>
            <w:vAlign w:val="center"/>
            <w:hideMark/>
          </w:tcPr>
          <w:p w14:paraId="6D56B4CE" w14:textId="77777777" w:rsidR="00B17255" w:rsidRPr="00B17255" w:rsidRDefault="00B17255" w:rsidP="00B17255">
            <w:pPr>
              <w:spacing w:line="360" w:lineRule="auto"/>
              <w:jc w:val="center"/>
              <w:rPr>
                <w:sz w:val="24"/>
                <w:szCs w:val="24"/>
              </w:rPr>
            </w:pPr>
            <w:r w:rsidRPr="00B17255">
              <w:rPr>
                <w:sz w:val="24"/>
                <w:szCs w:val="24"/>
              </w:rPr>
              <w:t>407</w:t>
            </w:r>
          </w:p>
        </w:tc>
        <w:tc>
          <w:tcPr>
            <w:tcW w:w="1160" w:type="dxa"/>
            <w:tcBorders>
              <w:top w:val="nil"/>
              <w:left w:val="nil"/>
              <w:bottom w:val="single" w:sz="4" w:space="0" w:color="auto"/>
              <w:right w:val="single" w:sz="4" w:space="0" w:color="auto"/>
            </w:tcBorders>
            <w:noWrap/>
            <w:vAlign w:val="center"/>
            <w:hideMark/>
          </w:tcPr>
          <w:p w14:paraId="32632DFC" w14:textId="77777777" w:rsidR="00B17255" w:rsidRPr="00B17255" w:rsidRDefault="00B17255" w:rsidP="00B17255">
            <w:pPr>
              <w:spacing w:line="360" w:lineRule="auto"/>
              <w:jc w:val="center"/>
              <w:rPr>
                <w:sz w:val="24"/>
                <w:szCs w:val="24"/>
              </w:rPr>
            </w:pPr>
            <w:r w:rsidRPr="00B17255">
              <w:rPr>
                <w:sz w:val="24"/>
                <w:szCs w:val="24"/>
              </w:rPr>
              <w:t>1,257</w:t>
            </w:r>
          </w:p>
        </w:tc>
        <w:tc>
          <w:tcPr>
            <w:tcW w:w="1160" w:type="dxa"/>
            <w:tcBorders>
              <w:top w:val="nil"/>
              <w:left w:val="nil"/>
              <w:bottom w:val="single" w:sz="4" w:space="0" w:color="auto"/>
              <w:right w:val="single" w:sz="4" w:space="0" w:color="auto"/>
            </w:tcBorders>
            <w:noWrap/>
            <w:vAlign w:val="center"/>
            <w:hideMark/>
          </w:tcPr>
          <w:p w14:paraId="21E7ECCC" w14:textId="77777777" w:rsidR="00B17255" w:rsidRPr="00B17255" w:rsidRDefault="00B17255" w:rsidP="00B17255">
            <w:pPr>
              <w:spacing w:line="360" w:lineRule="auto"/>
              <w:jc w:val="center"/>
              <w:rPr>
                <w:sz w:val="24"/>
                <w:szCs w:val="24"/>
              </w:rPr>
            </w:pPr>
            <w:r w:rsidRPr="00B17255">
              <w:rPr>
                <w:sz w:val="24"/>
                <w:szCs w:val="24"/>
              </w:rPr>
              <w:t>1,151</w:t>
            </w:r>
          </w:p>
        </w:tc>
        <w:tc>
          <w:tcPr>
            <w:tcW w:w="1160" w:type="dxa"/>
            <w:tcBorders>
              <w:top w:val="nil"/>
              <w:left w:val="nil"/>
              <w:bottom w:val="single" w:sz="4" w:space="0" w:color="auto"/>
              <w:right w:val="single" w:sz="4" w:space="0" w:color="auto"/>
            </w:tcBorders>
            <w:noWrap/>
            <w:vAlign w:val="center"/>
            <w:hideMark/>
          </w:tcPr>
          <w:p w14:paraId="59741630" w14:textId="77777777" w:rsidR="00B17255" w:rsidRPr="00B17255" w:rsidRDefault="00B17255" w:rsidP="00B17255">
            <w:pPr>
              <w:spacing w:line="360" w:lineRule="auto"/>
              <w:jc w:val="center"/>
              <w:rPr>
                <w:sz w:val="24"/>
                <w:szCs w:val="24"/>
              </w:rPr>
            </w:pPr>
            <w:r w:rsidRPr="00B17255">
              <w:rPr>
                <w:sz w:val="24"/>
                <w:szCs w:val="24"/>
              </w:rPr>
              <w:t>1,539</w:t>
            </w:r>
          </w:p>
        </w:tc>
      </w:tr>
      <w:tr w:rsidR="00B17255" w:rsidRPr="00B17255" w14:paraId="75FEFA60"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49A34994" w14:textId="77777777" w:rsidR="00B17255" w:rsidRPr="00B17255" w:rsidRDefault="00B17255" w:rsidP="00B17255">
            <w:pPr>
              <w:spacing w:line="360" w:lineRule="auto"/>
              <w:rPr>
                <w:sz w:val="24"/>
                <w:szCs w:val="24"/>
              </w:rPr>
            </w:pPr>
            <w:r w:rsidRPr="00B17255">
              <w:rPr>
                <w:sz w:val="24"/>
                <w:szCs w:val="24"/>
              </w:rPr>
              <w:t>Total Current Assets</w:t>
            </w:r>
          </w:p>
        </w:tc>
        <w:tc>
          <w:tcPr>
            <w:tcW w:w="1160" w:type="dxa"/>
            <w:tcBorders>
              <w:top w:val="nil"/>
              <w:left w:val="nil"/>
              <w:bottom w:val="single" w:sz="4" w:space="0" w:color="auto"/>
              <w:right w:val="single" w:sz="4" w:space="0" w:color="auto"/>
            </w:tcBorders>
            <w:noWrap/>
            <w:vAlign w:val="center"/>
            <w:hideMark/>
          </w:tcPr>
          <w:p w14:paraId="184A9B4B"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01344EA3" w14:textId="77777777" w:rsidR="00B17255" w:rsidRPr="00B17255" w:rsidRDefault="00B17255" w:rsidP="00B17255">
            <w:pPr>
              <w:spacing w:line="360" w:lineRule="auto"/>
              <w:jc w:val="center"/>
              <w:rPr>
                <w:sz w:val="24"/>
                <w:szCs w:val="24"/>
              </w:rPr>
            </w:pPr>
            <w:r w:rsidRPr="00B17255">
              <w:rPr>
                <w:sz w:val="24"/>
                <w:szCs w:val="24"/>
              </w:rPr>
              <w:t>2,871</w:t>
            </w:r>
          </w:p>
        </w:tc>
        <w:tc>
          <w:tcPr>
            <w:tcW w:w="1160" w:type="dxa"/>
            <w:tcBorders>
              <w:top w:val="nil"/>
              <w:left w:val="nil"/>
              <w:bottom w:val="single" w:sz="4" w:space="0" w:color="auto"/>
              <w:right w:val="single" w:sz="4" w:space="0" w:color="auto"/>
            </w:tcBorders>
            <w:noWrap/>
            <w:vAlign w:val="center"/>
            <w:hideMark/>
          </w:tcPr>
          <w:p w14:paraId="4EB97424" w14:textId="77777777" w:rsidR="00B17255" w:rsidRPr="00B17255" w:rsidRDefault="00B17255" w:rsidP="00B17255">
            <w:pPr>
              <w:spacing w:line="360" w:lineRule="auto"/>
              <w:jc w:val="center"/>
              <w:rPr>
                <w:sz w:val="24"/>
                <w:szCs w:val="24"/>
              </w:rPr>
            </w:pPr>
            <w:r w:rsidRPr="00B17255">
              <w:rPr>
                <w:sz w:val="24"/>
                <w:szCs w:val="24"/>
              </w:rPr>
              <w:t>2,870</w:t>
            </w:r>
          </w:p>
        </w:tc>
        <w:tc>
          <w:tcPr>
            <w:tcW w:w="1160" w:type="dxa"/>
            <w:tcBorders>
              <w:top w:val="nil"/>
              <w:left w:val="nil"/>
              <w:bottom w:val="single" w:sz="4" w:space="0" w:color="auto"/>
              <w:right w:val="single" w:sz="4" w:space="0" w:color="auto"/>
            </w:tcBorders>
            <w:noWrap/>
            <w:vAlign w:val="center"/>
            <w:hideMark/>
          </w:tcPr>
          <w:p w14:paraId="3BA97A5F" w14:textId="77777777" w:rsidR="00B17255" w:rsidRPr="00B17255" w:rsidRDefault="00B17255" w:rsidP="00B17255">
            <w:pPr>
              <w:spacing w:line="360" w:lineRule="auto"/>
              <w:jc w:val="center"/>
              <w:rPr>
                <w:sz w:val="24"/>
                <w:szCs w:val="24"/>
              </w:rPr>
            </w:pPr>
            <w:r w:rsidRPr="00B17255">
              <w:rPr>
                <w:sz w:val="24"/>
                <w:szCs w:val="24"/>
              </w:rPr>
              <w:t>2,614</w:t>
            </w:r>
          </w:p>
        </w:tc>
        <w:tc>
          <w:tcPr>
            <w:tcW w:w="1160" w:type="dxa"/>
            <w:tcBorders>
              <w:top w:val="nil"/>
              <w:left w:val="nil"/>
              <w:bottom w:val="single" w:sz="4" w:space="0" w:color="auto"/>
              <w:right w:val="single" w:sz="4" w:space="0" w:color="auto"/>
            </w:tcBorders>
            <w:noWrap/>
            <w:vAlign w:val="center"/>
            <w:hideMark/>
          </w:tcPr>
          <w:p w14:paraId="6FC86606" w14:textId="77777777" w:rsidR="00B17255" w:rsidRPr="00B17255" w:rsidRDefault="00B17255" w:rsidP="00B17255">
            <w:pPr>
              <w:spacing w:line="360" w:lineRule="auto"/>
              <w:jc w:val="center"/>
              <w:rPr>
                <w:sz w:val="24"/>
                <w:szCs w:val="24"/>
              </w:rPr>
            </w:pPr>
            <w:r w:rsidRPr="00B17255">
              <w:rPr>
                <w:sz w:val="24"/>
                <w:szCs w:val="24"/>
              </w:rPr>
              <w:t>3,272</w:t>
            </w:r>
          </w:p>
        </w:tc>
      </w:tr>
      <w:tr w:rsidR="00B17255" w:rsidRPr="00B17255" w14:paraId="50A5846E"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51D81B00" w14:textId="77777777" w:rsidR="00B17255" w:rsidRPr="00B17255" w:rsidRDefault="00B17255" w:rsidP="00B17255">
            <w:pPr>
              <w:spacing w:line="360" w:lineRule="auto"/>
              <w:rPr>
                <w:sz w:val="24"/>
                <w:szCs w:val="24"/>
              </w:rPr>
            </w:pPr>
            <w:r w:rsidRPr="00B17255">
              <w:rPr>
                <w:sz w:val="24"/>
                <w:szCs w:val="24"/>
              </w:rPr>
              <w:t xml:space="preserve">  Cash &amp; Cash Equivalents</w:t>
            </w:r>
          </w:p>
        </w:tc>
        <w:tc>
          <w:tcPr>
            <w:tcW w:w="1160" w:type="dxa"/>
            <w:tcBorders>
              <w:top w:val="nil"/>
              <w:left w:val="nil"/>
              <w:bottom w:val="single" w:sz="4" w:space="0" w:color="auto"/>
              <w:right w:val="single" w:sz="4" w:space="0" w:color="auto"/>
            </w:tcBorders>
            <w:noWrap/>
            <w:vAlign w:val="center"/>
            <w:hideMark/>
          </w:tcPr>
          <w:p w14:paraId="6A90BF04"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4DFCEB7F" w14:textId="77777777" w:rsidR="00B17255" w:rsidRPr="00B17255" w:rsidRDefault="00B17255" w:rsidP="00B17255">
            <w:pPr>
              <w:spacing w:line="360" w:lineRule="auto"/>
              <w:jc w:val="center"/>
              <w:rPr>
                <w:sz w:val="24"/>
                <w:szCs w:val="24"/>
              </w:rPr>
            </w:pPr>
            <w:r w:rsidRPr="00B17255">
              <w:rPr>
                <w:sz w:val="24"/>
                <w:szCs w:val="24"/>
              </w:rPr>
              <w:t>1,427</w:t>
            </w:r>
          </w:p>
        </w:tc>
        <w:tc>
          <w:tcPr>
            <w:tcW w:w="1160" w:type="dxa"/>
            <w:tcBorders>
              <w:top w:val="nil"/>
              <w:left w:val="nil"/>
              <w:bottom w:val="single" w:sz="4" w:space="0" w:color="auto"/>
              <w:right w:val="single" w:sz="4" w:space="0" w:color="auto"/>
            </w:tcBorders>
            <w:noWrap/>
            <w:vAlign w:val="center"/>
            <w:hideMark/>
          </w:tcPr>
          <w:p w14:paraId="7AE34851" w14:textId="77777777" w:rsidR="00B17255" w:rsidRPr="00B17255" w:rsidRDefault="00B17255" w:rsidP="00B17255">
            <w:pPr>
              <w:spacing w:line="360" w:lineRule="auto"/>
              <w:jc w:val="center"/>
              <w:rPr>
                <w:sz w:val="24"/>
                <w:szCs w:val="24"/>
              </w:rPr>
            </w:pPr>
            <w:r w:rsidRPr="00B17255">
              <w:rPr>
                <w:sz w:val="24"/>
                <w:szCs w:val="24"/>
              </w:rPr>
              <w:t>1,209</w:t>
            </w:r>
          </w:p>
        </w:tc>
        <w:tc>
          <w:tcPr>
            <w:tcW w:w="1160" w:type="dxa"/>
            <w:tcBorders>
              <w:top w:val="nil"/>
              <w:left w:val="nil"/>
              <w:bottom w:val="single" w:sz="4" w:space="0" w:color="auto"/>
              <w:right w:val="single" w:sz="4" w:space="0" w:color="auto"/>
            </w:tcBorders>
            <w:noWrap/>
            <w:vAlign w:val="center"/>
            <w:hideMark/>
          </w:tcPr>
          <w:p w14:paraId="7C5A3BD1" w14:textId="77777777" w:rsidR="00B17255" w:rsidRPr="00B17255" w:rsidRDefault="00B17255" w:rsidP="00B17255">
            <w:pPr>
              <w:spacing w:line="360" w:lineRule="auto"/>
              <w:jc w:val="center"/>
              <w:rPr>
                <w:sz w:val="24"/>
                <w:szCs w:val="24"/>
              </w:rPr>
            </w:pPr>
            <w:r w:rsidRPr="00B17255">
              <w:rPr>
                <w:sz w:val="24"/>
                <w:szCs w:val="24"/>
              </w:rPr>
              <w:t>800</w:t>
            </w:r>
          </w:p>
        </w:tc>
        <w:tc>
          <w:tcPr>
            <w:tcW w:w="1160" w:type="dxa"/>
            <w:tcBorders>
              <w:top w:val="nil"/>
              <w:left w:val="nil"/>
              <w:bottom w:val="single" w:sz="4" w:space="0" w:color="auto"/>
              <w:right w:val="single" w:sz="4" w:space="0" w:color="auto"/>
            </w:tcBorders>
            <w:noWrap/>
            <w:vAlign w:val="center"/>
            <w:hideMark/>
          </w:tcPr>
          <w:p w14:paraId="2CB5AC73" w14:textId="77777777" w:rsidR="00B17255" w:rsidRPr="00B17255" w:rsidRDefault="00B17255" w:rsidP="00B17255">
            <w:pPr>
              <w:spacing w:line="360" w:lineRule="auto"/>
              <w:jc w:val="center"/>
              <w:rPr>
                <w:sz w:val="24"/>
                <w:szCs w:val="24"/>
              </w:rPr>
            </w:pPr>
            <w:r w:rsidRPr="00B17255">
              <w:rPr>
                <w:sz w:val="24"/>
                <w:szCs w:val="24"/>
              </w:rPr>
              <w:t>1,301</w:t>
            </w:r>
          </w:p>
        </w:tc>
      </w:tr>
      <w:tr w:rsidR="00B17255" w:rsidRPr="00B17255" w14:paraId="184ED646"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78D642D4" w14:textId="77777777" w:rsidR="00B17255" w:rsidRPr="00B17255" w:rsidRDefault="00B17255" w:rsidP="00B17255">
            <w:pPr>
              <w:spacing w:line="360" w:lineRule="auto"/>
              <w:rPr>
                <w:sz w:val="24"/>
                <w:szCs w:val="24"/>
              </w:rPr>
            </w:pPr>
            <w:r w:rsidRPr="00B17255">
              <w:rPr>
                <w:sz w:val="24"/>
                <w:szCs w:val="24"/>
              </w:rPr>
              <w:t xml:space="preserve">  Restricted Cash</w:t>
            </w:r>
          </w:p>
        </w:tc>
        <w:tc>
          <w:tcPr>
            <w:tcW w:w="1160" w:type="dxa"/>
            <w:tcBorders>
              <w:top w:val="nil"/>
              <w:left w:val="nil"/>
              <w:bottom w:val="single" w:sz="4" w:space="0" w:color="auto"/>
              <w:right w:val="single" w:sz="4" w:space="0" w:color="auto"/>
            </w:tcBorders>
            <w:noWrap/>
            <w:vAlign w:val="center"/>
            <w:hideMark/>
          </w:tcPr>
          <w:p w14:paraId="4ECEBB2C"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6BEF6012" w14:textId="77777777" w:rsidR="00B17255" w:rsidRPr="00B17255" w:rsidRDefault="00B17255" w:rsidP="00B17255">
            <w:pPr>
              <w:spacing w:line="360" w:lineRule="auto"/>
              <w:jc w:val="center"/>
              <w:rPr>
                <w:sz w:val="24"/>
                <w:szCs w:val="24"/>
              </w:rPr>
            </w:pPr>
            <w:r w:rsidRPr="00B17255">
              <w:rPr>
                <w:sz w:val="24"/>
                <w:szCs w:val="24"/>
              </w:rPr>
              <w:t>85</w:t>
            </w:r>
          </w:p>
        </w:tc>
        <w:tc>
          <w:tcPr>
            <w:tcW w:w="1160" w:type="dxa"/>
            <w:tcBorders>
              <w:top w:val="nil"/>
              <w:left w:val="nil"/>
              <w:bottom w:val="single" w:sz="4" w:space="0" w:color="auto"/>
              <w:right w:val="single" w:sz="4" w:space="0" w:color="auto"/>
            </w:tcBorders>
            <w:noWrap/>
            <w:vAlign w:val="center"/>
            <w:hideMark/>
          </w:tcPr>
          <w:p w14:paraId="5945919E" w14:textId="77777777" w:rsidR="00B17255" w:rsidRPr="00B17255" w:rsidRDefault="00B17255" w:rsidP="00B17255">
            <w:pPr>
              <w:spacing w:line="360" w:lineRule="auto"/>
              <w:jc w:val="center"/>
              <w:rPr>
                <w:sz w:val="24"/>
                <w:szCs w:val="24"/>
              </w:rPr>
            </w:pPr>
            <w:r w:rsidRPr="00B17255">
              <w:rPr>
                <w:sz w:val="24"/>
                <w:szCs w:val="24"/>
              </w:rPr>
              <w:t>77</w:t>
            </w:r>
          </w:p>
        </w:tc>
        <w:tc>
          <w:tcPr>
            <w:tcW w:w="1160" w:type="dxa"/>
            <w:tcBorders>
              <w:top w:val="nil"/>
              <w:left w:val="nil"/>
              <w:bottom w:val="single" w:sz="4" w:space="0" w:color="auto"/>
              <w:right w:val="single" w:sz="4" w:space="0" w:color="auto"/>
            </w:tcBorders>
            <w:noWrap/>
            <w:vAlign w:val="center"/>
            <w:hideMark/>
          </w:tcPr>
          <w:p w14:paraId="5CF036A2" w14:textId="77777777" w:rsidR="00B17255" w:rsidRPr="00B17255" w:rsidRDefault="00B17255" w:rsidP="00B17255">
            <w:pPr>
              <w:spacing w:line="360" w:lineRule="auto"/>
              <w:jc w:val="center"/>
              <w:rPr>
                <w:sz w:val="24"/>
                <w:szCs w:val="24"/>
              </w:rPr>
            </w:pPr>
            <w:r w:rsidRPr="00B17255">
              <w:rPr>
                <w:sz w:val="24"/>
                <w:szCs w:val="24"/>
              </w:rPr>
              <w:t>75</w:t>
            </w:r>
          </w:p>
        </w:tc>
        <w:tc>
          <w:tcPr>
            <w:tcW w:w="1160" w:type="dxa"/>
            <w:tcBorders>
              <w:top w:val="nil"/>
              <w:left w:val="nil"/>
              <w:bottom w:val="single" w:sz="4" w:space="0" w:color="auto"/>
              <w:right w:val="single" w:sz="4" w:space="0" w:color="auto"/>
            </w:tcBorders>
            <w:noWrap/>
            <w:vAlign w:val="center"/>
            <w:hideMark/>
          </w:tcPr>
          <w:p w14:paraId="066CD5B3" w14:textId="77777777" w:rsidR="00B17255" w:rsidRPr="00B17255" w:rsidRDefault="00B17255" w:rsidP="00B17255">
            <w:pPr>
              <w:spacing w:line="360" w:lineRule="auto"/>
              <w:jc w:val="center"/>
              <w:rPr>
                <w:sz w:val="24"/>
                <w:szCs w:val="24"/>
              </w:rPr>
            </w:pPr>
            <w:r w:rsidRPr="00B17255">
              <w:rPr>
                <w:sz w:val="24"/>
                <w:szCs w:val="24"/>
              </w:rPr>
              <w:t>75</w:t>
            </w:r>
          </w:p>
        </w:tc>
      </w:tr>
      <w:tr w:rsidR="00B17255" w:rsidRPr="00B17255" w14:paraId="2B449DAD"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237EEF48" w14:textId="77777777" w:rsidR="00B17255" w:rsidRPr="00B17255" w:rsidRDefault="00B17255" w:rsidP="00B17255">
            <w:pPr>
              <w:spacing w:line="360" w:lineRule="auto"/>
              <w:rPr>
                <w:sz w:val="24"/>
                <w:szCs w:val="24"/>
              </w:rPr>
            </w:pPr>
            <w:r w:rsidRPr="00B17255">
              <w:rPr>
                <w:sz w:val="24"/>
                <w:szCs w:val="24"/>
              </w:rPr>
              <w:t xml:space="preserve">  Accounts Receivable, net</w:t>
            </w:r>
          </w:p>
        </w:tc>
        <w:tc>
          <w:tcPr>
            <w:tcW w:w="1160" w:type="dxa"/>
            <w:tcBorders>
              <w:top w:val="nil"/>
              <w:left w:val="nil"/>
              <w:bottom w:val="single" w:sz="4" w:space="0" w:color="auto"/>
              <w:right w:val="single" w:sz="4" w:space="0" w:color="auto"/>
            </w:tcBorders>
            <w:noWrap/>
            <w:vAlign w:val="center"/>
            <w:hideMark/>
          </w:tcPr>
          <w:p w14:paraId="57AE6B4E"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59577A7B" w14:textId="77777777" w:rsidR="00B17255" w:rsidRPr="00B17255" w:rsidRDefault="00B17255" w:rsidP="00B17255">
            <w:pPr>
              <w:spacing w:line="360" w:lineRule="auto"/>
              <w:jc w:val="center"/>
              <w:rPr>
                <w:sz w:val="24"/>
                <w:szCs w:val="24"/>
              </w:rPr>
            </w:pPr>
            <w:r w:rsidRPr="00B17255">
              <w:rPr>
                <w:sz w:val="24"/>
                <w:szCs w:val="24"/>
              </w:rPr>
              <w:t>1,068</w:t>
            </w:r>
          </w:p>
        </w:tc>
        <w:tc>
          <w:tcPr>
            <w:tcW w:w="1160" w:type="dxa"/>
            <w:tcBorders>
              <w:top w:val="nil"/>
              <w:left w:val="nil"/>
              <w:bottom w:val="single" w:sz="4" w:space="0" w:color="auto"/>
              <w:right w:val="single" w:sz="4" w:space="0" w:color="auto"/>
            </w:tcBorders>
            <w:noWrap/>
            <w:vAlign w:val="center"/>
            <w:hideMark/>
          </w:tcPr>
          <w:p w14:paraId="0C02B726" w14:textId="77777777" w:rsidR="00B17255" w:rsidRPr="00B17255" w:rsidRDefault="00B17255" w:rsidP="00B17255">
            <w:pPr>
              <w:spacing w:line="360" w:lineRule="auto"/>
              <w:jc w:val="center"/>
              <w:rPr>
                <w:sz w:val="24"/>
                <w:szCs w:val="24"/>
              </w:rPr>
            </w:pPr>
            <w:r w:rsidRPr="00B17255">
              <w:rPr>
                <w:sz w:val="24"/>
                <w:szCs w:val="24"/>
              </w:rPr>
              <w:t>1,327</w:t>
            </w:r>
          </w:p>
        </w:tc>
        <w:tc>
          <w:tcPr>
            <w:tcW w:w="1160" w:type="dxa"/>
            <w:tcBorders>
              <w:top w:val="nil"/>
              <w:left w:val="nil"/>
              <w:bottom w:val="single" w:sz="4" w:space="0" w:color="auto"/>
              <w:right w:val="single" w:sz="4" w:space="0" w:color="auto"/>
            </w:tcBorders>
            <w:noWrap/>
            <w:vAlign w:val="center"/>
            <w:hideMark/>
          </w:tcPr>
          <w:p w14:paraId="5F38E6F3" w14:textId="77777777" w:rsidR="00B17255" w:rsidRPr="00B17255" w:rsidRDefault="00B17255" w:rsidP="00B17255">
            <w:pPr>
              <w:spacing w:line="360" w:lineRule="auto"/>
              <w:jc w:val="center"/>
              <w:rPr>
                <w:sz w:val="24"/>
                <w:szCs w:val="24"/>
              </w:rPr>
            </w:pPr>
            <w:r w:rsidRPr="00B17255">
              <w:rPr>
                <w:sz w:val="24"/>
                <w:szCs w:val="24"/>
              </w:rPr>
              <w:t>1,487</w:t>
            </w:r>
          </w:p>
        </w:tc>
        <w:tc>
          <w:tcPr>
            <w:tcW w:w="1160" w:type="dxa"/>
            <w:tcBorders>
              <w:top w:val="nil"/>
              <w:left w:val="nil"/>
              <w:bottom w:val="single" w:sz="4" w:space="0" w:color="auto"/>
              <w:right w:val="single" w:sz="4" w:space="0" w:color="auto"/>
            </w:tcBorders>
            <w:noWrap/>
            <w:vAlign w:val="center"/>
            <w:hideMark/>
          </w:tcPr>
          <w:p w14:paraId="2500D052" w14:textId="77777777" w:rsidR="00B17255" w:rsidRPr="00B17255" w:rsidRDefault="00B17255" w:rsidP="00B17255">
            <w:pPr>
              <w:spacing w:line="360" w:lineRule="auto"/>
              <w:jc w:val="center"/>
              <w:rPr>
                <w:sz w:val="24"/>
                <w:szCs w:val="24"/>
              </w:rPr>
            </w:pPr>
            <w:r w:rsidRPr="00B17255">
              <w:rPr>
                <w:sz w:val="24"/>
                <w:szCs w:val="24"/>
              </w:rPr>
              <w:t>1,583</w:t>
            </w:r>
          </w:p>
        </w:tc>
      </w:tr>
      <w:tr w:rsidR="00B17255" w:rsidRPr="00B17255" w14:paraId="3F14DC78"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0261BF0F" w14:textId="77777777" w:rsidR="00B17255" w:rsidRPr="00B17255" w:rsidRDefault="00B17255" w:rsidP="00B17255">
            <w:pPr>
              <w:spacing w:line="360" w:lineRule="auto"/>
              <w:rPr>
                <w:sz w:val="24"/>
                <w:szCs w:val="24"/>
              </w:rPr>
            </w:pPr>
            <w:r w:rsidRPr="00B17255">
              <w:rPr>
                <w:sz w:val="24"/>
                <w:szCs w:val="24"/>
              </w:rPr>
              <w:t>Total Assets</w:t>
            </w:r>
          </w:p>
        </w:tc>
        <w:tc>
          <w:tcPr>
            <w:tcW w:w="1160" w:type="dxa"/>
            <w:tcBorders>
              <w:top w:val="nil"/>
              <w:left w:val="nil"/>
              <w:bottom w:val="single" w:sz="4" w:space="0" w:color="auto"/>
              <w:right w:val="single" w:sz="4" w:space="0" w:color="auto"/>
            </w:tcBorders>
            <w:noWrap/>
            <w:vAlign w:val="center"/>
            <w:hideMark/>
          </w:tcPr>
          <w:p w14:paraId="7AEB4151" w14:textId="77777777" w:rsidR="00B17255" w:rsidRPr="00B17255" w:rsidRDefault="00B17255" w:rsidP="00B17255">
            <w:pPr>
              <w:spacing w:line="360" w:lineRule="auto"/>
              <w:jc w:val="center"/>
              <w:rPr>
                <w:sz w:val="24"/>
                <w:szCs w:val="24"/>
              </w:rPr>
            </w:pPr>
            <w:r w:rsidRPr="00B17255">
              <w:rPr>
                <w:sz w:val="24"/>
                <w:szCs w:val="24"/>
              </w:rPr>
              <w:t>16,755</w:t>
            </w:r>
          </w:p>
        </w:tc>
        <w:tc>
          <w:tcPr>
            <w:tcW w:w="1160" w:type="dxa"/>
            <w:tcBorders>
              <w:top w:val="nil"/>
              <w:left w:val="nil"/>
              <w:bottom w:val="single" w:sz="4" w:space="0" w:color="auto"/>
              <w:right w:val="single" w:sz="4" w:space="0" w:color="auto"/>
            </w:tcBorders>
            <w:noWrap/>
            <w:vAlign w:val="center"/>
            <w:hideMark/>
          </w:tcPr>
          <w:p w14:paraId="2E35BA56" w14:textId="77777777" w:rsidR="00B17255" w:rsidRPr="00B17255" w:rsidRDefault="00B17255" w:rsidP="00B17255">
            <w:pPr>
              <w:spacing w:line="360" w:lineRule="auto"/>
              <w:jc w:val="center"/>
              <w:rPr>
                <w:sz w:val="24"/>
                <w:szCs w:val="24"/>
              </w:rPr>
            </w:pPr>
            <w:r w:rsidRPr="00B17255">
              <w:rPr>
                <w:sz w:val="24"/>
                <w:szCs w:val="24"/>
              </w:rPr>
              <w:t>15,441</w:t>
            </w:r>
          </w:p>
        </w:tc>
        <w:tc>
          <w:tcPr>
            <w:tcW w:w="1160" w:type="dxa"/>
            <w:tcBorders>
              <w:top w:val="nil"/>
              <w:left w:val="nil"/>
              <w:bottom w:val="single" w:sz="4" w:space="0" w:color="auto"/>
              <w:right w:val="single" w:sz="4" w:space="0" w:color="auto"/>
            </w:tcBorders>
            <w:noWrap/>
            <w:vAlign w:val="center"/>
            <w:hideMark/>
          </w:tcPr>
          <w:p w14:paraId="5E3A5406" w14:textId="77777777" w:rsidR="00B17255" w:rsidRPr="00B17255" w:rsidRDefault="00B17255" w:rsidP="00B17255">
            <w:pPr>
              <w:spacing w:line="360" w:lineRule="auto"/>
              <w:jc w:val="center"/>
              <w:rPr>
                <w:sz w:val="24"/>
                <w:szCs w:val="24"/>
              </w:rPr>
            </w:pPr>
            <w:r w:rsidRPr="00B17255">
              <w:rPr>
                <w:sz w:val="24"/>
                <w:szCs w:val="24"/>
              </w:rPr>
              <w:t>15,512</w:t>
            </w:r>
          </w:p>
        </w:tc>
        <w:tc>
          <w:tcPr>
            <w:tcW w:w="1160" w:type="dxa"/>
            <w:tcBorders>
              <w:top w:val="nil"/>
              <w:left w:val="nil"/>
              <w:bottom w:val="single" w:sz="4" w:space="0" w:color="auto"/>
              <w:right w:val="single" w:sz="4" w:space="0" w:color="auto"/>
            </w:tcBorders>
            <w:noWrap/>
            <w:vAlign w:val="center"/>
            <w:hideMark/>
          </w:tcPr>
          <w:p w14:paraId="7EB661C3" w14:textId="77777777" w:rsidR="00B17255" w:rsidRPr="00B17255" w:rsidRDefault="00B17255" w:rsidP="00B17255">
            <w:pPr>
              <w:spacing w:line="360" w:lineRule="auto"/>
              <w:jc w:val="center"/>
              <w:rPr>
                <w:sz w:val="24"/>
                <w:szCs w:val="24"/>
              </w:rPr>
            </w:pPr>
            <w:r w:rsidRPr="00B17255">
              <w:rPr>
                <w:sz w:val="24"/>
                <w:szCs w:val="24"/>
              </w:rPr>
              <w:t>15,401</w:t>
            </w:r>
          </w:p>
        </w:tc>
        <w:tc>
          <w:tcPr>
            <w:tcW w:w="1160" w:type="dxa"/>
            <w:tcBorders>
              <w:top w:val="nil"/>
              <w:left w:val="nil"/>
              <w:bottom w:val="single" w:sz="4" w:space="0" w:color="auto"/>
              <w:right w:val="single" w:sz="4" w:space="0" w:color="auto"/>
            </w:tcBorders>
            <w:noWrap/>
            <w:vAlign w:val="center"/>
            <w:hideMark/>
          </w:tcPr>
          <w:p w14:paraId="35D17226" w14:textId="77777777" w:rsidR="00B17255" w:rsidRPr="00B17255" w:rsidRDefault="00B17255" w:rsidP="00B17255">
            <w:pPr>
              <w:spacing w:line="360" w:lineRule="auto"/>
              <w:jc w:val="center"/>
              <w:rPr>
                <w:sz w:val="24"/>
                <w:szCs w:val="24"/>
              </w:rPr>
            </w:pPr>
            <w:r w:rsidRPr="00B17255">
              <w:rPr>
                <w:sz w:val="24"/>
                <w:szCs w:val="24"/>
              </w:rPr>
              <w:t>16,522</w:t>
            </w:r>
          </w:p>
        </w:tc>
      </w:tr>
      <w:tr w:rsidR="00B17255" w:rsidRPr="00B17255" w14:paraId="396348DB"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1E5AB812" w14:textId="77777777" w:rsidR="00B17255" w:rsidRPr="00B17255" w:rsidRDefault="00B17255" w:rsidP="00B17255">
            <w:pPr>
              <w:spacing w:line="360" w:lineRule="auto"/>
              <w:rPr>
                <w:sz w:val="24"/>
                <w:szCs w:val="24"/>
              </w:rPr>
            </w:pPr>
            <w:r w:rsidRPr="00B17255">
              <w:rPr>
                <w:sz w:val="24"/>
                <w:szCs w:val="24"/>
              </w:rPr>
              <w:t>Total Current Liabilities</w:t>
            </w:r>
          </w:p>
        </w:tc>
        <w:tc>
          <w:tcPr>
            <w:tcW w:w="1160" w:type="dxa"/>
            <w:tcBorders>
              <w:top w:val="nil"/>
              <w:left w:val="nil"/>
              <w:bottom w:val="single" w:sz="4" w:space="0" w:color="auto"/>
              <w:right w:val="single" w:sz="4" w:space="0" w:color="auto"/>
            </w:tcBorders>
            <w:noWrap/>
            <w:vAlign w:val="center"/>
            <w:hideMark/>
          </w:tcPr>
          <w:p w14:paraId="1954412A"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5054ABB1" w14:textId="77777777" w:rsidR="00B17255" w:rsidRPr="00B17255" w:rsidRDefault="00B17255" w:rsidP="00B17255">
            <w:pPr>
              <w:spacing w:line="360" w:lineRule="auto"/>
              <w:jc w:val="center"/>
              <w:rPr>
                <w:sz w:val="24"/>
                <w:szCs w:val="24"/>
              </w:rPr>
            </w:pPr>
            <w:r w:rsidRPr="00B17255">
              <w:rPr>
                <w:sz w:val="24"/>
                <w:szCs w:val="24"/>
              </w:rPr>
              <w:t>3,019</w:t>
            </w:r>
          </w:p>
        </w:tc>
        <w:tc>
          <w:tcPr>
            <w:tcW w:w="1160" w:type="dxa"/>
            <w:tcBorders>
              <w:top w:val="nil"/>
              <w:left w:val="nil"/>
              <w:bottom w:val="single" w:sz="4" w:space="0" w:color="auto"/>
              <w:right w:val="single" w:sz="4" w:space="0" w:color="auto"/>
            </w:tcBorders>
            <w:noWrap/>
            <w:vAlign w:val="center"/>
            <w:hideMark/>
          </w:tcPr>
          <w:p w14:paraId="5B4B916C" w14:textId="77777777" w:rsidR="00B17255" w:rsidRPr="00B17255" w:rsidRDefault="00B17255" w:rsidP="00B17255">
            <w:pPr>
              <w:spacing w:line="360" w:lineRule="auto"/>
              <w:jc w:val="center"/>
              <w:rPr>
                <w:sz w:val="24"/>
                <w:szCs w:val="24"/>
              </w:rPr>
            </w:pPr>
            <w:r w:rsidRPr="00B17255">
              <w:rPr>
                <w:sz w:val="24"/>
                <w:szCs w:val="24"/>
              </w:rPr>
              <w:t>3,372</w:t>
            </w:r>
          </w:p>
        </w:tc>
        <w:tc>
          <w:tcPr>
            <w:tcW w:w="1160" w:type="dxa"/>
            <w:tcBorders>
              <w:top w:val="nil"/>
              <w:left w:val="nil"/>
              <w:bottom w:val="single" w:sz="4" w:space="0" w:color="auto"/>
              <w:right w:val="single" w:sz="4" w:space="0" w:color="auto"/>
            </w:tcBorders>
            <w:noWrap/>
            <w:vAlign w:val="center"/>
            <w:hideMark/>
          </w:tcPr>
          <w:p w14:paraId="7D16BA31" w14:textId="77777777" w:rsidR="00B17255" w:rsidRPr="00B17255" w:rsidRDefault="00B17255" w:rsidP="00B17255">
            <w:pPr>
              <w:spacing w:line="360" w:lineRule="auto"/>
              <w:jc w:val="center"/>
              <w:rPr>
                <w:sz w:val="24"/>
                <w:szCs w:val="24"/>
              </w:rPr>
            </w:pPr>
            <w:r w:rsidRPr="00B17255">
              <w:rPr>
                <w:sz w:val="24"/>
                <w:szCs w:val="24"/>
              </w:rPr>
              <w:t>3,722</w:t>
            </w:r>
          </w:p>
        </w:tc>
        <w:tc>
          <w:tcPr>
            <w:tcW w:w="1160" w:type="dxa"/>
            <w:tcBorders>
              <w:top w:val="nil"/>
              <w:left w:val="nil"/>
              <w:bottom w:val="single" w:sz="4" w:space="0" w:color="auto"/>
              <w:right w:val="single" w:sz="4" w:space="0" w:color="auto"/>
            </w:tcBorders>
            <w:noWrap/>
            <w:vAlign w:val="center"/>
            <w:hideMark/>
          </w:tcPr>
          <w:p w14:paraId="6BF1E175" w14:textId="77777777" w:rsidR="00B17255" w:rsidRPr="00B17255" w:rsidRDefault="00B17255" w:rsidP="00B17255">
            <w:pPr>
              <w:spacing w:line="360" w:lineRule="auto"/>
              <w:jc w:val="center"/>
              <w:rPr>
                <w:sz w:val="24"/>
                <w:szCs w:val="24"/>
              </w:rPr>
            </w:pPr>
            <w:r w:rsidRPr="00B17255">
              <w:rPr>
                <w:sz w:val="24"/>
                <w:szCs w:val="24"/>
              </w:rPr>
              <w:t>4,700</w:t>
            </w:r>
          </w:p>
        </w:tc>
      </w:tr>
      <w:tr w:rsidR="00B17255" w:rsidRPr="00B17255" w14:paraId="314BB2F6"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30EEBD12" w14:textId="77777777" w:rsidR="00B17255" w:rsidRPr="00B17255" w:rsidRDefault="00B17255" w:rsidP="00B17255">
            <w:pPr>
              <w:spacing w:line="360" w:lineRule="auto"/>
              <w:rPr>
                <w:sz w:val="24"/>
                <w:szCs w:val="24"/>
              </w:rPr>
            </w:pPr>
            <w:r w:rsidRPr="00B17255">
              <w:rPr>
                <w:sz w:val="24"/>
                <w:szCs w:val="24"/>
              </w:rPr>
              <w:t xml:space="preserve">  Accounts Payable, Accrued Exp. &amp; Other</w:t>
            </w:r>
          </w:p>
        </w:tc>
        <w:tc>
          <w:tcPr>
            <w:tcW w:w="1160" w:type="dxa"/>
            <w:tcBorders>
              <w:top w:val="nil"/>
              <w:left w:val="nil"/>
              <w:bottom w:val="single" w:sz="4" w:space="0" w:color="auto"/>
              <w:right w:val="single" w:sz="4" w:space="0" w:color="auto"/>
            </w:tcBorders>
            <w:noWrap/>
            <w:vAlign w:val="center"/>
            <w:hideMark/>
          </w:tcPr>
          <w:p w14:paraId="51D82844"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6C8D928A" w14:textId="77777777" w:rsidR="00B17255" w:rsidRPr="00B17255" w:rsidRDefault="00B17255" w:rsidP="00B17255">
            <w:pPr>
              <w:spacing w:line="360" w:lineRule="auto"/>
              <w:jc w:val="center"/>
              <w:rPr>
                <w:sz w:val="24"/>
                <w:szCs w:val="24"/>
              </w:rPr>
            </w:pPr>
            <w:r w:rsidRPr="00B17255">
              <w:rPr>
                <w:sz w:val="24"/>
                <w:szCs w:val="24"/>
              </w:rPr>
              <w:t>1,568</w:t>
            </w:r>
          </w:p>
        </w:tc>
        <w:tc>
          <w:tcPr>
            <w:tcW w:w="1160" w:type="dxa"/>
            <w:tcBorders>
              <w:top w:val="nil"/>
              <w:left w:val="nil"/>
              <w:bottom w:val="single" w:sz="4" w:space="0" w:color="auto"/>
              <w:right w:val="single" w:sz="4" w:space="0" w:color="auto"/>
            </w:tcBorders>
            <w:noWrap/>
            <w:vAlign w:val="center"/>
            <w:hideMark/>
          </w:tcPr>
          <w:p w14:paraId="0E3BB02C" w14:textId="77777777" w:rsidR="00B17255" w:rsidRPr="00B17255" w:rsidRDefault="00B17255" w:rsidP="00B17255">
            <w:pPr>
              <w:spacing w:line="360" w:lineRule="auto"/>
              <w:jc w:val="center"/>
              <w:rPr>
                <w:sz w:val="24"/>
                <w:szCs w:val="24"/>
              </w:rPr>
            </w:pPr>
            <w:r w:rsidRPr="00B17255">
              <w:rPr>
                <w:sz w:val="24"/>
                <w:szCs w:val="24"/>
              </w:rPr>
              <w:t>1,790</w:t>
            </w:r>
          </w:p>
        </w:tc>
        <w:tc>
          <w:tcPr>
            <w:tcW w:w="1160" w:type="dxa"/>
            <w:tcBorders>
              <w:top w:val="nil"/>
              <w:left w:val="nil"/>
              <w:bottom w:val="single" w:sz="4" w:space="0" w:color="auto"/>
              <w:right w:val="single" w:sz="4" w:space="0" w:color="auto"/>
            </w:tcBorders>
            <w:noWrap/>
            <w:vAlign w:val="center"/>
            <w:hideMark/>
          </w:tcPr>
          <w:p w14:paraId="22E23B2A" w14:textId="77777777" w:rsidR="00B17255" w:rsidRPr="00B17255" w:rsidRDefault="00B17255" w:rsidP="00B17255">
            <w:pPr>
              <w:spacing w:line="360" w:lineRule="auto"/>
              <w:jc w:val="center"/>
              <w:rPr>
                <w:sz w:val="24"/>
                <w:szCs w:val="24"/>
              </w:rPr>
            </w:pPr>
            <w:r w:rsidRPr="00B17255">
              <w:rPr>
                <w:sz w:val="24"/>
                <w:szCs w:val="24"/>
              </w:rPr>
              <w:t>1,979</w:t>
            </w:r>
          </w:p>
        </w:tc>
        <w:tc>
          <w:tcPr>
            <w:tcW w:w="1160" w:type="dxa"/>
            <w:tcBorders>
              <w:top w:val="nil"/>
              <w:left w:val="nil"/>
              <w:bottom w:val="single" w:sz="4" w:space="0" w:color="auto"/>
              <w:right w:val="single" w:sz="4" w:space="0" w:color="auto"/>
            </w:tcBorders>
            <w:noWrap/>
            <w:vAlign w:val="center"/>
            <w:hideMark/>
          </w:tcPr>
          <w:p w14:paraId="5C04700E" w14:textId="77777777" w:rsidR="00B17255" w:rsidRPr="00B17255" w:rsidRDefault="00B17255" w:rsidP="00B17255">
            <w:pPr>
              <w:spacing w:line="360" w:lineRule="auto"/>
              <w:jc w:val="center"/>
              <w:rPr>
                <w:sz w:val="24"/>
                <w:szCs w:val="24"/>
              </w:rPr>
            </w:pPr>
            <w:r w:rsidRPr="00B17255">
              <w:rPr>
                <w:sz w:val="24"/>
                <w:szCs w:val="24"/>
              </w:rPr>
              <w:t>2,124</w:t>
            </w:r>
          </w:p>
        </w:tc>
      </w:tr>
      <w:tr w:rsidR="00B17255" w:rsidRPr="00B17255" w14:paraId="67063B77"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401D5418" w14:textId="77777777" w:rsidR="00B17255" w:rsidRPr="00B17255" w:rsidRDefault="00B17255" w:rsidP="00B17255">
            <w:pPr>
              <w:spacing w:line="360" w:lineRule="auto"/>
              <w:rPr>
                <w:sz w:val="24"/>
                <w:szCs w:val="24"/>
              </w:rPr>
            </w:pPr>
            <w:r w:rsidRPr="00B17255">
              <w:rPr>
                <w:sz w:val="24"/>
                <w:szCs w:val="24"/>
              </w:rPr>
              <w:t>Total Liabilities</w:t>
            </w:r>
          </w:p>
        </w:tc>
        <w:tc>
          <w:tcPr>
            <w:tcW w:w="1160" w:type="dxa"/>
            <w:tcBorders>
              <w:top w:val="nil"/>
              <w:left w:val="nil"/>
              <w:bottom w:val="single" w:sz="4" w:space="0" w:color="auto"/>
              <w:right w:val="single" w:sz="4" w:space="0" w:color="auto"/>
            </w:tcBorders>
            <w:noWrap/>
            <w:vAlign w:val="center"/>
            <w:hideMark/>
          </w:tcPr>
          <w:p w14:paraId="402FF68F" w14:textId="77777777" w:rsidR="00B17255" w:rsidRPr="00B17255" w:rsidRDefault="00B17255" w:rsidP="00B17255">
            <w:pPr>
              <w:spacing w:line="360" w:lineRule="auto"/>
              <w:jc w:val="center"/>
              <w:rPr>
                <w:sz w:val="24"/>
                <w:szCs w:val="24"/>
              </w:rPr>
            </w:pPr>
            <w:r w:rsidRPr="00B17255">
              <w:rPr>
                <w:sz w:val="24"/>
                <w:szCs w:val="24"/>
              </w:rPr>
              <w:t>18,241</w:t>
            </w:r>
          </w:p>
        </w:tc>
        <w:tc>
          <w:tcPr>
            <w:tcW w:w="1160" w:type="dxa"/>
            <w:tcBorders>
              <w:top w:val="nil"/>
              <w:left w:val="nil"/>
              <w:bottom w:val="single" w:sz="4" w:space="0" w:color="auto"/>
              <w:right w:val="single" w:sz="4" w:space="0" w:color="auto"/>
            </w:tcBorders>
            <w:noWrap/>
            <w:vAlign w:val="center"/>
            <w:hideMark/>
          </w:tcPr>
          <w:p w14:paraId="0B129DA0" w14:textId="77777777" w:rsidR="00B17255" w:rsidRPr="00B17255" w:rsidRDefault="00B17255" w:rsidP="00B17255">
            <w:pPr>
              <w:spacing w:line="360" w:lineRule="auto"/>
              <w:jc w:val="center"/>
              <w:rPr>
                <w:sz w:val="24"/>
                <w:szCs w:val="24"/>
              </w:rPr>
            </w:pPr>
            <w:r w:rsidRPr="00B17255">
              <w:rPr>
                <w:sz w:val="24"/>
                <w:szCs w:val="24"/>
              </w:rPr>
              <w:t>16,260</w:t>
            </w:r>
          </w:p>
        </w:tc>
        <w:tc>
          <w:tcPr>
            <w:tcW w:w="1160" w:type="dxa"/>
            <w:tcBorders>
              <w:top w:val="nil"/>
              <w:left w:val="nil"/>
              <w:bottom w:val="single" w:sz="4" w:space="0" w:color="auto"/>
              <w:right w:val="single" w:sz="4" w:space="0" w:color="auto"/>
            </w:tcBorders>
            <w:noWrap/>
            <w:vAlign w:val="center"/>
            <w:hideMark/>
          </w:tcPr>
          <w:p w14:paraId="6435B626" w14:textId="77777777" w:rsidR="00B17255" w:rsidRPr="00B17255" w:rsidRDefault="00B17255" w:rsidP="00B17255">
            <w:pPr>
              <w:spacing w:line="360" w:lineRule="auto"/>
              <w:jc w:val="center"/>
              <w:rPr>
                <w:sz w:val="24"/>
                <w:szCs w:val="24"/>
              </w:rPr>
            </w:pPr>
            <w:r w:rsidRPr="00B17255">
              <w:rPr>
                <w:sz w:val="24"/>
                <w:szCs w:val="24"/>
              </w:rPr>
              <w:t>16,610</w:t>
            </w:r>
          </w:p>
        </w:tc>
        <w:tc>
          <w:tcPr>
            <w:tcW w:w="1160" w:type="dxa"/>
            <w:tcBorders>
              <w:top w:val="nil"/>
              <w:left w:val="nil"/>
              <w:bottom w:val="single" w:sz="4" w:space="0" w:color="auto"/>
              <w:right w:val="single" w:sz="4" w:space="0" w:color="auto"/>
            </w:tcBorders>
            <w:noWrap/>
            <w:vAlign w:val="center"/>
            <w:hideMark/>
          </w:tcPr>
          <w:p w14:paraId="7B99C464" w14:textId="77777777" w:rsidR="00B17255" w:rsidRPr="00B17255" w:rsidRDefault="00B17255" w:rsidP="00B17255">
            <w:pPr>
              <w:spacing w:line="360" w:lineRule="auto"/>
              <w:jc w:val="center"/>
              <w:rPr>
                <w:sz w:val="24"/>
                <w:szCs w:val="24"/>
              </w:rPr>
            </w:pPr>
            <w:r w:rsidRPr="00B17255">
              <w:rPr>
                <w:sz w:val="24"/>
                <w:szCs w:val="24"/>
              </w:rPr>
              <w:t>17,748</w:t>
            </w:r>
          </w:p>
        </w:tc>
        <w:tc>
          <w:tcPr>
            <w:tcW w:w="1160" w:type="dxa"/>
            <w:tcBorders>
              <w:top w:val="nil"/>
              <w:left w:val="nil"/>
              <w:bottom w:val="single" w:sz="4" w:space="0" w:color="auto"/>
              <w:right w:val="single" w:sz="4" w:space="0" w:color="auto"/>
            </w:tcBorders>
            <w:noWrap/>
            <w:vAlign w:val="center"/>
            <w:hideMark/>
          </w:tcPr>
          <w:p w14:paraId="55102271" w14:textId="77777777" w:rsidR="00B17255" w:rsidRPr="00B17255" w:rsidRDefault="00B17255" w:rsidP="00B17255">
            <w:pPr>
              <w:spacing w:line="360" w:lineRule="auto"/>
              <w:jc w:val="center"/>
              <w:rPr>
                <w:sz w:val="24"/>
                <w:szCs w:val="24"/>
              </w:rPr>
            </w:pPr>
            <w:r w:rsidRPr="00B17255">
              <w:rPr>
                <w:sz w:val="24"/>
                <w:szCs w:val="24"/>
              </w:rPr>
              <w:t>20,211</w:t>
            </w:r>
          </w:p>
        </w:tc>
      </w:tr>
      <w:tr w:rsidR="00B17255" w:rsidRPr="00B17255" w14:paraId="5AEBCC41"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75242C14" w14:textId="77777777" w:rsidR="00B17255" w:rsidRPr="00B17255" w:rsidRDefault="00B17255" w:rsidP="00B17255">
            <w:pPr>
              <w:spacing w:line="360" w:lineRule="auto"/>
              <w:rPr>
                <w:sz w:val="24"/>
                <w:szCs w:val="24"/>
              </w:rPr>
            </w:pPr>
            <w:r w:rsidRPr="00B17255">
              <w:rPr>
                <w:sz w:val="24"/>
                <w:szCs w:val="24"/>
              </w:rPr>
              <w:t>Long-Term Debt</w:t>
            </w:r>
          </w:p>
        </w:tc>
        <w:tc>
          <w:tcPr>
            <w:tcW w:w="1160" w:type="dxa"/>
            <w:tcBorders>
              <w:top w:val="nil"/>
              <w:left w:val="nil"/>
              <w:bottom w:val="single" w:sz="4" w:space="0" w:color="auto"/>
              <w:right w:val="single" w:sz="4" w:space="0" w:color="auto"/>
            </w:tcBorders>
            <w:noWrap/>
            <w:vAlign w:val="center"/>
            <w:hideMark/>
          </w:tcPr>
          <w:p w14:paraId="07BBF208"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5040CCA3" w14:textId="77777777" w:rsidR="00B17255" w:rsidRPr="00B17255" w:rsidRDefault="00B17255" w:rsidP="00B17255">
            <w:pPr>
              <w:spacing w:line="360" w:lineRule="auto"/>
              <w:jc w:val="center"/>
              <w:rPr>
                <w:sz w:val="24"/>
                <w:szCs w:val="24"/>
              </w:rPr>
            </w:pPr>
            <w:r w:rsidRPr="00B17255">
              <w:rPr>
                <w:sz w:val="24"/>
                <w:szCs w:val="24"/>
              </w:rPr>
              <w:t>8,712</w:t>
            </w:r>
          </w:p>
        </w:tc>
        <w:tc>
          <w:tcPr>
            <w:tcW w:w="1160" w:type="dxa"/>
            <w:tcBorders>
              <w:top w:val="nil"/>
              <w:left w:val="nil"/>
              <w:bottom w:val="single" w:sz="4" w:space="0" w:color="auto"/>
              <w:right w:val="single" w:sz="4" w:space="0" w:color="auto"/>
            </w:tcBorders>
            <w:noWrap/>
            <w:vAlign w:val="center"/>
            <w:hideMark/>
          </w:tcPr>
          <w:p w14:paraId="60F757BD" w14:textId="77777777" w:rsidR="00B17255" w:rsidRPr="00B17255" w:rsidRDefault="00B17255" w:rsidP="00B17255">
            <w:pPr>
              <w:spacing w:line="360" w:lineRule="auto"/>
              <w:jc w:val="center"/>
              <w:rPr>
                <w:sz w:val="24"/>
                <w:szCs w:val="24"/>
              </w:rPr>
            </w:pPr>
            <w:r w:rsidRPr="00B17255">
              <w:rPr>
                <w:sz w:val="24"/>
                <w:szCs w:val="24"/>
              </w:rPr>
              <w:t>8,708</w:t>
            </w:r>
          </w:p>
        </w:tc>
        <w:tc>
          <w:tcPr>
            <w:tcW w:w="1160" w:type="dxa"/>
            <w:tcBorders>
              <w:top w:val="nil"/>
              <w:left w:val="nil"/>
              <w:bottom w:val="single" w:sz="4" w:space="0" w:color="auto"/>
              <w:right w:val="single" w:sz="4" w:space="0" w:color="auto"/>
            </w:tcBorders>
            <w:noWrap/>
            <w:vAlign w:val="center"/>
            <w:hideMark/>
          </w:tcPr>
          <w:p w14:paraId="0BEDD54A" w14:textId="77777777" w:rsidR="00B17255" w:rsidRPr="00B17255" w:rsidRDefault="00B17255" w:rsidP="00B17255">
            <w:pPr>
              <w:spacing w:line="360" w:lineRule="auto"/>
              <w:jc w:val="center"/>
              <w:rPr>
                <w:sz w:val="24"/>
                <w:szCs w:val="24"/>
              </w:rPr>
            </w:pPr>
            <w:r w:rsidRPr="00B17255">
              <w:rPr>
                <w:sz w:val="24"/>
                <w:szCs w:val="24"/>
              </w:rPr>
              <w:t>9,157</w:t>
            </w:r>
          </w:p>
        </w:tc>
        <w:tc>
          <w:tcPr>
            <w:tcW w:w="1160" w:type="dxa"/>
            <w:tcBorders>
              <w:top w:val="nil"/>
              <w:left w:val="nil"/>
              <w:bottom w:val="single" w:sz="4" w:space="0" w:color="auto"/>
              <w:right w:val="single" w:sz="4" w:space="0" w:color="auto"/>
            </w:tcBorders>
            <w:noWrap/>
            <w:vAlign w:val="center"/>
            <w:hideMark/>
          </w:tcPr>
          <w:p w14:paraId="3E1C3360" w14:textId="77777777" w:rsidR="00B17255" w:rsidRPr="00B17255" w:rsidRDefault="00B17255" w:rsidP="00B17255">
            <w:pPr>
              <w:spacing w:line="360" w:lineRule="auto"/>
              <w:jc w:val="center"/>
              <w:rPr>
                <w:sz w:val="24"/>
                <w:szCs w:val="24"/>
              </w:rPr>
            </w:pPr>
            <w:r w:rsidRPr="00B17255">
              <w:rPr>
                <w:sz w:val="24"/>
                <w:szCs w:val="24"/>
              </w:rPr>
              <w:t>10,616</w:t>
            </w:r>
          </w:p>
        </w:tc>
      </w:tr>
      <w:tr w:rsidR="00B17255" w:rsidRPr="00B17255" w14:paraId="2EC0560F"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2307C669" w14:textId="77777777" w:rsidR="00B17255" w:rsidRPr="00B17255" w:rsidRDefault="00B17255" w:rsidP="00B17255">
            <w:pPr>
              <w:spacing w:line="360" w:lineRule="auto"/>
              <w:rPr>
                <w:sz w:val="24"/>
                <w:szCs w:val="24"/>
              </w:rPr>
            </w:pPr>
            <w:r w:rsidRPr="00B17255">
              <w:rPr>
                <w:sz w:val="24"/>
                <w:szCs w:val="24"/>
              </w:rPr>
              <w:t>Total Stockholders' Equity (Deficit)</w:t>
            </w:r>
          </w:p>
        </w:tc>
        <w:tc>
          <w:tcPr>
            <w:tcW w:w="1160" w:type="dxa"/>
            <w:tcBorders>
              <w:top w:val="nil"/>
              <w:left w:val="nil"/>
              <w:bottom w:val="single" w:sz="4" w:space="0" w:color="auto"/>
              <w:right w:val="single" w:sz="4" w:space="0" w:color="auto"/>
            </w:tcBorders>
            <w:noWrap/>
            <w:vAlign w:val="center"/>
            <w:hideMark/>
          </w:tcPr>
          <w:p w14:paraId="7C537A17" w14:textId="77777777" w:rsidR="00B17255" w:rsidRPr="00B17255" w:rsidRDefault="00B17255" w:rsidP="00B17255">
            <w:pPr>
              <w:spacing w:line="360" w:lineRule="auto"/>
              <w:jc w:val="center"/>
              <w:rPr>
                <w:sz w:val="24"/>
                <w:szCs w:val="24"/>
              </w:rPr>
            </w:pPr>
            <w:r w:rsidRPr="00B17255">
              <w:rPr>
                <w:sz w:val="24"/>
                <w:szCs w:val="24"/>
              </w:rPr>
              <w:t>(1,486)</w:t>
            </w:r>
          </w:p>
        </w:tc>
        <w:tc>
          <w:tcPr>
            <w:tcW w:w="1160" w:type="dxa"/>
            <w:tcBorders>
              <w:top w:val="nil"/>
              <w:left w:val="nil"/>
              <w:bottom w:val="single" w:sz="4" w:space="0" w:color="auto"/>
              <w:right w:val="single" w:sz="4" w:space="0" w:color="auto"/>
            </w:tcBorders>
            <w:noWrap/>
            <w:vAlign w:val="center"/>
            <w:hideMark/>
          </w:tcPr>
          <w:p w14:paraId="297FBD4B" w14:textId="77777777" w:rsidR="00B17255" w:rsidRPr="00B17255" w:rsidRDefault="00B17255" w:rsidP="00B17255">
            <w:pPr>
              <w:spacing w:line="360" w:lineRule="auto"/>
              <w:jc w:val="center"/>
              <w:rPr>
                <w:sz w:val="24"/>
                <w:szCs w:val="24"/>
              </w:rPr>
            </w:pPr>
            <w:r w:rsidRPr="00B17255">
              <w:rPr>
                <w:sz w:val="24"/>
                <w:szCs w:val="24"/>
              </w:rPr>
              <w:t>(819)</w:t>
            </w:r>
          </w:p>
        </w:tc>
        <w:tc>
          <w:tcPr>
            <w:tcW w:w="1160" w:type="dxa"/>
            <w:tcBorders>
              <w:top w:val="nil"/>
              <w:left w:val="nil"/>
              <w:bottom w:val="single" w:sz="4" w:space="0" w:color="auto"/>
              <w:right w:val="single" w:sz="4" w:space="0" w:color="auto"/>
            </w:tcBorders>
            <w:noWrap/>
            <w:vAlign w:val="center"/>
            <w:hideMark/>
          </w:tcPr>
          <w:p w14:paraId="248DA051" w14:textId="77777777" w:rsidR="00B17255" w:rsidRPr="00B17255" w:rsidRDefault="00B17255" w:rsidP="00B17255">
            <w:pPr>
              <w:spacing w:line="360" w:lineRule="auto"/>
              <w:jc w:val="center"/>
              <w:rPr>
                <w:sz w:val="24"/>
                <w:szCs w:val="24"/>
              </w:rPr>
            </w:pPr>
            <w:r w:rsidRPr="00B17255">
              <w:rPr>
                <w:sz w:val="24"/>
                <w:szCs w:val="24"/>
              </w:rPr>
              <w:t>(1,098)</w:t>
            </w:r>
          </w:p>
        </w:tc>
        <w:tc>
          <w:tcPr>
            <w:tcW w:w="1160" w:type="dxa"/>
            <w:tcBorders>
              <w:top w:val="nil"/>
              <w:left w:val="nil"/>
              <w:bottom w:val="single" w:sz="4" w:space="0" w:color="auto"/>
              <w:right w:val="single" w:sz="4" w:space="0" w:color="auto"/>
            </w:tcBorders>
            <w:noWrap/>
            <w:vAlign w:val="center"/>
            <w:hideMark/>
          </w:tcPr>
          <w:p w14:paraId="684C147F" w14:textId="77777777" w:rsidR="00B17255" w:rsidRPr="00B17255" w:rsidRDefault="00B17255" w:rsidP="00B17255">
            <w:pPr>
              <w:spacing w:line="360" w:lineRule="auto"/>
              <w:jc w:val="center"/>
              <w:rPr>
                <w:sz w:val="24"/>
                <w:szCs w:val="24"/>
              </w:rPr>
            </w:pPr>
            <w:r w:rsidRPr="00B17255">
              <w:rPr>
                <w:sz w:val="24"/>
                <w:szCs w:val="24"/>
              </w:rPr>
              <w:t>(2,347)</w:t>
            </w:r>
          </w:p>
        </w:tc>
        <w:tc>
          <w:tcPr>
            <w:tcW w:w="1160" w:type="dxa"/>
            <w:tcBorders>
              <w:top w:val="nil"/>
              <w:left w:val="nil"/>
              <w:bottom w:val="single" w:sz="4" w:space="0" w:color="auto"/>
              <w:right w:val="single" w:sz="4" w:space="0" w:color="auto"/>
            </w:tcBorders>
            <w:noWrap/>
            <w:vAlign w:val="center"/>
            <w:hideMark/>
          </w:tcPr>
          <w:p w14:paraId="49BB3A81" w14:textId="77777777" w:rsidR="00B17255" w:rsidRPr="00B17255" w:rsidRDefault="00B17255" w:rsidP="00B17255">
            <w:pPr>
              <w:spacing w:line="360" w:lineRule="auto"/>
              <w:jc w:val="center"/>
              <w:rPr>
                <w:sz w:val="24"/>
                <w:szCs w:val="24"/>
              </w:rPr>
            </w:pPr>
            <w:r w:rsidRPr="00B17255">
              <w:rPr>
                <w:sz w:val="24"/>
                <w:szCs w:val="24"/>
              </w:rPr>
              <w:t>(3,689)</w:t>
            </w:r>
          </w:p>
        </w:tc>
      </w:tr>
      <w:tr w:rsidR="00B17255" w:rsidRPr="00B17255" w14:paraId="42208B42"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23B24635" w14:textId="77777777" w:rsidR="00B17255" w:rsidRPr="00B17255" w:rsidRDefault="00B17255" w:rsidP="00B17255">
            <w:pPr>
              <w:spacing w:line="360" w:lineRule="auto"/>
              <w:rPr>
                <w:sz w:val="24"/>
                <w:szCs w:val="24"/>
              </w:rPr>
            </w:pPr>
            <w:r w:rsidRPr="00B17255">
              <w:rPr>
                <w:sz w:val="24"/>
                <w:szCs w:val="24"/>
              </w:rPr>
              <w:t>Operating Cash Flow</w:t>
            </w:r>
          </w:p>
        </w:tc>
        <w:tc>
          <w:tcPr>
            <w:tcW w:w="1160" w:type="dxa"/>
            <w:tcBorders>
              <w:top w:val="nil"/>
              <w:left w:val="nil"/>
              <w:bottom w:val="single" w:sz="4" w:space="0" w:color="auto"/>
              <w:right w:val="single" w:sz="4" w:space="0" w:color="auto"/>
            </w:tcBorders>
            <w:noWrap/>
            <w:vAlign w:val="center"/>
            <w:hideMark/>
          </w:tcPr>
          <w:p w14:paraId="093C210B" w14:textId="77777777" w:rsidR="00B17255" w:rsidRPr="00B17255" w:rsidRDefault="00B17255" w:rsidP="00B17255">
            <w:pPr>
              <w:spacing w:line="360" w:lineRule="auto"/>
              <w:jc w:val="center"/>
              <w:rPr>
                <w:sz w:val="24"/>
                <w:szCs w:val="24"/>
              </w:rPr>
            </w:pPr>
            <w:r w:rsidRPr="00B17255">
              <w:rPr>
                <w:sz w:val="24"/>
                <w:szCs w:val="24"/>
              </w:rPr>
              <w:t>708</w:t>
            </w:r>
          </w:p>
        </w:tc>
        <w:tc>
          <w:tcPr>
            <w:tcW w:w="1160" w:type="dxa"/>
            <w:tcBorders>
              <w:top w:val="nil"/>
              <w:left w:val="nil"/>
              <w:bottom w:val="single" w:sz="4" w:space="0" w:color="auto"/>
              <w:right w:val="single" w:sz="4" w:space="0" w:color="auto"/>
            </w:tcBorders>
            <w:noWrap/>
            <w:vAlign w:val="center"/>
            <w:hideMark/>
          </w:tcPr>
          <w:p w14:paraId="62CC68E7" w14:textId="77777777" w:rsidR="00B17255" w:rsidRPr="00B17255" w:rsidRDefault="00B17255" w:rsidP="00B17255">
            <w:pPr>
              <w:spacing w:line="360" w:lineRule="auto"/>
              <w:jc w:val="center"/>
              <w:rPr>
                <w:sz w:val="24"/>
                <w:szCs w:val="24"/>
              </w:rPr>
            </w:pPr>
            <w:r w:rsidRPr="00B17255">
              <w:rPr>
                <w:sz w:val="24"/>
                <w:szCs w:val="24"/>
              </w:rPr>
              <w:t>109</w:t>
            </w:r>
          </w:p>
        </w:tc>
        <w:tc>
          <w:tcPr>
            <w:tcW w:w="1160" w:type="dxa"/>
            <w:tcBorders>
              <w:top w:val="nil"/>
              <w:left w:val="nil"/>
              <w:bottom w:val="single" w:sz="4" w:space="0" w:color="auto"/>
              <w:right w:val="single" w:sz="4" w:space="0" w:color="auto"/>
            </w:tcBorders>
            <w:noWrap/>
            <w:vAlign w:val="center"/>
            <w:hideMark/>
          </w:tcPr>
          <w:p w14:paraId="56E151D0" w14:textId="77777777" w:rsidR="00B17255" w:rsidRPr="00B17255" w:rsidRDefault="00B17255" w:rsidP="00B17255">
            <w:pPr>
              <w:spacing w:line="360" w:lineRule="auto"/>
              <w:jc w:val="center"/>
              <w:rPr>
                <w:sz w:val="24"/>
                <w:szCs w:val="24"/>
              </w:rPr>
            </w:pPr>
            <w:r w:rsidRPr="00B17255">
              <w:rPr>
                <w:sz w:val="24"/>
                <w:szCs w:val="24"/>
              </w:rPr>
              <w:t>1,681</w:t>
            </w:r>
          </w:p>
        </w:tc>
        <w:tc>
          <w:tcPr>
            <w:tcW w:w="1160" w:type="dxa"/>
            <w:tcBorders>
              <w:top w:val="nil"/>
              <w:left w:val="nil"/>
              <w:bottom w:val="single" w:sz="4" w:space="0" w:color="auto"/>
              <w:right w:val="single" w:sz="4" w:space="0" w:color="auto"/>
            </w:tcBorders>
            <w:noWrap/>
            <w:vAlign w:val="center"/>
            <w:hideMark/>
          </w:tcPr>
          <w:p w14:paraId="1D0C87FC" w14:textId="77777777" w:rsidR="00B17255" w:rsidRPr="00B17255" w:rsidRDefault="00B17255" w:rsidP="00B17255">
            <w:pPr>
              <w:spacing w:line="360" w:lineRule="auto"/>
              <w:jc w:val="center"/>
              <w:rPr>
                <w:sz w:val="24"/>
                <w:szCs w:val="24"/>
              </w:rPr>
            </w:pPr>
            <w:r w:rsidRPr="00B17255">
              <w:rPr>
                <w:sz w:val="24"/>
                <w:szCs w:val="24"/>
              </w:rPr>
              <w:t>1,946</w:t>
            </w:r>
          </w:p>
        </w:tc>
        <w:tc>
          <w:tcPr>
            <w:tcW w:w="1160" w:type="dxa"/>
            <w:tcBorders>
              <w:top w:val="nil"/>
              <w:left w:val="nil"/>
              <w:bottom w:val="single" w:sz="4" w:space="0" w:color="auto"/>
              <w:right w:val="single" w:sz="4" w:space="0" w:color="auto"/>
            </w:tcBorders>
            <w:noWrap/>
            <w:vAlign w:val="center"/>
            <w:hideMark/>
          </w:tcPr>
          <w:p w14:paraId="04C985D9" w14:textId="77777777" w:rsidR="00B17255" w:rsidRPr="00B17255" w:rsidRDefault="00B17255" w:rsidP="00B17255">
            <w:pPr>
              <w:spacing w:line="360" w:lineRule="auto"/>
              <w:jc w:val="center"/>
              <w:rPr>
                <w:sz w:val="24"/>
                <w:szCs w:val="24"/>
              </w:rPr>
            </w:pPr>
            <w:r w:rsidRPr="00B17255">
              <w:rPr>
                <w:sz w:val="24"/>
                <w:szCs w:val="24"/>
              </w:rPr>
              <w:t>2,010</w:t>
            </w:r>
          </w:p>
        </w:tc>
      </w:tr>
      <w:tr w:rsidR="00B17255" w:rsidRPr="00B17255" w14:paraId="48FF8975"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758B2A01" w14:textId="77777777" w:rsidR="00B17255" w:rsidRPr="00B17255" w:rsidRDefault="00B17255" w:rsidP="00B17255">
            <w:pPr>
              <w:spacing w:line="360" w:lineRule="auto"/>
              <w:rPr>
                <w:sz w:val="24"/>
                <w:szCs w:val="24"/>
              </w:rPr>
            </w:pPr>
            <w:r w:rsidRPr="00B17255">
              <w:rPr>
                <w:sz w:val="24"/>
                <w:szCs w:val="24"/>
              </w:rPr>
              <w:t>Investing Cash Flow</w:t>
            </w:r>
          </w:p>
        </w:tc>
        <w:tc>
          <w:tcPr>
            <w:tcW w:w="1160" w:type="dxa"/>
            <w:tcBorders>
              <w:top w:val="nil"/>
              <w:left w:val="nil"/>
              <w:bottom w:val="single" w:sz="4" w:space="0" w:color="auto"/>
              <w:right w:val="single" w:sz="4" w:space="0" w:color="auto"/>
            </w:tcBorders>
            <w:noWrap/>
            <w:vAlign w:val="center"/>
            <w:hideMark/>
          </w:tcPr>
          <w:p w14:paraId="76D7700E" w14:textId="77777777" w:rsidR="00B17255" w:rsidRPr="00B17255" w:rsidRDefault="00B17255" w:rsidP="00B17255">
            <w:pPr>
              <w:spacing w:line="360" w:lineRule="auto"/>
              <w:jc w:val="center"/>
              <w:rPr>
                <w:sz w:val="24"/>
                <w:szCs w:val="24"/>
              </w:rPr>
            </w:pPr>
            <w:r w:rsidRPr="00B17255">
              <w:rPr>
                <w:sz w:val="24"/>
                <w:szCs w:val="24"/>
              </w:rPr>
              <w:t>(107)</w:t>
            </w:r>
          </w:p>
        </w:tc>
        <w:tc>
          <w:tcPr>
            <w:tcW w:w="1160" w:type="dxa"/>
            <w:tcBorders>
              <w:top w:val="nil"/>
              <w:left w:val="nil"/>
              <w:bottom w:val="single" w:sz="4" w:space="0" w:color="auto"/>
              <w:right w:val="single" w:sz="4" w:space="0" w:color="auto"/>
            </w:tcBorders>
            <w:noWrap/>
            <w:vAlign w:val="center"/>
            <w:hideMark/>
          </w:tcPr>
          <w:p w14:paraId="41F2C77D" w14:textId="77777777" w:rsidR="00B17255" w:rsidRPr="00B17255" w:rsidRDefault="00B17255" w:rsidP="00B17255">
            <w:pPr>
              <w:spacing w:line="360" w:lineRule="auto"/>
              <w:jc w:val="center"/>
              <w:rPr>
                <w:sz w:val="24"/>
                <w:szCs w:val="24"/>
              </w:rPr>
            </w:pPr>
            <w:r w:rsidRPr="00B17255">
              <w:rPr>
                <w:sz w:val="24"/>
                <w:szCs w:val="24"/>
              </w:rPr>
              <w:t>(57)</w:t>
            </w:r>
          </w:p>
        </w:tc>
        <w:tc>
          <w:tcPr>
            <w:tcW w:w="1160" w:type="dxa"/>
            <w:tcBorders>
              <w:top w:val="nil"/>
              <w:left w:val="nil"/>
              <w:bottom w:val="single" w:sz="4" w:space="0" w:color="auto"/>
              <w:right w:val="single" w:sz="4" w:space="0" w:color="auto"/>
            </w:tcBorders>
            <w:noWrap/>
            <w:vAlign w:val="center"/>
            <w:hideMark/>
          </w:tcPr>
          <w:p w14:paraId="19DBF0BC" w14:textId="77777777" w:rsidR="00B17255" w:rsidRPr="00B17255" w:rsidRDefault="00B17255" w:rsidP="00B17255">
            <w:pPr>
              <w:spacing w:line="360" w:lineRule="auto"/>
              <w:jc w:val="center"/>
              <w:rPr>
                <w:sz w:val="24"/>
                <w:szCs w:val="24"/>
              </w:rPr>
            </w:pPr>
            <w:r w:rsidRPr="00B17255">
              <w:rPr>
                <w:sz w:val="24"/>
                <w:szCs w:val="24"/>
              </w:rPr>
              <w:t>(123)</w:t>
            </w:r>
          </w:p>
        </w:tc>
        <w:tc>
          <w:tcPr>
            <w:tcW w:w="1160" w:type="dxa"/>
            <w:tcBorders>
              <w:top w:val="nil"/>
              <w:left w:val="nil"/>
              <w:bottom w:val="single" w:sz="4" w:space="0" w:color="auto"/>
              <w:right w:val="single" w:sz="4" w:space="0" w:color="auto"/>
            </w:tcBorders>
            <w:noWrap/>
            <w:vAlign w:val="center"/>
            <w:hideMark/>
          </w:tcPr>
          <w:p w14:paraId="25AF2C79" w14:textId="77777777" w:rsidR="00B17255" w:rsidRPr="00B17255" w:rsidRDefault="00B17255" w:rsidP="00B17255">
            <w:pPr>
              <w:spacing w:line="360" w:lineRule="auto"/>
              <w:jc w:val="center"/>
              <w:rPr>
                <w:sz w:val="24"/>
                <w:szCs w:val="24"/>
              </w:rPr>
            </w:pPr>
            <w:r w:rsidRPr="00B17255">
              <w:rPr>
                <w:sz w:val="24"/>
                <w:szCs w:val="24"/>
              </w:rPr>
              <w:t>(305)</w:t>
            </w:r>
          </w:p>
        </w:tc>
        <w:tc>
          <w:tcPr>
            <w:tcW w:w="1160" w:type="dxa"/>
            <w:tcBorders>
              <w:top w:val="nil"/>
              <w:left w:val="nil"/>
              <w:bottom w:val="single" w:sz="4" w:space="0" w:color="auto"/>
              <w:right w:val="single" w:sz="4" w:space="0" w:color="auto"/>
            </w:tcBorders>
            <w:noWrap/>
            <w:vAlign w:val="center"/>
            <w:hideMark/>
          </w:tcPr>
          <w:p w14:paraId="4C49DF12" w14:textId="77777777" w:rsidR="00B17255" w:rsidRPr="00B17255" w:rsidRDefault="00B17255" w:rsidP="00B17255">
            <w:pPr>
              <w:spacing w:line="360" w:lineRule="auto"/>
              <w:jc w:val="center"/>
              <w:rPr>
                <w:sz w:val="24"/>
                <w:szCs w:val="24"/>
              </w:rPr>
            </w:pPr>
            <w:r w:rsidRPr="00B17255">
              <w:rPr>
                <w:sz w:val="24"/>
                <w:szCs w:val="24"/>
              </w:rPr>
              <w:t>(446)</w:t>
            </w:r>
          </w:p>
        </w:tc>
      </w:tr>
      <w:tr w:rsidR="00B17255" w:rsidRPr="00B17255" w14:paraId="43CF8270"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0E493821" w14:textId="77777777" w:rsidR="00B17255" w:rsidRPr="00B17255" w:rsidRDefault="00B17255" w:rsidP="00B17255">
            <w:pPr>
              <w:spacing w:line="360" w:lineRule="auto"/>
              <w:rPr>
                <w:sz w:val="24"/>
                <w:szCs w:val="24"/>
              </w:rPr>
            </w:pPr>
            <w:r w:rsidRPr="00B17255">
              <w:rPr>
                <w:sz w:val="24"/>
                <w:szCs w:val="24"/>
              </w:rPr>
              <w:t>Financing Cash Flow</w:t>
            </w:r>
          </w:p>
        </w:tc>
        <w:tc>
          <w:tcPr>
            <w:tcW w:w="1160" w:type="dxa"/>
            <w:tcBorders>
              <w:top w:val="nil"/>
              <w:left w:val="nil"/>
              <w:bottom w:val="single" w:sz="4" w:space="0" w:color="auto"/>
              <w:right w:val="single" w:sz="4" w:space="0" w:color="auto"/>
            </w:tcBorders>
            <w:noWrap/>
            <w:vAlign w:val="center"/>
            <w:hideMark/>
          </w:tcPr>
          <w:p w14:paraId="29FB0FAC" w14:textId="77777777" w:rsidR="00B17255" w:rsidRPr="00B17255" w:rsidRDefault="00B17255" w:rsidP="00B17255">
            <w:pPr>
              <w:spacing w:line="360" w:lineRule="auto"/>
              <w:jc w:val="center"/>
              <w:rPr>
                <w:sz w:val="24"/>
                <w:szCs w:val="24"/>
              </w:rPr>
            </w:pPr>
            <w:r w:rsidRPr="00B17255">
              <w:rPr>
                <w:sz w:val="24"/>
                <w:szCs w:val="24"/>
              </w:rPr>
              <w:t>2,030</w:t>
            </w:r>
          </w:p>
        </w:tc>
        <w:tc>
          <w:tcPr>
            <w:tcW w:w="1160" w:type="dxa"/>
            <w:tcBorders>
              <w:top w:val="nil"/>
              <w:left w:val="nil"/>
              <w:bottom w:val="single" w:sz="4" w:space="0" w:color="auto"/>
              <w:right w:val="single" w:sz="4" w:space="0" w:color="auto"/>
            </w:tcBorders>
            <w:noWrap/>
            <w:vAlign w:val="center"/>
            <w:hideMark/>
          </w:tcPr>
          <w:p w14:paraId="1F95107A" w14:textId="77777777" w:rsidR="00B17255" w:rsidRPr="00B17255" w:rsidRDefault="00B17255" w:rsidP="00B17255">
            <w:pPr>
              <w:spacing w:line="360" w:lineRule="auto"/>
              <w:jc w:val="center"/>
              <w:rPr>
                <w:sz w:val="24"/>
                <w:szCs w:val="24"/>
              </w:rPr>
            </w:pPr>
            <w:r w:rsidRPr="00B17255">
              <w:rPr>
                <w:sz w:val="24"/>
                <w:szCs w:val="24"/>
              </w:rPr>
              <w:t>(1,791)</w:t>
            </w:r>
          </w:p>
        </w:tc>
        <w:tc>
          <w:tcPr>
            <w:tcW w:w="1160" w:type="dxa"/>
            <w:tcBorders>
              <w:top w:val="nil"/>
              <w:left w:val="nil"/>
              <w:bottom w:val="single" w:sz="4" w:space="0" w:color="auto"/>
              <w:right w:val="single" w:sz="4" w:space="0" w:color="auto"/>
            </w:tcBorders>
            <w:noWrap/>
            <w:vAlign w:val="center"/>
            <w:hideMark/>
          </w:tcPr>
          <w:p w14:paraId="34A5EDBD" w14:textId="77777777" w:rsidR="00B17255" w:rsidRPr="00B17255" w:rsidRDefault="00B17255" w:rsidP="00B17255">
            <w:pPr>
              <w:spacing w:line="360" w:lineRule="auto"/>
              <w:jc w:val="center"/>
              <w:rPr>
                <w:sz w:val="24"/>
                <w:szCs w:val="24"/>
              </w:rPr>
            </w:pPr>
            <w:r w:rsidRPr="00B17255">
              <w:rPr>
                <w:sz w:val="24"/>
                <w:szCs w:val="24"/>
              </w:rPr>
              <w:t>(1,760)</w:t>
            </w:r>
          </w:p>
        </w:tc>
        <w:tc>
          <w:tcPr>
            <w:tcW w:w="1160" w:type="dxa"/>
            <w:tcBorders>
              <w:top w:val="nil"/>
              <w:left w:val="nil"/>
              <w:bottom w:val="single" w:sz="4" w:space="0" w:color="auto"/>
              <w:right w:val="single" w:sz="4" w:space="0" w:color="auto"/>
            </w:tcBorders>
            <w:noWrap/>
            <w:vAlign w:val="center"/>
            <w:hideMark/>
          </w:tcPr>
          <w:p w14:paraId="5C9E4832" w14:textId="77777777" w:rsidR="00B17255" w:rsidRPr="00B17255" w:rsidRDefault="00B17255" w:rsidP="00B17255">
            <w:pPr>
              <w:spacing w:line="360" w:lineRule="auto"/>
              <w:jc w:val="center"/>
              <w:rPr>
                <w:sz w:val="24"/>
                <w:szCs w:val="24"/>
              </w:rPr>
            </w:pPr>
            <w:r w:rsidRPr="00B17255">
              <w:rPr>
                <w:sz w:val="24"/>
                <w:szCs w:val="24"/>
              </w:rPr>
              <w:t>(2,040)</w:t>
            </w:r>
          </w:p>
        </w:tc>
        <w:tc>
          <w:tcPr>
            <w:tcW w:w="1160" w:type="dxa"/>
            <w:tcBorders>
              <w:top w:val="nil"/>
              <w:left w:val="nil"/>
              <w:bottom w:val="single" w:sz="4" w:space="0" w:color="auto"/>
              <w:right w:val="single" w:sz="4" w:space="0" w:color="auto"/>
            </w:tcBorders>
            <w:noWrap/>
            <w:vAlign w:val="center"/>
            <w:hideMark/>
          </w:tcPr>
          <w:p w14:paraId="3F448C84" w14:textId="77777777" w:rsidR="00B17255" w:rsidRPr="00B17255" w:rsidRDefault="00B17255" w:rsidP="00B17255">
            <w:pPr>
              <w:spacing w:line="360" w:lineRule="auto"/>
              <w:jc w:val="center"/>
              <w:rPr>
                <w:sz w:val="24"/>
                <w:szCs w:val="24"/>
              </w:rPr>
            </w:pPr>
            <w:r w:rsidRPr="00B17255">
              <w:rPr>
                <w:sz w:val="24"/>
                <w:szCs w:val="24"/>
              </w:rPr>
              <w:t>(1,040)</w:t>
            </w:r>
          </w:p>
        </w:tc>
      </w:tr>
      <w:tr w:rsidR="00B17255" w:rsidRPr="00B17255" w14:paraId="0813054B"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0ACBDE67" w14:textId="77777777" w:rsidR="00B17255" w:rsidRPr="00B17255" w:rsidRDefault="00B17255" w:rsidP="00B17255">
            <w:pPr>
              <w:spacing w:line="360" w:lineRule="auto"/>
              <w:rPr>
                <w:sz w:val="24"/>
                <w:szCs w:val="24"/>
              </w:rPr>
            </w:pPr>
            <w:r w:rsidRPr="00B17255">
              <w:rPr>
                <w:sz w:val="24"/>
                <w:szCs w:val="24"/>
              </w:rPr>
              <w:t>Free Cash Flow</w:t>
            </w:r>
          </w:p>
        </w:tc>
        <w:tc>
          <w:tcPr>
            <w:tcW w:w="1160" w:type="dxa"/>
            <w:tcBorders>
              <w:top w:val="nil"/>
              <w:left w:val="nil"/>
              <w:bottom w:val="single" w:sz="4" w:space="0" w:color="auto"/>
              <w:right w:val="single" w:sz="4" w:space="0" w:color="auto"/>
            </w:tcBorders>
            <w:noWrap/>
            <w:vAlign w:val="center"/>
            <w:hideMark/>
          </w:tcPr>
          <w:p w14:paraId="4A1FD57B" w14:textId="77777777" w:rsidR="00B17255" w:rsidRPr="00B17255" w:rsidRDefault="00B17255" w:rsidP="00B17255">
            <w:pPr>
              <w:spacing w:line="360" w:lineRule="auto"/>
              <w:jc w:val="center"/>
              <w:rPr>
                <w:sz w:val="24"/>
                <w:szCs w:val="24"/>
              </w:rPr>
            </w:pPr>
            <w:r w:rsidRPr="00B17255">
              <w:rPr>
                <w:sz w:val="24"/>
                <w:szCs w:val="24"/>
              </w:rPr>
              <w:t>616</w:t>
            </w:r>
          </w:p>
        </w:tc>
        <w:tc>
          <w:tcPr>
            <w:tcW w:w="1160" w:type="dxa"/>
            <w:tcBorders>
              <w:top w:val="nil"/>
              <w:left w:val="nil"/>
              <w:bottom w:val="single" w:sz="4" w:space="0" w:color="auto"/>
              <w:right w:val="single" w:sz="4" w:space="0" w:color="auto"/>
            </w:tcBorders>
            <w:noWrap/>
            <w:vAlign w:val="center"/>
            <w:hideMark/>
          </w:tcPr>
          <w:p w14:paraId="424DB523" w14:textId="77777777" w:rsidR="00B17255" w:rsidRPr="00B17255" w:rsidRDefault="00B17255" w:rsidP="00B17255">
            <w:pPr>
              <w:spacing w:line="360" w:lineRule="auto"/>
              <w:jc w:val="center"/>
              <w:rPr>
                <w:sz w:val="24"/>
                <w:szCs w:val="24"/>
              </w:rPr>
            </w:pPr>
            <w:r w:rsidRPr="00B17255">
              <w:rPr>
                <w:sz w:val="24"/>
                <w:szCs w:val="24"/>
              </w:rPr>
              <w:t>30</w:t>
            </w:r>
          </w:p>
        </w:tc>
        <w:tc>
          <w:tcPr>
            <w:tcW w:w="1160" w:type="dxa"/>
            <w:tcBorders>
              <w:top w:val="nil"/>
              <w:left w:val="nil"/>
              <w:bottom w:val="single" w:sz="4" w:space="0" w:color="auto"/>
              <w:right w:val="single" w:sz="4" w:space="0" w:color="auto"/>
            </w:tcBorders>
            <w:noWrap/>
            <w:vAlign w:val="center"/>
            <w:hideMark/>
          </w:tcPr>
          <w:p w14:paraId="3A2AD74F" w14:textId="77777777" w:rsidR="00B17255" w:rsidRPr="00B17255" w:rsidRDefault="00B17255" w:rsidP="00B17255">
            <w:pPr>
              <w:spacing w:line="360" w:lineRule="auto"/>
              <w:jc w:val="center"/>
              <w:rPr>
                <w:sz w:val="24"/>
                <w:szCs w:val="24"/>
              </w:rPr>
            </w:pPr>
            <w:r w:rsidRPr="00B17255">
              <w:rPr>
                <w:sz w:val="24"/>
                <w:szCs w:val="24"/>
              </w:rPr>
              <w:t>1,579</w:t>
            </w:r>
          </w:p>
        </w:tc>
        <w:tc>
          <w:tcPr>
            <w:tcW w:w="1160" w:type="dxa"/>
            <w:tcBorders>
              <w:top w:val="nil"/>
              <w:left w:val="nil"/>
              <w:bottom w:val="single" w:sz="4" w:space="0" w:color="auto"/>
              <w:right w:val="single" w:sz="4" w:space="0" w:color="auto"/>
            </w:tcBorders>
            <w:noWrap/>
            <w:vAlign w:val="center"/>
            <w:hideMark/>
          </w:tcPr>
          <w:p w14:paraId="1892B224" w14:textId="77777777" w:rsidR="00B17255" w:rsidRPr="00B17255" w:rsidRDefault="00B17255" w:rsidP="00B17255">
            <w:pPr>
              <w:spacing w:line="360" w:lineRule="auto"/>
              <w:jc w:val="center"/>
              <w:rPr>
                <w:sz w:val="24"/>
                <w:szCs w:val="24"/>
              </w:rPr>
            </w:pPr>
            <w:r w:rsidRPr="00B17255">
              <w:rPr>
                <w:sz w:val="24"/>
                <w:szCs w:val="24"/>
              </w:rPr>
              <w:t>1,704</w:t>
            </w:r>
          </w:p>
        </w:tc>
        <w:tc>
          <w:tcPr>
            <w:tcW w:w="1160" w:type="dxa"/>
            <w:tcBorders>
              <w:top w:val="nil"/>
              <w:left w:val="nil"/>
              <w:bottom w:val="single" w:sz="4" w:space="0" w:color="auto"/>
              <w:right w:val="single" w:sz="4" w:space="0" w:color="auto"/>
            </w:tcBorders>
            <w:noWrap/>
            <w:vAlign w:val="center"/>
            <w:hideMark/>
          </w:tcPr>
          <w:p w14:paraId="4EC8CAA5" w14:textId="77777777" w:rsidR="00B17255" w:rsidRPr="00B17255" w:rsidRDefault="00B17255" w:rsidP="00B17255">
            <w:pPr>
              <w:spacing w:line="360" w:lineRule="auto"/>
              <w:jc w:val="center"/>
              <w:rPr>
                <w:sz w:val="24"/>
                <w:szCs w:val="24"/>
              </w:rPr>
            </w:pPr>
            <w:r w:rsidRPr="00B17255">
              <w:rPr>
                <w:sz w:val="24"/>
                <w:szCs w:val="24"/>
              </w:rPr>
              <w:t>1,823</w:t>
            </w:r>
          </w:p>
        </w:tc>
      </w:tr>
      <w:tr w:rsidR="00B17255" w:rsidRPr="00B17255" w14:paraId="5790B5AD"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5CBED08E" w14:textId="77777777" w:rsidR="00B17255" w:rsidRPr="00B17255" w:rsidRDefault="00B17255" w:rsidP="00B17255">
            <w:pPr>
              <w:spacing w:line="360" w:lineRule="auto"/>
              <w:rPr>
                <w:sz w:val="24"/>
                <w:szCs w:val="24"/>
              </w:rPr>
            </w:pPr>
            <w:r w:rsidRPr="00B17255">
              <w:rPr>
                <w:sz w:val="24"/>
                <w:szCs w:val="24"/>
              </w:rPr>
              <w:t>Diluted EPS ($)</w:t>
            </w:r>
          </w:p>
        </w:tc>
        <w:tc>
          <w:tcPr>
            <w:tcW w:w="1160" w:type="dxa"/>
            <w:tcBorders>
              <w:top w:val="nil"/>
              <w:left w:val="nil"/>
              <w:bottom w:val="single" w:sz="4" w:space="0" w:color="auto"/>
              <w:right w:val="single" w:sz="4" w:space="0" w:color="auto"/>
            </w:tcBorders>
            <w:noWrap/>
            <w:vAlign w:val="center"/>
            <w:hideMark/>
          </w:tcPr>
          <w:p w14:paraId="1F53CE46"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6D1D227A"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11C0945D" w14:textId="77777777" w:rsidR="00B17255" w:rsidRPr="00B17255" w:rsidRDefault="00B17255" w:rsidP="00B17255">
            <w:pPr>
              <w:spacing w:line="360" w:lineRule="auto"/>
              <w:jc w:val="center"/>
              <w:rPr>
                <w:sz w:val="24"/>
                <w:szCs w:val="24"/>
              </w:rPr>
            </w:pPr>
            <w:r w:rsidRPr="00B17255">
              <w:rPr>
                <w:sz w:val="24"/>
                <w:szCs w:val="24"/>
              </w:rPr>
              <w:t>4</w:t>
            </w:r>
          </w:p>
        </w:tc>
        <w:tc>
          <w:tcPr>
            <w:tcW w:w="1160" w:type="dxa"/>
            <w:tcBorders>
              <w:top w:val="nil"/>
              <w:left w:val="nil"/>
              <w:bottom w:val="single" w:sz="4" w:space="0" w:color="auto"/>
              <w:right w:val="single" w:sz="4" w:space="0" w:color="auto"/>
            </w:tcBorders>
            <w:noWrap/>
            <w:vAlign w:val="center"/>
            <w:hideMark/>
          </w:tcPr>
          <w:p w14:paraId="240878F2" w14:textId="77777777" w:rsidR="00B17255" w:rsidRPr="00B17255" w:rsidRDefault="00B17255" w:rsidP="00B17255">
            <w:pPr>
              <w:spacing w:line="360" w:lineRule="auto"/>
              <w:jc w:val="center"/>
              <w:rPr>
                <w:sz w:val="24"/>
                <w:szCs w:val="24"/>
              </w:rPr>
            </w:pPr>
            <w:r w:rsidRPr="00B17255">
              <w:rPr>
                <w:sz w:val="24"/>
                <w:szCs w:val="24"/>
              </w:rPr>
              <w:t>4</w:t>
            </w:r>
          </w:p>
        </w:tc>
        <w:tc>
          <w:tcPr>
            <w:tcW w:w="1160" w:type="dxa"/>
            <w:tcBorders>
              <w:top w:val="nil"/>
              <w:left w:val="nil"/>
              <w:bottom w:val="single" w:sz="4" w:space="0" w:color="auto"/>
              <w:right w:val="single" w:sz="4" w:space="0" w:color="auto"/>
            </w:tcBorders>
            <w:noWrap/>
            <w:vAlign w:val="center"/>
            <w:hideMark/>
          </w:tcPr>
          <w:p w14:paraId="7414A87D" w14:textId="77777777" w:rsidR="00B17255" w:rsidRPr="00B17255" w:rsidRDefault="00B17255" w:rsidP="00B17255">
            <w:pPr>
              <w:spacing w:line="360" w:lineRule="auto"/>
              <w:jc w:val="center"/>
              <w:rPr>
                <w:sz w:val="24"/>
                <w:szCs w:val="24"/>
              </w:rPr>
            </w:pPr>
            <w:r w:rsidRPr="00B17255">
              <w:rPr>
                <w:sz w:val="24"/>
                <w:szCs w:val="24"/>
              </w:rPr>
              <w:t>6</w:t>
            </w:r>
          </w:p>
        </w:tc>
      </w:tr>
      <w:tr w:rsidR="00B17255" w:rsidRPr="00B17255" w14:paraId="1A5EC8BF"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659687D6" w14:textId="77777777" w:rsidR="00B17255" w:rsidRPr="00B17255" w:rsidRDefault="00B17255" w:rsidP="00B17255">
            <w:pPr>
              <w:spacing w:line="360" w:lineRule="auto"/>
              <w:rPr>
                <w:sz w:val="24"/>
                <w:szCs w:val="24"/>
              </w:rPr>
            </w:pPr>
            <w:r w:rsidRPr="00B17255">
              <w:rPr>
                <w:sz w:val="24"/>
                <w:szCs w:val="24"/>
              </w:rPr>
              <w:t>Dividends Paid ($m)</w:t>
            </w:r>
          </w:p>
        </w:tc>
        <w:tc>
          <w:tcPr>
            <w:tcW w:w="1160" w:type="dxa"/>
            <w:tcBorders>
              <w:top w:val="nil"/>
              <w:left w:val="nil"/>
              <w:bottom w:val="single" w:sz="4" w:space="0" w:color="auto"/>
              <w:right w:val="single" w:sz="4" w:space="0" w:color="auto"/>
            </w:tcBorders>
            <w:noWrap/>
            <w:vAlign w:val="center"/>
            <w:hideMark/>
          </w:tcPr>
          <w:p w14:paraId="5AE5FC59" w14:textId="77777777" w:rsidR="00B17255" w:rsidRPr="00B17255" w:rsidRDefault="00B17255" w:rsidP="00B17255">
            <w:pPr>
              <w:spacing w:line="360" w:lineRule="auto"/>
              <w:jc w:val="center"/>
              <w:rPr>
                <w:sz w:val="24"/>
                <w:szCs w:val="24"/>
              </w:rPr>
            </w:pPr>
            <w:r w:rsidRPr="00B17255">
              <w:rPr>
                <w:sz w:val="24"/>
                <w:szCs w:val="24"/>
              </w:rPr>
              <w:t>-</w:t>
            </w:r>
          </w:p>
        </w:tc>
        <w:tc>
          <w:tcPr>
            <w:tcW w:w="1160" w:type="dxa"/>
            <w:tcBorders>
              <w:top w:val="nil"/>
              <w:left w:val="nil"/>
              <w:bottom w:val="single" w:sz="4" w:space="0" w:color="auto"/>
              <w:right w:val="single" w:sz="4" w:space="0" w:color="auto"/>
            </w:tcBorders>
            <w:noWrap/>
            <w:vAlign w:val="center"/>
            <w:hideMark/>
          </w:tcPr>
          <w:p w14:paraId="440ED9D8" w14:textId="77777777" w:rsidR="00B17255" w:rsidRPr="00B17255" w:rsidRDefault="00B17255" w:rsidP="00B17255">
            <w:pPr>
              <w:spacing w:line="360" w:lineRule="auto"/>
              <w:jc w:val="center"/>
              <w:rPr>
                <w:sz w:val="24"/>
                <w:szCs w:val="24"/>
              </w:rPr>
            </w:pPr>
            <w:r w:rsidRPr="00B17255">
              <w:rPr>
                <w:sz w:val="24"/>
                <w:szCs w:val="24"/>
              </w:rPr>
              <w:t>-</w:t>
            </w:r>
          </w:p>
        </w:tc>
        <w:tc>
          <w:tcPr>
            <w:tcW w:w="1160" w:type="dxa"/>
            <w:tcBorders>
              <w:top w:val="nil"/>
              <w:left w:val="nil"/>
              <w:bottom w:val="single" w:sz="4" w:space="0" w:color="auto"/>
              <w:right w:val="single" w:sz="4" w:space="0" w:color="auto"/>
            </w:tcBorders>
            <w:noWrap/>
            <w:vAlign w:val="center"/>
            <w:hideMark/>
          </w:tcPr>
          <w:p w14:paraId="08C80272" w14:textId="77777777" w:rsidR="00B17255" w:rsidRPr="00B17255" w:rsidRDefault="00B17255" w:rsidP="00B17255">
            <w:pPr>
              <w:spacing w:line="360" w:lineRule="auto"/>
              <w:jc w:val="center"/>
              <w:rPr>
                <w:sz w:val="24"/>
                <w:szCs w:val="24"/>
              </w:rPr>
            </w:pPr>
            <w:r w:rsidRPr="00B17255">
              <w:rPr>
                <w:sz w:val="24"/>
                <w:szCs w:val="24"/>
              </w:rPr>
              <w:t> </w:t>
            </w:r>
          </w:p>
        </w:tc>
        <w:tc>
          <w:tcPr>
            <w:tcW w:w="1160" w:type="dxa"/>
            <w:tcBorders>
              <w:top w:val="nil"/>
              <w:left w:val="nil"/>
              <w:bottom w:val="single" w:sz="4" w:space="0" w:color="auto"/>
              <w:right w:val="single" w:sz="4" w:space="0" w:color="auto"/>
            </w:tcBorders>
            <w:noWrap/>
            <w:vAlign w:val="center"/>
            <w:hideMark/>
          </w:tcPr>
          <w:p w14:paraId="7C12941F" w14:textId="77777777" w:rsidR="00B17255" w:rsidRPr="00B17255" w:rsidRDefault="00B17255" w:rsidP="00B17255">
            <w:pPr>
              <w:spacing w:line="360" w:lineRule="auto"/>
              <w:jc w:val="center"/>
              <w:rPr>
                <w:sz w:val="24"/>
                <w:szCs w:val="24"/>
              </w:rPr>
            </w:pPr>
            <w:r w:rsidRPr="00B17255">
              <w:rPr>
                <w:sz w:val="24"/>
                <w:szCs w:val="24"/>
              </w:rPr>
              <w:t>158</w:t>
            </w:r>
          </w:p>
        </w:tc>
        <w:tc>
          <w:tcPr>
            <w:tcW w:w="1160" w:type="dxa"/>
            <w:tcBorders>
              <w:top w:val="nil"/>
              <w:left w:val="nil"/>
              <w:bottom w:val="single" w:sz="4" w:space="0" w:color="auto"/>
              <w:right w:val="single" w:sz="4" w:space="0" w:color="auto"/>
            </w:tcBorders>
            <w:noWrap/>
            <w:vAlign w:val="center"/>
            <w:hideMark/>
          </w:tcPr>
          <w:p w14:paraId="6FC958C1" w14:textId="77777777" w:rsidR="00B17255" w:rsidRPr="00B17255" w:rsidRDefault="00B17255" w:rsidP="00B17255">
            <w:pPr>
              <w:spacing w:line="360" w:lineRule="auto"/>
              <w:jc w:val="center"/>
              <w:rPr>
                <w:sz w:val="24"/>
                <w:szCs w:val="24"/>
              </w:rPr>
            </w:pPr>
            <w:r w:rsidRPr="00B17255">
              <w:rPr>
                <w:sz w:val="24"/>
                <w:szCs w:val="24"/>
              </w:rPr>
              <w:t>150</w:t>
            </w:r>
          </w:p>
        </w:tc>
      </w:tr>
      <w:tr w:rsidR="00B17255" w:rsidRPr="00B17255" w14:paraId="217291B9" w14:textId="77777777" w:rsidTr="00B17255">
        <w:trPr>
          <w:trHeight w:val="300"/>
        </w:trPr>
        <w:tc>
          <w:tcPr>
            <w:tcW w:w="4300" w:type="dxa"/>
            <w:tcBorders>
              <w:top w:val="nil"/>
              <w:left w:val="single" w:sz="4" w:space="0" w:color="auto"/>
              <w:bottom w:val="single" w:sz="4" w:space="0" w:color="auto"/>
              <w:right w:val="single" w:sz="4" w:space="0" w:color="auto"/>
            </w:tcBorders>
            <w:noWrap/>
            <w:vAlign w:val="center"/>
            <w:hideMark/>
          </w:tcPr>
          <w:p w14:paraId="4147F8C4" w14:textId="77777777" w:rsidR="00B17255" w:rsidRPr="00B17255" w:rsidRDefault="00B17255" w:rsidP="00B17255">
            <w:pPr>
              <w:spacing w:line="360" w:lineRule="auto"/>
              <w:rPr>
                <w:sz w:val="24"/>
                <w:szCs w:val="24"/>
              </w:rPr>
            </w:pPr>
            <w:r w:rsidRPr="00B17255">
              <w:rPr>
                <w:sz w:val="24"/>
                <w:szCs w:val="24"/>
              </w:rPr>
              <w:t>Dividend per Share ($)</w:t>
            </w:r>
          </w:p>
        </w:tc>
        <w:tc>
          <w:tcPr>
            <w:tcW w:w="1160" w:type="dxa"/>
            <w:tcBorders>
              <w:top w:val="nil"/>
              <w:left w:val="nil"/>
              <w:bottom w:val="single" w:sz="4" w:space="0" w:color="auto"/>
              <w:right w:val="single" w:sz="4" w:space="0" w:color="auto"/>
            </w:tcBorders>
            <w:noWrap/>
            <w:vAlign w:val="center"/>
            <w:hideMark/>
          </w:tcPr>
          <w:p w14:paraId="011F4595" w14:textId="77777777" w:rsidR="00B17255" w:rsidRPr="00B17255" w:rsidRDefault="00B17255" w:rsidP="00B17255">
            <w:pPr>
              <w:spacing w:line="360" w:lineRule="auto"/>
              <w:jc w:val="center"/>
              <w:rPr>
                <w:sz w:val="24"/>
                <w:szCs w:val="24"/>
              </w:rPr>
            </w:pPr>
            <w:r w:rsidRPr="00B17255">
              <w:rPr>
                <w:sz w:val="24"/>
                <w:szCs w:val="24"/>
              </w:rPr>
              <w:t>-</w:t>
            </w:r>
          </w:p>
        </w:tc>
        <w:tc>
          <w:tcPr>
            <w:tcW w:w="1160" w:type="dxa"/>
            <w:tcBorders>
              <w:top w:val="nil"/>
              <w:left w:val="nil"/>
              <w:bottom w:val="single" w:sz="4" w:space="0" w:color="auto"/>
              <w:right w:val="single" w:sz="4" w:space="0" w:color="auto"/>
            </w:tcBorders>
            <w:noWrap/>
            <w:vAlign w:val="center"/>
            <w:hideMark/>
          </w:tcPr>
          <w:p w14:paraId="27BD1875" w14:textId="77777777" w:rsidR="00B17255" w:rsidRPr="00B17255" w:rsidRDefault="00B17255" w:rsidP="00B17255">
            <w:pPr>
              <w:spacing w:line="360" w:lineRule="auto"/>
              <w:jc w:val="center"/>
              <w:rPr>
                <w:sz w:val="24"/>
                <w:szCs w:val="24"/>
              </w:rPr>
            </w:pPr>
            <w:r w:rsidRPr="00B17255">
              <w:rPr>
                <w:sz w:val="24"/>
                <w:szCs w:val="24"/>
              </w:rPr>
              <w:t>-</w:t>
            </w:r>
          </w:p>
        </w:tc>
        <w:tc>
          <w:tcPr>
            <w:tcW w:w="1160" w:type="dxa"/>
            <w:tcBorders>
              <w:top w:val="nil"/>
              <w:left w:val="nil"/>
              <w:bottom w:val="single" w:sz="4" w:space="0" w:color="auto"/>
              <w:right w:val="single" w:sz="4" w:space="0" w:color="auto"/>
            </w:tcBorders>
            <w:noWrap/>
            <w:vAlign w:val="center"/>
            <w:hideMark/>
          </w:tcPr>
          <w:p w14:paraId="1C60043E" w14:textId="77777777" w:rsidR="00B17255" w:rsidRPr="00B17255" w:rsidRDefault="00B17255" w:rsidP="00B17255">
            <w:pPr>
              <w:spacing w:line="360" w:lineRule="auto"/>
              <w:jc w:val="center"/>
              <w:rPr>
                <w:sz w:val="24"/>
                <w:szCs w:val="24"/>
              </w:rPr>
            </w:pPr>
            <w:r w:rsidRPr="00B17255">
              <w:rPr>
                <w:sz w:val="24"/>
                <w:szCs w:val="24"/>
              </w:rPr>
              <w:t>-</w:t>
            </w:r>
          </w:p>
        </w:tc>
        <w:tc>
          <w:tcPr>
            <w:tcW w:w="1160" w:type="dxa"/>
            <w:tcBorders>
              <w:top w:val="nil"/>
              <w:left w:val="nil"/>
              <w:bottom w:val="single" w:sz="4" w:space="0" w:color="auto"/>
              <w:right w:val="single" w:sz="4" w:space="0" w:color="auto"/>
            </w:tcBorders>
            <w:noWrap/>
            <w:vAlign w:val="center"/>
            <w:hideMark/>
          </w:tcPr>
          <w:p w14:paraId="2A8F854B" w14:textId="77777777" w:rsidR="00B17255" w:rsidRPr="00B17255" w:rsidRDefault="00B17255" w:rsidP="00B17255">
            <w:pPr>
              <w:spacing w:line="360" w:lineRule="auto"/>
              <w:jc w:val="center"/>
              <w:rPr>
                <w:sz w:val="24"/>
                <w:szCs w:val="24"/>
              </w:rPr>
            </w:pPr>
            <w:r w:rsidRPr="00B17255">
              <w:rPr>
                <w:sz w:val="24"/>
                <w:szCs w:val="24"/>
              </w:rPr>
              <w:t>1</w:t>
            </w:r>
          </w:p>
        </w:tc>
        <w:tc>
          <w:tcPr>
            <w:tcW w:w="1160" w:type="dxa"/>
            <w:tcBorders>
              <w:top w:val="nil"/>
              <w:left w:val="nil"/>
              <w:bottom w:val="single" w:sz="4" w:space="0" w:color="auto"/>
              <w:right w:val="single" w:sz="4" w:space="0" w:color="auto"/>
            </w:tcBorders>
            <w:noWrap/>
            <w:vAlign w:val="center"/>
            <w:hideMark/>
          </w:tcPr>
          <w:p w14:paraId="5EF96A5E" w14:textId="77777777" w:rsidR="00B17255" w:rsidRPr="00B17255" w:rsidRDefault="00B17255" w:rsidP="00B17255">
            <w:pPr>
              <w:spacing w:line="360" w:lineRule="auto"/>
              <w:jc w:val="center"/>
              <w:rPr>
                <w:sz w:val="24"/>
                <w:szCs w:val="24"/>
              </w:rPr>
            </w:pPr>
            <w:r w:rsidRPr="00B17255">
              <w:rPr>
                <w:sz w:val="24"/>
                <w:szCs w:val="24"/>
              </w:rPr>
              <w:t>1</w:t>
            </w:r>
          </w:p>
        </w:tc>
      </w:tr>
    </w:tbl>
    <w:p w14:paraId="434D21DA" w14:textId="77777777" w:rsidR="00B17255" w:rsidRDefault="00B17255" w:rsidP="00C07CC3">
      <w:pPr>
        <w:pStyle w:val="Heading1"/>
      </w:pPr>
    </w:p>
    <w:p w14:paraId="01187227" w14:textId="77777777" w:rsidR="00C116FD" w:rsidRDefault="00C116FD">
      <w:pPr>
        <w:rPr>
          <w:rFonts w:eastAsia="Calibri"/>
          <w:b/>
          <w:bCs/>
          <w:color w:val="000000" w:themeColor="text1"/>
          <w:sz w:val="24"/>
          <w:szCs w:val="24"/>
        </w:rPr>
      </w:pPr>
      <w:r>
        <w:br w:type="page"/>
      </w:r>
    </w:p>
    <w:p w14:paraId="21E0005C" w14:textId="77777777" w:rsidR="00463A9F" w:rsidRDefault="00B17255" w:rsidP="00C116FD">
      <w:pPr>
        <w:pStyle w:val="Heading2"/>
      </w:pPr>
      <w:bookmarkStart w:id="29" w:name="_Toc235899877"/>
      <w:r>
        <w:lastRenderedPageBreak/>
        <w:t xml:space="preserve">Appendix 2: </w:t>
      </w:r>
      <w:r w:rsidR="002E54BA">
        <w:t>I</w:t>
      </w:r>
      <w:r w:rsidR="002E54BA" w:rsidRPr="002E54BA">
        <w:t>nvestment appraisal calculations</w:t>
      </w:r>
      <w:bookmarkEnd w:id="29"/>
    </w:p>
    <w:tbl>
      <w:tblPr>
        <w:tblW w:w="10080" w:type="dxa"/>
        <w:tblInd w:w="93" w:type="dxa"/>
        <w:tblLook w:val="04A0" w:firstRow="1" w:lastRow="0" w:firstColumn="1" w:lastColumn="0" w:noHBand="0" w:noVBand="1"/>
      </w:tblPr>
      <w:tblGrid>
        <w:gridCol w:w="2520"/>
        <w:gridCol w:w="440"/>
        <w:gridCol w:w="820"/>
        <w:gridCol w:w="1260"/>
        <w:gridCol w:w="1093"/>
        <w:gridCol w:w="167"/>
        <w:gridCol w:w="1193"/>
        <w:gridCol w:w="67"/>
        <w:gridCol w:w="1260"/>
        <w:gridCol w:w="33"/>
        <w:gridCol w:w="1227"/>
      </w:tblGrid>
      <w:tr w:rsidR="00B17255" w:rsidRPr="00B17255" w14:paraId="38A07171" w14:textId="77777777" w:rsidTr="00B17255">
        <w:trPr>
          <w:gridAfter w:val="1"/>
          <w:wAfter w:w="1227" w:type="dxa"/>
          <w:trHeight w:val="300"/>
        </w:trPr>
        <w:tc>
          <w:tcPr>
            <w:tcW w:w="2960" w:type="dxa"/>
            <w:gridSpan w:val="2"/>
            <w:tcBorders>
              <w:top w:val="single" w:sz="4" w:space="0" w:color="auto"/>
              <w:left w:val="single" w:sz="4" w:space="0" w:color="auto"/>
              <w:bottom w:val="single" w:sz="4" w:space="0" w:color="auto"/>
              <w:right w:val="single" w:sz="4" w:space="0" w:color="auto"/>
            </w:tcBorders>
            <w:noWrap/>
            <w:vAlign w:val="center"/>
            <w:hideMark/>
          </w:tcPr>
          <w:p w14:paraId="297A9A1F" w14:textId="77777777" w:rsidR="00B17255" w:rsidRPr="00B17255" w:rsidRDefault="00B17255" w:rsidP="00B17255">
            <w:pPr>
              <w:spacing w:line="360" w:lineRule="auto"/>
              <w:jc w:val="center"/>
              <w:rPr>
                <w:sz w:val="24"/>
                <w:szCs w:val="24"/>
              </w:rPr>
            </w:pPr>
            <w:r w:rsidRPr="00B17255">
              <w:rPr>
                <w:sz w:val="24"/>
                <w:szCs w:val="24"/>
              </w:rPr>
              <w:t>Discount Rate</w:t>
            </w:r>
          </w:p>
        </w:tc>
        <w:tc>
          <w:tcPr>
            <w:tcW w:w="3173" w:type="dxa"/>
            <w:gridSpan w:val="3"/>
            <w:tcBorders>
              <w:top w:val="single" w:sz="4" w:space="0" w:color="auto"/>
              <w:left w:val="nil"/>
              <w:bottom w:val="single" w:sz="4" w:space="0" w:color="auto"/>
              <w:right w:val="single" w:sz="4" w:space="0" w:color="auto"/>
            </w:tcBorders>
            <w:noWrap/>
            <w:vAlign w:val="center"/>
            <w:hideMark/>
          </w:tcPr>
          <w:p w14:paraId="5F776E4A" w14:textId="77777777" w:rsidR="00B17255" w:rsidRPr="00B17255" w:rsidRDefault="00B17255" w:rsidP="00B17255">
            <w:pPr>
              <w:spacing w:line="360" w:lineRule="auto"/>
              <w:jc w:val="center"/>
              <w:rPr>
                <w:sz w:val="24"/>
                <w:szCs w:val="24"/>
              </w:rPr>
            </w:pPr>
            <w:r w:rsidRPr="00B17255">
              <w:rPr>
                <w:sz w:val="24"/>
                <w:szCs w:val="24"/>
              </w:rPr>
              <w:t>8%</w:t>
            </w:r>
          </w:p>
        </w:tc>
        <w:tc>
          <w:tcPr>
            <w:tcW w:w="1360" w:type="dxa"/>
            <w:gridSpan w:val="2"/>
            <w:tcBorders>
              <w:top w:val="nil"/>
              <w:left w:val="nil"/>
              <w:bottom w:val="nil"/>
              <w:right w:val="nil"/>
            </w:tcBorders>
            <w:noWrap/>
            <w:vAlign w:val="bottom"/>
            <w:hideMark/>
          </w:tcPr>
          <w:p w14:paraId="03CEF8F9" w14:textId="77777777" w:rsidR="00B17255" w:rsidRPr="00B17255" w:rsidRDefault="00B17255" w:rsidP="00B17255">
            <w:pPr>
              <w:spacing w:line="360" w:lineRule="auto"/>
              <w:jc w:val="center"/>
              <w:rPr>
                <w:color w:val="000000"/>
                <w:sz w:val="24"/>
                <w:szCs w:val="24"/>
              </w:rPr>
            </w:pPr>
          </w:p>
        </w:tc>
        <w:tc>
          <w:tcPr>
            <w:tcW w:w="1360" w:type="dxa"/>
            <w:gridSpan w:val="3"/>
            <w:tcBorders>
              <w:top w:val="nil"/>
              <w:left w:val="nil"/>
              <w:bottom w:val="nil"/>
              <w:right w:val="nil"/>
            </w:tcBorders>
            <w:noWrap/>
            <w:vAlign w:val="bottom"/>
            <w:hideMark/>
          </w:tcPr>
          <w:p w14:paraId="3632096D" w14:textId="77777777" w:rsidR="00B17255" w:rsidRPr="00B17255" w:rsidRDefault="00B17255" w:rsidP="00B17255">
            <w:pPr>
              <w:spacing w:line="360" w:lineRule="auto"/>
              <w:jc w:val="center"/>
              <w:rPr>
                <w:color w:val="000000"/>
                <w:sz w:val="24"/>
                <w:szCs w:val="24"/>
              </w:rPr>
            </w:pPr>
          </w:p>
        </w:tc>
      </w:tr>
      <w:tr w:rsidR="00B17255" w:rsidRPr="00B17255" w14:paraId="51D5F653"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7E2CC387" w14:textId="77777777" w:rsidR="00B17255" w:rsidRPr="00B17255" w:rsidRDefault="00B17255" w:rsidP="00B17255">
            <w:pPr>
              <w:spacing w:line="360" w:lineRule="auto"/>
              <w:jc w:val="center"/>
              <w:rPr>
                <w:sz w:val="24"/>
                <w:szCs w:val="24"/>
              </w:rPr>
            </w:pPr>
            <w:r w:rsidRPr="00B17255">
              <w:rPr>
                <w:sz w:val="24"/>
                <w:szCs w:val="24"/>
              </w:rPr>
              <w:t>Project Life (years)</w:t>
            </w:r>
          </w:p>
        </w:tc>
        <w:tc>
          <w:tcPr>
            <w:tcW w:w="3173" w:type="dxa"/>
            <w:gridSpan w:val="3"/>
            <w:tcBorders>
              <w:top w:val="nil"/>
              <w:left w:val="nil"/>
              <w:bottom w:val="single" w:sz="4" w:space="0" w:color="auto"/>
              <w:right w:val="single" w:sz="4" w:space="0" w:color="auto"/>
            </w:tcBorders>
            <w:noWrap/>
            <w:vAlign w:val="center"/>
            <w:hideMark/>
          </w:tcPr>
          <w:p w14:paraId="16561D30" w14:textId="77777777" w:rsidR="00B17255" w:rsidRPr="00B17255" w:rsidRDefault="00B17255" w:rsidP="00B17255">
            <w:pPr>
              <w:spacing w:line="360" w:lineRule="auto"/>
              <w:jc w:val="center"/>
              <w:rPr>
                <w:sz w:val="24"/>
                <w:szCs w:val="24"/>
              </w:rPr>
            </w:pPr>
            <w:r w:rsidRPr="00B17255">
              <w:rPr>
                <w:sz w:val="24"/>
                <w:szCs w:val="24"/>
              </w:rPr>
              <w:t>5</w:t>
            </w:r>
          </w:p>
        </w:tc>
        <w:tc>
          <w:tcPr>
            <w:tcW w:w="1360" w:type="dxa"/>
            <w:gridSpan w:val="2"/>
            <w:tcBorders>
              <w:top w:val="nil"/>
              <w:left w:val="nil"/>
              <w:bottom w:val="nil"/>
              <w:right w:val="nil"/>
            </w:tcBorders>
            <w:noWrap/>
            <w:vAlign w:val="bottom"/>
            <w:hideMark/>
          </w:tcPr>
          <w:p w14:paraId="00AA79C2" w14:textId="77777777" w:rsidR="00B17255" w:rsidRPr="00B17255" w:rsidRDefault="00B17255" w:rsidP="00B17255">
            <w:pPr>
              <w:spacing w:line="360" w:lineRule="auto"/>
              <w:jc w:val="center"/>
              <w:rPr>
                <w:color w:val="000000"/>
                <w:sz w:val="24"/>
                <w:szCs w:val="24"/>
              </w:rPr>
            </w:pPr>
          </w:p>
        </w:tc>
        <w:tc>
          <w:tcPr>
            <w:tcW w:w="1360" w:type="dxa"/>
            <w:gridSpan w:val="3"/>
            <w:tcBorders>
              <w:top w:val="nil"/>
              <w:left w:val="nil"/>
              <w:bottom w:val="nil"/>
              <w:right w:val="nil"/>
            </w:tcBorders>
            <w:noWrap/>
            <w:vAlign w:val="bottom"/>
            <w:hideMark/>
          </w:tcPr>
          <w:p w14:paraId="270DA73F" w14:textId="77777777" w:rsidR="00B17255" w:rsidRPr="00B17255" w:rsidRDefault="00B17255" w:rsidP="00B17255">
            <w:pPr>
              <w:spacing w:line="360" w:lineRule="auto"/>
              <w:jc w:val="center"/>
              <w:rPr>
                <w:color w:val="000000"/>
                <w:sz w:val="24"/>
                <w:szCs w:val="24"/>
              </w:rPr>
            </w:pPr>
          </w:p>
        </w:tc>
      </w:tr>
      <w:tr w:rsidR="00B17255" w:rsidRPr="00B17255" w14:paraId="7A50FC5C"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1857BCB6" w14:textId="77777777" w:rsidR="00B17255" w:rsidRPr="00B17255" w:rsidRDefault="00B17255" w:rsidP="00B17255">
            <w:pPr>
              <w:spacing w:line="360" w:lineRule="auto"/>
              <w:jc w:val="center"/>
              <w:rPr>
                <w:sz w:val="24"/>
                <w:szCs w:val="24"/>
              </w:rPr>
            </w:pPr>
            <w:r w:rsidRPr="00B17255">
              <w:rPr>
                <w:sz w:val="24"/>
                <w:szCs w:val="24"/>
              </w:rPr>
              <w:t>Depreciation Method</w:t>
            </w:r>
          </w:p>
        </w:tc>
        <w:tc>
          <w:tcPr>
            <w:tcW w:w="3173" w:type="dxa"/>
            <w:gridSpan w:val="3"/>
            <w:tcBorders>
              <w:top w:val="nil"/>
              <w:left w:val="nil"/>
              <w:bottom w:val="single" w:sz="4" w:space="0" w:color="auto"/>
              <w:right w:val="single" w:sz="4" w:space="0" w:color="auto"/>
            </w:tcBorders>
            <w:noWrap/>
            <w:vAlign w:val="center"/>
            <w:hideMark/>
          </w:tcPr>
          <w:p w14:paraId="78EF5925" w14:textId="77777777" w:rsidR="00B17255" w:rsidRPr="00B17255" w:rsidRDefault="00B17255" w:rsidP="00B17255">
            <w:pPr>
              <w:spacing w:line="360" w:lineRule="auto"/>
              <w:jc w:val="center"/>
              <w:rPr>
                <w:sz w:val="24"/>
                <w:szCs w:val="24"/>
              </w:rPr>
            </w:pPr>
            <w:r w:rsidRPr="00B17255">
              <w:rPr>
                <w:sz w:val="24"/>
                <w:szCs w:val="24"/>
              </w:rPr>
              <w:t>Straight-line to £0 residual value</w:t>
            </w:r>
          </w:p>
        </w:tc>
        <w:tc>
          <w:tcPr>
            <w:tcW w:w="1360" w:type="dxa"/>
            <w:gridSpan w:val="2"/>
            <w:tcBorders>
              <w:top w:val="nil"/>
              <w:left w:val="nil"/>
              <w:bottom w:val="nil"/>
              <w:right w:val="nil"/>
            </w:tcBorders>
            <w:noWrap/>
            <w:vAlign w:val="bottom"/>
            <w:hideMark/>
          </w:tcPr>
          <w:p w14:paraId="113BE824" w14:textId="77777777" w:rsidR="00B17255" w:rsidRPr="00B17255" w:rsidRDefault="00B17255" w:rsidP="00B17255">
            <w:pPr>
              <w:spacing w:line="360" w:lineRule="auto"/>
              <w:jc w:val="center"/>
              <w:rPr>
                <w:color w:val="000000"/>
                <w:sz w:val="24"/>
                <w:szCs w:val="24"/>
              </w:rPr>
            </w:pPr>
          </w:p>
        </w:tc>
        <w:tc>
          <w:tcPr>
            <w:tcW w:w="1360" w:type="dxa"/>
            <w:gridSpan w:val="3"/>
            <w:tcBorders>
              <w:top w:val="nil"/>
              <w:left w:val="nil"/>
              <w:bottom w:val="nil"/>
              <w:right w:val="nil"/>
            </w:tcBorders>
            <w:noWrap/>
            <w:vAlign w:val="bottom"/>
            <w:hideMark/>
          </w:tcPr>
          <w:p w14:paraId="42455EC1" w14:textId="77777777" w:rsidR="00B17255" w:rsidRPr="00B17255" w:rsidRDefault="00B17255" w:rsidP="00B17255">
            <w:pPr>
              <w:spacing w:line="360" w:lineRule="auto"/>
              <w:jc w:val="center"/>
              <w:rPr>
                <w:color w:val="000000"/>
                <w:sz w:val="24"/>
                <w:szCs w:val="24"/>
              </w:rPr>
            </w:pPr>
          </w:p>
        </w:tc>
      </w:tr>
      <w:tr w:rsidR="00B17255" w:rsidRPr="00B17255" w14:paraId="4E2D229C" w14:textId="77777777" w:rsidTr="00B17255">
        <w:trPr>
          <w:gridAfter w:val="1"/>
          <w:wAfter w:w="1227" w:type="dxa"/>
          <w:trHeight w:val="300"/>
        </w:trPr>
        <w:tc>
          <w:tcPr>
            <w:tcW w:w="2960" w:type="dxa"/>
            <w:gridSpan w:val="2"/>
            <w:tcBorders>
              <w:top w:val="nil"/>
              <w:left w:val="nil"/>
              <w:bottom w:val="nil"/>
              <w:right w:val="nil"/>
            </w:tcBorders>
            <w:noWrap/>
            <w:vAlign w:val="bottom"/>
            <w:hideMark/>
          </w:tcPr>
          <w:p w14:paraId="0FEE44FE" w14:textId="77777777" w:rsidR="00B17255" w:rsidRPr="00B17255" w:rsidRDefault="00B17255" w:rsidP="00B17255">
            <w:pPr>
              <w:spacing w:line="360" w:lineRule="auto"/>
              <w:jc w:val="center"/>
              <w:rPr>
                <w:color w:val="000000"/>
                <w:sz w:val="24"/>
                <w:szCs w:val="24"/>
              </w:rPr>
            </w:pPr>
          </w:p>
        </w:tc>
        <w:tc>
          <w:tcPr>
            <w:tcW w:w="3173" w:type="dxa"/>
            <w:gridSpan w:val="3"/>
            <w:tcBorders>
              <w:top w:val="nil"/>
              <w:left w:val="nil"/>
              <w:bottom w:val="nil"/>
              <w:right w:val="nil"/>
            </w:tcBorders>
            <w:noWrap/>
            <w:vAlign w:val="bottom"/>
            <w:hideMark/>
          </w:tcPr>
          <w:p w14:paraId="42D98995" w14:textId="77777777" w:rsidR="00B17255" w:rsidRPr="00B17255" w:rsidRDefault="00B17255" w:rsidP="00B17255">
            <w:pPr>
              <w:spacing w:line="360" w:lineRule="auto"/>
              <w:jc w:val="center"/>
              <w:rPr>
                <w:color w:val="000000"/>
                <w:sz w:val="24"/>
                <w:szCs w:val="24"/>
              </w:rPr>
            </w:pPr>
          </w:p>
        </w:tc>
        <w:tc>
          <w:tcPr>
            <w:tcW w:w="1360" w:type="dxa"/>
            <w:gridSpan w:val="2"/>
            <w:tcBorders>
              <w:top w:val="nil"/>
              <w:left w:val="nil"/>
              <w:bottom w:val="nil"/>
              <w:right w:val="nil"/>
            </w:tcBorders>
            <w:noWrap/>
            <w:vAlign w:val="bottom"/>
            <w:hideMark/>
          </w:tcPr>
          <w:p w14:paraId="2E7FF3A5" w14:textId="77777777" w:rsidR="00B17255" w:rsidRPr="00B17255" w:rsidRDefault="00B17255" w:rsidP="00B17255">
            <w:pPr>
              <w:spacing w:line="360" w:lineRule="auto"/>
              <w:jc w:val="center"/>
              <w:rPr>
                <w:color w:val="000000"/>
                <w:sz w:val="24"/>
                <w:szCs w:val="24"/>
              </w:rPr>
            </w:pPr>
          </w:p>
        </w:tc>
        <w:tc>
          <w:tcPr>
            <w:tcW w:w="1360" w:type="dxa"/>
            <w:gridSpan w:val="3"/>
            <w:tcBorders>
              <w:top w:val="nil"/>
              <w:left w:val="nil"/>
              <w:bottom w:val="nil"/>
              <w:right w:val="nil"/>
            </w:tcBorders>
            <w:noWrap/>
            <w:vAlign w:val="bottom"/>
            <w:hideMark/>
          </w:tcPr>
          <w:p w14:paraId="7DB2C499" w14:textId="77777777" w:rsidR="00B17255" w:rsidRPr="00B17255" w:rsidRDefault="00B17255" w:rsidP="00B17255">
            <w:pPr>
              <w:spacing w:line="360" w:lineRule="auto"/>
              <w:jc w:val="center"/>
              <w:rPr>
                <w:color w:val="000000"/>
                <w:sz w:val="24"/>
                <w:szCs w:val="24"/>
              </w:rPr>
            </w:pPr>
          </w:p>
        </w:tc>
      </w:tr>
      <w:tr w:rsidR="00B17255" w:rsidRPr="00B17255" w14:paraId="0B3866CD" w14:textId="77777777" w:rsidTr="00B17255">
        <w:trPr>
          <w:gridAfter w:val="1"/>
          <w:wAfter w:w="1227" w:type="dxa"/>
          <w:trHeight w:val="300"/>
        </w:trPr>
        <w:tc>
          <w:tcPr>
            <w:tcW w:w="2960" w:type="dxa"/>
            <w:gridSpan w:val="2"/>
            <w:tcBorders>
              <w:top w:val="single" w:sz="4" w:space="0" w:color="auto"/>
              <w:left w:val="single" w:sz="4" w:space="0" w:color="auto"/>
              <w:bottom w:val="single" w:sz="4" w:space="0" w:color="auto"/>
              <w:right w:val="single" w:sz="4" w:space="0" w:color="auto"/>
            </w:tcBorders>
            <w:vAlign w:val="center"/>
            <w:hideMark/>
          </w:tcPr>
          <w:p w14:paraId="34958C6B" w14:textId="77777777" w:rsidR="00B17255" w:rsidRPr="00B17255" w:rsidRDefault="00B17255" w:rsidP="00B17255">
            <w:pPr>
              <w:spacing w:line="360" w:lineRule="auto"/>
              <w:jc w:val="center"/>
              <w:rPr>
                <w:b/>
                <w:bCs/>
                <w:sz w:val="24"/>
                <w:szCs w:val="24"/>
              </w:rPr>
            </w:pPr>
            <w:r w:rsidRPr="00B17255">
              <w:rPr>
                <w:b/>
                <w:bCs/>
                <w:sz w:val="24"/>
                <w:szCs w:val="24"/>
              </w:rPr>
              <w:t>Year</w:t>
            </w:r>
          </w:p>
        </w:tc>
        <w:tc>
          <w:tcPr>
            <w:tcW w:w="3173" w:type="dxa"/>
            <w:gridSpan w:val="3"/>
            <w:tcBorders>
              <w:top w:val="single" w:sz="4" w:space="0" w:color="auto"/>
              <w:left w:val="nil"/>
              <w:bottom w:val="single" w:sz="4" w:space="0" w:color="auto"/>
              <w:right w:val="single" w:sz="4" w:space="0" w:color="auto"/>
            </w:tcBorders>
            <w:vAlign w:val="center"/>
            <w:hideMark/>
          </w:tcPr>
          <w:p w14:paraId="6838C53A"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360" w:type="dxa"/>
            <w:gridSpan w:val="2"/>
            <w:tcBorders>
              <w:top w:val="single" w:sz="4" w:space="0" w:color="auto"/>
              <w:left w:val="nil"/>
              <w:bottom w:val="single" w:sz="4" w:space="0" w:color="auto"/>
              <w:right w:val="single" w:sz="4" w:space="0" w:color="auto"/>
            </w:tcBorders>
            <w:vAlign w:val="center"/>
            <w:hideMark/>
          </w:tcPr>
          <w:p w14:paraId="64F33289"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360" w:type="dxa"/>
            <w:gridSpan w:val="3"/>
            <w:tcBorders>
              <w:top w:val="single" w:sz="4" w:space="0" w:color="auto"/>
              <w:left w:val="nil"/>
              <w:bottom w:val="single" w:sz="4" w:space="0" w:color="auto"/>
              <w:right w:val="single" w:sz="4" w:space="0" w:color="auto"/>
            </w:tcBorders>
            <w:vAlign w:val="center"/>
            <w:hideMark/>
          </w:tcPr>
          <w:p w14:paraId="60E6A442" w14:textId="77777777" w:rsidR="00B17255" w:rsidRPr="00B17255" w:rsidRDefault="00B17255" w:rsidP="00B17255">
            <w:pPr>
              <w:spacing w:line="360" w:lineRule="auto"/>
              <w:jc w:val="center"/>
              <w:rPr>
                <w:b/>
                <w:bCs/>
                <w:sz w:val="24"/>
                <w:szCs w:val="24"/>
              </w:rPr>
            </w:pPr>
            <w:r w:rsidRPr="00B17255">
              <w:rPr>
                <w:b/>
                <w:bCs/>
                <w:sz w:val="24"/>
                <w:szCs w:val="24"/>
              </w:rPr>
              <w:t>Project C</w:t>
            </w:r>
          </w:p>
        </w:tc>
      </w:tr>
      <w:tr w:rsidR="00B17255" w:rsidRPr="00B17255" w14:paraId="797C5D4B"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0DCC6C64" w14:textId="77777777" w:rsidR="00B17255" w:rsidRPr="00B17255" w:rsidRDefault="00B17255" w:rsidP="00B17255">
            <w:pPr>
              <w:spacing w:line="360" w:lineRule="auto"/>
              <w:jc w:val="center"/>
              <w:rPr>
                <w:sz w:val="24"/>
                <w:szCs w:val="24"/>
              </w:rPr>
            </w:pPr>
            <w:r w:rsidRPr="00B17255">
              <w:rPr>
                <w:sz w:val="24"/>
                <w:szCs w:val="24"/>
              </w:rPr>
              <w:t>Initial Investment (Year 0)</w:t>
            </w:r>
          </w:p>
        </w:tc>
        <w:tc>
          <w:tcPr>
            <w:tcW w:w="3173" w:type="dxa"/>
            <w:gridSpan w:val="3"/>
            <w:tcBorders>
              <w:top w:val="nil"/>
              <w:left w:val="nil"/>
              <w:bottom w:val="single" w:sz="4" w:space="0" w:color="auto"/>
              <w:right w:val="single" w:sz="4" w:space="0" w:color="auto"/>
            </w:tcBorders>
            <w:noWrap/>
            <w:vAlign w:val="center"/>
            <w:hideMark/>
          </w:tcPr>
          <w:p w14:paraId="7666E85B" w14:textId="77777777" w:rsidR="00B17255" w:rsidRPr="00B17255" w:rsidRDefault="00B17255" w:rsidP="00B17255">
            <w:pPr>
              <w:spacing w:line="360" w:lineRule="auto"/>
              <w:jc w:val="center"/>
              <w:rPr>
                <w:sz w:val="24"/>
                <w:szCs w:val="24"/>
              </w:rPr>
            </w:pPr>
            <w:r w:rsidRPr="00B17255">
              <w:rPr>
                <w:sz w:val="24"/>
                <w:szCs w:val="24"/>
              </w:rPr>
              <w:t>(50.0)</w:t>
            </w:r>
          </w:p>
        </w:tc>
        <w:tc>
          <w:tcPr>
            <w:tcW w:w="1360" w:type="dxa"/>
            <w:gridSpan w:val="2"/>
            <w:tcBorders>
              <w:top w:val="nil"/>
              <w:left w:val="nil"/>
              <w:bottom w:val="single" w:sz="4" w:space="0" w:color="auto"/>
              <w:right w:val="single" w:sz="4" w:space="0" w:color="auto"/>
            </w:tcBorders>
            <w:noWrap/>
            <w:vAlign w:val="center"/>
            <w:hideMark/>
          </w:tcPr>
          <w:p w14:paraId="64ECD574" w14:textId="77777777" w:rsidR="00B17255" w:rsidRPr="00B17255" w:rsidRDefault="00B17255" w:rsidP="00B17255">
            <w:pPr>
              <w:spacing w:line="360" w:lineRule="auto"/>
              <w:jc w:val="center"/>
              <w:rPr>
                <w:sz w:val="24"/>
                <w:szCs w:val="24"/>
              </w:rPr>
            </w:pPr>
            <w:r w:rsidRPr="00B17255">
              <w:rPr>
                <w:sz w:val="24"/>
                <w:szCs w:val="24"/>
              </w:rPr>
              <w:t>(50.0)</w:t>
            </w:r>
          </w:p>
        </w:tc>
        <w:tc>
          <w:tcPr>
            <w:tcW w:w="1360" w:type="dxa"/>
            <w:gridSpan w:val="3"/>
            <w:tcBorders>
              <w:top w:val="nil"/>
              <w:left w:val="nil"/>
              <w:bottom w:val="single" w:sz="4" w:space="0" w:color="auto"/>
              <w:right w:val="single" w:sz="4" w:space="0" w:color="auto"/>
            </w:tcBorders>
            <w:noWrap/>
            <w:vAlign w:val="center"/>
            <w:hideMark/>
          </w:tcPr>
          <w:p w14:paraId="6CC5C0A5" w14:textId="77777777" w:rsidR="00B17255" w:rsidRPr="00B17255" w:rsidRDefault="00B17255" w:rsidP="00B17255">
            <w:pPr>
              <w:spacing w:line="360" w:lineRule="auto"/>
              <w:jc w:val="center"/>
              <w:rPr>
                <w:sz w:val="24"/>
                <w:szCs w:val="24"/>
              </w:rPr>
            </w:pPr>
            <w:r w:rsidRPr="00B17255">
              <w:rPr>
                <w:sz w:val="24"/>
                <w:szCs w:val="24"/>
              </w:rPr>
              <w:t>(50.0)</w:t>
            </w:r>
          </w:p>
        </w:tc>
      </w:tr>
      <w:tr w:rsidR="00B17255" w:rsidRPr="00B17255" w14:paraId="58359538"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3314010E" w14:textId="77777777" w:rsidR="00B17255" w:rsidRPr="00B17255" w:rsidRDefault="00B17255" w:rsidP="00B17255">
            <w:pPr>
              <w:spacing w:line="360" w:lineRule="auto"/>
              <w:jc w:val="center"/>
              <w:rPr>
                <w:sz w:val="24"/>
                <w:szCs w:val="24"/>
              </w:rPr>
            </w:pPr>
            <w:r w:rsidRPr="00B17255">
              <w:rPr>
                <w:sz w:val="24"/>
                <w:szCs w:val="24"/>
              </w:rPr>
              <w:t>Year 1</w:t>
            </w:r>
          </w:p>
        </w:tc>
        <w:tc>
          <w:tcPr>
            <w:tcW w:w="3173" w:type="dxa"/>
            <w:gridSpan w:val="3"/>
            <w:tcBorders>
              <w:top w:val="nil"/>
              <w:left w:val="nil"/>
              <w:bottom w:val="single" w:sz="4" w:space="0" w:color="auto"/>
              <w:right w:val="single" w:sz="4" w:space="0" w:color="auto"/>
            </w:tcBorders>
            <w:noWrap/>
            <w:vAlign w:val="center"/>
            <w:hideMark/>
          </w:tcPr>
          <w:p w14:paraId="217944D6" w14:textId="77777777" w:rsidR="00B17255" w:rsidRPr="00B17255" w:rsidRDefault="00B17255" w:rsidP="00B17255">
            <w:pPr>
              <w:spacing w:line="360" w:lineRule="auto"/>
              <w:jc w:val="center"/>
              <w:rPr>
                <w:sz w:val="24"/>
                <w:szCs w:val="24"/>
              </w:rPr>
            </w:pPr>
            <w:r w:rsidRPr="00B17255">
              <w:rPr>
                <w:sz w:val="24"/>
                <w:szCs w:val="24"/>
              </w:rPr>
              <w:t>10.0</w:t>
            </w:r>
          </w:p>
        </w:tc>
        <w:tc>
          <w:tcPr>
            <w:tcW w:w="1360" w:type="dxa"/>
            <w:gridSpan w:val="2"/>
            <w:tcBorders>
              <w:top w:val="nil"/>
              <w:left w:val="nil"/>
              <w:bottom w:val="single" w:sz="4" w:space="0" w:color="auto"/>
              <w:right w:val="single" w:sz="4" w:space="0" w:color="auto"/>
            </w:tcBorders>
            <w:noWrap/>
            <w:vAlign w:val="center"/>
            <w:hideMark/>
          </w:tcPr>
          <w:p w14:paraId="44529BE9"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gridSpan w:val="3"/>
            <w:tcBorders>
              <w:top w:val="nil"/>
              <w:left w:val="nil"/>
              <w:bottom w:val="single" w:sz="4" w:space="0" w:color="auto"/>
              <w:right w:val="single" w:sz="4" w:space="0" w:color="auto"/>
            </w:tcBorders>
            <w:noWrap/>
            <w:vAlign w:val="center"/>
            <w:hideMark/>
          </w:tcPr>
          <w:p w14:paraId="30340F24" w14:textId="77777777" w:rsidR="00B17255" w:rsidRPr="00B17255" w:rsidRDefault="00B17255" w:rsidP="00B17255">
            <w:pPr>
              <w:spacing w:line="360" w:lineRule="auto"/>
              <w:jc w:val="center"/>
              <w:rPr>
                <w:sz w:val="24"/>
                <w:szCs w:val="24"/>
              </w:rPr>
            </w:pPr>
            <w:r w:rsidRPr="00B17255">
              <w:rPr>
                <w:sz w:val="24"/>
                <w:szCs w:val="24"/>
              </w:rPr>
              <w:t>5.0</w:t>
            </w:r>
          </w:p>
        </w:tc>
      </w:tr>
      <w:tr w:rsidR="00B17255" w:rsidRPr="00B17255" w14:paraId="3D762666"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1AAA6794" w14:textId="77777777" w:rsidR="00B17255" w:rsidRPr="00B17255" w:rsidRDefault="00B17255" w:rsidP="00B17255">
            <w:pPr>
              <w:spacing w:line="360" w:lineRule="auto"/>
              <w:jc w:val="center"/>
              <w:rPr>
                <w:sz w:val="24"/>
                <w:szCs w:val="24"/>
              </w:rPr>
            </w:pPr>
            <w:r w:rsidRPr="00B17255">
              <w:rPr>
                <w:sz w:val="24"/>
                <w:szCs w:val="24"/>
              </w:rPr>
              <w:t>Year 2</w:t>
            </w:r>
          </w:p>
        </w:tc>
        <w:tc>
          <w:tcPr>
            <w:tcW w:w="3173" w:type="dxa"/>
            <w:gridSpan w:val="3"/>
            <w:tcBorders>
              <w:top w:val="nil"/>
              <w:left w:val="nil"/>
              <w:bottom w:val="single" w:sz="4" w:space="0" w:color="auto"/>
              <w:right w:val="single" w:sz="4" w:space="0" w:color="auto"/>
            </w:tcBorders>
            <w:noWrap/>
            <w:vAlign w:val="center"/>
            <w:hideMark/>
          </w:tcPr>
          <w:p w14:paraId="16545144" w14:textId="77777777" w:rsidR="00B17255" w:rsidRPr="00B17255" w:rsidRDefault="00B17255" w:rsidP="00B17255">
            <w:pPr>
              <w:spacing w:line="360" w:lineRule="auto"/>
              <w:jc w:val="center"/>
              <w:rPr>
                <w:sz w:val="24"/>
                <w:szCs w:val="24"/>
              </w:rPr>
            </w:pPr>
            <w:r w:rsidRPr="00B17255">
              <w:rPr>
                <w:sz w:val="24"/>
                <w:szCs w:val="24"/>
              </w:rPr>
              <w:t>12.0</w:t>
            </w:r>
          </w:p>
        </w:tc>
        <w:tc>
          <w:tcPr>
            <w:tcW w:w="1360" w:type="dxa"/>
            <w:gridSpan w:val="2"/>
            <w:tcBorders>
              <w:top w:val="nil"/>
              <w:left w:val="nil"/>
              <w:bottom w:val="single" w:sz="4" w:space="0" w:color="auto"/>
              <w:right w:val="single" w:sz="4" w:space="0" w:color="auto"/>
            </w:tcBorders>
            <w:noWrap/>
            <w:vAlign w:val="center"/>
            <w:hideMark/>
          </w:tcPr>
          <w:p w14:paraId="3BBE4F88"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gridSpan w:val="3"/>
            <w:tcBorders>
              <w:top w:val="nil"/>
              <w:left w:val="nil"/>
              <w:bottom w:val="single" w:sz="4" w:space="0" w:color="auto"/>
              <w:right w:val="single" w:sz="4" w:space="0" w:color="auto"/>
            </w:tcBorders>
            <w:noWrap/>
            <w:vAlign w:val="center"/>
            <w:hideMark/>
          </w:tcPr>
          <w:p w14:paraId="0EFDE63B" w14:textId="77777777" w:rsidR="00B17255" w:rsidRPr="00B17255" w:rsidRDefault="00B17255" w:rsidP="00B17255">
            <w:pPr>
              <w:spacing w:line="360" w:lineRule="auto"/>
              <w:jc w:val="center"/>
              <w:rPr>
                <w:sz w:val="24"/>
                <w:szCs w:val="24"/>
              </w:rPr>
            </w:pPr>
            <w:r w:rsidRPr="00B17255">
              <w:rPr>
                <w:sz w:val="24"/>
                <w:szCs w:val="24"/>
              </w:rPr>
              <w:t>10.0</w:t>
            </w:r>
          </w:p>
        </w:tc>
      </w:tr>
      <w:tr w:rsidR="00B17255" w:rsidRPr="00B17255" w14:paraId="6B8A75A1"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78ABDD09" w14:textId="77777777" w:rsidR="00B17255" w:rsidRPr="00B17255" w:rsidRDefault="00B17255" w:rsidP="00B17255">
            <w:pPr>
              <w:spacing w:line="360" w:lineRule="auto"/>
              <w:jc w:val="center"/>
              <w:rPr>
                <w:sz w:val="24"/>
                <w:szCs w:val="24"/>
              </w:rPr>
            </w:pPr>
            <w:r w:rsidRPr="00B17255">
              <w:rPr>
                <w:sz w:val="24"/>
                <w:szCs w:val="24"/>
              </w:rPr>
              <w:t>Year 3</w:t>
            </w:r>
          </w:p>
        </w:tc>
        <w:tc>
          <w:tcPr>
            <w:tcW w:w="3173" w:type="dxa"/>
            <w:gridSpan w:val="3"/>
            <w:tcBorders>
              <w:top w:val="nil"/>
              <w:left w:val="nil"/>
              <w:bottom w:val="single" w:sz="4" w:space="0" w:color="auto"/>
              <w:right w:val="single" w:sz="4" w:space="0" w:color="auto"/>
            </w:tcBorders>
            <w:noWrap/>
            <w:vAlign w:val="center"/>
            <w:hideMark/>
          </w:tcPr>
          <w:p w14:paraId="744B9522" w14:textId="77777777" w:rsidR="00B17255" w:rsidRPr="00B17255" w:rsidRDefault="00B17255" w:rsidP="00B17255">
            <w:pPr>
              <w:spacing w:line="360" w:lineRule="auto"/>
              <w:jc w:val="center"/>
              <w:rPr>
                <w:sz w:val="24"/>
                <w:szCs w:val="24"/>
              </w:rPr>
            </w:pPr>
            <w:r w:rsidRPr="00B17255">
              <w:rPr>
                <w:sz w:val="24"/>
                <w:szCs w:val="24"/>
              </w:rPr>
              <w:t>14.0</w:t>
            </w:r>
          </w:p>
        </w:tc>
        <w:tc>
          <w:tcPr>
            <w:tcW w:w="1360" w:type="dxa"/>
            <w:gridSpan w:val="2"/>
            <w:tcBorders>
              <w:top w:val="nil"/>
              <w:left w:val="nil"/>
              <w:bottom w:val="single" w:sz="4" w:space="0" w:color="auto"/>
              <w:right w:val="single" w:sz="4" w:space="0" w:color="auto"/>
            </w:tcBorders>
            <w:noWrap/>
            <w:vAlign w:val="center"/>
            <w:hideMark/>
          </w:tcPr>
          <w:p w14:paraId="12A524BA"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gridSpan w:val="3"/>
            <w:tcBorders>
              <w:top w:val="nil"/>
              <w:left w:val="nil"/>
              <w:bottom w:val="single" w:sz="4" w:space="0" w:color="auto"/>
              <w:right w:val="single" w:sz="4" w:space="0" w:color="auto"/>
            </w:tcBorders>
            <w:noWrap/>
            <w:vAlign w:val="center"/>
            <w:hideMark/>
          </w:tcPr>
          <w:p w14:paraId="647EB249" w14:textId="77777777" w:rsidR="00B17255" w:rsidRPr="00B17255" w:rsidRDefault="00B17255" w:rsidP="00B17255">
            <w:pPr>
              <w:spacing w:line="360" w:lineRule="auto"/>
              <w:jc w:val="center"/>
              <w:rPr>
                <w:sz w:val="24"/>
                <w:szCs w:val="24"/>
              </w:rPr>
            </w:pPr>
            <w:r w:rsidRPr="00B17255">
              <w:rPr>
                <w:sz w:val="24"/>
                <w:szCs w:val="24"/>
              </w:rPr>
              <w:t>20.0</w:t>
            </w:r>
          </w:p>
        </w:tc>
      </w:tr>
      <w:tr w:rsidR="00B17255" w:rsidRPr="00B17255" w14:paraId="5EA1BF87"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39CF9CE5" w14:textId="77777777" w:rsidR="00B17255" w:rsidRPr="00B17255" w:rsidRDefault="00B17255" w:rsidP="00B17255">
            <w:pPr>
              <w:spacing w:line="360" w:lineRule="auto"/>
              <w:jc w:val="center"/>
              <w:rPr>
                <w:sz w:val="24"/>
                <w:szCs w:val="24"/>
              </w:rPr>
            </w:pPr>
            <w:r w:rsidRPr="00B17255">
              <w:rPr>
                <w:sz w:val="24"/>
                <w:szCs w:val="24"/>
              </w:rPr>
              <w:t>Year 4</w:t>
            </w:r>
          </w:p>
        </w:tc>
        <w:tc>
          <w:tcPr>
            <w:tcW w:w="3173" w:type="dxa"/>
            <w:gridSpan w:val="3"/>
            <w:tcBorders>
              <w:top w:val="nil"/>
              <w:left w:val="nil"/>
              <w:bottom w:val="single" w:sz="4" w:space="0" w:color="auto"/>
              <w:right w:val="single" w:sz="4" w:space="0" w:color="auto"/>
            </w:tcBorders>
            <w:noWrap/>
            <w:vAlign w:val="center"/>
            <w:hideMark/>
          </w:tcPr>
          <w:p w14:paraId="6CC2DD52" w14:textId="77777777" w:rsidR="00B17255" w:rsidRPr="00B17255" w:rsidRDefault="00B17255" w:rsidP="00B17255">
            <w:pPr>
              <w:spacing w:line="360" w:lineRule="auto"/>
              <w:jc w:val="center"/>
              <w:rPr>
                <w:sz w:val="24"/>
                <w:szCs w:val="24"/>
              </w:rPr>
            </w:pPr>
            <w:r w:rsidRPr="00B17255">
              <w:rPr>
                <w:sz w:val="24"/>
                <w:szCs w:val="24"/>
              </w:rPr>
              <w:t>10.0</w:t>
            </w:r>
          </w:p>
        </w:tc>
        <w:tc>
          <w:tcPr>
            <w:tcW w:w="1360" w:type="dxa"/>
            <w:gridSpan w:val="2"/>
            <w:tcBorders>
              <w:top w:val="nil"/>
              <w:left w:val="nil"/>
              <w:bottom w:val="single" w:sz="4" w:space="0" w:color="auto"/>
              <w:right w:val="single" w:sz="4" w:space="0" w:color="auto"/>
            </w:tcBorders>
            <w:noWrap/>
            <w:vAlign w:val="center"/>
            <w:hideMark/>
          </w:tcPr>
          <w:p w14:paraId="0AB194B8"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gridSpan w:val="3"/>
            <w:tcBorders>
              <w:top w:val="nil"/>
              <w:left w:val="nil"/>
              <w:bottom w:val="single" w:sz="4" w:space="0" w:color="auto"/>
              <w:right w:val="single" w:sz="4" w:space="0" w:color="auto"/>
            </w:tcBorders>
            <w:noWrap/>
            <w:vAlign w:val="center"/>
            <w:hideMark/>
          </w:tcPr>
          <w:p w14:paraId="59A3091F" w14:textId="77777777" w:rsidR="00B17255" w:rsidRPr="00B17255" w:rsidRDefault="00B17255" w:rsidP="00B17255">
            <w:pPr>
              <w:spacing w:line="360" w:lineRule="auto"/>
              <w:jc w:val="center"/>
              <w:rPr>
                <w:sz w:val="24"/>
                <w:szCs w:val="24"/>
              </w:rPr>
            </w:pPr>
            <w:r w:rsidRPr="00B17255">
              <w:rPr>
                <w:sz w:val="24"/>
                <w:szCs w:val="24"/>
              </w:rPr>
              <w:t>25.0</w:t>
            </w:r>
          </w:p>
        </w:tc>
      </w:tr>
      <w:tr w:rsidR="00B17255" w:rsidRPr="00B17255" w14:paraId="686FA7C8" w14:textId="77777777" w:rsidTr="00B17255">
        <w:trPr>
          <w:gridAfter w:val="1"/>
          <w:wAfter w:w="1227" w:type="dxa"/>
          <w:trHeight w:val="300"/>
        </w:trPr>
        <w:tc>
          <w:tcPr>
            <w:tcW w:w="2960" w:type="dxa"/>
            <w:gridSpan w:val="2"/>
            <w:tcBorders>
              <w:top w:val="nil"/>
              <w:left w:val="single" w:sz="4" w:space="0" w:color="auto"/>
              <w:bottom w:val="single" w:sz="4" w:space="0" w:color="auto"/>
              <w:right w:val="single" w:sz="4" w:space="0" w:color="auto"/>
            </w:tcBorders>
            <w:noWrap/>
            <w:vAlign w:val="center"/>
            <w:hideMark/>
          </w:tcPr>
          <w:p w14:paraId="7E3D9301" w14:textId="77777777" w:rsidR="00B17255" w:rsidRPr="00B17255" w:rsidRDefault="00B17255" w:rsidP="00B17255">
            <w:pPr>
              <w:spacing w:line="360" w:lineRule="auto"/>
              <w:jc w:val="center"/>
              <w:rPr>
                <w:sz w:val="24"/>
                <w:szCs w:val="24"/>
              </w:rPr>
            </w:pPr>
            <w:r w:rsidRPr="00B17255">
              <w:rPr>
                <w:sz w:val="24"/>
                <w:szCs w:val="24"/>
              </w:rPr>
              <w:t>Year 5</w:t>
            </w:r>
          </w:p>
        </w:tc>
        <w:tc>
          <w:tcPr>
            <w:tcW w:w="3173" w:type="dxa"/>
            <w:gridSpan w:val="3"/>
            <w:tcBorders>
              <w:top w:val="nil"/>
              <w:left w:val="nil"/>
              <w:bottom w:val="single" w:sz="4" w:space="0" w:color="auto"/>
              <w:right w:val="single" w:sz="4" w:space="0" w:color="auto"/>
            </w:tcBorders>
            <w:noWrap/>
            <w:vAlign w:val="center"/>
            <w:hideMark/>
          </w:tcPr>
          <w:p w14:paraId="1B3D7BF6" w14:textId="77777777" w:rsidR="00B17255" w:rsidRPr="00B17255" w:rsidRDefault="00B17255" w:rsidP="00B17255">
            <w:pPr>
              <w:spacing w:line="360" w:lineRule="auto"/>
              <w:jc w:val="center"/>
              <w:rPr>
                <w:sz w:val="24"/>
                <w:szCs w:val="24"/>
              </w:rPr>
            </w:pPr>
            <w:r w:rsidRPr="00B17255">
              <w:rPr>
                <w:sz w:val="24"/>
                <w:szCs w:val="24"/>
              </w:rPr>
              <w:t>8.0</w:t>
            </w:r>
          </w:p>
        </w:tc>
        <w:tc>
          <w:tcPr>
            <w:tcW w:w="1360" w:type="dxa"/>
            <w:gridSpan w:val="2"/>
            <w:tcBorders>
              <w:top w:val="nil"/>
              <w:left w:val="nil"/>
              <w:bottom w:val="single" w:sz="4" w:space="0" w:color="auto"/>
              <w:right w:val="single" w:sz="4" w:space="0" w:color="auto"/>
            </w:tcBorders>
            <w:noWrap/>
            <w:vAlign w:val="center"/>
            <w:hideMark/>
          </w:tcPr>
          <w:p w14:paraId="20C943BE"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gridSpan w:val="3"/>
            <w:tcBorders>
              <w:top w:val="nil"/>
              <w:left w:val="nil"/>
              <w:bottom w:val="single" w:sz="4" w:space="0" w:color="auto"/>
              <w:right w:val="single" w:sz="4" w:space="0" w:color="auto"/>
            </w:tcBorders>
            <w:noWrap/>
            <w:vAlign w:val="center"/>
            <w:hideMark/>
          </w:tcPr>
          <w:p w14:paraId="64388C6A" w14:textId="77777777" w:rsidR="00B17255" w:rsidRPr="00B17255" w:rsidRDefault="00B17255" w:rsidP="00B17255">
            <w:pPr>
              <w:spacing w:line="360" w:lineRule="auto"/>
              <w:jc w:val="center"/>
              <w:rPr>
                <w:sz w:val="24"/>
                <w:szCs w:val="24"/>
              </w:rPr>
            </w:pPr>
            <w:r w:rsidRPr="00B17255">
              <w:rPr>
                <w:sz w:val="24"/>
                <w:szCs w:val="24"/>
              </w:rPr>
              <w:t>5.0</w:t>
            </w:r>
          </w:p>
        </w:tc>
      </w:tr>
      <w:tr w:rsidR="00B17255" w:rsidRPr="00B17255" w14:paraId="68553233" w14:textId="77777777" w:rsidTr="00B17255">
        <w:trPr>
          <w:gridAfter w:val="1"/>
          <w:wAfter w:w="1227" w:type="dxa"/>
          <w:trHeight w:val="765"/>
        </w:trPr>
        <w:tc>
          <w:tcPr>
            <w:tcW w:w="2960" w:type="dxa"/>
            <w:gridSpan w:val="2"/>
            <w:tcBorders>
              <w:top w:val="nil"/>
              <w:left w:val="single" w:sz="4" w:space="0" w:color="auto"/>
              <w:bottom w:val="single" w:sz="4" w:space="0" w:color="auto"/>
              <w:right w:val="single" w:sz="4" w:space="0" w:color="auto"/>
            </w:tcBorders>
            <w:vAlign w:val="center"/>
            <w:hideMark/>
          </w:tcPr>
          <w:p w14:paraId="1E84855D" w14:textId="77777777" w:rsidR="00B17255" w:rsidRPr="00B17255" w:rsidRDefault="00B17255" w:rsidP="00B17255">
            <w:pPr>
              <w:spacing w:line="360" w:lineRule="auto"/>
              <w:jc w:val="center"/>
              <w:rPr>
                <w:sz w:val="24"/>
                <w:szCs w:val="24"/>
              </w:rPr>
            </w:pPr>
            <w:r w:rsidRPr="00B17255">
              <w:rPr>
                <w:sz w:val="24"/>
                <w:szCs w:val="24"/>
              </w:rPr>
              <w:t>Total Undiscounted Cash Inflows (Yr 1-5)</w:t>
            </w:r>
          </w:p>
        </w:tc>
        <w:tc>
          <w:tcPr>
            <w:tcW w:w="3173" w:type="dxa"/>
            <w:gridSpan w:val="3"/>
            <w:tcBorders>
              <w:top w:val="nil"/>
              <w:left w:val="nil"/>
              <w:bottom w:val="single" w:sz="4" w:space="0" w:color="auto"/>
              <w:right w:val="single" w:sz="4" w:space="0" w:color="auto"/>
            </w:tcBorders>
            <w:noWrap/>
            <w:vAlign w:val="center"/>
            <w:hideMark/>
          </w:tcPr>
          <w:p w14:paraId="5CFD153A" w14:textId="77777777" w:rsidR="00B17255" w:rsidRPr="00B17255" w:rsidRDefault="00B17255" w:rsidP="00B17255">
            <w:pPr>
              <w:spacing w:line="360" w:lineRule="auto"/>
              <w:jc w:val="center"/>
              <w:rPr>
                <w:sz w:val="24"/>
                <w:szCs w:val="24"/>
              </w:rPr>
            </w:pPr>
            <w:r w:rsidRPr="00B17255">
              <w:rPr>
                <w:sz w:val="24"/>
                <w:szCs w:val="24"/>
              </w:rPr>
              <w:t>54.0</w:t>
            </w:r>
          </w:p>
        </w:tc>
        <w:tc>
          <w:tcPr>
            <w:tcW w:w="1360" w:type="dxa"/>
            <w:gridSpan w:val="2"/>
            <w:tcBorders>
              <w:top w:val="nil"/>
              <w:left w:val="nil"/>
              <w:bottom w:val="single" w:sz="4" w:space="0" w:color="auto"/>
              <w:right w:val="single" w:sz="4" w:space="0" w:color="auto"/>
            </w:tcBorders>
            <w:noWrap/>
            <w:vAlign w:val="center"/>
            <w:hideMark/>
          </w:tcPr>
          <w:p w14:paraId="7424471B" w14:textId="77777777" w:rsidR="00B17255" w:rsidRPr="00B17255" w:rsidRDefault="00B17255" w:rsidP="00B17255">
            <w:pPr>
              <w:spacing w:line="360" w:lineRule="auto"/>
              <w:jc w:val="center"/>
              <w:rPr>
                <w:sz w:val="24"/>
                <w:szCs w:val="24"/>
              </w:rPr>
            </w:pPr>
            <w:r w:rsidRPr="00B17255">
              <w:rPr>
                <w:sz w:val="24"/>
                <w:szCs w:val="24"/>
              </w:rPr>
              <w:t>55.0</w:t>
            </w:r>
          </w:p>
        </w:tc>
        <w:tc>
          <w:tcPr>
            <w:tcW w:w="1360" w:type="dxa"/>
            <w:gridSpan w:val="3"/>
            <w:tcBorders>
              <w:top w:val="nil"/>
              <w:left w:val="nil"/>
              <w:bottom w:val="single" w:sz="4" w:space="0" w:color="auto"/>
              <w:right w:val="single" w:sz="4" w:space="0" w:color="auto"/>
            </w:tcBorders>
            <w:noWrap/>
            <w:vAlign w:val="center"/>
            <w:hideMark/>
          </w:tcPr>
          <w:p w14:paraId="2EC8CC5F" w14:textId="77777777" w:rsidR="00B17255" w:rsidRPr="00B17255" w:rsidRDefault="00B17255" w:rsidP="00B17255">
            <w:pPr>
              <w:spacing w:line="360" w:lineRule="auto"/>
              <w:jc w:val="center"/>
              <w:rPr>
                <w:sz w:val="24"/>
                <w:szCs w:val="24"/>
              </w:rPr>
            </w:pPr>
            <w:r w:rsidRPr="00B17255">
              <w:rPr>
                <w:sz w:val="24"/>
                <w:szCs w:val="24"/>
              </w:rPr>
              <w:t>65.0</w:t>
            </w:r>
          </w:p>
        </w:tc>
      </w:tr>
      <w:tr w:rsidR="00B17255" w:rsidRPr="00B17255" w14:paraId="24AB9395" w14:textId="77777777" w:rsidTr="00B17255">
        <w:trPr>
          <w:trHeight w:val="600"/>
        </w:trPr>
        <w:tc>
          <w:tcPr>
            <w:tcW w:w="2520" w:type="dxa"/>
            <w:tcBorders>
              <w:top w:val="single" w:sz="4" w:space="0" w:color="auto"/>
              <w:left w:val="single" w:sz="4" w:space="0" w:color="auto"/>
              <w:bottom w:val="single" w:sz="4" w:space="0" w:color="auto"/>
              <w:right w:val="single" w:sz="4" w:space="0" w:color="auto"/>
            </w:tcBorders>
            <w:vAlign w:val="center"/>
            <w:hideMark/>
          </w:tcPr>
          <w:p w14:paraId="2773B8A1" w14:textId="77777777" w:rsidR="00B17255" w:rsidRPr="00B17255" w:rsidRDefault="00B17255" w:rsidP="00B17255">
            <w:pPr>
              <w:spacing w:line="360" w:lineRule="auto"/>
              <w:jc w:val="center"/>
              <w:rPr>
                <w:b/>
                <w:bCs/>
                <w:sz w:val="24"/>
                <w:szCs w:val="24"/>
              </w:rPr>
            </w:pPr>
            <w:r w:rsidRPr="00B17255">
              <w:rPr>
                <w:b/>
                <w:bCs/>
                <w:sz w:val="24"/>
                <w:szCs w:val="24"/>
              </w:rPr>
              <w:t>Year</w:t>
            </w:r>
          </w:p>
        </w:tc>
        <w:tc>
          <w:tcPr>
            <w:tcW w:w="1260" w:type="dxa"/>
            <w:gridSpan w:val="2"/>
            <w:tcBorders>
              <w:top w:val="single" w:sz="4" w:space="0" w:color="auto"/>
              <w:left w:val="nil"/>
              <w:bottom w:val="single" w:sz="4" w:space="0" w:color="auto"/>
              <w:right w:val="single" w:sz="4" w:space="0" w:color="auto"/>
            </w:tcBorders>
            <w:vAlign w:val="center"/>
            <w:hideMark/>
          </w:tcPr>
          <w:p w14:paraId="1D7EB3C2" w14:textId="77777777" w:rsidR="00B17255" w:rsidRPr="00B17255" w:rsidRDefault="00B17255" w:rsidP="00B17255">
            <w:pPr>
              <w:spacing w:line="360" w:lineRule="auto"/>
              <w:jc w:val="center"/>
              <w:rPr>
                <w:b/>
                <w:bCs/>
                <w:sz w:val="24"/>
                <w:szCs w:val="24"/>
              </w:rPr>
            </w:pPr>
            <w:r w:rsidRPr="00B17255">
              <w:rPr>
                <w:b/>
                <w:bCs/>
                <w:sz w:val="24"/>
                <w:szCs w:val="24"/>
              </w:rPr>
              <w:t>Project A CF</w:t>
            </w:r>
          </w:p>
        </w:tc>
        <w:tc>
          <w:tcPr>
            <w:tcW w:w="1260" w:type="dxa"/>
            <w:tcBorders>
              <w:top w:val="single" w:sz="4" w:space="0" w:color="auto"/>
              <w:left w:val="nil"/>
              <w:bottom w:val="single" w:sz="4" w:space="0" w:color="auto"/>
              <w:right w:val="single" w:sz="4" w:space="0" w:color="auto"/>
            </w:tcBorders>
            <w:vAlign w:val="center"/>
            <w:hideMark/>
          </w:tcPr>
          <w:p w14:paraId="20C2E6F4" w14:textId="77777777" w:rsidR="00B17255" w:rsidRPr="00B17255" w:rsidRDefault="00B17255" w:rsidP="00B17255">
            <w:pPr>
              <w:spacing w:line="360" w:lineRule="auto"/>
              <w:jc w:val="center"/>
              <w:rPr>
                <w:b/>
                <w:bCs/>
                <w:sz w:val="24"/>
                <w:szCs w:val="24"/>
              </w:rPr>
            </w:pPr>
            <w:r w:rsidRPr="00B17255">
              <w:rPr>
                <w:b/>
                <w:bCs/>
                <w:sz w:val="24"/>
                <w:szCs w:val="24"/>
              </w:rPr>
              <w:t>Project A Cum.</w:t>
            </w:r>
          </w:p>
        </w:tc>
        <w:tc>
          <w:tcPr>
            <w:tcW w:w="1260" w:type="dxa"/>
            <w:gridSpan w:val="2"/>
            <w:tcBorders>
              <w:top w:val="single" w:sz="4" w:space="0" w:color="auto"/>
              <w:left w:val="nil"/>
              <w:bottom w:val="single" w:sz="4" w:space="0" w:color="auto"/>
              <w:right w:val="single" w:sz="4" w:space="0" w:color="auto"/>
            </w:tcBorders>
            <w:vAlign w:val="center"/>
            <w:hideMark/>
          </w:tcPr>
          <w:p w14:paraId="7022F16F" w14:textId="77777777" w:rsidR="00B17255" w:rsidRPr="00B17255" w:rsidRDefault="00B17255" w:rsidP="00B17255">
            <w:pPr>
              <w:spacing w:line="360" w:lineRule="auto"/>
              <w:jc w:val="center"/>
              <w:rPr>
                <w:b/>
                <w:bCs/>
                <w:sz w:val="24"/>
                <w:szCs w:val="24"/>
              </w:rPr>
            </w:pPr>
            <w:r w:rsidRPr="00B17255">
              <w:rPr>
                <w:b/>
                <w:bCs/>
                <w:sz w:val="24"/>
                <w:szCs w:val="24"/>
              </w:rPr>
              <w:t>Project B CF</w:t>
            </w:r>
          </w:p>
        </w:tc>
        <w:tc>
          <w:tcPr>
            <w:tcW w:w="1260" w:type="dxa"/>
            <w:gridSpan w:val="2"/>
            <w:tcBorders>
              <w:top w:val="single" w:sz="4" w:space="0" w:color="auto"/>
              <w:left w:val="nil"/>
              <w:bottom w:val="single" w:sz="4" w:space="0" w:color="auto"/>
              <w:right w:val="single" w:sz="4" w:space="0" w:color="auto"/>
            </w:tcBorders>
            <w:vAlign w:val="center"/>
            <w:hideMark/>
          </w:tcPr>
          <w:p w14:paraId="07952484" w14:textId="77777777" w:rsidR="00B17255" w:rsidRPr="00B17255" w:rsidRDefault="00B17255" w:rsidP="00B17255">
            <w:pPr>
              <w:spacing w:line="360" w:lineRule="auto"/>
              <w:jc w:val="center"/>
              <w:rPr>
                <w:b/>
                <w:bCs/>
                <w:sz w:val="24"/>
                <w:szCs w:val="24"/>
              </w:rPr>
            </w:pPr>
            <w:r w:rsidRPr="00B17255">
              <w:rPr>
                <w:b/>
                <w:bCs/>
                <w:sz w:val="24"/>
                <w:szCs w:val="24"/>
              </w:rPr>
              <w:t>Project B Cum.</w:t>
            </w:r>
          </w:p>
        </w:tc>
        <w:tc>
          <w:tcPr>
            <w:tcW w:w="1260" w:type="dxa"/>
            <w:tcBorders>
              <w:top w:val="single" w:sz="4" w:space="0" w:color="auto"/>
              <w:left w:val="nil"/>
              <w:bottom w:val="single" w:sz="4" w:space="0" w:color="auto"/>
              <w:right w:val="single" w:sz="4" w:space="0" w:color="auto"/>
            </w:tcBorders>
            <w:vAlign w:val="center"/>
            <w:hideMark/>
          </w:tcPr>
          <w:p w14:paraId="7FA692B9" w14:textId="77777777" w:rsidR="00B17255" w:rsidRPr="00B17255" w:rsidRDefault="00B17255" w:rsidP="00B17255">
            <w:pPr>
              <w:spacing w:line="360" w:lineRule="auto"/>
              <w:jc w:val="center"/>
              <w:rPr>
                <w:b/>
                <w:bCs/>
                <w:sz w:val="24"/>
                <w:szCs w:val="24"/>
              </w:rPr>
            </w:pPr>
            <w:r w:rsidRPr="00B17255">
              <w:rPr>
                <w:b/>
                <w:bCs/>
                <w:sz w:val="24"/>
                <w:szCs w:val="24"/>
              </w:rPr>
              <w:t>Project C CF</w:t>
            </w:r>
          </w:p>
        </w:tc>
        <w:tc>
          <w:tcPr>
            <w:tcW w:w="1260" w:type="dxa"/>
            <w:gridSpan w:val="2"/>
            <w:tcBorders>
              <w:top w:val="single" w:sz="4" w:space="0" w:color="auto"/>
              <w:left w:val="nil"/>
              <w:bottom w:val="single" w:sz="4" w:space="0" w:color="auto"/>
              <w:right w:val="single" w:sz="4" w:space="0" w:color="auto"/>
            </w:tcBorders>
            <w:vAlign w:val="center"/>
            <w:hideMark/>
          </w:tcPr>
          <w:p w14:paraId="3457BAF2" w14:textId="77777777" w:rsidR="00B17255" w:rsidRPr="00B17255" w:rsidRDefault="00B17255" w:rsidP="00B17255">
            <w:pPr>
              <w:spacing w:line="360" w:lineRule="auto"/>
              <w:jc w:val="center"/>
              <w:rPr>
                <w:b/>
                <w:bCs/>
                <w:sz w:val="24"/>
                <w:szCs w:val="24"/>
              </w:rPr>
            </w:pPr>
            <w:r w:rsidRPr="00B17255">
              <w:rPr>
                <w:b/>
                <w:bCs/>
                <w:sz w:val="24"/>
                <w:szCs w:val="24"/>
              </w:rPr>
              <w:t>Project C Cum.</w:t>
            </w:r>
          </w:p>
        </w:tc>
      </w:tr>
      <w:tr w:rsidR="00B17255" w:rsidRPr="00B17255" w14:paraId="0AF6A0D3"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65498169" w14:textId="77777777" w:rsidR="00B17255" w:rsidRPr="00B17255" w:rsidRDefault="00B17255" w:rsidP="00B17255">
            <w:pPr>
              <w:spacing w:line="360" w:lineRule="auto"/>
              <w:jc w:val="center"/>
              <w:rPr>
                <w:sz w:val="24"/>
                <w:szCs w:val="24"/>
              </w:rPr>
            </w:pPr>
            <w:r w:rsidRPr="00B17255">
              <w:rPr>
                <w:sz w:val="24"/>
                <w:szCs w:val="24"/>
              </w:rPr>
              <w:t>1</w:t>
            </w:r>
          </w:p>
        </w:tc>
        <w:tc>
          <w:tcPr>
            <w:tcW w:w="1260" w:type="dxa"/>
            <w:gridSpan w:val="2"/>
            <w:tcBorders>
              <w:top w:val="nil"/>
              <w:left w:val="nil"/>
              <w:bottom w:val="single" w:sz="4" w:space="0" w:color="auto"/>
              <w:right w:val="single" w:sz="4" w:space="0" w:color="auto"/>
            </w:tcBorders>
            <w:noWrap/>
            <w:vAlign w:val="center"/>
            <w:hideMark/>
          </w:tcPr>
          <w:p w14:paraId="4FF68185" w14:textId="77777777" w:rsidR="00B17255" w:rsidRPr="00B17255" w:rsidRDefault="00B17255" w:rsidP="00B17255">
            <w:pPr>
              <w:spacing w:line="360" w:lineRule="auto"/>
              <w:jc w:val="center"/>
              <w:rPr>
                <w:sz w:val="24"/>
                <w:szCs w:val="24"/>
              </w:rPr>
            </w:pPr>
            <w:r w:rsidRPr="00B17255">
              <w:rPr>
                <w:sz w:val="24"/>
                <w:szCs w:val="24"/>
              </w:rPr>
              <w:t>10.0</w:t>
            </w:r>
          </w:p>
        </w:tc>
        <w:tc>
          <w:tcPr>
            <w:tcW w:w="1260" w:type="dxa"/>
            <w:tcBorders>
              <w:top w:val="nil"/>
              <w:left w:val="nil"/>
              <w:bottom w:val="single" w:sz="4" w:space="0" w:color="auto"/>
              <w:right w:val="single" w:sz="4" w:space="0" w:color="auto"/>
            </w:tcBorders>
            <w:noWrap/>
            <w:vAlign w:val="center"/>
            <w:hideMark/>
          </w:tcPr>
          <w:p w14:paraId="3ED3A621" w14:textId="77777777" w:rsidR="00B17255" w:rsidRPr="00B17255" w:rsidRDefault="00B17255" w:rsidP="00B17255">
            <w:pPr>
              <w:spacing w:line="360" w:lineRule="auto"/>
              <w:jc w:val="center"/>
              <w:rPr>
                <w:sz w:val="24"/>
                <w:szCs w:val="24"/>
              </w:rPr>
            </w:pPr>
            <w:r w:rsidRPr="00B17255">
              <w:rPr>
                <w:sz w:val="24"/>
                <w:szCs w:val="24"/>
              </w:rPr>
              <w:t>10.0</w:t>
            </w:r>
          </w:p>
        </w:tc>
        <w:tc>
          <w:tcPr>
            <w:tcW w:w="1260" w:type="dxa"/>
            <w:gridSpan w:val="2"/>
            <w:tcBorders>
              <w:top w:val="nil"/>
              <w:left w:val="nil"/>
              <w:bottom w:val="single" w:sz="4" w:space="0" w:color="auto"/>
              <w:right w:val="single" w:sz="4" w:space="0" w:color="auto"/>
            </w:tcBorders>
            <w:noWrap/>
            <w:vAlign w:val="center"/>
            <w:hideMark/>
          </w:tcPr>
          <w:p w14:paraId="58991F85" w14:textId="77777777" w:rsidR="00B17255" w:rsidRPr="00B17255" w:rsidRDefault="00B17255" w:rsidP="00B17255">
            <w:pPr>
              <w:spacing w:line="360" w:lineRule="auto"/>
              <w:jc w:val="center"/>
              <w:rPr>
                <w:sz w:val="24"/>
                <w:szCs w:val="24"/>
              </w:rPr>
            </w:pPr>
            <w:r w:rsidRPr="00B17255">
              <w:rPr>
                <w:sz w:val="24"/>
                <w:szCs w:val="24"/>
              </w:rPr>
              <w:t>11.0</w:t>
            </w:r>
          </w:p>
        </w:tc>
        <w:tc>
          <w:tcPr>
            <w:tcW w:w="1260" w:type="dxa"/>
            <w:gridSpan w:val="2"/>
            <w:tcBorders>
              <w:top w:val="nil"/>
              <w:left w:val="nil"/>
              <w:bottom w:val="single" w:sz="4" w:space="0" w:color="auto"/>
              <w:right w:val="single" w:sz="4" w:space="0" w:color="auto"/>
            </w:tcBorders>
            <w:noWrap/>
            <w:vAlign w:val="center"/>
            <w:hideMark/>
          </w:tcPr>
          <w:p w14:paraId="055B21DD" w14:textId="77777777" w:rsidR="00B17255" w:rsidRPr="00B17255" w:rsidRDefault="00B17255" w:rsidP="00B17255">
            <w:pPr>
              <w:spacing w:line="360" w:lineRule="auto"/>
              <w:jc w:val="center"/>
              <w:rPr>
                <w:sz w:val="24"/>
                <w:szCs w:val="24"/>
              </w:rPr>
            </w:pPr>
            <w:r w:rsidRPr="00B17255">
              <w:rPr>
                <w:sz w:val="24"/>
                <w:szCs w:val="24"/>
              </w:rPr>
              <w:t>11.0</w:t>
            </w:r>
          </w:p>
        </w:tc>
        <w:tc>
          <w:tcPr>
            <w:tcW w:w="1260" w:type="dxa"/>
            <w:tcBorders>
              <w:top w:val="nil"/>
              <w:left w:val="nil"/>
              <w:bottom w:val="single" w:sz="4" w:space="0" w:color="auto"/>
              <w:right w:val="single" w:sz="4" w:space="0" w:color="auto"/>
            </w:tcBorders>
            <w:noWrap/>
            <w:vAlign w:val="center"/>
            <w:hideMark/>
          </w:tcPr>
          <w:p w14:paraId="142EC805" w14:textId="77777777" w:rsidR="00B17255" w:rsidRPr="00B17255" w:rsidRDefault="00B17255" w:rsidP="00B17255">
            <w:pPr>
              <w:spacing w:line="360" w:lineRule="auto"/>
              <w:jc w:val="center"/>
              <w:rPr>
                <w:sz w:val="24"/>
                <w:szCs w:val="24"/>
              </w:rPr>
            </w:pPr>
            <w:r w:rsidRPr="00B17255">
              <w:rPr>
                <w:sz w:val="24"/>
                <w:szCs w:val="24"/>
              </w:rPr>
              <w:t>5.0</w:t>
            </w:r>
          </w:p>
        </w:tc>
        <w:tc>
          <w:tcPr>
            <w:tcW w:w="1260" w:type="dxa"/>
            <w:gridSpan w:val="2"/>
            <w:tcBorders>
              <w:top w:val="nil"/>
              <w:left w:val="nil"/>
              <w:bottom w:val="single" w:sz="4" w:space="0" w:color="auto"/>
              <w:right w:val="single" w:sz="4" w:space="0" w:color="auto"/>
            </w:tcBorders>
            <w:noWrap/>
            <w:vAlign w:val="center"/>
            <w:hideMark/>
          </w:tcPr>
          <w:p w14:paraId="61BC2C26" w14:textId="77777777" w:rsidR="00B17255" w:rsidRPr="00B17255" w:rsidRDefault="00B17255" w:rsidP="00B17255">
            <w:pPr>
              <w:spacing w:line="360" w:lineRule="auto"/>
              <w:jc w:val="center"/>
              <w:rPr>
                <w:sz w:val="24"/>
                <w:szCs w:val="24"/>
              </w:rPr>
            </w:pPr>
            <w:r w:rsidRPr="00B17255">
              <w:rPr>
                <w:sz w:val="24"/>
                <w:szCs w:val="24"/>
              </w:rPr>
              <w:t>5.0</w:t>
            </w:r>
          </w:p>
        </w:tc>
      </w:tr>
      <w:tr w:rsidR="00B17255" w:rsidRPr="00B17255" w14:paraId="72D3E743"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32846B29" w14:textId="77777777" w:rsidR="00B17255" w:rsidRPr="00B17255" w:rsidRDefault="00B17255" w:rsidP="00B17255">
            <w:pPr>
              <w:spacing w:line="360" w:lineRule="auto"/>
              <w:jc w:val="center"/>
              <w:rPr>
                <w:sz w:val="24"/>
                <w:szCs w:val="24"/>
              </w:rPr>
            </w:pPr>
            <w:r w:rsidRPr="00B17255">
              <w:rPr>
                <w:sz w:val="24"/>
                <w:szCs w:val="24"/>
              </w:rPr>
              <w:t>2</w:t>
            </w:r>
          </w:p>
        </w:tc>
        <w:tc>
          <w:tcPr>
            <w:tcW w:w="1260" w:type="dxa"/>
            <w:gridSpan w:val="2"/>
            <w:tcBorders>
              <w:top w:val="nil"/>
              <w:left w:val="nil"/>
              <w:bottom w:val="single" w:sz="4" w:space="0" w:color="auto"/>
              <w:right w:val="single" w:sz="4" w:space="0" w:color="auto"/>
            </w:tcBorders>
            <w:noWrap/>
            <w:vAlign w:val="center"/>
            <w:hideMark/>
          </w:tcPr>
          <w:p w14:paraId="1D0FD9B1" w14:textId="77777777" w:rsidR="00B17255" w:rsidRPr="00B17255" w:rsidRDefault="00B17255" w:rsidP="00B17255">
            <w:pPr>
              <w:spacing w:line="360" w:lineRule="auto"/>
              <w:jc w:val="center"/>
              <w:rPr>
                <w:sz w:val="24"/>
                <w:szCs w:val="24"/>
              </w:rPr>
            </w:pPr>
            <w:r w:rsidRPr="00B17255">
              <w:rPr>
                <w:sz w:val="24"/>
                <w:szCs w:val="24"/>
              </w:rPr>
              <w:t>12.0</w:t>
            </w:r>
          </w:p>
        </w:tc>
        <w:tc>
          <w:tcPr>
            <w:tcW w:w="1260" w:type="dxa"/>
            <w:tcBorders>
              <w:top w:val="nil"/>
              <w:left w:val="nil"/>
              <w:bottom w:val="single" w:sz="4" w:space="0" w:color="auto"/>
              <w:right w:val="single" w:sz="4" w:space="0" w:color="auto"/>
            </w:tcBorders>
            <w:noWrap/>
            <w:vAlign w:val="center"/>
            <w:hideMark/>
          </w:tcPr>
          <w:p w14:paraId="041F0DF5" w14:textId="77777777" w:rsidR="00B17255" w:rsidRPr="00B17255" w:rsidRDefault="00B17255" w:rsidP="00B17255">
            <w:pPr>
              <w:spacing w:line="360" w:lineRule="auto"/>
              <w:jc w:val="center"/>
              <w:rPr>
                <w:sz w:val="24"/>
                <w:szCs w:val="24"/>
              </w:rPr>
            </w:pPr>
            <w:r w:rsidRPr="00B17255">
              <w:rPr>
                <w:sz w:val="24"/>
                <w:szCs w:val="24"/>
              </w:rPr>
              <w:t>22.0</w:t>
            </w:r>
          </w:p>
        </w:tc>
        <w:tc>
          <w:tcPr>
            <w:tcW w:w="1260" w:type="dxa"/>
            <w:gridSpan w:val="2"/>
            <w:tcBorders>
              <w:top w:val="nil"/>
              <w:left w:val="nil"/>
              <w:bottom w:val="single" w:sz="4" w:space="0" w:color="auto"/>
              <w:right w:val="single" w:sz="4" w:space="0" w:color="auto"/>
            </w:tcBorders>
            <w:noWrap/>
            <w:vAlign w:val="center"/>
            <w:hideMark/>
          </w:tcPr>
          <w:p w14:paraId="36671B63" w14:textId="77777777" w:rsidR="00B17255" w:rsidRPr="00B17255" w:rsidRDefault="00B17255" w:rsidP="00B17255">
            <w:pPr>
              <w:spacing w:line="360" w:lineRule="auto"/>
              <w:jc w:val="center"/>
              <w:rPr>
                <w:sz w:val="24"/>
                <w:szCs w:val="24"/>
              </w:rPr>
            </w:pPr>
            <w:r w:rsidRPr="00B17255">
              <w:rPr>
                <w:sz w:val="24"/>
                <w:szCs w:val="24"/>
              </w:rPr>
              <w:t>11.0</w:t>
            </w:r>
          </w:p>
        </w:tc>
        <w:tc>
          <w:tcPr>
            <w:tcW w:w="1260" w:type="dxa"/>
            <w:gridSpan w:val="2"/>
            <w:tcBorders>
              <w:top w:val="nil"/>
              <w:left w:val="nil"/>
              <w:bottom w:val="single" w:sz="4" w:space="0" w:color="auto"/>
              <w:right w:val="single" w:sz="4" w:space="0" w:color="auto"/>
            </w:tcBorders>
            <w:noWrap/>
            <w:vAlign w:val="center"/>
            <w:hideMark/>
          </w:tcPr>
          <w:p w14:paraId="2C928553" w14:textId="77777777" w:rsidR="00B17255" w:rsidRPr="00B17255" w:rsidRDefault="00B17255" w:rsidP="00B17255">
            <w:pPr>
              <w:spacing w:line="360" w:lineRule="auto"/>
              <w:jc w:val="center"/>
              <w:rPr>
                <w:sz w:val="24"/>
                <w:szCs w:val="24"/>
              </w:rPr>
            </w:pPr>
            <w:r w:rsidRPr="00B17255">
              <w:rPr>
                <w:sz w:val="24"/>
                <w:szCs w:val="24"/>
              </w:rPr>
              <w:t>22.0</w:t>
            </w:r>
          </w:p>
        </w:tc>
        <w:tc>
          <w:tcPr>
            <w:tcW w:w="1260" w:type="dxa"/>
            <w:tcBorders>
              <w:top w:val="nil"/>
              <w:left w:val="nil"/>
              <w:bottom w:val="single" w:sz="4" w:space="0" w:color="auto"/>
              <w:right w:val="single" w:sz="4" w:space="0" w:color="auto"/>
            </w:tcBorders>
            <w:noWrap/>
            <w:vAlign w:val="center"/>
            <w:hideMark/>
          </w:tcPr>
          <w:p w14:paraId="0C118B43" w14:textId="77777777" w:rsidR="00B17255" w:rsidRPr="00B17255" w:rsidRDefault="00B17255" w:rsidP="00B17255">
            <w:pPr>
              <w:spacing w:line="360" w:lineRule="auto"/>
              <w:jc w:val="center"/>
              <w:rPr>
                <w:sz w:val="24"/>
                <w:szCs w:val="24"/>
              </w:rPr>
            </w:pPr>
            <w:r w:rsidRPr="00B17255">
              <w:rPr>
                <w:sz w:val="24"/>
                <w:szCs w:val="24"/>
              </w:rPr>
              <w:t>10.0</w:t>
            </w:r>
          </w:p>
        </w:tc>
        <w:tc>
          <w:tcPr>
            <w:tcW w:w="1260" w:type="dxa"/>
            <w:gridSpan w:val="2"/>
            <w:tcBorders>
              <w:top w:val="nil"/>
              <w:left w:val="nil"/>
              <w:bottom w:val="single" w:sz="4" w:space="0" w:color="auto"/>
              <w:right w:val="single" w:sz="4" w:space="0" w:color="auto"/>
            </w:tcBorders>
            <w:noWrap/>
            <w:vAlign w:val="center"/>
            <w:hideMark/>
          </w:tcPr>
          <w:p w14:paraId="18182F1B" w14:textId="77777777" w:rsidR="00B17255" w:rsidRPr="00B17255" w:rsidRDefault="00B17255" w:rsidP="00B17255">
            <w:pPr>
              <w:spacing w:line="360" w:lineRule="auto"/>
              <w:jc w:val="center"/>
              <w:rPr>
                <w:sz w:val="24"/>
                <w:szCs w:val="24"/>
              </w:rPr>
            </w:pPr>
            <w:r w:rsidRPr="00B17255">
              <w:rPr>
                <w:sz w:val="24"/>
                <w:szCs w:val="24"/>
              </w:rPr>
              <w:t>15.0</w:t>
            </w:r>
          </w:p>
        </w:tc>
      </w:tr>
      <w:tr w:rsidR="00B17255" w:rsidRPr="00B17255" w14:paraId="6CD57408"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465BE7FB" w14:textId="77777777" w:rsidR="00B17255" w:rsidRPr="00B17255" w:rsidRDefault="00B17255" w:rsidP="00B17255">
            <w:pPr>
              <w:spacing w:line="360" w:lineRule="auto"/>
              <w:jc w:val="center"/>
              <w:rPr>
                <w:sz w:val="24"/>
                <w:szCs w:val="24"/>
              </w:rPr>
            </w:pPr>
            <w:r w:rsidRPr="00B17255">
              <w:rPr>
                <w:sz w:val="24"/>
                <w:szCs w:val="24"/>
              </w:rPr>
              <w:t>3</w:t>
            </w:r>
          </w:p>
        </w:tc>
        <w:tc>
          <w:tcPr>
            <w:tcW w:w="1260" w:type="dxa"/>
            <w:gridSpan w:val="2"/>
            <w:tcBorders>
              <w:top w:val="nil"/>
              <w:left w:val="nil"/>
              <w:bottom w:val="single" w:sz="4" w:space="0" w:color="auto"/>
              <w:right w:val="single" w:sz="4" w:space="0" w:color="auto"/>
            </w:tcBorders>
            <w:noWrap/>
            <w:vAlign w:val="center"/>
            <w:hideMark/>
          </w:tcPr>
          <w:p w14:paraId="4EDF5EBA" w14:textId="77777777" w:rsidR="00B17255" w:rsidRPr="00B17255" w:rsidRDefault="00B17255" w:rsidP="00B17255">
            <w:pPr>
              <w:spacing w:line="360" w:lineRule="auto"/>
              <w:jc w:val="center"/>
              <w:rPr>
                <w:sz w:val="24"/>
                <w:szCs w:val="24"/>
              </w:rPr>
            </w:pPr>
            <w:r w:rsidRPr="00B17255">
              <w:rPr>
                <w:sz w:val="24"/>
                <w:szCs w:val="24"/>
              </w:rPr>
              <w:t>14.0</w:t>
            </w:r>
          </w:p>
        </w:tc>
        <w:tc>
          <w:tcPr>
            <w:tcW w:w="1260" w:type="dxa"/>
            <w:tcBorders>
              <w:top w:val="nil"/>
              <w:left w:val="nil"/>
              <w:bottom w:val="single" w:sz="4" w:space="0" w:color="auto"/>
              <w:right w:val="single" w:sz="4" w:space="0" w:color="auto"/>
            </w:tcBorders>
            <w:noWrap/>
            <w:vAlign w:val="center"/>
            <w:hideMark/>
          </w:tcPr>
          <w:p w14:paraId="6A41D78A" w14:textId="77777777" w:rsidR="00B17255" w:rsidRPr="00B17255" w:rsidRDefault="00B17255" w:rsidP="00B17255">
            <w:pPr>
              <w:spacing w:line="360" w:lineRule="auto"/>
              <w:jc w:val="center"/>
              <w:rPr>
                <w:sz w:val="24"/>
                <w:szCs w:val="24"/>
              </w:rPr>
            </w:pPr>
            <w:r w:rsidRPr="00B17255">
              <w:rPr>
                <w:sz w:val="24"/>
                <w:szCs w:val="24"/>
              </w:rPr>
              <w:t>36.0</w:t>
            </w:r>
          </w:p>
        </w:tc>
        <w:tc>
          <w:tcPr>
            <w:tcW w:w="1260" w:type="dxa"/>
            <w:gridSpan w:val="2"/>
            <w:tcBorders>
              <w:top w:val="nil"/>
              <w:left w:val="nil"/>
              <w:bottom w:val="single" w:sz="4" w:space="0" w:color="auto"/>
              <w:right w:val="single" w:sz="4" w:space="0" w:color="auto"/>
            </w:tcBorders>
            <w:noWrap/>
            <w:vAlign w:val="center"/>
            <w:hideMark/>
          </w:tcPr>
          <w:p w14:paraId="7AF6BE64" w14:textId="77777777" w:rsidR="00B17255" w:rsidRPr="00B17255" w:rsidRDefault="00B17255" w:rsidP="00B17255">
            <w:pPr>
              <w:spacing w:line="360" w:lineRule="auto"/>
              <w:jc w:val="center"/>
              <w:rPr>
                <w:sz w:val="24"/>
                <w:szCs w:val="24"/>
              </w:rPr>
            </w:pPr>
            <w:r w:rsidRPr="00B17255">
              <w:rPr>
                <w:sz w:val="24"/>
                <w:szCs w:val="24"/>
              </w:rPr>
              <w:t>11.0</w:t>
            </w:r>
          </w:p>
        </w:tc>
        <w:tc>
          <w:tcPr>
            <w:tcW w:w="1260" w:type="dxa"/>
            <w:gridSpan w:val="2"/>
            <w:tcBorders>
              <w:top w:val="nil"/>
              <w:left w:val="nil"/>
              <w:bottom w:val="single" w:sz="4" w:space="0" w:color="auto"/>
              <w:right w:val="single" w:sz="4" w:space="0" w:color="auto"/>
            </w:tcBorders>
            <w:noWrap/>
            <w:vAlign w:val="center"/>
            <w:hideMark/>
          </w:tcPr>
          <w:p w14:paraId="66F30CCB" w14:textId="77777777" w:rsidR="00B17255" w:rsidRPr="00B17255" w:rsidRDefault="00B17255" w:rsidP="00B17255">
            <w:pPr>
              <w:spacing w:line="360" w:lineRule="auto"/>
              <w:jc w:val="center"/>
              <w:rPr>
                <w:sz w:val="24"/>
                <w:szCs w:val="24"/>
              </w:rPr>
            </w:pPr>
            <w:r w:rsidRPr="00B17255">
              <w:rPr>
                <w:sz w:val="24"/>
                <w:szCs w:val="24"/>
              </w:rPr>
              <w:t>33.0</w:t>
            </w:r>
          </w:p>
        </w:tc>
        <w:tc>
          <w:tcPr>
            <w:tcW w:w="1260" w:type="dxa"/>
            <w:tcBorders>
              <w:top w:val="nil"/>
              <w:left w:val="nil"/>
              <w:bottom w:val="single" w:sz="4" w:space="0" w:color="auto"/>
              <w:right w:val="single" w:sz="4" w:space="0" w:color="auto"/>
            </w:tcBorders>
            <w:noWrap/>
            <w:vAlign w:val="center"/>
            <w:hideMark/>
          </w:tcPr>
          <w:p w14:paraId="153EBB5D" w14:textId="77777777" w:rsidR="00B17255" w:rsidRPr="00B17255" w:rsidRDefault="00B17255" w:rsidP="00B17255">
            <w:pPr>
              <w:spacing w:line="360" w:lineRule="auto"/>
              <w:jc w:val="center"/>
              <w:rPr>
                <w:sz w:val="24"/>
                <w:szCs w:val="24"/>
              </w:rPr>
            </w:pPr>
            <w:r w:rsidRPr="00B17255">
              <w:rPr>
                <w:sz w:val="24"/>
                <w:szCs w:val="24"/>
              </w:rPr>
              <w:t>20.0</w:t>
            </w:r>
          </w:p>
        </w:tc>
        <w:tc>
          <w:tcPr>
            <w:tcW w:w="1260" w:type="dxa"/>
            <w:gridSpan w:val="2"/>
            <w:tcBorders>
              <w:top w:val="nil"/>
              <w:left w:val="nil"/>
              <w:bottom w:val="single" w:sz="4" w:space="0" w:color="auto"/>
              <w:right w:val="single" w:sz="4" w:space="0" w:color="auto"/>
            </w:tcBorders>
            <w:noWrap/>
            <w:vAlign w:val="center"/>
            <w:hideMark/>
          </w:tcPr>
          <w:p w14:paraId="22A69CAE" w14:textId="77777777" w:rsidR="00B17255" w:rsidRPr="00B17255" w:rsidRDefault="00B17255" w:rsidP="00B17255">
            <w:pPr>
              <w:spacing w:line="360" w:lineRule="auto"/>
              <w:jc w:val="center"/>
              <w:rPr>
                <w:sz w:val="24"/>
                <w:szCs w:val="24"/>
              </w:rPr>
            </w:pPr>
            <w:r w:rsidRPr="00B17255">
              <w:rPr>
                <w:sz w:val="24"/>
                <w:szCs w:val="24"/>
              </w:rPr>
              <w:t>35.0</w:t>
            </w:r>
          </w:p>
        </w:tc>
      </w:tr>
      <w:tr w:rsidR="00B17255" w:rsidRPr="00B17255" w14:paraId="607DC995"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53D15948" w14:textId="77777777" w:rsidR="00B17255" w:rsidRPr="00B17255" w:rsidRDefault="00B17255" w:rsidP="00B17255">
            <w:pPr>
              <w:spacing w:line="360" w:lineRule="auto"/>
              <w:jc w:val="center"/>
              <w:rPr>
                <w:sz w:val="24"/>
                <w:szCs w:val="24"/>
              </w:rPr>
            </w:pPr>
            <w:r w:rsidRPr="00B17255">
              <w:rPr>
                <w:sz w:val="24"/>
                <w:szCs w:val="24"/>
              </w:rPr>
              <w:t>4</w:t>
            </w:r>
          </w:p>
        </w:tc>
        <w:tc>
          <w:tcPr>
            <w:tcW w:w="1260" w:type="dxa"/>
            <w:gridSpan w:val="2"/>
            <w:tcBorders>
              <w:top w:val="nil"/>
              <w:left w:val="nil"/>
              <w:bottom w:val="single" w:sz="4" w:space="0" w:color="auto"/>
              <w:right w:val="single" w:sz="4" w:space="0" w:color="auto"/>
            </w:tcBorders>
            <w:noWrap/>
            <w:vAlign w:val="center"/>
            <w:hideMark/>
          </w:tcPr>
          <w:p w14:paraId="215AFB18" w14:textId="77777777" w:rsidR="00B17255" w:rsidRPr="00B17255" w:rsidRDefault="00B17255" w:rsidP="00B17255">
            <w:pPr>
              <w:spacing w:line="360" w:lineRule="auto"/>
              <w:jc w:val="center"/>
              <w:rPr>
                <w:sz w:val="24"/>
                <w:szCs w:val="24"/>
              </w:rPr>
            </w:pPr>
            <w:r w:rsidRPr="00B17255">
              <w:rPr>
                <w:sz w:val="24"/>
                <w:szCs w:val="24"/>
              </w:rPr>
              <w:t>10.0</w:t>
            </w:r>
          </w:p>
        </w:tc>
        <w:tc>
          <w:tcPr>
            <w:tcW w:w="1260" w:type="dxa"/>
            <w:tcBorders>
              <w:top w:val="nil"/>
              <w:left w:val="nil"/>
              <w:bottom w:val="single" w:sz="4" w:space="0" w:color="auto"/>
              <w:right w:val="single" w:sz="4" w:space="0" w:color="auto"/>
            </w:tcBorders>
            <w:noWrap/>
            <w:vAlign w:val="center"/>
            <w:hideMark/>
          </w:tcPr>
          <w:p w14:paraId="3A5F9CB0" w14:textId="77777777" w:rsidR="00B17255" w:rsidRPr="00B17255" w:rsidRDefault="00B17255" w:rsidP="00B17255">
            <w:pPr>
              <w:spacing w:line="360" w:lineRule="auto"/>
              <w:jc w:val="center"/>
              <w:rPr>
                <w:sz w:val="24"/>
                <w:szCs w:val="24"/>
              </w:rPr>
            </w:pPr>
            <w:r w:rsidRPr="00B17255">
              <w:rPr>
                <w:sz w:val="24"/>
                <w:szCs w:val="24"/>
              </w:rPr>
              <w:t>46.0</w:t>
            </w:r>
          </w:p>
        </w:tc>
        <w:tc>
          <w:tcPr>
            <w:tcW w:w="1260" w:type="dxa"/>
            <w:gridSpan w:val="2"/>
            <w:tcBorders>
              <w:top w:val="nil"/>
              <w:left w:val="nil"/>
              <w:bottom w:val="single" w:sz="4" w:space="0" w:color="auto"/>
              <w:right w:val="single" w:sz="4" w:space="0" w:color="auto"/>
            </w:tcBorders>
            <w:noWrap/>
            <w:vAlign w:val="center"/>
            <w:hideMark/>
          </w:tcPr>
          <w:p w14:paraId="010AE508" w14:textId="77777777" w:rsidR="00B17255" w:rsidRPr="00B17255" w:rsidRDefault="00B17255" w:rsidP="00B17255">
            <w:pPr>
              <w:spacing w:line="360" w:lineRule="auto"/>
              <w:jc w:val="center"/>
              <w:rPr>
                <w:sz w:val="24"/>
                <w:szCs w:val="24"/>
              </w:rPr>
            </w:pPr>
            <w:r w:rsidRPr="00B17255">
              <w:rPr>
                <w:sz w:val="24"/>
                <w:szCs w:val="24"/>
              </w:rPr>
              <w:t>11.0</w:t>
            </w:r>
          </w:p>
        </w:tc>
        <w:tc>
          <w:tcPr>
            <w:tcW w:w="1260" w:type="dxa"/>
            <w:gridSpan w:val="2"/>
            <w:tcBorders>
              <w:top w:val="nil"/>
              <w:left w:val="nil"/>
              <w:bottom w:val="single" w:sz="4" w:space="0" w:color="auto"/>
              <w:right w:val="single" w:sz="4" w:space="0" w:color="auto"/>
            </w:tcBorders>
            <w:noWrap/>
            <w:vAlign w:val="center"/>
            <w:hideMark/>
          </w:tcPr>
          <w:p w14:paraId="1A011643" w14:textId="77777777" w:rsidR="00B17255" w:rsidRPr="00B17255" w:rsidRDefault="00B17255" w:rsidP="00B17255">
            <w:pPr>
              <w:spacing w:line="360" w:lineRule="auto"/>
              <w:jc w:val="center"/>
              <w:rPr>
                <w:sz w:val="24"/>
                <w:szCs w:val="24"/>
              </w:rPr>
            </w:pPr>
            <w:r w:rsidRPr="00B17255">
              <w:rPr>
                <w:sz w:val="24"/>
                <w:szCs w:val="24"/>
              </w:rPr>
              <w:t>44.0</w:t>
            </w:r>
          </w:p>
        </w:tc>
        <w:tc>
          <w:tcPr>
            <w:tcW w:w="1260" w:type="dxa"/>
            <w:tcBorders>
              <w:top w:val="nil"/>
              <w:left w:val="nil"/>
              <w:bottom w:val="single" w:sz="4" w:space="0" w:color="auto"/>
              <w:right w:val="single" w:sz="4" w:space="0" w:color="auto"/>
            </w:tcBorders>
            <w:noWrap/>
            <w:vAlign w:val="center"/>
            <w:hideMark/>
          </w:tcPr>
          <w:p w14:paraId="36BFBE37" w14:textId="77777777" w:rsidR="00B17255" w:rsidRPr="00B17255" w:rsidRDefault="00B17255" w:rsidP="00B17255">
            <w:pPr>
              <w:spacing w:line="360" w:lineRule="auto"/>
              <w:jc w:val="center"/>
              <w:rPr>
                <w:sz w:val="24"/>
                <w:szCs w:val="24"/>
              </w:rPr>
            </w:pPr>
            <w:r w:rsidRPr="00B17255">
              <w:rPr>
                <w:sz w:val="24"/>
                <w:szCs w:val="24"/>
              </w:rPr>
              <w:t>25.0</w:t>
            </w:r>
          </w:p>
        </w:tc>
        <w:tc>
          <w:tcPr>
            <w:tcW w:w="1260" w:type="dxa"/>
            <w:gridSpan w:val="2"/>
            <w:tcBorders>
              <w:top w:val="nil"/>
              <w:left w:val="nil"/>
              <w:bottom w:val="single" w:sz="4" w:space="0" w:color="auto"/>
              <w:right w:val="single" w:sz="4" w:space="0" w:color="auto"/>
            </w:tcBorders>
            <w:noWrap/>
            <w:vAlign w:val="center"/>
            <w:hideMark/>
          </w:tcPr>
          <w:p w14:paraId="74F119F5" w14:textId="77777777" w:rsidR="00B17255" w:rsidRPr="00B17255" w:rsidRDefault="00B17255" w:rsidP="00B17255">
            <w:pPr>
              <w:spacing w:line="360" w:lineRule="auto"/>
              <w:jc w:val="center"/>
              <w:rPr>
                <w:sz w:val="24"/>
                <w:szCs w:val="24"/>
              </w:rPr>
            </w:pPr>
            <w:r w:rsidRPr="00B17255">
              <w:rPr>
                <w:sz w:val="24"/>
                <w:szCs w:val="24"/>
              </w:rPr>
              <w:t>60.0</w:t>
            </w:r>
          </w:p>
        </w:tc>
      </w:tr>
      <w:tr w:rsidR="00B17255" w:rsidRPr="00B17255" w14:paraId="56343E93"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54AB4374" w14:textId="77777777" w:rsidR="00B17255" w:rsidRPr="00B17255" w:rsidRDefault="00B17255" w:rsidP="00B17255">
            <w:pPr>
              <w:spacing w:line="360" w:lineRule="auto"/>
              <w:jc w:val="center"/>
              <w:rPr>
                <w:sz w:val="24"/>
                <w:szCs w:val="24"/>
              </w:rPr>
            </w:pPr>
            <w:r w:rsidRPr="00B17255">
              <w:rPr>
                <w:sz w:val="24"/>
                <w:szCs w:val="24"/>
              </w:rPr>
              <w:t>5</w:t>
            </w:r>
          </w:p>
        </w:tc>
        <w:tc>
          <w:tcPr>
            <w:tcW w:w="1260" w:type="dxa"/>
            <w:gridSpan w:val="2"/>
            <w:tcBorders>
              <w:top w:val="nil"/>
              <w:left w:val="nil"/>
              <w:bottom w:val="single" w:sz="4" w:space="0" w:color="auto"/>
              <w:right w:val="single" w:sz="4" w:space="0" w:color="auto"/>
            </w:tcBorders>
            <w:noWrap/>
            <w:vAlign w:val="center"/>
            <w:hideMark/>
          </w:tcPr>
          <w:p w14:paraId="49478950" w14:textId="77777777" w:rsidR="00B17255" w:rsidRPr="00B17255" w:rsidRDefault="00B17255" w:rsidP="00B17255">
            <w:pPr>
              <w:spacing w:line="360" w:lineRule="auto"/>
              <w:jc w:val="center"/>
              <w:rPr>
                <w:sz w:val="24"/>
                <w:szCs w:val="24"/>
              </w:rPr>
            </w:pPr>
            <w:r w:rsidRPr="00B17255">
              <w:rPr>
                <w:sz w:val="24"/>
                <w:szCs w:val="24"/>
              </w:rPr>
              <w:t>8.0</w:t>
            </w:r>
          </w:p>
        </w:tc>
        <w:tc>
          <w:tcPr>
            <w:tcW w:w="1260" w:type="dxa"/>
            <w:tcBorders>
              <w:top w:val="nil"/>
              <w:left w:val="nil"/>
              <w:bottom w:val="single" w:sz="4" w:space="0" w:color="auto"/>
              <w:right w:val="single" w:sz="4" w:space="0" w:color="auto"/>
            </w:tcBorders>
            <w:noWrap/>
            <w:vAlign w:val="center"/>
            <w:hideMark/>
          </w:tcPr>
          <w:p w14:paraId="586BA98A" w14:textId="77777777" w:rsidR="00B17255" w:rsidRPr="00B17255" w:rsidRDefault="00B17255" w:rsidP="00B17255">
            <w:pPr>
              <w:spacing w:line="360" w:lineRule="auto"/>
              <w:jc w:val="center"/>
              <w:rPr>
                <w:sz w:val="24"/>
                <w:szCs w:val="24"/>
              </w:rPr>
            </w:pPr>
            <w:r w:rsidRPr="00B17255">
              <w:rPr>
                <w:sz w:val="24"/>
                <w:szCs w:val="24"/>
              </w:rPr>
              <w:t>54.0</w:t>
            </w:r>
          </w:p>
        </w:tc>
        <w:tc>
          <w:tcPr>
            <w:tcW w:w="1260" w:type="dxa"/>
            <w:gridSpan w:val="2"/>
            <w:tcBorders>
              <w:top w:val="nil"/>
              <w:left w:val="nil"/>
              <w:bottom w:val="single" w:sz="4" w:space="0" w:color="auto"/>
              <w:right w:val="single" w:sz="4" w:space="0" w:color="auto"/>
            </w:tcBorders>
            <w:noWrap/>
            <w:vAlign w:val="center"/>
            <w:hideMark/>
          </w:tcPr>
          <w:p w14:paraId="3553E70E" w14:textId="77777777" w:rsidR="00B17255" w:rsidRPr="00B17255" w:rsidRDefault="00B17255" w:rsidP="00B17255">
            <w:pPr>
              <w:spacing w:line="360" w:lineRule="auto"/>
              <w:jc w:val="center"/>
              <w:rPr>
                <w:sz w:val="24"/>
                <w:szCs w:val="24"/>
              </w:rPr>
            </w:pPr>
            <w:r w:rsidRPr="00B17255">
              <w:rPr>
                <w:sz w:val="24"/>
                <w:szCs w:val="24"/>
              </w:rPr>
              <w:t>11.0</w:t>
            </w:r>
          </w:p>
        </w:tc>
        <w:tc>
          <w:tcPr>
            <w:tcW w:w="1260" w:type="dxa"/>
            <w:gridSpan w:val="2"/>
            <w:tcBorders>
              <w:top w:val="nil"/>
              <w:left w:val="nil"/>
              <w:bottom w:val="single" w:sz="4" w:space="0" w:color="auto"/>
              <w:right w:val="single" w:sz="4" w:space="0" w:color="auto"/>
            </w:tcBorders>
            <w:noWrap/>
            <w:vAlign w:val="center"/>
            <w:hideMark/>
          </w:tcPr>
          <w:p w14:paraId="6ED3C858" w14:textId="77777777" w:rsidR="00B17255" w:rsidRPr="00B17255" w:rsidRDefault="00B17255" w:rsidP="00B17255">
            <w:pPr>
              <w:spacing w:line="360" w:lineRule="auto"/>
              <w:jc w:val="center"/>
              <w:rPr>
                <w:sz w:val="24"/>
                <w:szCs w:val="24"/>
              </w:rPr>
            </w:pPr>
            <w:r w:rsidRPr="00B17255">
              <w:rPr>
                <w:sz w:val="24"/>
                <w:szCs w:val="24"/>
              </w:rPr>
              <w:t>55.0</w:t>
            </w:r>
          </w:p>
        </w:tc>
        <w:tc>
          <w:tcPr>
            <w:tcW w:w="1260" w:type="dxa"/>
            <w:tcBorders>
              <w:top w:val="nil"/>
              <w:left w:val="nil"/>
              <w:bottom w:val="single" w:sz="4" w:space="0" w:color="auto"/>
              <w:right w:val="single" w:sz="4" w:space="0" w:color="auto"/>
            </w:tcBorders>
            <w:noWrap/>
            <w:vAlign w:val="center"/>
            <w:hideMark/>
          </w:tcPr>
          <w:p w14:paraId="4DB9C404" w14:textId="77777777" w:rsidR="00B17255" w:rsidRPr="00B17255" w:rsidRDefault="00B17255" w:rsidP="00B17255">
            <w:pPr>
              <w:spacing w:line="360" w:lineRule="auto"/>
              <w:jc w:val="center"/>
              <w:rPr>
                <w:sz w:val="24"/>
                <w:szCs w:val="24"/>
              </w:rPr>
            </w:pPr>
            <w:r w:rsidRPr="00B17255">
              <w:rPr>
                <w:sz w:val="24"/>
                <w:szCs w:val="24"/>
              </w:rPr>
              <w:t>5.0</w:t>
            </w:r>
          </w:p>
        </w:tc>
        <w:tc>
          <w:tcPr>
            <w:tcW w:w="1260" w:type="dxa"/>
            <w:gridSpan w:val="2"/>
            <w:tcBorders>
              <w:top w:val="nil"/>
              <w:left w:val="nil"/>
              <w:bottom w:val="single" w:sz="4" w:space="0" w:color="auto"/>
              <w:right w:val="single" w:sz="4" w:space="0" w:color="auto"/>
            </w:tcBorders>
            <w:noWrap/>
            <w:vAlign w:val="center"/>
            <w:hideMark/>
          </w:tcPr>
          <w:p w14:paraId="6AA1A498" w14:textId="77777777" w:rsidR="00B17255" w:rsidRPr="00B17255" w:rsidRDefault="00B17255" w:rsidP="00B17255">
            <w:pPr>
              <w:spacing w:line="360" w:lineRule="auto"/>
              <w:jc w:val="center"/>
              <w:rPr>
                <w:sz w:val="24"/>
                <w:szCs w:val="24"/>
              </w:rPr>
            </w:pPr>
            <w:r w:rsidRPr="00B17255">
              <w:rPr>
                <w:sz w:val="24"/>
                <w:szCs w:val="24"/>
              </w:rPr>
              <w:t>65.0</w:t>
            </w:r>
          </w:p>
        </w:tc>
      </w:tr>
      <w:tr w:rsidR="00B17255" w:rsidRPr="00B17255" w14:paraId="0AF1CB30" w14:textId="77777777" w:rsidTr="00B17255">
        <w:trPr>
          <w:trHeight w:val="300"/>
        </w:trPr>
        <w:tc>
          <w:tcPr>
            <w:tcW w:w="2520" w:type="dxa"/>
            <w:tcBorders>
              <w:top w:val="nil"/>
              <w:left w:val="nil"/>
              <w:bottom w:val="nil"/>
              <w:right w:val="nil"/>
            </w:tcBorders>
            <w:noWrap/>
            <w:vAlign w:val="bottom"/>
            <w:hideMark/>
          </w:tcPr>
          <w:p w14:paraId="2D5161B3" w14:textId="77777777" w:rsidR="00B17255" w:rsidRPr="00B17255" w:rsidRDefault="00B17255" w:rsidP="00B17255">
            <w:pPr>
              <w:spacing w:line="360" w:lineRule="auto"/>
              <w:jc w:val="center"/>
              <w:rPr>
                <w:color w:val="000000"/>
                <w:sz w:val="24"/>
                <w:szCs w:val="24"/>
              </w:rPr>
            </w:pPr>
          </w:p>
        </w:tc>
        <w:tc>
          <w:tcPr>
            <w:tcW w:w="1260" w:type="dxa"/>
            <w:gridSpan w:val="2"/>
            <w:tcBorders>
              <w:top w:val="nil"/>
              <w:left w:val="nil"/>
              <w:bottom w:val="nil"/>
              <w:right w:val="nil"/>
            </w:tcBorders>
            <w:noWrap/>
            <w:vAlign w:val="bottom"/>
            <w:hideMark/>
          </w:tcPr>
          <w:p w14:paraId="261DD0C4" w14:textId="77777777" w:rsidR="00B17255" w:rsidRPr="00B17255" w:rsidRDefault="00B17255" w:rsidP="00B17255">
            <w:pPr>
              <w:spacing w:line="360" w:lineRule="auto"/>
              <w:jc w:val="center"/>
              <w:rPr>
                <w:color w:val="000000"/>
                <w:sz w:val="24"/>
                <w:szCs w:val="24"/>
              </w:rPr>
            </w:pPr>
          </w:p>
        </w:tc>
        <w:tc>
          <w:tcPr>
            <w:tcW w:w="1260" w:type="dxa"/>
            <w:tcBorders>
              <w:top w:val="nil"/>
              <w:left w:val="nil"/>
              <w:bottom w:val="nil"/>
              <w:right w:val="nil"/>
            </w:tcBorders>
            <w:noWrap/>
            <w:vAlign w:val="bottom"/>
            <w:hideMark/>
          </w:tcPr>
          <w:p w14:paraId="60DEC6A5" w14:textId="77777777" w:rsidR="00B17255" w:rsidRPr="00B17255" w:rsidRDefault="00B17255" w:rsidP="00B17255">
            <w:pPr>
              <w:spacing w:line="360" w:lineRule="auto"/>
              <w:jc w:val="center"/>
              <w:rPr>
                <w:color w:val="000000"/>
                <w:sz w:val="24"/>
                <w:szCs w:val="24"/>
              </w:rPr>
            </w:pPr>
          </w:p>
        </w:tc>
        <w:tc>
          <w:tcPr>
            <w:tcW w:w="1260" w:type="dxa"/>
            <w:gridSpan w:val="2"/>
            <w:tcBorders>
              <w:top w:val="nil"/>
              <w:left w:val="nil"/>
              <w:bottom w:val="nil"/>
              <w:right w:val="nil"/>
            </w:tcBorders>
            <w:noWrap/>
            <w:vAlign w:val="bottom"/>
            <w:hideMark/>
          </w:tcPr>
          <w:p w14:paraId="5D7780CE" w14:textId="77777777" w:rsidR="00B17255" w:rsidRPr="00B17255" w:rsidRDefault="00B17255" w:rsidP="00B17255">
            <w:pPr>
              <w:spacing w:line="360" w:lineRule="auto"/>
              <w:jc w:val="center"/>
              <w:rPr>
                <w:color w:val="000000"/>
                <w:sz w:val="24"/>
                <w:szCs w:val="24"/>
              </w:rPr>
            </w:pPr>
          </w:p>
        </w:tc>
        <w:tc>
          <w:tcPr>
            <w:tcW w:w="1260" w:type="dxa"/>
            <w:gridSpan w:val="2"/>
            <w:tcBorders>
              <w:top w:val="nil"/>
              <w:left w:val="nil"/>
              <w:bottom w:val="nil"/>
              <w:right w:val="nil"/>
            </w:tcBorders>
            <w:noWrap/>
            <w:vAlign w:val="bottom"/>
            <w:hideMark/>
          </w:tcPr>
          <w:p w14:paraId="4C954902" w14:textId="77777777" w:rsidR="00B17255" w:rsidRPr="00B17255" w:rsidRDefault="00B17255" w:rsidP="00B17255">
            <w:pPr>
              <w:spacing w:line="360" w:lineRule="auto"/>
              <w:jc w:val="center"/>
              <w:rPr>
                <w:color w:val="000000"/>
                <w:sz w:val="24"/>
                <w:szCs w:val="24"/>
              </w:rPr>
            </w:pPr>
          </w:p>
        </w:tc>
        <w:tc>
          <w:tcPr>
            <w:tcW w:w="1260" w:type="dxa"/>
            <w:tcBorders>
              <w:top w:val="nil"/>
              <w:left w:val="nil"/>
              <w:bottom w:val="nil"/>
              <w:right w:val="nil"/>
            </w:tcBorders>
            <w:noWrap/>
            <w:vAlign w:val="bottom"/>
            <w:hideMark/>
          </w:tcPr>
          <w:p w14:paraId="161EBA54" w14:textId="77777777" w:rsidR="00B17255" w:rsidRPr="00B17255" w:rsidRDefault="00B17255" w:rsidP="00B17255">
            <w:pPr>
              <w:spacing w:line="360" w:lineRule="auto"/>
              <w:jc w:val="center"/>
              <w:rPr>
                <w:color w:val="000000"/>
                <w:sz w:val="24"/>
                <w:szCs w:val="24"/>
              </w:rPr>
            </w:pPr>
          </w:p>
        </w:tc>
        <w:tc>
          <w:tcPr>
            <w:tcW w:w="1260" w:type="dxa"/>
            <w:gridSpan w:val="2"/>
            <w:tcBorders>
              <w:top w:val="nil"/>
              <w:left w:val="nil"/>
              <w:bottom w:val="nil"/>
              <w:right w:val="nil"/>
            </w:tcBorders>
            <w:noWrap/>
            <w:vAlign w:val="bottom"/>
            <w:hideMark/>
          </w:tcPr>
          <w:p w14:paraId="33DEF1DF" w14:textId="77777777" w:rsidR="00B17255" w:rsidRPr="00B17255" w:rsidRDefault="00B17255" w:rsidP="00B17255">
            <w:pPr>
              <w:spacing w:line="360" w:lineRule="auto"/>
              <w:jc w:val="center"/>
              <w:rPr>
                <w:color w:val="000000"/>
                <w:sz w:val="24"/>
                <w:szCs w:val="24"/>
              </w:rPr>
            </w:pPr>
          </w:p>
        </w:tc>
      </w:tr>
      <w:tr w:rsidR="00B17255" w:rsidRPr="00B17255" w14:paraId="00BF9E53" w14:textId="77777777" w:rsidTr="00B17255">
        <w:trPr>
          <w:trHeight w:val="300"/>
        </w:trPr>
        <w:tc>
          <w:tcPr>
            <w:tcW w:w="2520" w:type="dxa"/>
            <w:tcBorders>
              <w:top w:val="single" w:sz="4" w:space="0" w:color="auto"/>
              <w:left w:val="single" w:sz="4" w:space="0" w:color="auto"/>
              <w:bottom w:val="single" w:sz="4" w:space="0" w:color="auto"/>
              <w:right w:val="single" w:sz="4" w:space="0" w:color="auto"/>
            </w:tcBorders>
            <w:vAlign w:val="center"/>
            <w:hideMark/>
          </w:tcPr>
          <w:p w14:paraId="790C9560" w14:textId="77777777" w:rsidR="00B17255" w:rsidRPr="00B17255" w:rsidRDefault="00B17255" w:rsidP="00B17255">
            <w:pPr>
              <w:spacing w:line="360" w:lineRule="auto"/>
              <w:jc w:val="center"/>
              <w:rPr>
                <w:b/>
                <w:bCs/>
                <w:sz w:val="24"/>
                <w:szCs w:val="24"/>
              </w:rPr>
            </w:pPr>
            <w:r w:rsidRPr="00B17255">
              <w:rPr>
                <w:b/>
                <w:bCs/>
                <w:sz w:val="24"/>
                <w:szCs w:val="24"/>
              </w:rPr>
              <w:t>Payback Calculation</w:t>
            </w:r>
          </w:p>
        </w:tc>
        <w:tc>
          <w:tcPr>
            <w:tcW w:w="1260" w:type="dxa"/>
            <w:gridSpan w:val="2"/>
            <w:tcBorders>
              <w:top w:val="single" w:sz="4" w:space="0" w:color="auto"/>
              <w:left w:val="nil"/>
              <w:bottom w:val="single" w:sz="4" w:space="0" w:color="auto"/>
              <w:right w:val="single" w:sz="4" w:space="0" w:color="auto"/>
            </w:tcBorders>
            <w:vAlign w:val="center"/>
            <w:hideMark/>
          </w:tcPr>
          <w:p w14:paraId="72CB72C4"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260" w:type="dxa"/>
            <w:tcBorders>
              <w:top w:val="single" w:sz="4" w:space="0" w:color="auto"/>
              <w:left w:val="nil"/>
              <w:bottom w:val="single" w:sz="4" w:space="0" w:color="auto"/>
              <w:right w:val="single" w:sz="4" w:space="0" w:color="auto"/>
            </w:tcBorders>
            <w:vAlign w:val="center"/>
            <w:hideMark/>
          </w:tcPr>
          <w:p w14:paraId="01FEC2D1"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260" w:type="dxa"/>
            <w:gridSpan w:val="2"/>
            <w:tcBorders>
              <w:top w:val="single" w:sz="4" w:space="0" w:color="auto"/>
              <w:left w:val="nil"/>
              <w:bottom w:val="single" w:sz="4" w:space="0" w:color="auto"/>
              <w:right w:val="single" w:sz="4" w:space="0" w:color="auto"/>
            </w:tcBorders>
            <w:vAlign w:val="center"/>
            <w:hideMark/>
          </w:tcPr>
          <w:p w14:paraId="258477E9" w14:textId="77777777" w:rsidR="00B17255" w:rsidRPr="00B17255" w:rsidRDefault="00B17255" w:rsidP="00B17255">
            <w:pPr>
              <w:spacing w:line="360" w:lineRule="auto"/>
              <w:jc w:val="center"/>
              <w:rPr>
                <w:b/>
                <w:bCs/>
                <w:sz w:val="24"/>
                <w:szCs w:val="24"/>
              </w:rPr>
            </w:pPr>
            <w:r w:rsidRPr="00B17255">
              <w:rPr>
                <w:b/>
                <w:bCs/>
                <w:sz w:val="24"/>
                <w:szCs w:val="24"/>
              </w:rPr>
              <w:t>Project C</w:t>
            </w:r>
          </w:p>
        </w:tc>
        <w:tc>
          <w:tcPr>
            <w:tcW w:w="1260" w:type="dxa"/>
            <w:gridSpan w:val="2"/>
            <w:tcBorders>
              <w:top w:val="nil"/>
              <w:left w:val="nil"/>
              <w:bottom w:val="nil"/>
              <w:right w:val="nil"/>
            </w:tcBorders>
            <w:noWrap/>
            <w:vAlign w:val="bottom"/>
            <w:hideMark/>
          </w:tcPr>
          <w:p w14:paraId="65F8F106" w14:textId="77777777" w:rsidR="00B17255" w:rsidRPr="00B17255" w:rsidRDefault="00B17255" w:rsidP="00B17255">
            <w:pPr>
              <w:spacing w:line="360" w:lineRule="auto"/>
              <w:jc w:val="center"/>
              <w:rPr>
                <w:color w:val="000000"/>
                <w:sz w:val="24"/>
                <w:szCs w:val="24"/>
              </w:rPr>
            </w:pPr>
          </w:p>
        </w:tc>
        <w:tc>
          <w:tcPr>
            <w:tcW w:w="1260" w:type="dxa"/>
            <w:tcBorders>
              <w:top w:val="nil"/>
              <w:left w:val="nil"/>
              <w:bottom w:val="nil"/>
              <w:right w:val="nil"/>
            </w:tcBorders>
            <w:noWrap/>
            <w:vAlign w:val="bottom"/>
            <w:hideMark/>
          </w:tcPr>
          <w:p w14:paraId="1A4359AF" w14:textId="77777777" w:rsidR="00B17255" w:rsidRPr="00B17255" w:rsidRDefault="00B17255" w:rsidP="00B17255">
            <w:pPr>
              <w:spacing w:line="360" w:lineRule="auto"/>
              <w:jc w:val="center"/>
              <w:rPr>
                <w:color w:val="000000"/>
                <w:sz w:val="24"/>
                <w:szCs w:val="24"/>
              </w:rPr>
            </w:pPr>
          </w:p>
        </w:tc>
        <w:tc>
          <w:tcPr>
            <w:tcW w:w="1260" w:type="dxa"/>
            <w:gridSpan w:val="2"/>
            <w:tcBorders>
              <w:top w:val="nil"/>
              <w:left w:val="nil"/>
              <w:bottom w:val="nil"/>
              <w:right w:val="nil"/>
            </w:tcBorders>
            <w:noWrap/>
            <w:vAlign w:val="bottom"/>
            <w:hideMark/>
          </w:tcPr>
          <w:p w14:paraId="24D454A2" w14:textId="77777777" w:rsidR="00B17255" w:rsidRPr="00B17255" w:rsidRDefault="00B17255" w:rsidP="00B17255">
            <w:pPr>
              <w:spacing w:line="360" w:lineRule="auto"/>
              <w:jc w:val="center"/>
              <w:rPr>
                <w:color w:val="000000"/>
                <w:sz w:val="24"/>
                <w:szCs w:val="24"/>
              </w:rPr>
            </w:pPr>
          </w:p>
        </w:tc>
      </w:tr>
      <w:tr w:rsidR="00B17255" w:rsidRPr="00B17255" w14:paraId="78555F9C"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522996F7" w14:textId="77777777" w:rsidR="00B17255" w:rsidRPr="00B17255" w:rsidRDefault="00B17255" w:rsidP="00B17255">
            <w:pPr>
              <w:spacing w:line="360" w:lineRule="auto"/>
              <w:jc w:val="center"/>
              <w:rPr>
                <w:sz w:val="24"/>
                <w:szCs w:val="24"/>
              </w:rPr>
            </w:pPr>
            <w:r w:rsidRPr="00B17255">
              <w:rPr>
                <w:sz w:val="24"/>
                <w:szCs w:val="24"/>
              </w:rPr>
              <w:t>Payback Period (years)</w:t>
            </w:r>
          </w:p>
        </w:tc>
        <w:tc>
          <w:tcPr>
            <w:tcW w:w="1260" w:type="dxa"/>
            <w:gridSpan w:val="2"/>
            <w:tcBorders>
              <w:top w:val="nil"/>
              <w:left w:val="nil"/>
              <w:bottom w:val="single" w:sz="4" w:space="0" w:color="auto"/>
              <w:right w:val="single" w:sz="4" w:space="0" w:color="auto"/>
            </w:tcBorders>
            <w:noWrap/>
            <w:vAlign w:val="center"/>
            <w:hideMark/>
          </w:tcPr>
          <w:p w14:paraId="20916025" w14:textId="77777777" w:rsidR="00B17255" w:rsidRPr="00B17255" w:rsidRDefault="00B17255" w:rsidP="00B17255">
            <w:pPr>
              <w:spacing w:line="360" w:lineRule="auto"/>
              <w:jc w:val="center"/>
              <w:rPr>
                <w:sz w:val="24"/>
                <w:szCs w:val="24"/>
              </w:rPr>
            </w:pPr>
            <w:r w:rsidRPr="00B17255">
              <w:rPr>
                <w:sz w:val="24"/>
                <w:szCs w:val="24"/>
              </w:rPr>
              <w:t>4.50</w:t>
            </w:r>
          </w:p>
        </w:tc>
        <w:tc>
          <w:tcPr>
            <w:tcW w:w="1260" w:type="dxa"/>
            <w:tcBorders>
              <w:top w:val="nil"/>
              <w:left w:val="nil"/>
              <w:bottom w:val="single" w:sz="4" w:space="0" w:color="auto"/>
              <w:right w:val="single" w:sz="4" w:space="0" w:color="auto"/>
            </w:tcBorders>
            <w:noWrap/>
            <w:vAlign w:val="center"/>
            <w:hideMark/>
          </w:tcPr>
          <w:p w14:paraId="0422254A" w14:textId="77777777" w:rsidR="00B17255" w:rsidRPr="00B17255" w:rsidRDefault="00B17255" w:rsidP="00B17255">
            <w:pPr>
              <w:spacing w:line="360" w:lineRule="auto"/>
              <w:jc w:val="center"/>
              <w:rPr>
                <w:sz w:val="24"/>
                <w:szCs w:val="24"/>
              </w:rPr>
            </w:pPr>
            <w:r w:rsidRPr="00B17255">
              <w:rPr>
                <w:sz w:val="24"/>
                <w:szCs w:val="24"/>
              </w:rPr>
              <w:t>4.55</w:t>
            </w:r>
          </w:p>
        </w:tc>
        <w:tc>
          <w:tcPr>
            <w:tcW w:w="1260" w:type="dxa"/>
            <w:gridSpan w:val="2"/>
            <w:tcBorders>
              <w:top w:val="nil"/>
              <w:left w:val="nil"/>
              <w:bottom w:val="single" w:sz="4" w:space="0" w:color="auto"/>
              <w:right w:val="single" w:sz="4" w:space="0" w:color="auto"/>
            </w:tcBorders>
            <w:noWrap/>
            <w:vAlign w:val="center"/>
            <w:hideMark/>
          </w:tcPr>
          <w:p w14:paraId="2CFD440D" w14:textId="77777777" w:rsidR="00B17255" w:rsidRPr="00B17255" w:rsidRDefault="00B17255" w:rsidP="00B17255">
            <w:pPr>
              <w:spacing w:line="360" w:lineRule="auto"/>
              <w:jc w:val="center"/>
              <w:rPr>
                <w:sz w:val="24"/>
                <w:szCs w:val="24"/>
              </w:rPr>
            </w:pPr>
            <w:r w:rsidRPr="00B17255">
              <w:rPr>
                <w:sz w:val="24"/>
                <w:szCs w:val="24"/>
              </w:rPr>
              <w:t>3.60</w:t>
            </w:r>
          </w:p>
        </w:tc>
        <w:tc>
          <w:tcPr>
            <w:tcW w:w="1260" w:type="dxa"/>
            <w:gridSpan w:val="2"/>
            <w:tcBorders>
              <w:top w:val="nil"/>
              <w:left w:val="nil"/>
              <w:bottom w:val="nil"/>
              <w:right w:val="nil"/>
            </w:tcBorders>
            <w:noWrap/>
            <w:vAlign w:val="bottom"/>
            <w:hideMark/>
          </w:tcPr>
          <w:p w14:paraId="0B287B18" w14:textId="77777777" w:rsidR="00B17255" w:rsidRPr="00B17255" w:rsidRDefault="00B17255" w:rsidP="00B17255">
            <w:pPr>
              <w:spacing w:line="360" w:lineRule="auto"/>
              <w:jc w:val="center"/>
              <w:rPr>
                <w:color w:val="000000"/>
                <w:sz w:val="24"/>
                <w:szCs w:val="24"/>
              </w:rPr>
            </w:pPr>
          </w:p>
        </w:tc>
        <w:tc>
          <w:tcPr>
            <w:tcW w:w="1260" w:type="dxa"/>
            <w:tcBorders>
              <w:top w:val="nil"/>
              <w:left w:val="nil"/>
              <w:bottom w:val="nil"/>
              <w:right w:val="nil"/>
            </w:tcBorders>
            <w:noWrap/>
            <w:vAlign w:val="bottom"/>
            <w:hideMark/>
          </w:tcPr>
          <w:p w14:paraId="2B070F6D" w14:textId="77777777" w:rsidR="00B17255" w:rsidRPr="00B17255" w:rsidRDefault="00B17255" w:rsidP="00B17255">
            <w:pPr>
              <w:spacing w:line="360" w:lineRule="auto"/>
              <w:jc w:val="center"/>
              <w:rPr>
                <w:color w:val="000000"/>
                <w:sz w:val="24"/>
                <w:szCs w:val="24"/>
              </w:rPr>
            </w:pPr>
          </w:p>
        </w:tc>
        <w:tc>
          <w:tcPr>
            <w:tcW w:w="1260" w:type="dxa"/>
            <w:gridSpan w:val="2"/>
            <w:tcBorders>
              <w:top w:val="nil"/>
              <w:left w:val="nil"/>
              <w:bottom w:val="nil"/>
              <w:right w:val="nil"/>
            </w:tcBorders>
            <w:noWrap/>
            <w:vAlign w:val="bottom"/>
            <w:hideMark/>
          </w:tcPr>
          <w:p w14:paraId="48E79BEB" w14:textId="77777777" w:rsidR="00B17255" w:rsidRPr="00B17255" w:rsidRDefault="00B17255" w:rsidP="00B17255">
            <w:pPr>
              <w:spacing w:line="360" w:lineRule="auto"/>
              <w:jc w:val="center"/>
              <w:rPr>
                <w:color w:val="000000"/>
                <w:sz w:val="24"/>
                <w:szCs w:val="24"/>
              </w:rPr>
            </w:pPr>
          </w:p>
        </w:tc>
      </w:tr>
    </w:tbl>
    <w:p w14:paraId="7E41CA52" w14:textId="77777777" w:rsidR="00B17255" w:rsidRPr="00B17255" w:rsidRDefault="00B17255" w:rsidP="00B17255">
      <w:pPr>
        <w:pStyle w:val="NormalWeb"/>
        <w:spacing w:line="360" w:lineRule="auto"/>
        <w:jc w:val="center"/>
      </w:pPr>
    </w:p>
    <w:tbl>
      <w:tblPr>
        <w:tblW w:w="7440" w:type="dxa"/>
        <w:tblInd w:w="93" w:type="dxa"/>
        <w:tblLook w:val="04A0" w:firstRow="1" w:lastRow="0" w:firstColumn="1" w:lastColumn="0" w:noHBand="0" w:noVBand="1"/>
      </w:tblPr>
      <w:tblGrid>
        <w:gridCol w:w="3834"/>
        <w:gridCol w:w="1202"/>
        <w:gridCol w:w="1202"/>
        <w:gridCol w:w="1202"/>
      </w:tblGrid>
      <w:tr w:rsidR="00B17255" w:rsidRPr="00B17255" w14:paraId="064B4B3A" w14:textId="77777777" w:rsidTr="00B17255">
        <w:trPr>
          <w:trHeight w:val="300"/>
        </w:trPr>
        <w:tc>
          <w:tcPr>
            <w:tcW w:w="3834" w:type="dxa"/>
            <w:tcBorders>
              <w:top w:val="single" w:sz="4" w:space="0" w:color="auto"/>
              <w:left w:val="single" w:sz="4" w:space="0" w:color="auto"/>
              <w:bottom w:val="single" w:sz="4" w:space="0" w:color="auto"/>
              <w:right w:val="single" w:sz="4" w:space="0" w:color="auto"/>
            </w:tcBorders>
            <w:vAlign w:val="center"/>
            <w:hideMark/>
          </w:tcPr>
          <w:p w14:paraId="3CFBA64C" w14:textId="77777777" w:rsidR="00B17255" w:rsidRPr="00B17255" w:rsidRDefault="00B17255" w:rsidP="00B17255">
            <w:pPr>
              <w:spacing w:line="360" w:lineRule="auto"/>
              <w:jc w:val="center"/>
              <w:rPr>
                <w:b/>
                <w:bCs/>
                <w:sz w:val="24"/>
                <w:szCs w:val="24"/>
              </w:rPr>
            </w:pPr>
            <w:r w:rsidRPr="00B17255">
              <w:rPr>
                <w:b/>
                <w:bCs/>
                <w:sz w:val="24"/>
                <w:szCs w:val="24"/>
              </w:rPr>
              <w:t>Item</w:t>
            </w:r>
          </w:p>
        </w:tc>
        <w:tc>
          <w:tcPr>
            <w:tcW w:w="1202" w:type="dxa"/>
            <w:tcBorders>
              <w:top w:val="single" w:sz="4" w:space="0" w:color="auto"/>
              <w:left w:val="nil"/>
              <w:bottom w:val="single" w:sz="4" w:space="0" w:color="auto"/>
              <w:right w:val="single" w:sz="4" w:space="0" w:color="auto"/>
            </w:tcBorders>
            <w:vAlign w:val="center"/>
            <w:hideMark/>
          </w:tcPr>
          <w:p w14:paraId="1D278ADA"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202" w:type="dxa"/>
            <w:tcBorders>
              <w:top w:val="single" w:sz="4" w:space="0" w:color="auto"/>
              <w:left w:val="nil"/>
              <w:bottom w:val="single" w:sz="4" w:space="0" w:color="auto"/>
              <w:right w:val="single" w:sz="4" w:space="0" w:color="auto"/>
            </w:tcBorders>
            <w:vAlign w:val="center"/>
            <w:hideMark/>
          </w:tcPr>
          <w:p w14:paraId="11068D7D"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202" w:type="dxa"/>
            <w:tcBorders>
              <w:top w:val="single" w:sz="4" w:space="0" w:color="auto"/>
              <w:left w:val="nil"/>
              <w:bottom w:val="single" w:sz="4" w:space="0" w:color="auto"/>
              <w:right w:val="single" w:sz="4" w:space="0" w:color="auto"/>
            </w:tcBorders>
            <w:vAlign w:val="center"/>
            <w:hideMark/>
          </w:tcPr>
          <w:p w14:paraId="436EA20B" w14:textId="77777777" w:rsidR="00B17255" w:rsidRPr="00B17255" w:rsidRDefault="00B17255" w:rsidP="00B17255">
            <w:pPr>
              <w:spacing w:line="360" w:lineRule="auto"/>
              <w:jc w:val="center"/>
              <w:rPr>
                <w:b/>
                <w:bCs/>
                <w:sz w:val="24"/>
                <w:szCs w:val="24"/>
              </w:rPr>
            </w:pPr>
            <w:r w:rsidRPr="00B17255">
              <w:rPr>
                <w:b/>
                <w:bCs/>
                <w:sz w:val="24"/>
                <w:szCs w:val="24"/>
              </w:rPr>
              <w:t>Project C</w:t>
            </w:r>
          </w:p>
        </w:tc>
      </w:tr>
      <w:tr w:rsidR="00B17255" w:rsidRPr="00B17255" w14:paraId="46A6515E" w14:textId="77777777" w:rsidTr="00B17255">
        <w:trPr>
          <w:trHeight w:val="300"/>
        </w:trPr>
        <w:tc>
          <w:tcPr>
            <w:tcW w:w="3834" w:type="dxa"/>
            <w:tcBorders>
              <w:top w:val="nil"/>
              <w:left w:val="single" w:sz="4" w:space="0" w:color="auto"/>
              <w:bottom w:val="single" w:sz="4" w:space="0" w:color="auto"/>
              <w:right w:val="single" w:sz="4" w:space="0" w:color="auto"/>
            </w:tcBorders>
            <w:noWrap/>
            <w:vAlign w:val="center"/>
            <w:hideMark/>
          </w:tcPr>
          <w:p w14:paraId="1191B1A3" w14:textId="77777777" w:rsidR="00B17255" w:rsidRPr="00B17255" w:rsidRDefault="00B17255" w:rsidP="00B17255">
            <w:pPr>
              <w:spacing w:line="360" w:lineRule="auto"/>
              <w:jc w:val="center"/>
              <w:rPr>
                <w:sz w:val="24"/>
                <w:szCs w:val="24"/>
              </w:rPr>
            </w:pPr>
            <w:r w:rsidRPr="00B17255">
              <w:rPr>
                <w:sz w:val="24"/>
                <w:szCs w:val="24"/>
              </w:rPr>
              <w:t>Average Annual Cash Inflow (£m)</w:t>
            </w:r>
          </w:p>
        </w:tc>
        <w:tc>
          <w:tcPr>
            <w:tcW w:w="1202" w:type="dxa"/>
            <w:tcBorders>
              <w:top w:val="nil"/>
              <w:left w:val="nil"/>
              <w:bottom w:val="single" w:sz="4" w:space="0" w:color="auto"/>
              <w:right w:val="single" w:sz="4" w:space="0" w:color="auto"/>
            </w:tcBorders>
            <w:noWrap/>
            <w:vAlign w:val="center"/>
            <w:hideMark/>
          </w:tcPr>
          <w:p w14:paraId="1D586B38" w14:textId="77777777" w:rsidR="00B17255" w:rsidRPr="00B17255" w:rsidRDefault="00B17255" w:rsidP="00B17255">
            <w:pPr>
              <w:spacing w:line="360" w:lineRule="auto"/>
              <w:jc w:val="center"/>
              <w:rPr>
                <w:sz w:val="24"/>
                <w:szCs w:val="24"/>
              </w:rPr>
            </w:pPr>
            <w:r w:rsidRPr="00B17255">
              <w:rPr>
                <w:sz w:val="24"/>
                <w:szCs w:val="24"/>
              </w:rPr>
              <w:t>10.80</w:t>
            </w:r>
          </w:p>
        </w:tc>
        <w:tc>
          <w:tcPr>
            <w:tcW w:w="1202" w:type="dxa"/>
            <w:tcBorders>
              <w:top w:val="nil"/>
              <w:left w:val="nil"/>
              <w:bottom w:val="single" w:sz="4" w:space="0" w:color="auto"/>
              <w:right w:val="single" w:sz="4" w:space="0" w:color="auto"/>
            </w:tcBorders>
            <w:noWrap/>
            <w:vAlign w:val="center"/>
            <w:hideMark/>
          </w:tcPr>
          <w:p w14:paraId="6416153D" w14:textId="77777777" w:rsidR="00B17255" w:rsidRPr="00B17255" w:rsidRDefault="00B17255" w:rsidP="00B17255">
            <w:pPr>
              <w:spacing w:line="360" w:lineRule="auto"/>
              <w:jc w:val="center"/>
              <w:rPr>
                <w:sz w:val="24"/>
                <w:szCs w:val="24"/>
              </w:rPr>
            </w:pPr>
            <w:r w:rsidRPr="00B17255">
              <w:rPr>
                <w:sz w:val="24"/>
                <w:szCs w:val="24"/>
              </w:rPr>
              <w:t>11.00</w:t>
            </w:r>
          </w:p>
        </w:tc>
        <w:tc>
          <w:tcPr>
            <w:tcW w:w="1202" w:type="dxa"/>
            <w:tcBorders>
              <w:top w:val="nil"/>
              <w:left w:val="nil"/>
              <w:bottom w:val="single" w:sz="4" w:space="0" w:color="auto"/>
              <w:right w:val="single" w:sz="4" w:space="0" w:color="auto"/>
            </w:tcBorders>
            <w:noWrap/>
            <w:vAlign w:val="center"/>
            <w:hideMark/>
          </w:tcPr>
          <w:p w14:paraId="3E39B374" w14:textId="77777777" w:rsidR="00B17255" w:rsidRPr="00B17255" w:rsidRDefault="00B17255" w:rsidP="00B17255">
            <w:pPr>
              <w:spacing w:line="360" w:lineRule="auto"/>
              <w:jc w:val="center"/>
              <w:rPr>
                <w:sz w:val="24"/>
                <w:szCs w:val="24"/>
              </w:rPr>
            </w:pPr>
            <w:r w:rsidRPr="00B17255">
              <w:rPr>
                <w:sz w:val="24"/>
                <w:szCs w:val="24"/>
              </w:rPr>
              <w:t>13.00</w:t>
            </w:r>
          </w:p>
        </w:tc>
      </w:tr>
      <w:tr w:rsidR="00B17255" w:rsidRPr="00B17255" w14:paraId="5B0AE34D" w14:textId="77777777" w:rsidTr="00B17255">
        <w:trPr>
          <w:trHeight w:val="300"/>
        </w:trPr>
        <w:tc>
          <w:tcPr>
            <w:tcW w:w="3834" w:type="dxa"/>
            <w:tcBorders>
              <w:top w:val="nil"/>
              <w:left w:val="single" w:sz="4" w:space="0" w:color="auto"/>
              <w:bottom w:val="single" w:sz="4" w:space="0" w:color="auto"/>
              <w:right w:val="single" w:sz="4" w:space="0" w:color="auto"/>
            </w:tcBorders>
            <w:noWrap/>
            <w:vAlign w:val="center"/>
            <w:hideMark/>
          </w:tcPr>
          <w:p w14:paraId="758C5006" w14:textId="77777777" w:rsidR="00B17255" w:rsidRPr="00B17255" w:rsidRDefault="00B17255" w:rsidP="00B17255">
            <w:pPr>
              <w:spacing w:line="360" w:lineRule="auto"/>
              <w:jc w:val="center"/>
              <w:rPr>
                <w:sz w:val="24"/>
                <w:szCs w:val="24"/>
              </w:rPr>
            </w:pPr>
            <w:r w:rsidRPr="00B17255">
              <w:rPr>
                <w:sz w:val="24"/>
                <w:szCs w:val="24"/>
              </w:rPr>
              <w:t>Annual Depreciation (£m)</w:t>
            </w:r>
          </w:p>
        </w:tc>
        <w:tc>
          <w:tcPr>
            <w:tcW w:w="1202" w:type="dxa"/>
            <w:tcBorders>
              <w:top w:val="nil"/>
              <w:left w:val="nil"/>
              <w:bottom w:val="single" w:sz="4" w:space="0" w:color="auto"/>
              <w:right w:val="single" w:sz="4" w:space="0" w:color="auto"/>
            </w:tcBorders>
            <w:noWrap/>
            <w:vAlign w:val="center"/>
            <w:hideMark/>
          </w:tcPr>
          <w:p w14:paraId="22E6DDF5" w14:textId="77777777" w:rsidR="00B17255" w:rsidRPr="00B17255" w:rsidRDefault="00B17255" w:rsidP="00B17255">
            <w:pPr>
              <w:spacing w:line="360" w:lineRule="auto"/>
              <w:jc w:val="center"/>
              <w:rPr>
                <w:sz w:val="24"/>
                <w:szCs w:val="24"/>
              </w:rPr>
            </w:pPr>
            <w:r w:rsidRPr="00B17255">
              <w:rPr>
                <w:sz w:val="24"/>
                <w:szCs w:val="24"/>
              </w:rPr>
              <w:t>10.00</w:t>
            </w:r>
          </w:p>
        </w:tc>
        <w:tc>
          <w:tcPr>
            <w:tcW w:w="1202" w:type="dxa"/>
            <w:tcBorders>
              <w:top w:val="nil"/>
              <w:left w:val="nil"/>
              <w:bottom w:val="single" w:sz="4" w:space="0" w:color="auto"/>
              <w:right w:val="single" w:sz="4" w:space="0" w:color="auto"/>
            </w:tcBorders>
            <w:noWrap/>
            <w:vAlign w:val="center"/>
            <w:hideMark/>
          </w:tcPr>
          <w:p w14:paraId="0DDDC983" w14:textId="77777777" w:rsidR="00B17255" w:rsidRPr="00B17255" w:rsidRDefault="00B17255" w:rsidP="00B17255">
            <w:pPr>
              <w:spacing w:line="360" w:lineRule="auto"/>
              <w:jc w:val="center"/>
              <w:rPr>
                <w:sz w:val="24"/>
                <w:szCs w:val="24"/>
              </w:rPr>
            </w:pPr>
            <w:r w:rsidRPr="00B17255">
              <w:rPr>
                <w:sz w:val="24"/>
                <w:szCs w:val="24"/>
              </w:rPr>
              <w:t>10.00</w:t>
            </w:r>
          </w:p>
        </w:tc>
        <w:tc>
          <w:tcPr>
            <w:tcW w:w="1202" w:type="dxa"/>
            <w:tcBorders>
              <w:top w:val="nil"/>
              <w:left w:val="nil"/>
              <w:bottom w:val="single" w:sz="4" w:space="0" w:color="auto"/>
              <w:right w:val="single" w:sz="4" w:space="0" w:color="auto"/>
            </w:tcBorders>
            <w:noWrap/>
            <w:vAlign w:val="center"/>
            <w:hideMark/>
          </w:tcPr>
          <w:p w14:paraId="10886156" w14:textId="77777777" w:rsidR="00B17255" w:rsidRPr="00B17255" w:rsidRDefault="00B17255" w:rsidP="00B17255">
            <w:pPr>
              <w:spacing w:line="360" w:lineRule="auto"/>
              <w:jc w:val="center"/>
              <w:rPr>
                <w:sz w:val="24"/>
                <w:szCs w:val="24"/>
              </w:rPr>
            </w:pPr>
            <w:r w:rsidRPr="00B17255">
              <w:rPr>
                <w:sz w:val="24"/>
                <w:szCs w:val="24"/>
              </w:rPr>
              <w:t>10.00</w:t>
            </w:r>
          </w:p>
        </w:tc>
      </w:tr>
      <w:tr w:rsidR="00B17255" w:rsidRPr="00B17255" w14:paraId="0C0372E4" w14:textId="77777777" w:rsidTr="00B17255">
        <w:trPr>
          <w:trHeight w:val="300"/>
        </w:trPr>
        <w:tc>
          <w:tcPr>
            <w:tcW w:w="3834" w:type="dxa"/>
            <w:tcBorders>
              <w:top w:val="nil"/>
              <w:left w:val="single" w:sz="4" w:space="0" w:color="auto"/>
              <w:bottom w:val="single" w:sz="4" w:space="0" w:color="auto"/>
              <w:right w:val="single" w:sz="4" w:space="0" w:color="auto"/>
            </w:tcBorders>
            <w:noWrap/>
            <w:vAlign w:val="center"/>
            <w:hideMark/>
          </w:tcPr>
          <w:p w14:paraId="4BBEF09E" w14:textId="77777777" w:rsidR="00B17255" w:rsidRPr="00B17255" w:rsidRDefault="00B17255" w:rsidP="00B17255">
            <w:pPr>
              <w:spacing w:line="360" w:lineRule="auto"/>
              <w:jc w:val="center"/>
              <w:rPr>
                <w:sz w:val="24"/>
                <w:szCs w:val="24"/>
              </w:rPr>
            </w:pPr>
            <w:r w:rsidRPr="00B17255">
              <w:rPr>
                <w:sz w:val="24"/>
                <w:szCs w:val="24"/>
              </w:rPr>
              <w:t>Average Annual Accounting Profit (£m)</w:t>
            </w:r>
          </w:p>
        </w:tc>
        <w:tc>
          <w:tcPr>
            <w:tcW w:w="1202" w:type="dxa"/>
            <w:tcBorders>
              <w:top w:val="nil"/>
              <w:left w:val="nil"/>
              <w:bottom w:val="single" w:sz="4" w:space="0" w:color="auto"/>
              <w:right w:val="single" w:sz="4" w:space="0" w:color="auto"/>
            </w:tcBorders>
            <w:noWrap/>
            <w:vAlign w:val="center"/>
            <w:hideMark/>
          </w:tcPr>
          <w:p w14:paraId="7721A999" w14:textId="77777777" w:rsidR="00B17255" w:rsidRPr="00B17255" w:rsidRDefault="00B17255" w:rsidP="00B17255">
            <w:pPr>
              <w:spacing w:line="360" w:lineRule="auto"/>
              <w:jc w:val="center"/>
              <w:rPr>
                <w:sz w:val="24"/>
                <w:szCs w:val="24"/>
              </w:rPr>
            </w:pPr>
            <w:r w:rsidRPr="00B17255">
              <w:rPr>
                <w:sz w:val="24"/>
                <w:szCs w:val="24"/>
              </w:rPr>
              <w:t>0.80</w:t>
            </w:r>
          </w:p>
        </w:tc>
        <w:tc>
          <w:tcPr>
            <w:tcW w:w="1202" w:type="dxa"/>
            <w:tcBorders>
              <w:top w:val="nil"/>
              <w:left w:val="nil"/>
              <w:bottom w:val="single" w:sz="4" w:space="0" w:color="auto"/>
              <w:right w:val="single" w:sz="4" w:space="0" w:color="auto"/>
            </w:tcBorders>
            <w:noWrap/>
            <w:vAlign w:val="center"/>
            <w:hideMark/>
          </w:tcPr>
          <w:p w14:paraId="6174485E" w14:textId="77777777" w:rsidR="00B17255" w:rsidRPr="00B17255" w:rsidRDefault="00B17255" w:rsidP="00B17255">
            <w:pPr>
              <w:spacing w:line="360" w:lineRule="auto"/>
              <w:jc w:val="center"/>
              <w:rPr>
                <w:sz w:val="24"/>
                <w:szCs w:val="24"/>
              </w:rPr>
            </w:pPr>
            <w:r w:rsidRPr="00B17255">
              <w:rPr>
                <w:sz w:val="24"/>
                <w:szCs w:val="24"/>
              </w:rPr>
              <w:t>1.00</w:t>
            </w:r>
          </w:p>
        </w:tc>
        <w:tc>
          <w:tcPr>
            <w:tcW w:w="1202" w:type="dxa"/>
            <w:tcBorders>
              <w:top w:val="nil"/>
              <w:left w:val="nil"/>
              <w:bottom w:val="single" w:sz="4" w:space="0" w:color="auto"/>
              <w:right w:val="single" w:sz="4" w:space="0" w:color="auto"/>
            </w:tcBorders>
            <w:noWrap/>
            <w:vAlign w:val="center"/>
            <w:hideMark/>
          </w:tcPr>
          <w:p w14:paraId="45092CAB" w14:textId="77777777" w:rsidR="00B17255" w:rsidRPr="00B17255" w:rsidRDefault="00B17255" w:rsidP="00B17255">
            <w:pPr>
              <w:spacing w:line="360" w:lineRule="auto"/>
              <w:jc w:val="center"/>
              <w:rPr>
                <w:sz w:val="24"/>
                <w:szCs w:val="24"/>
              </w:rPr>
            </w:pPr>
            <w:r w:rsidRPr="00B17255">
              <w:rPr>
                <w:sz w:val="24"/>
                <w:szCs w:val="24"/>
              </w:rPr>
              <w:t>3.00</w:t>
            </w:r>
          </w:p>
        </w:tc>
      </w:tr>
      <w:tr w:rsidR="00B17255" w:rsidRPr="00B17255" w14:paraId="1206FA75" w14:textId="77777777" w:rsidTr="00B17255">
        <w:trPr>
          <w:trHeight w:val="300"/>
        </w:trPr>
        <w:tc>
          <w:tcPr>
            <w:tcW w:w="3834" w:type="dxa"/>
            <w:tcBorders>
              <w:top w:val="nil"/>
              <w:left w:val="single" w:sz="4" w:space="0" w:color="auto"/>
              <w:bottom w:val="single" w:sz="4" w:space="0" w:color="auto"/>
              <w:right w:val="single" w:sz="4" w:space="0" w:color="auto"/>
            </w:tcBorders>
            <w:noWrap/>
            <w:vAlign w:val="center"/>
            <w:hideMark/>
          </w:tcPr>
          <w:p w14:paraId="7B5B5557" w14:textId="77777777" w:rsidR="00B17255" w:rsidRPr="00B17255" w:rsidRDefault="00B17255" w:rsidP="00B17255">
            <w:pPr>
              <w:spacing w:line="360" w:lineRule="auto"/>
              <w:jc w:val="center"/>
              <w:rPr>
                <w:sz w:val="24"/>
                <w:szCs w:val="24"/>
              </w:rPr>
            </w:pPr>
            <w:r w:rsidRPr="00B17255">
              <w:rPr>
                <w:sz w:val="24"/>
                <w:szCs w:val="24"/>
              </w:rPr>
              <w:lastRenderedPageBreak/>
              <w:t>Average Investment (£m)</w:t>
            </w:r>
          </w:p>
        </w:tc>
        <w:tc>
          <w:tcPr>
            <w:tcW w:w="1202" w:type="dxa"/>
            <w:tcBorders>
              <w:top w:val="nil"/>
              <w:left w:val="nil"/>
              <w:bottom w:val="single" w:sz="4" w:space="0" w:color="auto"/>
              <w:right w:val="single" w:sz="4" w:space="0" w:color="auto"/>
            </w:tcBorders>
            <w:noWrap/>
            <w:vAlign w:val="center"/>
            <w:hideMark/>
          </w:tcPr>
          <w:p w14:paraId="79E5D380" w14:textId="77777777" w:rsidR="00B17255" w:rsidRPr="00B17255" w:rsidRDefault="00B17255" w:rsidP="00B17255">
            <w:pPr>
              <w:spacing w:line="360" w:lineRule="auto"/>
              <w:jc w:val="center"/>
              <w:rPr>
                <w:sz w:val="24"/>
                <w:szCs w:val="24"/>
              </w:rPr>
            </w:pPr>
            <w:r w:rsidRPr="00B17255">
              <w:rPr>
                <w:sz w:val="24"/>
                <w:szCs w:val="24"/>
              </w:rPr>
              <w:t>25.00</w:t>
            </w:r>
          </w:p>
        </w:tc>
        <w:tc>
          <w:tcPr>
            <w:tcW w:w="1202" w:type="dxa"/>
            <w:tcBorders>
              <w:top w:val="nil"/>
              <w:left w:val="nil"/>
              <w:bottom w:val="single" w:sz="4" w:space="0" w:color="auto"/>
              <w:right w:val="single" w:sz="4" w:space="0" w:color="auto"/>
            </w:tcBorders>
            <w:noWrap/>
            <w:vAlign w:val="center"/>
            <w:hideMark/>
          </w:tcPr>
          <w:p w14:paraId="00EFE118" w14:textId="77777777" w:rsidR="00B17255" w:rsidRPr="00B17255" w:rsidRDefault="00B17255" w:rsidP="00B17255">
            <w:pPr>
              <w:spacing w:line="360" w:lineRule="auto"/>
              <w:jc w:val="center"/>
              <w:rPr>
                <w:sz w:val="24"/>
                <w:szCs w:val="24"/>
              </w:rPr>
            </w:pPr>
            <w:r w:rsidRPr="00B17255">
              <w:rPr>
                <w:sz w:val="24"/>
                <w:szCs w:val="24"/>
              </w:rPr>
              <w:t>25.00</w:t>
            </w:r>
          </w:p>
        </w:tc>
        <w:tc>
          <w:tcPr>
            <w:tcW w:w="1202" w:type="dxa"/>
            <w:tcBorders>
              <w:top w:val="nil"/>
              <w:left w:val="nil"/>
              <w:bottom w:val="single" w:sz="4" w:space="0" w:color="auto"/>
              <w:right w:val="single" w:sz="4" w:space="0" w:color="auto"/>
            </w:tcBorders>
            <w:noWrap/>
            <w:vAlign w:val="center"/>
            <w:hideMark/>
          </w:tcPr>
          <w:p w14:paraId="0D9B187C" w14:textId="77777777" w:rsidR="00B17255" w:rsidRPr="00B17255" w:rsidRDefault="00B17255" w:rsidP="00B17255">
            <w:pPr>
              <w:spacing w:line="360" w:lineRule="auto"/>
              <w:jc w:val="center"/>
              <w:rPr>
                <w:sz w:val="24"/>
                <w:szCs w:val="24"/>
              </w:rPr>
            </w:pPr>
            <w:r w:rsidRPr="00B17255">
              <w:rPr>
                <w:sz w:val="24"/>
                <w:szCs w:val="24"/>
              </w:rPr>
              <w:t>25.00</w:t>
            </w:r>
          </w:p>
        </w:tc>
      </w:tr>
      <w:tr w:rsidR="00B17255" w:rsidRPr="00B17255" w14:paraId="246540DE" w14:textId="77777777" w:rsidTr="00B17255">
        <w:trPr>
          <w:trHeight w:val="300"/>
        </w:trPr>
        <w:tc>
          <w:tcPr>
            <w:tcW w:w="3834" w:type="dxa"/>
            <w:tcBorders>
              <w:top w:val="nil"/>
              <w:left w:val="single" w:sz="4" w:space="0" w:color="auto"/>
              <w:bottom w:val="single" w:sz="4" w:space="0" w:color="auto"/>
              <w:right w:val="single" w:sz="4" w:space="0" w:color="auto"/>
            </w:tcBorders>
            <w:noWrap/>
            <w:vAlign w:val="center"/>
            <w:hideMark/>
          </w:tcPr>
          <w:p w14:paraId="30C31C54" w14:textId="77777777" w:rsidR="00B17255" w:rsidRPr="00B17255" w:rsidRDefault="00B17255" w:rsidP="00B17255">
            <w:pPr>
              <w:spacing w:line="360" w:lineRule="auto"/>
              <w:jc w:val="center"/>
              <w:rPr>
                <w:sz w:val="24"/>
                <w:szCs w:val="24"/>
              </w:rPr>
            </w:pPr>
            <w:r w:rsidRPr="00B17255">
              <w:rPr>
                <w:sz w:val="24"/>
                <w:szCs w:val="24"/>
              </w:rPr>
              <w:t>ARR (%)</w:t>
            </w:r>
          </w:p>
        </w:tc>
        <w:tc>
          <w:tcPr>
            <w:tcW w:w="1202" w:type="dxa"/>
            <w:tcBorders>
              <w:top w:val="nil"/>
              <w:left w:val="nil"/>
              <w:bottom w:val="single" w:sz="4" w:space="0" w:color="auto"/>
              <w:right w:val="single" w:sz="4" w:space="0" w:color="auto"/>
            </w:tcBorders>
            <w:noWrap/>
            <w:vAlign w:val="center"/>
            <w:hideMark/>
          </w:tcPr>
          <w:p w14:paraId="48229F17" w14:textId="77777777" w:rsidR="00B17255" w:rsidRPr="00B17255" w:rsidRDefault="00B17255" w:rsidP="00B17255">
            <w:pPr>
              <w:spacing w:line="360" w:lineRule="auto"/>
              <w:jc w:val="center"/>
              <w:rPr>
                <w:sz w:val="24"/>
                <w:szCs w:val="24"/>
              </w:rPr>
            </w:pPr>
            <w:r w:rsidRPr="00B17255">
              <w:rPr>
                <w:sz w:val="24"/>
                <w:szCs w:val="24"/>
              </w:rPr>
              <w:t>3.2%</w:t>
            </w:r>
          </w:p>
        </w:tc>
        <w:tc>
          <w:tcPr>
            <w:tcW w:w="1202" w:type="dxa"/>
            <w:tcBorders>
              <w:top w:val="nil"/>
              <w:left w:val="nil"/>
              <w:bottom w:val="single" w:sz="4" w:space="0" w:color="auto"/>
              <w:right w:val="single" w:sz="4" w:space="0" w:color="auto"/>
            </w:tcBorders>
            <w:noWrap/>
            <w:vAlign w:val="center"/>
            <w:hideMark/>
          </w:tcPr>
          <w:p w14:paraId="733E0C02" w14:textId="77777777" w:rsidR="00B17255" w:rsidRPr="00B17255" w:rsidRDefault="00B17255" w:rsidP="00B17255">
            <w:pPr>
              <w:spacing w:line="360" w:lineRule="auto"/>
              <w:jc w:val="center"/>
              <w:rPr>
                <w:sz w:val="24"/>
                <w:szCs w:val="24"/>
              </w:rPr>
            </w:pPr>
            <w:r w:rsidRPr="00B17255">
              <w:rPr>
                <w:sz w:val="24"/>
                <w:szCs w:val="24"/>
              </w:rPr>
              <w:t>4.0%</w:t>
            </w:r>
          </w:p>
        </w:tc>
        <w:tc>
          <w:tcPr>
            <w:tcW w:w="1202" w:type="dxa"/>
            <w:tcBorders>
              <w:top w:val="nil"/>
              <w:left w:val="nil"/>
              <w:bottom w:val="single" w:sz="4" w:space="0" w:color="auto"/>
              <w:right w:val="single" w:sz="4" w:space="0" w:color="auto"/>
            </w:tcBorders>
            <w:noWrap/>
            <w:vAlign w:val="center"/>
            <w:hideMark/>
          </w:tcPr>
          <w:p w14:paraId="2E5F985F" w14:textId="77777777" w:rsidR="00B17255" w:rsidRPr="00B17255" w:rsidRDefault="00B17255" w:rsidP="00B17255">
            <w:pPr>
              <w:spacing w:line="360" w:lineRule="auto"/>
              <w:jc w:val="center"/>
              <w:rPr>
                <w:sz w:val="24"/>
                <w:szCs w:val="24"/>
              </w:rPr>
            </w:pPr>
            <w:r w:rsidRPr="00B17255">
              <w:rPr>
                <w:sz w:val="24"/>
                <w:szCs w:val="24"/>
              </w:rPr>
              <w:t>12.0%</w:t>
            </w:r>
          </w:p>
        </w:tc>
      </w:tr>
    </w:tbl>
    <w:p w14:paraId="5B763BA5" w14:textId="77777777" w:rsidR="00B17255" w:rsidRPr="00B17255" w:rsidRDefault="00B17255" w:rsidP="00B17255">
      <w:pPr>
        <w:pStyle w:val="NormalWeb"/>
        <w:spacing w:line="360" w:lineRule="auto"/>
        <w:jc w:val="center"/>
      </w:pPr>
    </w:p>
    <w:tbl>
      <w:tblPr>
        <w:tblW w:w="10280" w:type="dxa"/>
        <w:tblInd w:w="93" w:type="dxa"/>
        <w:tblLook w:val="04A0" w:firstRow="1" w:lastRow="0" w:firstColumn="1" w:lastColumn="0" w:noHBand="0" w:noVBand="1"/>
      </w:tblPr>
      <w:tblGrid>
        <w:gridCol w:w="1060"/>
        <w:gridCol w:w="2260"/>
        <w:gridCol w:w="1160"/>
        <w:gridCol w:w="1160"/>
        <w:gridCol w:w="1160"/>
        <w:gridCol w:w="1160"/>
        <w:gridCol w:w="1160"/>
        <w:gridCol w:w="1160"/>
      </w:tblGrid>
      <w:tr w:rsidR="00B17255" w:rsidRPr="00B17255" w14:paraId="3EE546A5" w14:textId="77777777" w:rsidTr="00B17255">
        <w:trPr>
          <w:trHeight w:val="600"/>
        </w:trPr>
        <w:tc>
          <w:tcPr>
            <w:tcW w:w="1060" w:type="dxa"/>
            <w:tcBorders>
              <w:top w:val="single" w:sz="4" w:space="0" w:color="auto"/>
              <w:left w:val="single" w:sz="4" w:space="0" w:color="auto"/>
              <w:bottom w:val="single" w:sz="4" w:space="0" w:color="auto"/>
              <w:right w:val="single" w:sz="4" w:space="0" w:color="auto"/>
            </w:tcBorders>
            <w:vAlign w:val="center"/>
            <w:hideMark/>
          </w:tcPr>
          <w:p w14:paraId="61DB0F37" w14:textId="77777777" w:rsidR="00B17255" w:rsidRPr="00B17255" w:rsidRDefault="00B17255" w:rsidP="00B17255">
            <w:pPr>
              <w:spacing w:line="360" w:lineRule="auto"/>
              <w:jc w:val="center"/>
              <w:rPr>
                <w:b/>
                <w:bCs/>
                <w:sz w:val="24"/>
                <w:szCs w:val="24"/>
              </w:rPr>
            </w:pPr>
            <w:r w:rsidRPr="00B17255">
              <w:rPr>
                <w:b/>
                <w:bCs/>
                <w:sz w:val="24"/>
                <w:szCs w:val="24"/>
              </w:rPr>
              <w:t>Year</w:t>
            </w:r>
          </w:p>
        </w:tc>
        <w:tc>
          <w:tcPr>
            <w:tcW w:w="2260" w:type="dxa"/>
            <w:tcBorders>
              <w:top w:val="single" w:sz="4" w:space="0" w:color="auto"/>
              <w:left w:val="nil"/>
              <w:bottom w:val="single" w:sz="4" w:space="0" w:color="auto"/>
              <w:right w:val="single" w:sz="4" w:space="0" w:color="auto"/>
            </w:tcBorders>
            <w:vAlign w:val="center"/>
            <w:hideMark/>
          </w:tcPr>
          <w:p w14:paraId="2BE3AEDD" w14:textId="77777777" w:rsidR="00B17255" w:rsidRPr="00B17255" w:rsidRDefault="00B17255" w:rsidP="00B17255">
            <w:pPr>
              <w:spacing w:line="360" w:lineRule="auto"/>
              <w:jc w:val="center"/>
              <w:rPr>
                <w:b/>
                <w:bCs/>
                <w:sz w:val="24"/>
                <w:szCs w:val="24"/>
              </w:rPr>
            </w:pPr>
            <w:r w:rsidRPr="00B17255">
              <w:rPr>
                <w:b/>
                <w:bCs/>
                <w:sz w:val="24"/>
                <w:szCs w:val="24"/>
              </w:rPr>
              <w:t>Discount Factor</w:t>
            </w:r>
          </w:p>
        </w:tc>
        <w:tc>
          <w:tcPr>
            <w:tcW w:w="1160" w:type="dxa"/>
            <w:tcBorders>
              <w:top w:val="single" w:sz="4" w:space="0" w:color="auto"/>
              <w:left w:val="nil"/>
              <w:bottom w:val="single" w:sz="4" w:space="0" w:color="auto"/>
              <w:right w:val="single" w:sz="4" w:space="0" w:color="auto"/>
            </w:tcBorders>
            <w:vAlign w:val="center"/>
            <w:hideMark/>
          </w:tcPr>
          <w:p w14:paraId="58B80DC1" w14:textId="77777777" w:rsidR="00B17255" w:rsidRPr="00B17255" w:rsidRDefault="00B17255" w:rsidP="00B17255">
            <w:pPr>
              <w:spacing w:line="360" w:lineRule="auto"/>
              <w:jc w:val="center"/>
              <w:rPr>
                <w:b/>
                <w:bCs/>
                <w:sz w:val="24"/>
                <w:szCs w:val="24"/>
              </w:rPr>
            </w:pPr>
            <w:r w:rsidRPr="00B17255">
              <w:rPr>
                <w:b/>
                <w:bCs/>
                <w:sz w:val="24"/>
                <w:szCs w:val="24"/>
              </w:rPr>
              <w:t>Project A CF</w:t>
            </w:r>
          </w:p>
        </w:tc>
        <w:tc>
          <w:tcPr>
            <w:tcW w:w="1160" w:type="dxa"/>
            <w:tcBorders>
              <w:top w:val="single" w:sz="4" w:space="0" w:color="auto"/>
              <w:left w:val="nil"/>
              <w:bottom w:val="single" w:sz="4" w:space="0" w:color="auto"/>
              <w:right w:val="single" w:sz="4" w:space="0" w:color="auto"/>
            </w:tcBorders>
            <w:vAlign w:val="center"/>
            <w:hideMark/>
          </w:tcPr>
          <w:p w14:paraId="27F48B2B" w14:textId="77777777" w:rsidR="00B17255" w:rsidRPr="00B17255" w:rsidRDefault="00B17255" w:rsidP="00B17255">
            <w:pPr>
              <w:spacing w:line="360" w:lineRule="auto"/>
              <w:jc w:val="center"/>
              <w:rPr>
                <w:b/>
                <w:bCs/>
                <w:sz w:val="24"/>
                <w:szCs w:val="24"/>
              </w:rPr>
            </w:pPr>
            <w:r w:rsidRPr="00B17255">
              <w:rPr>
                <w:b/>
                <w:bCs/>
                <w:sz w:val="24"/>
                <w:szCs w:val="24"/>
              </w:rPr>
              <w:t>Project A PV</w:t>
            </w:r>
          </w:p>
        </w:tc>
        <w:tc>
          <w:tcPr>
            <w:tcW w:w="1160" w:type="dxa"/>
            <w:tcBorders>
              <w:top w:val="single" w:sz="4" w:space="0" w:color="auto"/>
              <w:left w:val="nil"/>
              <w:bottom w:val="single" w:sz="4" w:space="0" w:color="auto"/>
              <w:right w:val="single" w:sz="4" w:space="0" w:color="auto"/>
            </w:tcBorders>
            <w:vAlign w:val="center"/>
            <w:hideMark/>
          </w:tcPr>
          <w:p w14:paraId="6B8BB33B" w14:textId="77777777" w:rsidR="00B17255" w:rsidRPr="00B17255" w:rsidRDefault="00B17255" w:rsidP="00B17255">
            <w:pPr>
              <w:spacing w:line="360" w:lineRule="auto"/>
              <w:jc w:val="center"/>
              <w:rPr>
                <w:b/>
                <w:bCs/>
                <w:sz w:val="24"/>
                <w:szCs w:val="24"/>
              </w:rPr>
            </w:pPr>
            <w:r w:rsidRPr="00B17255">
              <w:rPr>
                <w:b/>
                <w:bCs/>
                <w:sz w:val="24"/>
                <w:szCs w:val="24"/>
              </w:rPr>
              <w:t>Project B CF</w:t>
            </w:r>
          </w:p>
        </w:tc>
        <w:tc>
          <w:tcPr>
            <w:tcW w:w="1160" w:type="dxa"/>
            <w:tcBorders>
              <w:top w:val="single" w:sz="4" w:space="0" w:color="auto"/>
              <w:left w:val="nil"/>
              <w:bottom w:val="single" w:sz="4" w:space="0" w:color="auto"/>
              <w:right w:val="single" w:sz="4" w:space="0" w:color="auto"/>
            </w:tcBorders>
            <w:vAlign w:val="center"/>
            <w:hideMark/>
          </w:tcPr>
          <w:p w14:paraId="6967CAA1" w14:textId="77777777" w:rsidR="00B17255" w:rsidRPr="00B17255" w:rsidRDefault="00B17255" w:rsidP="00B17255">
            <w:pPr>
              <w:spacing w:line="360" w:lineRule="auto"/>
              <w:jc w:val="center"/>
              <w:rPr>
                <w:b/>
                <w:bCs/>
                <w:sz w:val="24"/>
                <w:szCs w:val="24"/>
              </w:rPr>
            </w:pPr>
            <w:r w:rsidRPr="00B17255">
              <w:rPr>
                <w:b/>
                <w:bCs/>
                <w:sz w:val="24"/>
                <w:szCs w:val="24"/>
              </w:rPr>
              <w:t>Project B PV</w:t>
            </w:r>
          </w:p>
        </w:tc>
        <w:tc>
          <w:tcPr>
            <w:tcW w:w="1160" w:type="dxa"/>
            <w:tcBorders>
              <w:top w:val="single" w:sz="4" w:space="0" w:color="auto"/>
              <w:left w:val="nil"/>
              <w:bottom w:val="single" w:sz="4" w:space="0" w:color="auto"/>
              <w:right w:val="single" w:sz="4" w:space="0" w:color="auto"/>
            </w:tcBorders>
            <w:vAlign w:val="center"/>
            <w:hideMark/>
          </w:tcPr>
          <w:p w14:paraId="4DD5676B" w14:textId="77777777" w:rsidR="00B17255" w:rsidRPr="00B17255" w:rsidRDefault="00B17255" w:rsidP="00B17255">
            <w:pPr>
              <w:spacing w:line="360" w:lineRule="auto"/>
              <w:jc w:val="center"/>
              <w:rPr>
                <w:b/>
                <w:bCs/>
                <w:sz w:val="24"/>
                <w:szCs w:val="24"/>
              </w:rPr>
            </w:pPr>
            <w:r w:rsidRPr="00B17255">
              <w:rPr>
                <w:b/>
                <w:bCs/>
                <w:sz w:val="24"/>
                <w:szCs w:val="24"/>
              </w:rPr>
              <w:t>Project C CF</w:t>
            </w:r>
          </w:p>
        </w:tc>
        <w:tc>
          <w:tcPr>
            <w:tcW w:w="1160" w:type="dxa"/>
            <w:tcBorders>
              <w:top w:val="single" w:sz="4" w:space="0" w:color="auto"/>
              <w:left w:val="nil"/>
              <w:bottom w:val="single" w:sz="4" w:space="0" w:color="auto"/>
              <w:right w:val="single" w:sz="4" w:space="0" w:color="auto"/>
            </w:tcBorders>
            <w:vAlign w:val="center"/>
            <w:hideMark/>
          </w:tcPr>
          <w:p w14:paraId="0EED410D" w14:textId="77777777" w:rsidR="00B17255" w:rsidRPr="00B17255" w:rsidRDefault="00B17255" w:rsidP="00B17255">
            <w:pPr>
              <w:spacing w:line="360" w:lineRule="auto"/>
              <w:jc w:val="center"/>
              <w:rPr>
                <w:b/>
                <w:bCs/>
                <w:sz w:val="24"/>
                <w:szCs w:val="24"/>
              </w:rPr>
            </w:pPr>
            <w:r w:rsidRPr="00B17255">
              <w:rPr>
                <w:b/>
                <w:bCs/>
                <w:sz w:val="24"/>
                <w:szCs w:val="24"/>
              </w:rPr>
              <w:t>Project C PV</w:t>
            </w:r>
          </w:p>
        </w:tc>
      </w:tr>
      <w:tr w:rsidR="00B17255" w:rsidRPr="00B17255" w14:paraId="5D612D82" w14:textId="77777777" w:rsidTr="00B17255">
        <w:trPr>
          <w:trHeight w:val="300"/>
        </w:trPr>
        <w:tc>
          <w:tcPr>
            <w:tcW w:w="1060" w:type="dxa"/>
            <w:tcBorders>
              <w:top w:val="nil"/>
              <w:left w:val="single" w:sz="4" w:space="0" w:color="auto"/>
              <w:bottom w:val="single" w:sz="4" w:space="0" w:color="auto"/>
              <w:right w:val="single" w:sz="4" w:space="0" w:color="auto"/>
            </w:tcBorders>
            <w:noWrap/>
            <w:vAlign w:val="center"/>
            <w:hideMark/>
          </w:tcPr>
          <w:p w14:paraId="7CD4073F" w14:textId="77777777" w:rsidR="00B17255" w:rsidRPr="00B17255" w:rsidRDefault="00B17255" w:rsidP="00B17255">
            <w:pPr>
              <w:spacing w:line="360" w:lineRule="auto"/>
              <w:jc w:val="center"/>
              <w:rPr>
                <w:sz w:val="24"/>
                <w:szCs w:val="24"/>
              </w:rPr>
            </w:pPr>
            <w:r w:rsidRPr="00B17255">
              <w:rPr>
                <w:sz w:val="24"/>
                <w:szCs w:val="24"/>
              </w:rPr>
              <w:t>1</w:t>
            </w:r>
          </w:p>
        </w:tc>
        <w:tc>
          <w:tcPr>
            <w:tcW w:w="2260" w:type="dxa"/>
            <w:tcBorders>
              <w:top w:val="nil"/>
              <w:left w:val="nil"/>
              <w:bottom w:val="single" w:sz="4" w:space="0" w:color="auto"/>
              <w:right w:val="single" w:sz="4" w:space="0" w:color="auto"/>
            </w:tcBorders>
            <w:noWrap/>
            <w:vAlign w:val="center"/>
            <w:hideMark/>
          </w:tcPr>
          <w:p w14:paraId="6D26FDE3" w14:textId="77777777" w:rsidR="00B17255" w:rsidRPr="00B17255" w:rsidRDefault="00B17255" w:rsidP="00B17255">
            <w:pPr>
              <w:spacing w:line="360" w:lineRule="auto"/>
              <w:jc w:val="center"/>
              <w:rPr>
                <w:sz w:val="24"/>
                <w:szCs w:val="24"/>
              </w:rPr>
            </w:pPr>
            <w:r w:rsidRPr="00B17255">
              <w:rPr>
                <w:sz w:val="24"/>
                <w:szCs w:val="24"/>
              </w:rPr>
              <w:t>0.9259</w:t>
            </w:r>
          </w:p>
        </w:tc>
        <w:tc>
          <w:tcPr>
            <w:tcW w:w="1160" w:type="dxa"/>
            <w:tcBorders>
              <w:top w:val="nil"/>
              <w:left w:val="nil"/>
              <w:bottom w:val="single" w:sz="4" w:space="0" w:color="auto"/>
              <w:right w:val="single" w:sz="4" w:space="0" w:color="auto"/>
            </w:tcBorders>
            <w:noWrap/>
            <w:vAlign w:val="center"/>
            <w:hideMark/>
          </w:tcPr>
          <w:p w14:paraId="0BE6CD00" w14:textId="77777777" w:rsidR="00B17255" w:rsidRPr="00B17255" w:rsidRDefault="00B17255" w:rsidP="00B17255">
            <w:pPr>
              <w:spacing w:line="360" w:lineRule="auto"/>
              <w:jc w:val="center"/>
              <w:rPr>
                <w:sz w:val="24"/>
                <w:szCs w:val="24"/>
              </w:rPr>
            </w:pPr>
            <w:r w:rsidRPr="00B17255">
              <w:rPr>
                <w:sz w:val="24"/>
                <w:szCs w:val="24"/>
              </w:rPr>
              <w:t>10.0</w:t>
            </w:r>
          </w:p>
        </w:tc>
        <w:tc>
          <w:tcPr>
            <w:tcW w:w="1160" w:type="dxa"/>
            <w:tcBorders>
              <w:top w:val="nil"/>
              <w:left w:val="nil"/>
              <w:bottom w:val="single" w:sz="4" w:space="0" w:color="auto"/>
              <w:right w:val="single" w:sz="4" w:space="0" w:color="auto"/>
            </w:tcBorders>
            <w:noWrap/>
            <w:vAlign w:val="center"/>
            <w:hideMark/>
          </w:tcPr>
          <w:p w14:paraId="30534341" w14:textId="77777777" w:rsidR="00B17255" w:rsidRPr="00B17255" w:rsidRDefault="00B17255" w:rsidP="00B17255">
            <w:pPr>
              <w:spacing w:line="360" w:lineRule="auto"/>
              <w:jc w:val="center"/>
              <w:rPr>
                <w:sz w:val="24"/>
                <w:szCs w:val="24"/>
              </w:rPr>
            </w:pPr>
            <w:r w:rsidRPr="00B17255">
              <w:rPr>
                <w:sz w:val="24"/>
                <w:szCs w:val="24"/>
              </w:rPr>
              <w:t>9.259</w:t>
            </w:r>
          </w:p>
        </w:tc>
        <w:tc>
          <w:tcPr>
            <w:tcW w:w="1160" w:type="dxa"/>
            <w:tcBorders>
              <w:top w:val="nil"/>
              <w:left w:val="nil"/>
              <w:bottom w:val="single" w:sz="4" w:space="0" w:color="auto"/>
              <w:right w:val="single" w:sz="4" w:space="0" w:color="auto"/>
            </w:tcBorders>
            <w:noWrap/>
            <w:vAlign w:val="center"/>
            <w:hideMark/>
          </w:tcPr>
          <w:p w14:paraId="0547EEAE" w14:textId="77777777" w:rsidR="00B17255" w:rsidRPr="00B17255" w:rsidRDefault="00B17255" w:rsidP="00B17255">
            <w:pPr>
              <w:spacing w:line="360" w:lineRule="auto"/>
              <w:jc w:val="center"/>
              <w:rPr>
                <w:sz w:val="24"/>
                <w:szCs w:val="24"/>
              </w:rPr>
            </w:pPr>
            <w:r w:rsidRPr="00B17255">
              <w:rPr>
                <w:sz w:val="24"/>
                <w:szCs w:val="24"/>
              </w:rPr>
              <w:t>11.0</w:t>
            </w:r>
          </w:p>
        </w:tc>
        <w:tc>
          <w:tcPr>
            <w:tcW w:w="1160" w:type="dxa"/>
            <w:tcBorders>
              <w:top w:val="nil"/>
              <w:left w:val="nil"/>
              <w:bottom w:val="single" w:sz="4" w:space="0" w:color="auto"/>
              <w:right w:val="single" w:sz="4" w:space="0" w:color="auto"/>
            </w:tcBorders>
            <w:noWrap/>
            <w:vAlign w:val="center"/>
            <w:hideMark/>
          </w:tcPr>
          <w:p w14:paraId="339C496D" w14:textId="77777777" w:rsidR="00B17255" w:rsidRPr="00B17255" w:rsidRDefault="00B17255" w:rsidP="00B17255">
            <w:pPr>
              <w:spacing w:line="360" w:lineRule="auto"/>
              <w:jc w:val="center"/>
              <w:rPr>
                <w:sz w:val="24"/>
                <w:szCs w:val="24"/>
              </w:rPr>
            </w:pPr>
            <w:r w:rsidRPr="00B17255">
              <w:rPr>
                <w:sz w:val="24"/>
                <w:szCs w:val="24"/>
              </w:rPr>
              <w:t>10.185</w:t>
            </w:r>
          </w:p>
        </w:tc>
        <w:tc>
          <w:tcPr>
            <w:tcW w:w="1160" w:type="dxa"/>
            <w:tcBorders>
              <w:top w:val="nil"/>
              <w:left w:val="nil"/>
              <w:bottom w:val="single" w:sz="4" w:space="0" w:color="auto"/>
              <w:right w:val="single" w:sz="4" w:space="0" w:color="auto"/>
            </w:tcBorders>
            <w:noWrap/>
            <w:vAlign w:val="center"/>
            <w:hideMark/>
          </w:tcPr>
          <w:p w14:paraId="0DB9A7A1" w14:textId="77777777" w:rsidR="00B17255" w:rsidRPr="00B17255" w:rsidRDefault="00B17255" w:rsidP="00B17255">
            <w:pPr>
              <w:spacing w:line="360" w:lineRule="auto"/>
              <w:jc w:val="center"/>
              <w:rPr>
                <w:sz w:val="24"/>
                <w:szCs w:val="24"/>
              </w:rPr>
            </w:pPr>
            <w:r w:rsidRPr="00B17255">
              <w:rPr>
                <w:sz w:val="24"/>
                <w:szCs w:val="24"/>
              </w:rPr>
              <w:t>5.0</w:t>
            </w:r>
          </w:p>
        </w:tc>
        <w:tc>
          <w:tcPr>
            <w:tcW w:w="1160" w:type="dxa"/>
            <w:tcBorders>
              <w:top w:val="nil"/>
              <w:left w:val="nil"/>
              <w:bottom w:val="single" w:sz="4" w:space="0" w:color="auto"/>
              <w:right w:val="single" w:sz="4" w:space="0" w:color="auto"/>
            </w:tcBorders>
            <w:noWrap/>
            <w:vAlign w:val="center"/>
            <w:hideMark/>
          </w:tcPr>
          <w:p w14:paraId="2660747A" w14:textId="77777777" w:rsidR="00B17255" w:rsidRPr="00B17255" w:rsidRDefault="00B17255" w:rsidP="00B17255">
            <w:pPr>
              <w:spacing w:line="360" w:lineRule="auto"/>
              <w:jc w:val="center"/>
              <w:rPr>
                <w:sz w:val="24"/>
                <w:szCs w:val="24"/>
              </w:rPr>
            </w:pPr>
            <w:r w:rsidRPr="00B17255">
              <w:rPr>
                <w:sz w:val="24"/>
                <w:szCs w:val="24"/>
              </w:rPr>
              <w:t>4.630</w:t>
            </w:r>
          </w:p>
        </w:tc>
      </w:tr>
      <w:tr w:rsidR="00B17255" w:rsidRPr="00B17255" w14:paraId="364F2649" w14:textId="77777777" w:rsidTr="00B17255">
        <w:trPr>
          <w:trHeight w:val="300"/>
        </w:trPr>
        <w:tc>
          <w:tcPr>
            <w:tcW w:w="1060" w:type="dxa"/>
            <w:tcBorders>
              <w:top w:val="nil"/>
              <w:left w:val="single" w:sz="4" w:space="0" w:color="auto"/>
              <w:bottom w:val="single" w:sz="4" w:space="0" w:color="auto"/>
              <w:right w:val="single" w:sz="4" w:space="0" w:color="auto"/>
            </w:tcBorders>
            <w:noWrap/>
            <w:vAlign w:val="center"/>
            <w:hideMark/>
          </w:tcPr>
          <w:p w14:paraId="741BAF1D" w14:textId="77777777" w:rsidR="00B17255" w:rsidRPr="00B17255" w:rsidRDefault="00B17255" w:rsidP="00B17255">
            <w:pPr>
              <w:spacing w:line="360" w:lineRule="auto"/>
              <w:jc w:val="center"/>
              <w:rPr>
                <w:sz w:val="24"/>
                <w:szCs w:val="24"/>
              </w:rPr>
            </w:pPr>
            <w:r w:rsidRPr="00B17255">
              <w:rPr>
                <w:sz w:val="24"/>
                <w:szCs w:val="24"/>
              </w:rPr>
              <w:t>2</w:t>
            </w:r>
          </w:p>
        </w:tc>
        <w:tc>
          <w:tcPr>
            <w:tcW w:w="2260" w:type="dxa"/>
            <w:tcBorders>
              <w:top w:val="nil"/>
              <w:left w:val="nil"/>
              <w:bottom w:val="single" w:sz="4" w:space="0" w:color="auto"/>
              <w:right w:val="single" w:sz="4" w:space="0" w:color="auto"/>
            </w:tcBorders>
            <w:noWrap/>
            <w:vAlign w:val="center"/>
            <w:hideMark/>
          </w:tcPr>
          <w:p w14:paraId="6519D209" w14:textId="77777777" w:rsidR="00B17255" w:rsidRPr="00B17255" w:rsidRDefault="00B17255" w:rsidP="00B17255">
            <w:pPr>
              <w:spacing w:line="360" w:lineRule="auto"/>
              <w:jc w:val="center"/>
              <w:rPr>
                <w:sz w:val="24"/>
                <w:szCs w:val="24"/>
              </w:rPr>
            </w:pPr>
            <w:r w:rsidRPr="00B17255">
              <w:rPr>
                <w:sz w:val="24"/>
                <w:szCs w:val="24"/>
              </w:rPr>
              <w:t>0.8573</w:t>
            </w:r>
          </w:p>
        </w:tc>
        <w:tc>
          <w:tcPr>
            <w:tcW w:w="1160" w:type="dxa"/>
            <w:tcBorders>
              <w:top w:val="nil"/>
              <w:left w:val="nil"/>
              <w:bottom w:val="single" w:sz="4" w:space="0" w:color="auto"/>
              <w:right w:val="single" w:sz="4" w:space="0" w:color="auto"/>
            </w:tcBorders>
            <w:noWrap/>
            <w:vAlign w:val="center"/>
            <w:hideMark/>
          </w:tcPr>
          <w:p w14:paraId="2A9B8FB1" w14:textId="77777777" w:rsidR="00B17255" w:rsidRPr="00B17255" w:rsidRDefault="00B17255" w:rsidP="00B17255">
            <w:pPr>
              <w:spacing w:line="360" w:lineRule="auto"/>
              <w:jc w:val="center"/>
              <w:rPr>
                <w:sz w:val="24"/>
                <w:szCs w:val="24"/>
              </w:rPr>
            </w:pPr>
            <w:r w:rsidRPr="00B17255">
              <w:rPr>
                <w:sz w:val="24"/>
                <w:szCs w:val="24"/>
              </w:rPr>
              <w:t>12.0</w:t>
            </w:r>
          </w:p>
        </w:tc>
        <w:tc>
          <w:tcPr>
            <w:tcW w:w="1160" w:type="dxa"/>
            <w:tcBorders>
              <w:top w:val="nil"/>
              <w:left w:val="nil"/>
              <w:bottom w:val="single" w:sz="4" w:space="0" w:color="auto"/>
              <w:right w:val="single" w:sz="4" w:space="0" w:color="auto"/>
            </w:tcBorders>
            <w:noWrap/>
            <w:vAlign w:val="center"/>
            <w:hideMark/>
          </w:tcPr>
          <w:p w14:paraId="2CE44CC6" w14:textId="77777777" w:rsidR="00B17255" w:rsidRPr="00B17255" w:rsidRDefault="00B17255" w:rsidP="00B17255">
            <w:pPr>
              <w:spacing w:line="360" w:lineRule="auto"/>
              <w:jc w:val="center"/>
              <w:rPr>
                <w:sz w:val="24"/>
                <w:szCs w:val="24"/>
              </w:rPr>
            </w:pPr>
            <w:r w:rsidRPr="00B17255">
              <w:rPr>
                <w:sz w:val="24"/>
                <w:szCs w:val="24"/>
              </w:rPr>
              <w:t>10.288</w:t>
            </w:r>
          </w:p>
        </w:tc>
        <w:tc>
          <w:tcPr>
            <w:tcW w:w="1160" w:type="dxa"/>
            <w:tcBorders>
              <w:top w:val="nil"/>
              <w:left w:val="nil"/>
              <w:bottom w:val="single" w:sz="4" w:space="0" w:color="auto"/>
              <w:right w:val="single" w:sz="4" w:space="0" w:color="auto"/>
            </w:tcBorders>
            <w:noWrap/>
            <w:vAlign w:val="center"/>
            <w:hideMark/>
          </w:tcPr>
          <w:p w14:paraId="4D6208BE" w14:textId="77777777" w:rsidR="00B17255" w:rsidRPr="00B17255" w:rsidRDefault="00B17255" w:rsidP="00B17255">
            <w:pPr>
              <w:spacing w:line="360" w:lineRule="auto"/>
              <w:jc w:val="center"/>
              <w:rPr>
                <w:sz w:val="24"/>
                <w:szCs w:val="24"/>
              </w:rPr>
            </w:pPr>
            <w:r w:rsidRPr="00B17255">
              <w:rPr>
                <w:sz w:val="24"/>
                <w:szCs w:val="24"/>
              </w:rPr>
              <w:t>11.0</w:t>
            </w:r>
          </w:p>
        </w:tc>
        <w:tc>
          <w:tcPr>
            <w:tcW w:w="1160" w:type="dxa"/>
            <w:tcBorders>
              <w:top w:val="nil"/>
              <w:left w:val="nil"/>
              <w:bottom w:val="single" w:sz="4" w:space="0" w:color="auto"/>
              <w:right w:val="single" w:sz="4" w:space="0" w:color="auto"/>
            </w:tcBorders>
            <w:noWrap/>
            <w:vAlign w:val="center"/>
            <w:hideMark/>
          </w:tcPr>
          <w:p w14:paraId="44F63F6F" w14:textId="77777777" w:rsidR="00B17255" w:rsidRPr="00B17255" w:rsidRDefault="00B17255" w:rsidP="00B17255">
            <w:pPr>
              <w:spacing w:line="360" w:lineRule="auto"/>
              <w:jc w:val="center"/>
              <w:rPr>
                <w:sz w:val="24"/>
                <w:szCs w:val="24"/>
              </w:rPr>
            </w:pPr>
            <w:r w:rsidRPr="00B17255">
              <w:rPr>
                <w:sz w:val="24"/>
                <w:szCs w:val="24"/>
              </w:rPr>
              <w:t>9.431</w:t>
            </w:r>
          </w:p>
        </w:tc>
        <w:tc>
          <w:tcPr>
            <w:tcW w:w="1160" w:type="dxa"/>
            <w:tcBorders>
              <w:top w:val="nil"/>
              <w:left w:val="nil"/>
              <w:bottom w:val="single" w:sz="4" w:space="0" w:color="auto"/>
              <w:right w:val="single" w:sz="4" w:space="0" w:color="auto"/>
            </w:tcBorders>
            <w:noWrap/>
            <w:vAlign w:val="center"/>
            <w:hideMark/>
          </w:tcPr>
          <w:p w14:paraId="35EC5A12" w14:textId="77777777" w:rsidR="00B17255" w:rsidRPr="00B17255" w:rsidRDefault="00B17255" w:rsidP="00B17255">
            <w:pPr>
              <w:spacing w:line="360" w:lineRule="auto"/>
              <w:jc w:val="center"/>
              <w:rPr>
                <w:sz w:val="24"/>
                <w:szCs w:val="24"/>
              </w:rPr>
            </w:pPr>
            <w:r w:rsidRPr="00B17255">
              <w:rPr>
                <w:sz w:val="24"/>
                <w:szCs w:val="24"/>
              </w:rPr>
              <w:t>10.0</w:t>
            </w:r>
          </w:p>
        </w:tc>
        <w:tc>
          <w:tcPr>
            <w:tcW w:w="1160" w:type="dxa"/>
            <w:tcBorders>
              <w:top w:val="nil"/>
              <w:left w:val="nil"/>
              <w:bottom w:val="single" w:sz="4" w:space="0" w:color="auto"/>
              <w:right w:val="single" w:sz="4" w:space="0" w:color="auto"/>
            </w:tcBorders>
            <w:noWrap/>
            <w:vAlign w:val="center"/>
            <w:hideMark/>
          </w:tcPr>
          <w:p w14:paraId="474828B9" w14:textId="77777777" w:rsidR="00B17255" w:rsidRPr="00B17255" w:rsidRDefault="00B17255" w:rsidP="00B17255">
            <w:pPr>
              <w:spacing w:line="360" w:lineRule="auto"/>
              <w:jc w:val="center"/>
              <w:rPr>
                <w:sz w:val="24"/>
                <w:szCs w:val="24"/>
              </w:rPr>
            </w:pPr>
            <w:r w:rsidRPr="00B17255">
              <w:rPr>
                <w:sz w:val="24"/>
                <w:szCs w:val="24"/>
              </w:rPr>
              <w:t>8.573</w:t>
            </w:r>
          </w:p>
        </w:tc>
      </w:tr>
      <w:tr w:rsidR="00B17255" w:rsidRPr="00B17255" w14:paraId="52BF3016" w14:textId="77777777" w:rsidTr="00B17255">
        <w:trPr>
          <w:trHeight w:val="300"/>
        </w:trPr>
        <w:tc>
          <w:tcPr>
            <w:tcW w:w="1060" w:type="dxa"/>
            <w:tcBorders>
              <w:top w:val="nil"/>
              <w:left w:val="single" w:sz="4" w:space="0" w:color="auto"/>
              <w:bottom w:val="single" w:sz="4" w:space="0" w:color="auto"/>
              <w:right w:val="single" w:sz="4" w:space="0" w:color="auto"/>
            </w:tcBorders>
            <w:noWrap/>
            <w:vAlign w:val="center"/>
            <w:hideMark/>
          </w:tcPr>
          <w:p w14:paraId="157C99A3" w14:textId="77777777" w:rsidR="00B17255" w:rsidRPr="00B17255" w:rsidRDefault="00B17255" w:rsidP="00B17255">
            <w:pPr>
              <w:spacing w:line="360" w:lineRule="auto"/>
              <w:jc w:val="center"/>
              <w:rPr>
                <w:sz w:val="24"/>
                <w:szCs w:val="24"/>
              </w:rPr>
            </w:pPr>
            <w:r w:rsidRPr="00B17255">
              <w:rPr>
                <w:sz w:val="24"/>
                <w:szCs w:val="24"/>
              </w:rPr>
              <w:t>3</w:t>
            </w:r>
          </w:p>
        </w:tc>
        <w:tc>
          <w:tcPr>
            <w:tcW w:w="2260" w:type="dxa"/>
            <w:tcBorders>
              <w:top w:val="nil"/>
              <w:left w:val="nil"/>
              <w:bottom w:val="single" w:sz="4" w:space="0" w:color="auto"/>
              <w:right w:val="single" w:sz="4" w:space="0" w:color="auto"/>
            </w:tcBorders>
            <w:noWrap/>
            <w:vAlign w:val="center"/>
            <w:hideMark/>
          </w:tcPr>
          <w:p w14:paraId="681EB0E5" w14:textId="77777777" w:rsidR="00B17255" w:rsidRPr="00B17255" w:rsidRDefault="00B17255" w:rsidP="00B17255">
            <w:pPr>
              <w:spacing w:line="360" w:lineRule="auto"/>
              <w:jc w:val="center"/>
              <w:rPr>
                <w:sz w:val="24"/>
                <w:szCs w:val="24"/>
              </w:rPr>
            </w:pPr>
            <w:r w:rsidRPr="00B17255">
              <w:rPr>
                <w:sz w:val="24"/>
                <w:szCs w:val="24"/>
              </w:rPr>
              <w:t>0.7938</w:t>
            </w:r>
          </w:p>
        </w:tc>
        <w:tc>
          <w:tcPr>
            <w:tcW w:w="1160" w:type="dxa"/>
            <w:tcBorders>
              <w:top w:val="nil"/>
              <w:left w:val="nil"/>
              <w:bottom w:val="single" w:sz="4" w:space="0" w:color="auto"/>
              <w:right w:val="single" w:sz="4" w:space="0" w:color="auto"/>
            </w:tcBorders>
            <w:noWrap/>
            <w:vAlign w:val="center"/>
            <w:hideMark/>
          </w:tcPr>
          <w:p w14:paraId="7C75213F" w14:textId="77777777" w:rsidR="00B17255" w:rsidRPr="00B17255" w:rsidRDefault="00B17255" w:rsidP="00B17255">
            <w:pPr>
              <w:spacing w:line="360" w:lineRule="auto"/>
              <w:jc w:val="center"/>
              <w:rPr>
                <w:sz w:val="24"/>
                <w:szCs w:val="24"/>
              </w:rPr>
            </w:pPr>
            <w:r w:rsidRPr="00B17255">
              <w:rPr>
                <w:sz w:val="24"/>
                <w:szCs w:val="24"/>
              </w:rPr>
              <w:t>14.0</w:t>
            </w:r>
          </w:p>
        </w:tc>
        <w:tc>
          <w:tcPr>
            <w:tcW w:w="1160" w:type="dxa"/>
            <w:tcBorders>
              <w:top w:val="nil"/>
              <w:left w:val="nil"/>
              <w:bottom w:val="single" w:sz="4" w:space="0" w:color="auto"/>
              <w:right w:val="single" w:sz="4" w:space="0" w:color="auto"/>
            </w:tcBorders>
            <w:noWrap/>
            <w:vAlign w:val="center"/>
            <w:hideMark/>
          </w:tcPr>
          <w:p w14:paraId="348968D8" w14:textId="77777777" w:rsidR="00B17255" w:rsidRPr="00B17255" w:rsidRDefault="00B17255" w:rsidP="00B17255">
            <w:pPr>
              <w:spacing w:line="360" w:lineRule="auto"/>
              <w:jc w:val="center"/>
              <w:rPr>
                <w:sz w:val="24"/>
                <w:szCs w:val="24"/>
              </w:rPr>
            </w:pPr>
            <w:r w:rsidRPr="00B17255">
              <w:rPr>
                <w:sz w:val="24"/>
                <w:szCs w:val="24"/>
              </w:rPr>
              <w:t>11.114</w:t>
            </w:r>
          </w:p>
        </w:tc>
        <w:tc>
          <w:tcPr>
            <w:tcW w:w="1160" w:type="dxa"/>
            <w:tcBorders>
              <w:top w:val="nil"/>
              <w:left w:val="nil"/>
              <w:bottom w:val="single" w:sz="4" w:space="0" w:color="auto"/>
              <w:right w:val="single" w:sz="4" w:space="0" w:color="auto"/>
            </w:tcBorders>
            <w:noWrap/>
            <w:vAlign w:val="center"/>
            <w:hideMark/>
          </w:tcPr>
          <w:p w14:paraId="16880328" w14:textId="77777777" w:rsidR="00B17255" w:rsidRPr="00B17255" w:rsidRDefault="00B17255" w:rsidP="00B17255">
            <w:pPr>
              <w:spacing w:line="360" w:lineRule="auto"/>
              <w:jc w:val="center"/>
              <w:rPr>
                <w:sz w:val="24"/>
                <w:szCs w:val="24"/>
              </w:rPr>
            </w:pPr>
            <w:r w:rsidRPr="00B17255">
              <w:rPr>
                <w:sz w:val="24"/>
                <w:szCs w:val="24"/>
              </w:rPr>
              <w:t>11.0</w:t>
            </w:r>
          </w:p>
        </w:tc>
        <w:tc>
          <w:tcPr>
            <w:tcW w:w="1160" w:type="dxa"/>
            <w:tcBorders>
              <w:top w:val="nil"/>
              <w:left w:val="nil"/>
              <w:bottom w:val="single" w:sz="4" w:space="0" w:color="auto"/>
              <w:right w:val="single" w:sz="4" w:space="0" w:color="auto"/>
            </w:tcBorders>
            <w:noWrap/>
            <w:vAlign w:val="center"/>
            <w:hideMark/>
          </w:tcPr>
          <w:p w14:paraId="7AEDE374" w14:textId="77777777" w:rsidR="00B17255" w:rsidRPr="00B17255" w:rsidRDefault="00B17255" w:rsidP="00B17255">
            <w:pPr>
              <w:spacing w:line="360" w:lineRule="auto"/>
              <w:jc w:val="center"/>
              <w:rPr>
                <w:sz w:val="24"/>
                <w:szCs w:val="24"/>
              </w:rPr>
            </w:pPr>
            <w:r w:rsidRPr="00B17255">
              <w:rPr>
                <w:sz w:val="24"/>
                <w:szCs w:val="24"/>
              </w:rPr>
              <w:t>8.732</w:t>
            </w:r>
          </w:p>
        </w:tc>
        <w:tc>
          <w:tcPr>
            <w:tcW w:w="1160" w:type="dxa"/>
            <w:tcBorders>
              <w:top w:val="nil"/>
              <w:left w:val="nil"/>
              <w:bottom w:val="single" w:sz="4" w:space="0" w:color="auto"/>
              <w:right w:val="single" w:sz="4" w:space="0" w:color="auto"/>
            </w:tcBorders>
            <w:noWrap/>
            <w:vAlign w:val="center"/>
            <w:hideMark/>
          </w:tcPr>
          <w:p w14:paraId="133BD5C0" w14:textId="77777777" w:rsidR="00B17255" w:rsidRPr="00B17255" w:rsidRDefault="00B17255" w:rsidP="00B17255">
            <w:pPr>
              <w:spacing w:line="360" w:lineRule="auto"/>
              <w:jc w:val="center"/>
              <w:rPr>
                <w:sz w:val="24"/>
                <w:szCs w:val="24"/>
              </w:rPr>
            </w:pPr>
            <w:r w:rsidRPr="00B17255">
              <w:rPr>
                <w:sz w:val="24"/>
                <w:szCs w:val="24"/>
              </w:rPr>
              <w:t>20.0</w:t>
            </w:r>
          </w:p>
        </w:tc>
        <w:tc>
          <w:tcPr>
            <w:tcW w:w="1160" w:type="dxa"/>
            <w:tcBorders>
              <w:top w:val="nil"/>
              <w:left w:val="nil"/>
              <w:bottom w:val="single" w:sz="4" w:space="0" w:color="auto"/>
              <w:right w:val="single" w:sz="4" w:space="0" w:color="auto"/>
            </w:tcBorders>
            <w:noWrap/>
            <w:vAlign w:val="center"/>
            <w:hideMark/>
          </w:tcPr>
          <w:p w14:paraId="7983DCEC" w14:textId="77777777" w:rsidR="00B17255" w:rsidRPr="00B17255" w:rsidRDefault="00B17255" w:rsidP="00B17255">
            <w:pPr>
              <w:spacing w:line="360" w:lineRule="auto"/>
              <w:jc w:val="center"/>
              <w:rPr>
                <w:sz w:val="24"/>
                <w:szCs w:val="24"/>
              </w:rPr>
            </w:pPr>
            <w:r w:rsidRPr="00B17255">
              <w:rPr>
                <w:sz w:val="24"/>
                <w:szCs w:val="24"/>
              </w:rPr>
              <w:t>15.877</w:t>
            </w:r>
          </w:p>
        </w:tc>
      </w:tr>
      <w:tr w:rsidR="00B17255" w:rsidRPr="00B17255" w14:paraId="1773B9E0" w14:textId="77777777" w:rsidTr="00B17255">
        <w:trPr>
          <w:trHeight w:val="300"/>
        </w:trPr>
        <w:tc>
          <w:tcPr>
            <w:tcW w:w="1060" w:type="dxa"/>
            <w:tcBorders>
              <w:top w:val="nil"/>
              <w:left w:val="single" w:sz="4" w:space="0" w:color="auto"/>
              <w:bottom w:val="single" w:sz="4" w:space="0" w:color="auto"/>
              <w:right w:val="single" w:sz="4" w:space="0" w:color="auto"/>
            </w:tcBorders>
            <w:noWrap/>
            <w:vAlign w:val="center"/>
            <w:hideMark/>
          </w:tcPr>
          <w:p w14:paraId="0BA49AA1" w14:textId="77777777" w:rsidR="00B17255" w:rsidRPr="00B17255" w:rsidRDefault="00B17255" w:rsidP="00B17255">
            <w:pPr>
              <w:spacing w:line="360" w:lineRule="auto"/>
              <w:jc w:val="center"/>
              <w:rPr>
                <w:sz w:val="24"/>
                <w:szCs w:val="24"/>
              </w:rPr>
            </w:pPr>
            <w:r w:rsidRPr="00B17255">
              <w:rPr>
                <w:sz w:val="24"/>
                <w:szCs w:val="24"/>
              </w:rPr>
              <w:t>4</w:t>
            </w:r>
          </w:p>
        </w:tc>
        <w:tc>
          <w:tcPr>
            <w:tcW w:w="2260" w:type="dxa"/>
            <w:tcBorders>
              <w:top w:val="nil"/>
              <w:left w:val="nil"/>
              <w:bottom w:val="single" w:sz="4" w:space="0" w:color="auto"/>
              <w:right w:val="single" w:sz="4" w:space="0" w:color="auto"/>
            </w:tcBorders>
            <w:noWrap/>
            <w:vAlign w:val="center"/>
            <w:hideMark/>
          </w:tcPr>
          <w:p w14:paraId="44CCD5C6" w14:textId="77777777" w:rsidR="00B17255" w:rsidRPr="00B17255" w:rsidRDefault="00B17255" w:rsidP="00B17255">
            <w:pPr>
              <w:spacing w:line="360" w:lineRule="auto"/>
              <w:jc w:val="center"/>
              <w:rPr>
                <w:sz w:val="24"/>
                <w:szCs w:val="24"/>
              </w:rPr>
            </w:pPr>
            <w:r w:rsidRPr="00B17255">
              <w:rPr>
                <w:sz w:val="24"/>
                <w:szCs w:val="24"/>
              </w:rPr>
              <w:t>0.7350</w:t>
            </w:r>
          </w:p>
        </w:tc>
        <w:tc>
          <w:tcPr>
            <w:tcW w:w="1160" w:type="dxa"/>
            <w:tcBorders>
              <w:top w:val="nil"/>
              <w:left w:val="nil"/>
              <w:bottom w:val="single" w:sz="4" w:space="0" w:color="auto"/>
              <w:right w:val="single" w:sz="4" w:space="0" w:color="auto"/>
            </w:tcBorders>
            <w:noWrap/>
            <w:vAlign w:val="center"/>
            <w:hideMark/>
          </w:tcPr>
          <w:p w14:paraId="0131EB1E" w14:textId="77777777" w:rsidR="00B17255" w:rsidRPr="00B17255" w:rsidRDefault="00B17255" w:rsidP="00B17255">
            <w:pPr>
              <w:spacing w:line="360" w:lineRule="auto"/>
              <w:jc w:val="center"/>
              <w:rPr>
                <w:sz w:val="24"/>
                <w:szCs w:val="24"/>
              </w:rPr>
            </w:pPr>
            <w:r w:rsidRPr="00B17255">
              <w:rPr>
                <w:sz w:val="24"/>
                <w:szCs w:val="24"/>
              </w:rPr>
              <w:t>10.0</w:t>
            </w:r>
          </w:p>
        </w:tc>
        <w:tc>
          <w:tcPr>
            <w:tcW w:w="1160" w:type="dxa"/>
            <w:tcBorders>
              <w:top w:val="nil"/>
              <w:left w:val="nil"/>
              <w:bottom w:val="single" w:sz="4" w:space="0" w:color="auto"/>
              <w:right w:val="single" w:sz="4" w:space="0" w:color="auto"/>
            </w:tcBorders>
            <w:noWrap/>
            <w:vAlign w:val="center"/>
            <w:hideMark/>
          </w:tcPr>
          <w:p w14:paraId="73159DBC" w14:textId="77777777" w:rsidR="00B17255" w:rsidRPr="00B17255" w:rsidRDefault="00B17255" w:rsidP="00B17255">
            <w:pPr>
              <w:spacing w:line="360" w:lineRule="auto"/>
              <w:jc w:val="center"/>
              <w:rPr>
                <w:sz w:val="24"/>
                <w:szCs w:val="24"/>
              </w:rPr>
            </w:pPr>
            <w:r w:rsidRPr="00B17255">
              <w:rPr>
                <w:sz w:val="24"/>
                <w:szCs w:val="24"/>
              </w:rPr>
              <w:t>7.350</w:t>
            </w:r>
          </w:p>
        </w:tc>
        <w:tc>
          <w:tcPr>
            <w:tcW w:w="1160" w:type="dxa"/>
            <w:tcBorders>
              <w:top w:val="nil"/>
              <w:left w:val="nil"/>
              <w:bottom w:val="single" w:sz="4" w:space="0" w:color="auto"/>
              <w:right w:val="single" w:sz="4" w:space="0" w:color="auto"/>
            </w:tcBorders>
            <w:noWrap/>
            <w:vAlign w:val="center"/>
            <w:hideMark/>
          </w:tcPr>
          <w:p w14:paraId="1F512C36" w14:textId="77777777" w:rsidR="00B17255" w:rsidRPr="00B17255" w:rsidRDefault="00B17255" w:rsidP="00B17255">
            <w:pPr>
              <w:spacing w:line="360" w:lineRule="auto"/>
              <w:jc w:val="center"/>
              <w:rPr>
                <w:sz w:val="24"/>
                <w:szCs w:val="24"/>
              </w:rPr>
            </w:pPr>
            <w:r w:rsidRPr="00B17255">
              <w:rPr>
                <w:sz w:val="24"/>
                <w:szCs w:val="24"/>
              </w:rPr>
              <w:t>11.0</w:t>
            </w:r>
          </w:p>
        </w:tc>
        <w:tc>
          <w:tcPr>
            <w:tcW w:w="1160" w:type="dxa"/>
            <w:tcBorders>
              <w:top w:val="nil"/>
              <w:left w:val="nil"/>
              <w:bottom w:val="single" w:sz="4" w:space="0" w:color="auto"/>
              <w:right w:val="single" w:sz="4" w:space="0" w:color="auto"/>
            </w:tcBorders>
            <w:noWrap/>
            <w:vAlign w:val="center"/>
            <w:hideMark/>
          </w:tcPr>
          <w:p w14:paraId="0819DCD3" w14:textId="77777777" w:rsidR="00B17255" w:rsidRPr="00B17255" w:rsidRDefault="00B17255" w:rsidP="00B17255">
            <w:pPr>
              <w:spacing w:line="360" w:lineRule="auto"/>
              <w:jc w:val="center"/>
              <w:rPr>
                <w:sz w:val="24"/>
                <w:szCs w:val="24"/>
              </w:rPr>
            </w:pPr>
            <w:r w:rsidRPr="00B17255">
              <w:rPr>
                <w:sz w:val="24"/>
                <w:szCs w:val="24"/>
              </w:rPr>
              <w:t>8.085</w:t>
            </w:r>
          </w:p>
        </w:tc>
        <w:tc>
          <w:tcPr>
            <w:tcW w:w="1160" w:type="dxa"/>
            <w:tcBorders>
              <w:top w:val="nil"/>
              <w:left w:val="nil"/>
              <w:bottom w:val="single" w:sz="4" w:space="0" w:color="auto"/>
              <w:right w:val="single" w:sz="4" w:space="0" w:color="auto"/>
            </w:tcBorders>
            <w:noWrap/>
            <w:vAlign w:val="center"/>
            <w:hideMark/>
          </w:tcPr>
          <w:p w14:paraId="63394FE2" w14:textId="77777777" w:rsidR="00B17255" w:rsidRPr="00B17255" w:rsidRDefault="00B17255" w:rsidP="00B17255">
            <w:pPr>
              <w:spacing w:line="360" w:lineRule="auto"/>
              <w:jc w:val="center"/>
              <w:rPr>
                <w:sz w:val="24"/>
                <w:szCs w:val="24"/>
              </w:rPr>
            </w:pPr>
            <w:r w:rsidRPr="00B17255">
              <w:rPr>
                <w:sz w:val="24"/>
                <w:szCs w:val="24"/>
              </w:rPr>
              <w:t>25.0</w:t>
            </w:r>
          </w:p>
        </w:tc>
        <w:tc>
          <w:tcPr>
            <w:tcW w:w="1160" w:type="dxa"/>
            <w:tcBorders>
              <w:top w:val="nil"/>
              <w:left w:val="nil"/>
              <w:bottom w:val="single" w:sz="4" w:space="0" w:color="auto"/>
              <w:right w:val="single" w:sz="4" w:space="0" w:color="auto"/>
            </w:tcBorders>
            <w:noWrap/>
            <w:vAlign w:val="center"/>
            <w:hideMark/>
          </w:tcPr>
          <w:p w14:paraId="28BA8B03" w14:textId="77777777" w:rsidR="00B17255" w:rsidRPr="00B17255" w:rsidRDefault="00B17255" w:rsidP="00B17255">
            <w:pPr>
              <w:spacing w:line="360" w:lineRule="auto"/>
              <w:jc w:val="center"/>
              <w:rPr>
                <w:sz w:val="24"/>
                <w:szCs w:val="24"/>
              </w:rPr>
            </w:pPr>
            <w:r w:rsidRPr="00B17255">
              <w:rPr>
                <w:sz w:val="24"/>
                <w:szCs w:val="24"/>
              </w:rPr>
              <w:t>18.376</w:t>
            </w:r>
          </w:p>
        </w:tc>
      </w:tr>
      <w:tr w:rsidR="00B17255" w:rsidRPr="00B17255" w14:paraId="548CB976" w14:textId="77777777" w:rsidTr="00B17255">
        <w:trPr>
          <w:trHeight w:val="300"/>
        </w:trPr>
        <w:tc>
          <w:tcPr>
            <w:tcW w:w="1060" w:type="dxa"/>
            <w:tcBorders>
              <w:top w:val="nil"/>
              <w:left w:val="single" w:sz="4" w:space="0" w:color="auto"/>
              <w:bottom w:val="single" w:sz="4" w:space="0" w:color="auto"/>
              <w:right w:val="single" w:sz="4" w:space="0" w:color="auto"/>
            </w:tcBorders>
            <w:noWrap/>
            <w:vAlign w:val="center"/>
            <w:hideMark/>
          </w:tcPr>
          <w:p w14:paraId="4DAE7A4D" w14:textId="77777777" w:rsidR="00B17255" w:rsidRPr="00B17255" w:rsidRDefault="00B17255" w:rsidP="00B17255">
            <w:pPr>
              <w:spacing w:line="360" w:lineRule="auto"/>
              <w:jc w:val="center"/>
              <w:rPr>
                <w:sz w:val="24"/>
                <w:szCs w:val="24"/>
              </w:rPr>
            </w:pPr>
            <w:r w:rsidRPr="00B17255">
              <w:rPr>
                <w:sz w:val="24"/>
                <w:szCs w:val="24"/>
              </w:rPr>
              <w:t>5</w:t>
            </w:r>
          </w:p>
        </w:tc>
        <w:tc>
          <w:tcPr>
            <w:tcW w:w="2260" w:type="dxa"/>
            <w:tcBorders>
              <w:top w:val="nil"/>
              <w:left w:val="nil"/>
              <w:bottom w:val="single" w:sz="4" w:space="0" w:color="auto"/>
              <w:right w:val="single" w:sz="4" w:space="0" w:color="auto"/>
            </w:tcBorders>
            <w:noWrap/>
            <w:vAlign w:val="center"/>
            <w:hideMark/>
          </w:tcPr>
          <w:p w14:paraId="3996B118" w14:textId="77777777" w:rsidR="00B17255" w:rsidRPr="00B17255" w:rsidRDefault="00B17255" w:rsidP="00B17255">
            <w:pPr>
              <w:spacing w:line="360" w:lineRule="auto"/>
              <w:jc w:val="center"/>
              <w:rPr>
                <w:sz w:val="24"/>
                <w:szCs w:val="24"/>
              </w:rPr>
            </w:pPr>
            <w:r w:rsidRPr="00B17255">
              <w:rPr>
                <w:sz w:val="24"/>
                <w:szCs w:val="24"/>
              </w:rPr>
              <w:t>0.6806</w:t>
            </w:r>
          </w:p>
        </w:tc>
        <w:tc>
          <w:tcPr>
            <w:tcW w:w="1160" w:type="dxa"/>
            <w:tcBorders>
              <w:top w:val="nil"/>
              <w:left w:val="nil"/>
              <w:bottom w:val="single" w:sz="4" w:space="0" w:color="auto"/>
              <w:right w:val="single" w:sz="4" w:space="0" w:color="auto"/>
            </w:tcBorders>
            <w:noWrap/>
            <w:vAlign w:val="center"/>
            <w:hideMark/>
          </w:tcPr>
          <w:p w14:paraId="6514A661" w14:textId="77777777" w:rsidR="00B17255" w:rsidRPr="00B17255" w:rsidRDefault="00B17255" w:rsidP="00B17255">
            <w:pPr>
              <w:spacing w:line="360" w:lineRule="auto"/>
              <w:jc w:val="center"/>
              <w:rPr>
                <w:sz w:val="24"/>
                <w:szCs w:val="24"/>
              </w:rPr>
            </w:pPr>
            <w:r w:rsidRPr="00B17255">
              <w:rPr>
                <w:sz w:val="24"/>
                <w:szCs w:val="24"/>
              </w:rPr>
              <w:t>8.0</w:t>
            </w:r>
          </w:p>
        </w:tc>
        <w:tc>
          <w:tcPr>
            <w:tcW w:w="1160" w:type="dxa"/>
            <w:tcBorders>
              <w:top w:val="nil"/>
              <w:left w:val="nil"/>
              <w:bottom w:val="single" w:sz="4" w:space="0" w:color="auto"/>
              <w:right w:val="single" w:sz="4" w:space="0" w:color="auto"/>
            </w:tcBorders>
            <w:noWrap/>
            <w:vAlign w:val="center"/>
            <w:hideMark/>
          </w:tcPr>
          <w:p w14:paraId="643FCE13" w14:textId="77777777" w:rsidR="00B17255" w:rsidRPr="00B17255" w:rsidRDefault="00B17255" w:rsidP="00B17255">
            <w:pPr>
              <w:spacing w:line="360" w:lineRule="auto"/>
              <w:jc w:val="center"/>
              <w:rPr>
                <w:sz w:val="24"/>
                <w:szCs w:val="24"/>
              </w:rPr>
            </w:pPr>
            <w:r w:rsidRPr="00B17255">
              <w:rPr>
                <w:sz w:val="24"/>
                <w:szCs w:val="24"/>
              </w:rPr>
              <w:t>5.445</w:t>
            </w:r>
          </w:p>
        </w:tc>
        <w:tc>
          <w:tcPr>
            <w:tcW w:w="1160" w:type="dxa"/>
            <w:tcBorders>
              <w:top w:val="nil"/>
              <w:left w:val="nil"/>
              <w:bottom w:val="single" w:sz="4" w:space="0" w:color="auto"/>
              <w:right w:val="single" w:sz="4" w:space="0" w:color="auto"/>
            </w:tcBorders>
            <w:noWrap/>
            <w:vAlign w:val="center"/>
            <w:hideMark/>
          </w:tcPr>
          <w:p w14:paraId="7ED18BE3" w14:textId="77777777" w:rsidR="00B17255" w:rsidRPr="00B17255" w:rsidRDefault="00B17255" w:rsidP="00B17255">
            <w:pPr>
              <w:spacing w:line="360" w:lineRule="auto"/>
              <w:jc w:val="center"/>
              <w:rPr>
                <w:sz w:val="24"/>
                <w:szCs w:val="24"/>
              </w:rPr>
            </w:pPr>
            <w:r w:rsidRPr="00B17255">
              <w:rPr>
                <w:sz w:val="24"/>
                <w:szCs w:val="24"/>
              </w:rPr>
              <w:t>11.0</w:t>
            </w:r>
          </w:p>
        </w:tc>
        <w:tc>
          <w:tcPr>
            <w:tcW w:w="1160" w:type="dxa"/>
            <w:tcBorders>
              <w:top w:val="nil"/>
              <w:left w:val="nil"/>
              <w:bottom w:val="single" w:sz="4" w:space="0" w:color="auto"/>
              <w:right w:val="single" w:sz="4" w:space="0" w:color="auto"/>
            </w:tcBorders>
            <w:noWrap/>
            <w:vAlign w:val="center"/>
            <w:hideMark/>
          </w:tcPr>
          <w:p w14:paraId="47F06D43" w14:textId="77777777" w:rsidR="00B17255" w:rsidRPr="00B17255" w:rsidRDefault="00B17255" w:rsidP="00B17255">
            <w:pPr>
              <w:spacing w:line="360" w:lineRule="auto"/>
              <w:jc w:val="center"/>
              <w:rPr>
                <w:sz w:val="24"/>
                <w:szCs w:val="24"/>
              </w:rPr>
            </w:pPr>
            <w:r w:rsidRPr="00B17255">
              <w:rPr>
                <w:sz w:val="24"/>
                <w:szCs w:val="24"/>
              </w:rPr>
              <w:t>7.486</w:t>
            </w:r>
          </w:p>
        </w:tc>
        <w:tc>
          <w:tcPr>
            <w:tcW w:w="1160" w:type="dxa"/>
            <w:tcBorders>
              <w:top w:val="nil"/>
              <w:left w:val="nil"/>
              <w:bottom w:val="single" w:sz="4" w:space="0" w:color="auto"/>
              <w:right w:val="single" w:sz="4" w:space="0" w:color="auto"/>
            </w:tcBorders>
            <w:noWrap/>
            <w:vAlign w:val="center"/>
            <w:hideMark/>
          </w:tcPr>
          <w:p w14:paraId="6D9C8F75" w14:textId="77777777" w:rsidR="00B17255" w:rsidRPr="00B17255" w:rsidRDefault="00B17255" w:rsidP="00B17255">
            <w:pPr>
              <w:spacing w:line="360" w:lineRule="auto"/>
              <w:jc w:val="center"/>
              <w:rPr>
                <w:sz w:val="24"/>
                <w:szCs w:val="24"/>
              </w:rPr>
            </w:pPr>
            <w:r w:rsidRPr="00B17255">
              <w:rPr>
                <w:sz w:val="24"/>
                <w:szCs w:val="24"/>
              </w:rPr>
              <w:t>5.0</w:t>
            </w:r>
          </w:p>
        </w:tc>
        <w:tc>
          <w:tcPr>
            <w:tcW w:w="1160" w:type="dxa"/>
            <w:tcBorders>
              <w:top w:val="nil"/>
              <w:left w:val="nil"/>
              <w:bottom w:val="single" w:sz="4" w:space="0" w:color="auto"/>
              <w:right w:val="single" w:sz="4" w:space="0" w:color="auto"/>
            </w:tcBorders>
            <w:noWrap/>
            <w:vAlign w:val="center"/>
            <w:hideMark/>
          </w:tcPr>
          <w:p w14:paraId="2A387FD4" w14:textId="77777777" w:rsidR="00B17255" w:rsidRPr="00B17255" w:rsidRDefault="00B17255" w:rsidP="00B17255">
            <w:pPr>
              <w:spacing w:line="360" w:lineRule="auto"/>
              <w:jc w:val="center"/>
              <w:rPr>
                <w:sz w:val="24"/>
                <w:szCs w:val="24"/>
              </w:rPr>
            </w:pPr>
            <w:r w:rsidRPr="00B17255">
              <w:rPr>
                <w:sz w:val="24"/>
                <w:szCs w:val="24"/>
              </w:rPr>
              <w:t>3.403</w:t>
            </w:r>
          </w:p>
        </w:tc>
      </w:tr>
      <w:tr w:rsidR="00B17255" w:rsidRPr="00B17255" w14:paraId="1F9FEDCD" w14:textId="77777777" w:rsidTr="00B17255">
        <w:trPr>
          <w:trHeight w:val="300"/>
        </w:trPr>
        <w:tc>
          <w:tcPr>
            <w:tcW w:w="3320" w:type="dxa"/>
            <w:gridSpan w:val="2"/>
            <w:tcBorders>
              <w:top w:val="single" w:sz="4" w:space="0" w:color="auto"/>
              <w:left w:val="single" w:sz="4" w:space="0" w:color="auto"/>
              <w:bottom w:val="single" w:sz="4" w:space="0" w:color="auto"/>
              <w:right w:val="nil"/>
            </w:tcBorders>
            <w:noWrap/>
            <w:vAlign w:val="center"/>
            <w:hideMark/>
          </w:tcPr>
          <w:p w14:paraId="35B3CEB7" w14:textId="77777777" w:rsidR="00B17255" w:rsidRPr="00B17255" w:rsidRDefault="00B17255" w:rsidP="00B17255">
            <w:pPr>
              <w:spacing w:line="360" w:lineRule="auto"/>
              <w:jc w:val="center"/>
              <w:rPr>
                <w:sz w:val="24"/>
                <w:szCs w:val="24"/>
              </w:rPr>
            </w:pPr>
            <w:r w:rsidRPr="00B17255">
              <w:rPr>
                <w:sz w:val="24"/>
                <w:szCs w:val="24"/>
              </w:rPr>
              <w:t>Total PV of Inflows (£m)</w:t>
            </w:r>
          </w:p>
        </w:tc>
        <w:tc>
          <w:tcPr>
            <w:tcW w:w="1160" w:type="dxa"/>
            <w:tcBorders>
              <w:top w:val="nil"/>
              <w:left w:val="nil"/>
              <w:bottom w:val="nil"/>
              <w:right w:val="nil"/>
            </w:tcBorders>
            <w:noWrap/>
            <w:vAlign w:val="bottom"/>
            <w:hideMark/>
          </w:tcPr>
          <w:p w14:paraId="4E0E1D11"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0E7E062C" w14:textId="77777777" w:rsidR="00B17255" w:rsidRPr="00B17255" w:rsidRDefault="00B17255" w:rsidP="00B17255">
            <w:pPr>
              <w:spacing w:line="360" w:lineRule="auto"/>
              <w:jc w:val="center"/>
              <w:rPr>
                <w:sz w:val="24"/>
                <w:szCs w:val="24"/>
              </w:rPr>
            </w:pPr>
            <w:r w:rsidRPr="00B17255">
              <w:rPr>
                <w:sz w:val="24"/>
                <w:szCs w:val="24"/>
              </w:rPr>
              <w:t>43.46</w:t>
            </w:r>
          </w:p>
        </w:tc>
        <w:tc>
          <w:tcPr>
            <w:tcW w:w="1160" w:type="dxa"/>
            <w:tcBorders>
              <w:top w:val="nil"/>
              <w:left w:val="nil"/>
              <w:bottom w:val="nil"/>
              <w:right w:val="nil"/>
            </w:tcBorders>
            <w:noWrap/>
            <w:vAlign w:val="bottom"/>
            <w:hideMark/>
          </w:tcPr>
          <w:p w14:paraId="13BF762B"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3324FB3B" w14:textId="77777777" w:rsidR="00B17255" w:rsidRPr="00B17255" w:rsidRDefault="00B17255" w:rsidP="00B17255">
            <w:pPr>
              <w:spacing w:line="360" w:lineRule="auto"/>
              <w:jc w:val="center"/>
              <w:rPr>
                <w:sz w:val="24"/>
                <w:szCs w:val="24"/>
              </w:rPr>
            </w:pPr>
            <w:r w:rsidRPr="00B17255">
              <w:rPr>
                <w:sz w:val="24"/>
                <w:szCs w:val="24"/>
              </w:rPr>
              <w:t>43.92</w:t>
            </w:r>
          </w:p>
        </w:tc>
        <w:tc>
          <w:tcPr>
            <w:tcW w:w="1160" w:type="dxa"/>
            <w:tcBorders>
              <w:top w:val="nil"/>
              <w:left w:val="nil"/>
              <w:bottom w:val="nil"/>
              <w:right w:val="nil"/>
            </w:tcBorders>
            <w:noWrap/>
            <w:vAlign w:val="bottom"/>
            <w:hideMark/>
          </w:tcPr>
          <w:p w14:paraId="2CC6D556"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62F301FB" w14:textId="77777777" w:rsidR="00B17255" w:rsidRPr="00B17255" w:rsidRDefault="00B17255" w:rsidP="00B17255">
            <w:pPr>
              <w:spacing w:line="360" w:lineRule="auto"/>
              <w:jc w:val="center"/>
              <w:rPr>
                <w:sz w:val="24"/>
                <w:szCs w:val="24"/>
              </w:rPr>
            </w:pPr>
            <w:r w:rsidRPr="00B17255">
              <w:rPr>
                <w:sz w:val="24"/>
                <w:szCs w:val="24"/>
              </w:rPr>
              <w:t>50.86</w:t>
            </w:r>
          </w:p>
        </w:tc>
      </w:tr>
      <w:tr w:rsidR="00B17255" w:rsidRPr="00B17255" w14:paraId="5961D698" w14:textId="77777777" w:rsidTr="00B17255">
        <w:trPr>
          <w:trHeight w:val="300"/>
        </w:trPr>
        <w:tc>
          <w:tcPr>
            <w:tcW w:w="3320" w:type="dxa"/>
            <w:gridSpan w:val="2"/>
            <w:tcBorders>
              <w:top w:val="single" w:sz="4" w:space="0" w:color="auto"/>
              <w:left w:val="single" w:sz="4" w:space="0" w:color="auto"/>
              <w:bottom w:val="single" w:sz="4" w:space="0" w:color="auto"/>
              <w:right w:val="nil"/>
            </w:tcBorders>
            <w:noWrap/>
            <w:vAlign w:val="center"/>
            <w:hideMark/>
          </w:tcPr>
          <w:p w14:paraId="55728F5D" w14:textId="77777777" w:rsidR="00B17255" w:rsidRPr="00B17255" w:rsidRDefault="00B17255" w:rsidP="00B17255">
            <w:pPr>
              <w:spacing w:line="360" w:lineRule="auto"/>
              <w:jc w:val="center"/>
              <w:rPr>
                <w:sz w:val="24"/>
                <w:szCs w:val="24"/>
              </w:rPr>
            </w:pPr>
            <w:r w:rsidRPr="00B17255">
              <w:rPr>
                <w:sz w:val="24"/>
                <w:szCs w:val="24"/>
              </w:rPr>
              <w:t>Initial Investment (£m)</w:t>
            </w:r>
          </w:p>
        </w:tc>
        <w:tc>
          <w:tcPr>
            <w:tcW w:w="1160" w:type="dxa"/>
            <w:tcBorders>
              <w:top w:val="nil"/>
              <w:left w:val="nil"/>
              <w:bottom w:val="nil"/>
              <w:right w:val="nil"/>
            </w:tcBorders>
            <w:noWrap/>
            <w:vAlign w:val="bottom"/>
            <w:hideMark/>
          </w:tcPr>
          <w:p w14:paraId="26F2BDFA"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496ED578" w14:textId="77777777" w:rsidR="00B17255" w:rsidRPr="00B17255" w:rsidRDefault="00B17255" w:rsidP="00B17255">
            <w:pPr>
              <w:spacing w:line="360" w:lineRule="auto"/>
              <w:jc w:val="center"/>
              <w:rPr>
                <w:sz w:val="24"/>
                <w:szCs w:val="24"/>
              </w:rPr>
            </w:pPr>
            <w:r w:rsidRPr="00B17255">
              <w:rPr>
                <w:sz w:val="24"/>
                <w:szCs w:val="24"/>
              </w:rPr>
              <w:t>50.00</w:t>
            </w:r>
          </w:p>
        </w:tc>
        <w:tc>
          <w:tcPr>
            <w:tcW w:w="1160" w:type="dxa"/>
            <w:tcBorders>
              <w:top w:val="nil"/>
              <w:left w:val="nil"/>
              <w:bottom w:val="nil"/>
              <w:right w:val="nil"/>
            </w:tcBorders>
            <w:noWrap/>
            <w:vAlign w:val="bottom"/>
            <w:hideMark/>
          </w:tcPr>
          <w:p w14:paraId="3C003888"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6F858E5F" w14:textId="77777777" w:rsidR="00B17255" w:rsidRPr="00B17255" w:rsidRDefault="00B17255" w:rsidP="00B17255">
            <w:pPr>
              <w:spacing w:line="360" w:lineRule="auto"/>
              <w:jc w:val="center"/>
              <w:rPr>
                <w:sz w:val="24"/>
                <w:szCs w:val="24"/>
              </w:rPr>
            </w:pPr>
            <w:r w:rsidRPr="00B17255">
              <w:rPr>
                <w:sz w:val="24"/>
                <w:szCs w:val="24"/>
              </w:rPr>
              <w:t>50.00</w:t>
            </w:r>
          </w:p>
        </w:tc>
        <w:tc>
          <w:tcPr>
            <w:tcW w:w="1160" w:type="dxa"/>
            <w:tcBorders>
              <w:top w:val="nil"/>
              <w:left w:val="nil"/>
              <w:bottom w:val="nil"/>
              <w:right w:val="nil"/>
            </w:tcBorders>
            <w:noWrap/>
            <w:vAlign w:val="bottom"/>
            <w:hideMark/>
          </w:tcPr>
          <w:p w14:paraId="71B3D1F6"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1A8AC986" w14:textId="77777777" w:rsidR="00B17255" w:rsidRPr="00B17255" w:rsidRDefault="00B17255" w:rsidP="00B17255">
            <w:pPr>
              <w:spacing w:line="360" w:lineRule="auto"/>
              <w:jc w:val="center"/>
              <w:rPr>
                <w:sz w:val="24"/>
                <w:szCs w:val="24"/>
              </w:rPr>
            </w:pPr>
            <w:r w:rsidRPr="00B17255">
              <w:rPr>
                <w:sz w:val="24"/>
                <w:szCs w:val="24"/>
              </w:rPr>
              <w:t>50.00</w:t>
            </w:r>
          </w:p>
        </w:tc>
      </w:tr>
      <w:tr w:rsidR="00B17255" w:rsidRPr="00B17255" w14:paraId="5247A51B" w14:textId="77777777" w:rsidTr="00B17255">
        <w:trPr>
          <w:trHeight w:val="300"/>
        </w:trPr>
        <w:tc>
          <w:tcPr>
            <w:tcW w:w="3320" w:type="dxa"/>
            <w:gridSpan w:val="2"/>
            <w:tcBorders>
              <w:top w:val="single" w:sz="4" w:space="0" w:color="auto"/>
              <w:left w:val="single" w:sz="4" w:space="0" w:color="auto"/>
              <w:bottom w:val="single" w:sz="4" w:space="0" w:color="auto"/>
              <w:right w:val="nil"/>
            </w:tcBorders>
            <w:noWrap/>
            <w:vAlign w:val="center"/>
            <w:hideMark/>
          </w:tcPr>
          <w:p w14:paraId="197278E9" w14:textId="77777777" w:rsidR="00B17255" w:rsidRPr="00B17255" w:rsidRDefault="00B17255" w:rsidP="00B17255">
            <w:pPr>
              <w:spacing w:line="360" w:lineRule="auto"/>
              <w:jc w:val="center"/>
              <w:rPr>
                <w:b/>
                <w:bCs/>
                <w:sz w:val="24"/>
                <w:szCs w:val="24"/>
              </w:rPr>
            </w:pPr>
            <w:r w:rsidRPr="00B17255">
              <w:rPr>
                <w:b/>
                <w:bCs/>
                <w:sz w:val="24"/>
                <w:szCs w:val="24"/>
              </w:rPr>
              <w:t>NPV (£m)</w:t>
            </w:r>
          </w:p>
        </w:tc>
        <w:tc>
          <w:tcPr>
            <w:tcW w:w="1160" w:type="dxa"/>
            <w:tcBorders>
              <w:top w:val="nil"/>
              <w:left w:val="nil"/>
              <w:bottom w:val="nil"/>
              <w:right w:val="nil"/>
            </w:tcBorders>
            <w:noWrap/>
            <w:vAlign w:val="bottom"/>
            <w:hideMark/>
          </w:tcPr>
          <w:p w14:paraId="57954781"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14E4F6EF" w14:textId="77777777" w:rsidR="00B17255" w:rsidRPr="00B17255" w:rsidRDefault="00B17255" w:rsidP="00B17255">
            <w:pPr>
              <w:spacing w:line="360" w:lineRule="auto"/>
              <w:jc w:val="center"/>
              <w:rPr>
                <w:b/>
                <w:bCs/>
                <w:sz w:val="24"/>
                <w:szCs w:val="24"/>
              </w:rPr>
            </w:pPr>
            <w:r w:rsidRPr="00B17255">
              <w:rPr>
                <w:b/>
                <w:bCs/>
                <w:sz w:val="24"/>
                <w:szCs w:val="24"/>
              </w:rPr>
              <w:t>-6.54</w:t>
            </w:r>
          </w:p>
        </w:tc>
        <w:tc>
          <w:tcPr>
            <w:tcW w:w="1160" w:type="dxa"/>
            <w:tcBorders>
              <w:top w:val="nil"/>
              <w:left w:val="nil"/>
              <w:bottom w:val="nil"/>
              <w:right w:val="nil"/>
            </w:tcBorders>
            <w:noWrap/>
            <w:vAlign w:val="bottom"/>
            <w:hideMark/>
          </w:tcPr>
          <w:p w14:paraId="2EE1E4D9"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2B153140" w14:textId="77777777" w:rsidR="00B17255" w:rsidRPr="00B17255" w:rsidRDefault="00B17255" w:rsidP="00B17255">
            <w:pPr>
              <w:spacing w:line="360" w:lineRule="auto"/>
              <w:jc w:val="center"/>
              <w:rPr>
                <w:b/>
                <w:bCs/>
                <w:sz w:val="24"/>
                <w:szCs w:val="24"/>
              </w:rPr>
            </w:pPr>
            <w:r w:rsidRPr="00B17255">
              <w:rPr>
                <w:b/>
                <w:bCs/>
                <w:sz w:val="24"/>
                <w:szCs w:val="24"/>
              </w:rPr>
              <w:t>-6.08</w:t>
            </w:r>
          </w:p>
        </w:tc>
        <w:tc>
          <w:tcPr>
            <w:tcW w:w="1160" w:type="dxa"/>
            <w:tcBorders>
              <w:top w:val="nil"/>
              <w:left w:val="nil"/>
              <w:bottom w:val="nil"/>
              <w:right w:val="nil"/>
            </w:tcBorders>
            <w:noWrap/>
            <w:vAlign w:val="bottom"/>
            <w:hideMark/>
          </w:tcPr>
          <w:p w14:paraId="670F249D" w14:textId="77777777" w:rsidR="00B17255" w:rsidRPr="00B17255" w:rsidRDefault="00B17255" w:rsidP="00B17255">
            <w:pPr>
              <w:spacing w:line="360" w:lineRule="auto"/>
              <w:jc w:val="center"/>
              <w:rPr>
                <w:color w:val="000000"/>
                <w:sz w:val="24"/>
                <w:szCs w:val="24"/>
              </w:rPr>
            </w:pPr>
          </w:p>
        </w:tc>
        <w:tc>
          <w:tcPr>
            <w:tcW w:w="1160" w:type="dxa"/>
            <w:tcBorders>
              <w:top w:val="nil"/>
              <w:left w:val="single" w:sz="4" w:space="0" w:color="auto"/>
              <w:bottom w:val="single" w:sz="4" w:space="0" w:color="auto"/>
              <w:right w:val="single" w:sz="4" w:space="0" w:color="auto"/>
            </w:tcBorders>
            <w:noWrap/>
            <w:vAlign w:val="center"/>
            <w:hideMark/>
          </w:tcPr>
          <w:p w14:paraId="4AFC75FF" w14:textId="77777777" w:rsidR="00B17255" w:rsidRPr="00B17255" w:rsidRDefault="00B17255" w:rsidP="00B17255">
            <w:pPr>
              <w:spacing w:line="360" w:lineRule="auto"/>
              <w:jc w:val="center"/>
              <w:rPr>
                <w:b/>
                <w:bCs/>
                <w:sz w:val="24"/>
                <w:szCs w:val="24"/>
              </w:rPr>
            </w:pPr>
            <w:r w:rsidRPr="00B17255">
              <w:rPr>
                <w:b/>
                <w:bCs/>
                <w:sz w:val="24"/>
                <w:szCs w:val="24"/>
              </w:rPr>
              <w:t>0.86</w:t>
            </w:r>
          </w:p>
        </w:tc>
      </w:tr>
    </w:tbl>
    <w:p w14:paraId="2195E51C" w14:textId="77777777" w:rsidR="00B17255" w:rsidRPr="00B17255" w:rsidRDefault="00B17255" w:rsidP="00B17255">
      <w:pPr>
        <w:pStyle w:val="NormalWeb"/>
        <w:spacing w:line="360" w:lineRule="auto"/>
        <w:jc w:val="center"/>
      </w:pPr>
    </w:p>
    <w:tbl>
      <w:tblPr>
        <w:tblW w:w="6820" w:type="dxa"/>
        <w:tblInd w:w="93" w:type="dxa"/>
        <w:tblLook w:val="04A0" w:firstRow="1" w:lastRow="0" w:firstColumn="1" w:lastColumn="0" w:noHBand="0" w:noVBand="1"/>
      </w:tblPr>
      <w:tblGrid>
        <w:gridCol w:w="2740"/>
        <w:gridCol w:w="1360"/>
        <w:gridCol w:w="1360"/>
        <w:gridCol w:w="1360"/>
      </w:tblGrid>
      <w:tr w:rsidR="00B17255" w:rsidRPr="00B17255" w14:paraId="1EA205A1" w14:textId="77777777" w:rsidTr="00B17255">
        <w:trPr>
          <w:trHeight w:val="300"/>
        </w:trPr>
        <w:tc>
          <w:tcPr>
            <w:tcW w:w="2740" w:type="dxa"/>
            <w:tcBorders>
              <w:top w:val="single" w:sz="4" w:space="0" w:color="auto"/>
              <w:left w:val="single" w:sz="4" w:space="0" w:color="auto"/>
              <w:bottom w:val="single" w:sz="4" w:space="0" w:color="auto"/>
              <w:right w:val="single" w:sz="4" w:space="0" w:color="auto"/>
            </w:tcBorders>
            <w:vAlign w:val="center"/>
            <w:hideMark/>
          </w:tcPr>
          <w:p w14:paraId="0E833705" w14:textId="77777777" w:rsidR="00B17255" w:rsidRPr="00B17255" w:rsidRDefault="00B17255" w:rsidP="00B17255">
            <w:pPr>
              <w:spacing w:line="360" w:lineRule="auto"/>
              <w:jc w:val="center"/>
              <w:rPr>
                <w:b/>
                <w:bCs/>
                <w:sz w:val="24"/>
                <w:szCs w:val="24"/>
              </w:rPr>
            </w:pPr>
            <w:r w:rsidRPr="00B17255">
              <w:rPr>
                <w:b/>
                <w:bCs/>
                <w:sz w:val="24"/>
                <w:szCs w:val="24"/>
              </w:rPr>
              <w:t>Item</w:t>
            </w:r>
          </w:p>
        </w:tc>
        <w:tc>
          <w:tcPr>
            <w:tcW w:w="1360" w:type="dxa"/>
            <w:tcBorders>
              <w:top w:val="single" w:sz="4" w:space="0" w:color="auto"/>
              <w:left w:val="nil"/>
              <w:bottom w:val="single" w:sz="4" w:space="0" w:color="auto"/>
              <w:right w:val="single" w:sz="4" w:space="0" w:color="auto"/>
            </w:tcBorders>
            <w:vAlign w:val="center"/>
            <w:hideMark/>
          </w:tcPr>
          <w:p w14:paraId="5AE2781B"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360" w:type="dxa"/>
            <w:tcBorders>
              <w:top w:val="single" w:sz="4" w:space="0" w:color="auto"/>
              <w:left w:val="nil"/>
              <w:bottom w:val="single" w:sz="4" w:space="0" w:color="auto"/>
              <w:right w:val="single" w:sz="4" w:space="0" w:color="auto"/>
            </w:tcBorders>
            <w:vAlign w:val="center"/>
            <w:hideMark/>
          </w:tcPr>
          <w:p w14:paraId="3D2693FA"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360" w:type="dxa"/>
            <w:tcBorders>
              <w:top w:val="single" w:sz="4" w:space="0" w:color="auto"/>
              <w:left w:val="nil"/>
              <w:bottom w:val="single" w:sz="4" w:space="0" w:color="auto"/>
              <w:right w:val="single" w:sz="4" w:space="0" w:color="auto"/>
            </w:tcBorders>
            <w:vAlign w:val="center"/>
            <w:hideMark/>
          </w:tcPr>
          <w:p w14:paraId="0C07B471" w14:textId="77777777" w:rsidR="00B17255" w:rsidRPr="00B17255" w:rsidRDefault="00B17255" w:rsidP="00B17255">
            <w:pPr>
              <w:spacing w:line="360" w:lineRule="auto"/>
              <w:jc w:val="center"/>
              <w:rPr>
                <w:b/>
                <w:bCs/>
                <w:sz w:val="24"/>
                <w:szCs w:val="24"/>
              </w:rPr>
            </w:pPr>
            <w:r w:rsidRPr="00B17255">
              <w:rPr>
                <w:b/>
                <w:bCs/>
                <w:sz w:val="24"/>
                <w:szCs w:val="24"/>
              </w:rPr>
              <w:t>Project C</w:t>
            </w:r>
          </w:p>
        </w:tc>
      </w:tr>
      <w:tr w:rsidR="00B17255" w:rsidRPr="00B17255" w14:paraId="081E011D" w14:textId="77777777" w:rsidTr="00B17255">
        <w:trPr>
          <w:trHeight w:val="300"/>
        </w:trPr>
        <w:tc>
          <w:tcPr>
            <w:tcW w:w="2740" w:type="dxa"/>
            <w:tcBorders>
              <w:top w:val="nil"/>
              <w:left w:val="single" w:sz="4" w:space="0" w:color="auto"/>
              <w:bottom w:val="single" w:sz="4" w:space="0" w:color="auto"/>
              <w:right w:val="single" w:sz="4" w:space="0" w:color="auto"/>
            </w:tcBorders>
            <w:noWrap/>
            <w:vAlign w:val="center"/>
            <w:hideMark/>
          </w:tcPr>
          <w:p w14:paraId="48BEBC44" w14:textId="77777777" w:rsidR="00B17255" w:rsidRPr="00B17255" w:rsidRDefault="00B17255" w:rsidP="00B17255">
            <w:pPr>
              <w:spacing w:line="360" w:lineRule="auto"/>
              <w:jc w:val="center"/>
              <w:rPr>
                <w:sz w:val="24"/>
                <w:szCs w:val="24"/>
              </w:rPr>
            </w:pPr>
            <w:r w:rsidRPr="00B17255">
              <w:rPr>
                <w:sz w:val="24"/>
                <w:szCs w:val="24"/>
              </w:rPr>
              <w:t>Total PV of Inflows (£m)</w:t>
            </w:r>
          </w:p>
        </w:tc>
        <w:tc>
          <w:tcPr>
            <w:tcW w:w="1360" w:type="dxa"/>
            <w:tcBorders>
              <w:top w:val="nil"/>
              <w:left w:val="nil"/>
              <w:bottom w:val="single" w:sz="4" w:space="0" w:color="auto"/>
              <w:right w:val="single" w:sz="4" w:space="0" w:color="auto"/>
            </w:tcBorders>
            <w:noWrap/>
            <w:vAlign w:val="center"/>
            <w:hideMark/>
          </w:tcPr>
          <w:p w14:paraId="5849612E" w14:textId="77777777" w:rsidR="00B17255" w:rsidRPr="00B17255" w:rsidRDefault="00B17255" w:rsidP="00B17255">
            <w:pPr>
              <w:spacing w:line="360" w:lineRule="auto"/>
              <w:jc w:val="center"/>
              <w:rPr>
                <w:sz w:val="24"/>
                <w:szCs w:val="24"/>
              </w:rPr>
            </w:pPr>
            <w:r w:rsidRPr="00B17255">
              <w:rPr>
                <w:sz w:val="24"/>
                <w:szCs w:val="24"/>
              </w:rPr>
              <w:t>43.46</w:t>
            </w:r>
          </w:p>
        </w:tc>
        <w:tc>
          <w:tcPr>
            <w:tcW w:w="1360" w:type="dxa"/>
            <w:tcBorders>
              <w:top w:val="nil"/>
              <w:left w:val="nil"/>
              <w:bottom w:val="single" w:sz="4" w:space="0" w:color="auto"/>
              <w:right w:val="single" w:sz="4" w:space="0" w:color="auto"/>
            </w:tcBorders>
            <w:noWrap/>
            <w:vAlign w:val="center"/>
            <w:hideMark/>
          </w:tcPr>
          <w:p w14:paraId="122211CF" w14:textId="77777777" w:rsidR="00B17255" w:rsidRPr="00B17255" w:rsidRDefault="00B17255" w:rsidP="00B17255">
            <w:pPr>
              <w:spacing w:line="360" w:lineRule="auto"/>
              <w:jc w:val="center"/>
              <w:rPr>
                <w:sz w:val="24"/>
                <w:szCs w:val="24"/>
              </w:rPr>
            </w:pPr>
            <w:r w:rsidRPr="00B17255">
              <w:rPr>
                <w:sz w:val="24"/>
                <w:szCs w:val="24"/>
              </w:rPr>
              <w:t>43.92</w:t>
            </w:r>
          </w:p>
        </w:tc>
        <w:tc>
          <w:tcPr>
            <w:tcW w:w="1360" w:type="dxa"/>
            <w:tcBorders>
              <w:top w:val="nil"/>
              <w:left w:val="nil"/>
              <w:bottom w:val="single" w:sz="4" w:space="0" w:color="auto"/>
              <w:right w:val="single" w:sz="4" w:space="0" w:color="auto"/>
            </w:tcBorders>
            <w:noWrap/>
            <w:vAlign w:val="center"/>
            <w:hideMark/>
          </w:tcPr>
          <w:p w14:paraId="4011DB7C" w14:textId="77777777" w:rsidR="00B17255" w:rsidRPr="00B17255" w:rsidRDefault="00B17255" w:rsidP="00B17255">
            <w:pPr>
              <w:spacing w:line="360" w:lineRule="auto"/>
              <w:jc w:val="center"/>
              <w:rPr>
                <w:sz w:val="24"/>
                <w:szCs w:val="24"/>
              </w:rPr>
            </w:pPr>
            <w:r w:rsidRPr="00B17255">
              <w:rPr>
                <w:sz w:val="24"/>
                <w:szCs w:val="24"/>
              </w:rPr>
              <w:t>50.86</w:t>
            </w:r>
          </w:p>
        </w:tc>
      </w:tr>
      <w:tr w:rsidR="00B17255" w:rsidRPr="00B17255" w14:paraId="477C696E" w14:textId="77777777" w:rsidTr="00B17255">
        <w:trPr>
          <w:trHeight w:val="300"/>
        </w:trPr>
        <w:tc>
          <w:tcPr>
            <w:tcW w:w="2740" w:type="dxa"/>
            <w:tcBorders>
              <w:top w:val="nil"/>
              <w:left w:val="single" w:sz="4" w:space="0" w:color="auto"/>
              <w:bottom w:val="single" w:sz="4" w:space="0" w:color="auto"/>
              <w:right w:val="single" w:sz="4" w:space="0" w:color="auto"/>
            </w:tcBorders>
            <w:noWrap/>
            <w:vAlign w:val="center"/>
            <w:hideMark/>
          </w:tcPr>
          <w:p w14:paraId="021D5994" w14:textId="77777777" w:rsidR="00B17255" w:rsidRPr="00B17255" w:rsidRDefault="00B17255" w:rsidP="00B17255">
            <w:pPr>
              <w:spacing w:line="360" w:lineRule="auto"/>
              <w:jc w:val="center"/>
              <w:rPr>
                <w:sz w:val="24"/>
                <w:szCs w:val="24"/>
              </w:rPr>
            </w:pPr>
            <w:r w:rsidRPr="00B17255">
              <w:rPr>
                <w:sz w:val="24"/>
                <w:szCs w:val="24"/>
              </w:rPr>
              <w:t>Initial Investment (£m)</w:t>
            </w:r>
          </w:p>
        </w:tc>
        <w:tc>
          <w:tcPr>
            <w:tcW w:w="1360" w:type="dxa"/>
            <w:tcBorders>
              <w:top w:val="nil"/>
              <w:left w:val="nil"/>
              <w:bottom w:val="single" w:sz="4" w:space="0" w:color="auto"/>
              <w:right w:val="single" w:sz="4" w:space="0" w:color="auto"/>
            </w:tcBorders>
            <w:noWrap/>
            <w:vAlign w:val="center"/>
            <w:hideMark/>
          </w:tcPr>
          <w:p w14:paraId="3B024467" w14:textId="77777777" w:rsidR="00B17255" w:rsidRPr="00B17255" w:rsidRDefault="00B17255" w:rsidP="00B17255">
            <w:pPr>
              <w:spacing w:line="360" w:lineRule="auto"/>
              <w:jc w:val="center"/>
              <w:rPr>
                <w:sz w:val="24"/>
                <w:szCs w:val="24"/>
              </w:rPr>
            </w:pPr>
            <w:r w:rsidRPr="00B17255">
              <w:rPr>
                <w:sz w:val="24"/>
                <w:szCs w:val="24"/>
              </w:rPr>
              <w:t>50.00</w:t>
            </w:r>
          </w:p>
        </w:tc>
        <w:tc>
          <w:tcPr>
            <w:tcW w:w="1360" w:type="dxa"/>
            <w:tcBorders>
              <w:top w:val="nil"/>
              <w:left w:val="nil"/>
              <w:bottom w:val="single" w:sz="4" w:space="0" w:color="auto"/>
              <w:right w:val="single" w:sz="4" w:space="0" w:color="auto"/>
            </w:tcBorders>
            <w:noWrap/>
            <w:vAlign w:val="center"/>
            <w:hideMark/>
          </w:tcPr>
          <w:p w14:paraId="610701C1" w14:textId="77777777" w:rsidR="00B17255" w:rsidRPr="00B17255" w:rsidRDefault="00B17255" w:rsidP="00B17255">
            <w:pPr>
              <w:spacing w:line="360" w:lineRule="auto"/>
              <w:jc w:val="center"/>
              <w:rPr>
                <w:sz w:val="24"/>
                <w:szCs w:val="24"/>
              </w:rPr>
            </w:pPr>
            <w:r w:rsidRPr="00B17255">
              <w:rPr>
                <w:sz w:val="24"/>
                <w:szCs w:val="24"/>
              </w:rPr>
              <w:t>50.00</w:t>
            </w:r>
          </w:p>
        </w:tc>
        <w:tc>
          <w:tcPr>
            <w:tcW w:w="1360" w:type="dxa"/>
            <w:tcBorders>
              <w:top w:val="nil"/>
              <w:left w:val="nil"/>
              <w:bottom w:val="single" w:sz="4" w:space="0" w:color="auto"/>
              <w:right w:val="single" w:sz="4" w:space="0" w:color="auto"/>
            </w:tcBorders>
            <w:noWrap/>
            <w:vAlign w:val="center"/>
            <w:hideMark/>
          </w:tcPr>
          <w:p w14:paraId="64DB2DE4" w14:textId="77777777" w:rsidR="00B17255" w:rsidRPr="00B17255" w:rsidRDefault="00B17255" w:rsidP="00B17255">
            <w:pPr>
              <w:spacing w:line="360" w:lineRule="auto"/>
              <w:jc w:val="center"/>
              <w:rPr>
                <w:sz w:val="24"/>
                <w:szCs w:val="24"/>
              </w:rPr>
            </w:pPr>
            <w:r w:rsidRPr="00B17255">
              <w:rPr>
                <w:sz w:val="24"/>
                <w:szCs w:val="24"/>
              </w:rPr>
              <w:t>50.00</w:t>
            </w:r>
          </w:p>
        </w:tc>
      </w:tr>
      <w:tr w:rsidR="00B17255" w:rsidRPr="00B17255" w14:paraId="5C39489F" w14:textId="77777777" w:rsidTr="00B17255">
        <w:trPr>
          <w:trHeight w:val="300"/>
        </w:trPr>
        <w:tc>
          <w:tcPr>
            <w:tcW w:w="2740" w:type="dxa"/>
            <w:tcBorders>
              <w:top w:val="nil"/>
              <w:left w:val="single" w:sz="4" w:space="0" w:color="auto"/>
              <w:bottom w:val="single" w:sz="4" w:space="0" w:color="auto"/>
              <w:right w:val="single" w:sz="4" w:space="0" w:color="auto"/>
            </w:tcBorders>
            <w:noWrap/>
            <w:vAlign w:val="center"/>
            <w:hideMark/>
          </w:tcPr>
          <w:p w14:paraId="0AE5867E" w14:textId="77777777" w:rsidR="00B17255" w:rsidRPr="00B17255" w:rsidRDefault="00B17255" w:rsidP="00B17255">
            <w:pPr>
              <w:spacing w:line="360" w:lineRule="auto"/>
              <w:jc w:val="center"/>
              <w:rPr>
                <w:b/>
                <w:bCs/>
                <w:sz w:val="24"/>
                <w:szCs w:val="24"/>
              </w:rPr>
            </w:pPr>
            <w:r w:rsidRPr="00B17255">
              <w:rPr>
                <w:b/>
                <w:bCs/>
                <w:sz w:val="24"/>
                <w:szCs w:val="24"/>
              </w:rPr>
              <w:t>Profitability Index</w:t>
            </w:r>
          </w:p>
        </w:tc>
        <w:tc>
          <w:tcPr>
            <w:tcW w:w="1360" w:type="dxa"/>
            <w:tcBorders>
              <w:top w:val="nil"/>
              <w:left w:val="nil"/>
              <w:bottom w:val="single" w:sz="4" w:space="0" w:color="auto"/>
              <w:right w:val="single" w:sz="4" w:space="0" w:color="auto"/>
            </w:tcBorders>
            <w:noWrap/>
            <w:vAlign w:val="center"/>
            <w:hideMark/>
          </w:tcPr>
          <w:p w14:paraId="226547F9" w14:textId="77777777" w:rsidR="00B17255" w:rsidRPr="00B17255" w:rsidRDefault="00B17255" w:rsidP="00B17255">
            <w:pPr>
              <w:spacing w:line="360" w:lineRule="auto"/>
              <w:jc w:val="center"/>
              <w:rPr>
                <w:b/>
                <w:bCs/>
                <w:sz w:val="24"/>
                <w:szCs w:val="24"/>
              </w:rPr>
            </w:pPr>
            <w:r w:rsidRPr="00B17255">
              <w:rPr>
                <w:b/>
                <w:bCs/>
                <w:sz w:val="24"/>
                <w:szCs w:val="24"/>
              </w:rPr>
              <w:t>0.87</w:t>
            </w:r>
          </w:p>
        </w:tc>
        <w:tc>
          <w:tcPr>
            <w:tcW w:w="1360" w:type="dxa"/>
            <w:tcBorders>
              <w:top w:val="nil"/>
              <w:left w:val="nil"/>
              <w:bottom w:val="single" w:sz="4" w:space="0" w:color="auto"/>
              <w:right w:val="single" w:sz="4" w:space="0" w:color="auto"/>
            </w:tcBorders>
            <w:noWrap/>
            <w:vAlign w:val="center"/>
            <w:hideMark/>
          </w:tcPr>
          <w:p w14:paraId="2286D7C7" w14:textId="77777777" w:rsidR="00B17255" w:rsidRPr="00B17255" w:rsidRDefault="00B17255" w:rsidP="00B17255">
            <w:pPr>
              <w:spacing w:line="360" w:lineRule="auto"/>
              <w:jc w:val="center"/>
              <w:rPr>
                <w:b/>
                <w:bCs/>
                <w:sz w:val="24"/>
                <w:szCs w:val="24"/>
              </w:rPr>
            </w:pPr>
            <w:r w:rsidRPr="00B17255">
              <w:rPr>
                <w:b/>
                <w:bCs/>
                <w:sz w:val="24"/>
                <w:szCs w:val="24"/>
              </w:rPr>
              <w:t>0.88</w:t>
            </w:r>
          </w:p>
        </w:tc>
        <w:tc>
          <w:tcPr>
            <w:tcW w:w="1360" w:type="dxa"/>
            <w:tcBorders>
              <w:top w:val="nil"/>
              <w:left w:val="nil"/>
              <w:bottom w:val="single" w:sz="4" w:space="0" w:color="auto"/>
              <w:right w:val="single" w:sz="4" w:space="0" w:color="auto"/>
            </w:tcBorders>
            <w:noWrap/>
            <w:vAlign w:val="center"/>
            <w:hideMark/>
          </w:tcPr>
          <w:p w14:paraId="2A10A93D" w14:textId="77777777" w:rsidR="00B17255" w:rsidRPr="00B17255" w:rsidRDefault="00B17255" w:rsidP="00B17255">
            <w:pPr>
              <w:spacing w:line="360" w:lineRule="auto"/>
              <w:jc w:val="center"/>
              <w:rPr>
                <w:b/>
                <w:bCs/>
                <w:sz w:val="24"/>
                <w:szCs w:val="24"/>
              </w:rPr>
            </w:pPr>
            <w:r w:rsidRPr="00B17255">
              <w:rPr>
                <w:b/>
                <w:bCs/>
                <w:sz w:val="24"/>
                <w:szCs w:val="24"/>
              </w:rPr>
              <w:t>1.02</w:t>
            </w:r>
          </w:p>
        </w:tc>
      </w:tr>
    </w:tbl>
    <w:p w14:paraId="1CA3F632" w14:textId="77777777" w:rsidR="00B17255" w:rsidRPr="00B17255" w:rsidRDefault="00B17255" w:rsidP="00B17255">
      <w:pPr>
        <w:pStyle w:val="NormalWeb"/>
        <w:spacing w:line="360" w:lineRule="auto"/>
        <w:jc w:val="center"/>
      </w:pPr>
    </w:p>
    <w:tbl>
      <w:tblPr>
        <w:tblW w:w="6400" w:type="dxa"/>
        <w:tblInd w:w="93" w:type="dxa"/>
        <w:tblLook w:val="04A0" w:firstRow="1" w:lastRow="0" w:firstColumn="1" w:lastColumn="0" w:noHBand="0" w:noVBand="1"/>
      </w:tblPr>
      <w:tblGrid>
        <w:gridCol w:w="2320"/>
        <w:gridCol w:w="1360"/>
        <w:gridCol w:w="1360"/>
        <w:gridCol w:w="1360"/>
      </w:tblGrid>
      <w:tr w:rsidR="00B17255" w:rsidRPr="00B17255" w14:paraId="00557CE2" w14:textId="77777777" w:rsidTr="00B17255">
        <w:trPr>
          <w:trHeight w:val="300"/>
        </w:trPr>
        <w:tc>
          <w:tcPr>
            <w:tcW w:w="2320" w:type="dxa"/>
            <w:tcBorders>
              <w:top w:val="single" w:sz="4" w:space="0" w:color="auto"/>
              <w:left w:val="single" w:sz="4" w:space="0" w:color="auto"/>
              <w:bottom w:val="single" w:sz="4" w:space="0" w:color="auto"/>
              <w:right w:val="single" w:sz="4" w:space="0" w:color="auto"/>
            </w:tcBorders>
            <w:vAlign w:val="center"/>
            <w:hideMark/>
          </w:tcPr>
          <w:p w14:paraId="5928AE5C" w14:textId="77777777" w:rsidR="00B17255" w:rsidRPr="00B17255" w:rsidRDefault="00B17255" w:rsidP="00B17255">
            <w:pPr>
              <w:spacing w:line="360" w:lineRule="auto"/>
              <w:jc w:val="center"/>
              <w:rPr>
                <w:b/>
                <w:bCs/>
                <w:sz w:val="24"/>
                <w:szCs w:val="24"/>
              </w:rPr>
            </w:pPr>
            <w:r w:rsidRPr="00B17255">
              <w:rPr>
                <w:b/>
                <w:bCs/>
                <w:sz w:val="24"/>
                <w:szCs w:val="24"/>
              </w:rPr>
              <w:t>Year</w:t>
            </w:r>
          </w:p>
        </w:tc>
        <w:tc>
          <w:tcPr>
            <w:tcW w:w="1360" w:type="dxa"/>
            <w:tcBorders>
              <w:top w:val="single" w:sz="4" w:space="0" w:color="auto"/>
              <w:left w:val="nil"/>
              <w:bottom w:val="single" w:sz="4" w:space="0" w:color="auto"/>
              <w:right w:val="single" w:sz="4" w:space="0" w:color="auto"/>
            </w:tcBorders>
            <w:vAlign w:val="center"/>
            <w:hideMark/>
          </w:tcPr>
          <w:p w14:paraId="08B5E33B"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360" w:type="dxa"/>
            <w:tcBorders>
              <w:top w:val="single" w:sz="4" w:space="0" w:color="auto"/>
              <w:left w:val="nil"/>
              <w:bottom w:val="single" w:sz="4" w:space="0" w:color="auto"/>
              <w:right w:val="single" w:sz="4" w:space="0" w:color="auto"/>
            </w:tcBorders>
            <w:vAlign w:val="center"/>
            <w:hideMark/>
          </w:tcPr>
          <w:p w14:paraId="44DAFFD0"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360" w:type="dxa"/>
            <w:tcBorders>
              <w:top w:val="single" w:sz="4" w:space="0" w:color="auto"/>
              <w:left w:val="nil"/>
              <w:bottom w:val="single" w:sz="4" w:space="0" w:color="auto"/>
              <w:right w:val="single" w:sz="4" w:space="0" w:color="auto"/>
            </w:tcBorders>
            <w:vAlign w:val="center"/>
            <w:hideMark/>
          </w:tcPr>
          <w:p w14:paraId="20949CF1" w14:textId="77777777" w:rsidR="00B17255" w:rsidRPr="00B17255" w:rsidRDefault="00B17255" w:rsidP="00B17255">
            <w:pPr>
              <w:spacing w:line="360" w:lineRule="auto"/>
              <w:jc w:val="center"/>
              <w:rPr>
                <w:b/>
                <w:bCs/>
                <w:sz w:val="24"/>
                <w:szCs w:val="24"/>
              </w:rPr>
            </w:pPr>
            <w:r w:rsidRPr="00B17255">
              <w:rPr>
                <w:b/>
                <w:bCs/>
                <w:sz w:val="24"/>
                <w:szCs w:val="24"/>
              </w:rPr>
              <w:t>Project C</w:t>
            </w:r>
          </w:p>
        </w:tc>
      </w:tr>
      <w:tr w:rsidR="00B17255" w:rsidRPr="00B17255" w14:paraId="5A16BDC1" w14:textId="77777777" w:rsidTr="00B17255">
        <w:trPr>
          <w:trHeight w:val="300"/>
        </w:trPr>
        <w:tc>
          <w:tcPr>
            <w:tcW w:w="2320" w:type="dxa"/>
            <w:tcBorders>
              <w:top w:val="nil"/>
              <w:left w:val="single" w:sz="4" w:space="0" w:color="auto"/>
              <w:bottom w:val="single" w:sz="4" w:space="0" w:color="auto"/>
              <w:right w:val="single" w:sz="4" w:space="0" w:color="auto"/>
            </w:tcBorders>
            <w:noWrap/>
            <w:vAlign w:val="center"/>
            <w:hideMark/>
          </w:tcPr>
          <w:p w14:paraId="6AA48779" w14:textId="77777777" w:rsidR="00B17255" w:rsidRPr="00B17255" w:rsidRDefault="00B17255" w:rsidP="00B17255">
            <w:pPr>
              <w:spacing w:line="360" w:lineRule="auto"/>
              <w:jc w:val="center"/>
              <w:rPr>
                <w:sz w:val="24"/>
                <w:szCs w:val="24"/>
              </w:rPr>
            </w:pPr>
            <w:r w:rsidRPr="00B17255">
              <w:rPr>
                <w:sz w:val="24"/>
                <w:szCs w:val="24"/>
              </w:rPr>
              <w:t>Year 0 (Investment)</w:t>
            </w:r>
          </w:p>
        </w:tc>
        <w:tc>
          <w:tcPr>
            <w:tcW w:w="1360" w:type="dxa"/>
            <w:tcBorders>
              <w:top w:val="nil"/>
              <w:left w:val="nil"/>
              <w:bottom w:val="single" w:sz="4" w:space="0" w:color="auto"/>
              <w:right w:val="single" w:sz="4" w:space="0" w:color="auto"/>
            </w:tcBorders>
            <w:noWrap/>
            <w:vAlign w:val="center"/>
            <w:hideMark/>
          </w:tcPr>
          <w:p w14:paraId="44EE0E97" w14:textId="77777777" w:rsidR="00B17255" w:rsidRPr="00B17255" w:rsidRDefault="00B17255" w:rsidP="00B17255">
            <w:pPr>
              <w:spacing w:line="360" w:lineRule="auto"/>
              <w:jc w:val="center"/>
              <w:rPr>
                <w:sz w:val="24"/>
                <w:szCs w:val="24"/>
              </w:rPr>
            </w:pPr>
            <w:r w:rsidRPr="00B17255">
              <w:rPr>
                <w:sz w:val="24"/>
                <w:szCs w:val="24"/>
              </w:rPr>
              <w:t>(50.0)</w:t>
            </w:r>
          </w:p>
        </w:tc>
        <w:tc>
          <w:tcPr>
            <w:tcW w:w="1360" w:type="dxa"/>
            <w:tcBorders>
              <w:top w:val="nil"/>
              <w:left w:val="nil"/>
              <w:bottom w:val="single" w:sz="4" w:space="0" w:color="auto"/>
              <w:right w:val="single" w:sz="4" w:space="0" w:color="auto"/>
            </w:tcBorders>
            <w:noWrap/>
            <w:vAlign w:val="center"/>
            <w:hideMark/>
          </w:tcPr>
          <w:p w14:paraId="7BB292B7" w14:textId="77777777" w:rsidR="00B17255" w:rsidRPr="00B17255" w:rsidRDefault="00B17255" w:rsidP="00B17255">
            <w:pPr>
              <w:spacing w:line="360" w:lineRule="auto"/>
              <w:jc w:val="center"/>
              <w:rPr>
                <w:sz w:val="24"/>
                <w:szCs w:val="24"/>
              </w:rPr>
            </w:pPr>
            <w:r w:rsidRPr="00B17255">
              <w:rPr>
                <w:sz w:val="24"/>
                <w:szCs w:val="24"/>
              </w:rPr>
              <w:t>(50.0)</w:t>
            </w:r>
          </w:p>
        </w:tc>
        <w:tc>
          <w:tcPr>
            <w:tcW w:w="1360" w:type="dxa"/>
            <w:tcBorders>
              <w:top w:val="nil"/>
              <w:left w:val="nil"/>
              <w:bottom w:val="single" w:sz="4" w:space="0" w:color="auto"/>
              <w:right w:val="single" w:sz="4" w:space="0" w:color="auto"/>
            </w:tcBorders>
            <w:noWrap/>
            <w:vAlign w:val="center"/>
            <w:hideMark/>
          </w:tcPr>
          <w:p w14:paraId="0CB36AD9" w14:textId="77777777" w:rsidR="00B17255" w:rsidRPr="00B17255" w:rsidRDefault="00B17255" w:rsidP="00B17255">
            <w:pPr>
              <w:spacing w:line="360" w:lineRule="auto"/>
              <w:jc w:val="center"/>
              <w:rPr>
                <w:sz w:val="24"/>
                <w:szCs w:val="24"/>
              </w:rPr>
            </w:pPr>
            <w:r w:rsidRPr="00B17255">
              <w:rPr>
                <w:sz w:val="24"/>
                <w:szCs w:val="24"/>
              </w:rPr>
              <w:t>(50.0)</w:t>
            </w:r>
          </w:p>
        </w:tc>
      </w:tr>
      <w:tr w:rsidR="00B17255" w:rsidRPr="00B17255" w14:paraId="284A79D7" w14:textId="77777777" w:rsidTr="00B17255">
        <w:trPr>
          <w:trHeight w:val="300"/>
        </w:trPr>
        <w:tc>
          <w:tcPr>
            <w:tcW w:w="2320" w:type="dxa"/>
            <w:tcBorders>
              <w:top w:val="nil"/>
              <w:left w:val="single" w:sz="4" w:space="0" w:color="auto"/>
              <w:bottom w:val="single" w:sz="4" w:space="0" w:color="auto"/>
              <w:right w:val="single" w:sz="4" w:space="0" w:color="auto"/>
            </w:tcBorders>
            <w:noWrap/>
            <w:vAlign w:val="center"/>
            <w:hideMark/>
          </w:tcPr>
          <w:p w14:paraId="357A746C" w14:textId="77777777" w:rsidR="00B17255" w:rsidRPr="00B17255" w:rsidRDefault="00B17255" w:rsidP="00B17255">
            <w:pPr>
              <w:spacing w:line="360" w:lineRule="auto"/>
              <w:jc w:val="center"/>
              <w:rPr>
                <w:sz w:val="24"/>
                <w:szCs w:val="24"/>
              </w:rPr>
            </w:pPr>
            <w:r w:rsidRPr="00B17255">
              <w:rPr>
                <w:sz w:val="24"/>
                <w:szCs w:val="24"/>
              </w:rPr>
              <w:t>Year 1</w:t>
            </w:r>
          </w:p>
        </w:tc>
        <w:tc>
          <w:tcPr>
            <w:tcW w:w="1360" w:type="dxa"/>
            <w:tcBorders>
              <w:top w:val="nil"/>
              <w:left w:val="nil"/>
              <w:bottom w:val="single" w:sz="4" w:space="0" w:color="auto"/>
              <w:right w:val="single" w:sz="4" w:space="0" w:color="auto"/>
            </w:tcBorders>
            <w:noWrap/>
            <w:vAlign w:val="center"/>
            <w:hideMark/>
          </w:tcPr>
          <w:p w14:paraId="35D12EDF" w14:textId="77777777" w:rsidR="00B17255" w:rsidRPr="00B17255" w:rsidRDefault="00B17255" w:rsidP="00B17255">
            <w:pPr>
              <w:spacing w:line="360" w:lineRule="auto"/>
              <w:jc w:val="center"/>
              <w:rPr>
                <w:sz w:val="24"/>
                <w:szCs w:val="24"/>
              </w:rPr>
            </w:pPr>
            <w:r w:rsidRPr="00B17255">
              <w:rPr>
                <w:sz w:val="24"/>
                <w:szCs w:val="24"/>
              </w:rPr>
              <w:t>10.0</w:t>
            </w:r>
          </w:p>
        </w:tc>
        <w:tc>
          <w:tcPr>
            <w:tcW w:w="1360" w:type="dxa"/>
            <w:tcBorders>
              <w:top w:val="nil"/>
              <w:left w:val="nil"/>
              <w:bottom w:val="single" w:sz="4" w:space="0" w:color="auto"/>
              <w:right w:val="single" w:sz="4" w:space="0" w:color="auto"/>
            </w:tcBorders>
            <w:noWrap/>
            <w:vAlign w:val="center"/>
            <w:hideMark/>
          </w:tcPr>
          <w:p w14:paraId="35000079"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tcBorders>
              <w:top w:val="nil"/>
              <w:left w:val="nil"/>
              <w:bottom w:val="single" w:sz="4" w:space="0" w:color="auto"/>
              <w:right w:val="single" w:sz="4" w:space="0" w:color="auto"/>
            </w:tcBorders>
            <w:noWrap/>
            <w:vAlign w:val="center"/>
            <w:hideMark/>
          </w:tcPr>
          <w:p w14:paraId="5C1EE52B" w14:textId="77777777" w:rsidR="00B17255" w:rsidRPr="00B17255" w:rsidRDefault="00B17255" w:rsidP="00B17255">
            <w:pPr>
              <w:spacing w:line="360" w:lineRule="auto"/>
              <w:jc w:val="center"/>
              <w:rPr>
                <w:sz w:val="24"/>
                <w:szCs w:val="24"/>
              </w:rPr>
            </w:pPr>
            <w:r w:rsidRPr="00B17255">
              <w:rPr>
                <w:sz w:val="24"/>
                <w:szCs w:val="24"/>
              </w:rPr>
              <w:t>5.0</w:t>
            </w:r>
          </w:p>
        </w:tc>
      </w:tr>
      <w:tr w:rsidR="00B17255" w:rsidRPr="00B17255" w14:paraId="05F0B086" w14:textId="77777777" w:rsidTr="00B17255">
        <w:trPr>
          <w:trHeight w:val="300"/>
        </w:trPr>
        <w:tc>
          <w:tcPr>
            <w:tcW w:w="2320" w:type="dxa"/>
            <w:tcBorders>
              <w:top w:val="nil"/>
              <w:left w:val="single" w:sz="4" w:space="0" w:color="auto"/>
              <w:bottom w:val="single" w:sz="4" w:space="0" w:color="auto"/>
              <w:right w:val="single" w:sz="4" w:space="0" w:color="auto"/>
            </w:tcBorders>
            <w:noWrap/>
            <w:vAlign w:val="center"/>
            <w:hideMark/>
          </w:tcPr>
          <w:p w14:paraId="4C30F111" w14:textId="77777777" w:rsidR="00B17255" w:rsidRPr="00B17255" w:rsidRDefault="00B17255" w:rsidP="00B17255">
            <w:pPr>
              <w:spacing w:line="360" w:lineRule="auto"/>
              <w:jc w:val="center"/>
              <w:rPr>
                <w:sz w:val="24"/>
                <w:szCs w:val="24"/>
              </w:rPr>
            </w:pPr>
            <w:r w:rsidRPr="00B17255">
              <w:rPr>
                <w:sz w:val="24"/>
                <w:szCs w:val="24"/>
              </w:rPr>
              <w:t>Year 2</w:t>
            </w:r>
          </w:p>
        </w:tc>
        <w:tc>
          <w:tcPr>
            <w:tcW w:w="1360" w:type="dxa"/>
            <w:tcBorders>
              <w:top w:val="nil"/>
              <w:left w:val="nil"/>
              <w:bottom w:val="single" w:sz="4" w:space="0" w:color="auto"/>
              <w:right w:val="single" w:sz="4" w:space="0" w:color="auto"/>
            </w:tcBorders>
            <w:noWrap/>
            <w:vAlign w:val="center"/>
            <w:hideMark/>
          </w:tcPr>
          <w:p w14:paraId="0C9CE95A" w14:textId="77777777" w:rsidR="00B17255" w:rsidRPr="00B17255" w:rsidRDefault="00B17255" w:rsidP="00B17255">
            <w:pPr>
              <w:spacing w:line="360" w:lineRule="auto"/>
              <w:jc w:val="center"/>
              <w:rPr>
                <w:sz w:val="24"/>
                <w:szCs w:val="24"/>
              </w:rPr>
            </w:pPr>
            <w:r w:rsidRPr="00B17255">
              <w:rPr>
                <w:sz w:val="24"/>
                <w:szCs w:val="24"/>
              </w:rPr>
              <w:t>12.0</w:t>
            </w:r>
          </w:p>
        </w:tc>
        <w:tc>
          <w:tcPr>
            <w:tcW w:w="1360" w:type="dxa"/>
            <w:tcBorders>
              <w:top w:val="nil"/>
              <w:left w:val="nil"/>
              <w:bottom w:val="single" w:sz="4" w:space="0" w:color="auto"/>
              <w:right w:val="single" w:sz="4" w:space="0" w:color="auto"/>
            </w:tcBorders>
            <w:noWrap/>
            <w:vAlign w:val="center"/>
            <w:hideMark/>
          </w:tcPr>
          <w:p w14:paraId="7AB0E2CE"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tcBorders>
              <w:top w:val="nil"/>
              <w:left w:val="nil"/>
              <w:bottom w:val="single" w:sz="4" w:space="0" w:color="auto"/>
              <w:right w:val="single" w:sz="4" w:space="0" w:color="auto"/>
            </w:tcBorders>
            <w:noWrap/>
            <w:vAlign w:val="center"/>
            <w:hideMark/>
          </w:tcPr>
          <w:p w14:paraId="6EF9F31E" w14:textId="77777777" w:rsidR="00B17255" w:rsidRPr="00B17255" w:rsidRDefault="00B17255" w:rsidP="00B17255">
            <w:pPr>
              <w:spacing w:line="360" w:lineRule="auto"/>
              <w:jc w:val="center"/>
              <w:rPr>
                <w:sz w:val="24"/>
                <w:szCs w:val="24"/>
              </w:rPr>
            </w:pPr>
            <w:r w:rsidRPr="00B17255">
              <w:rPr>
                <w:sz w:val="24"/>
                <w:szCs w:val="24"/>
              </w:rPr>
              <w:t>10.0</w:t>
            </w:r>
          </w:p>
        </w:tc>
      </w:tr>
      <w:tr w:rsidR="00B17255" w:rsidRPr="00B17255" w14:paraId="5E8CF02C" w14:textId="77777777" w:rsidTr="00B17255">
        <w:trPr>
          <w:trHeight w:val="300"/>
        </w:trPr>
        <w:tc>
          <w:tcPr>
            <w:tcW w:w="2320" w:type="dxa"/>
            <w:tcBorders>
              <w:top w:val="nil"/>
              <w:left w:val="single" w:sz="4" w:space="0" w:color="auto"/>
              <w:bottom w:val="single" w:sz="4" w:space="0" w:color="auto"/>
              <w:right w:val="single" w:sz="4" w:space="0" w:color="auto"/>
            </w:tcBorders>
            <w:noWrap/>
            <w:vAlign w:val="center"/>
            <w:hideMark/>
          </w:tcPr>
          <w:p w14:paraId="7DB0CA6F" w14:textId="77777777" w:rsidR="00B17255" w:rsidRPr="00B17255" w:rsidRDefault="00B17255" w:rsidP="00B17255">
            <w:pPr>
              <w:spacing w:line="360" w:lineRule="auto"/>
              <w:jc w:val="center"/>
              <w:rPr>
                <w:sz w:val="24"/>
                <w:szCs w:val="24"/>
              </w:rPr>
            </w:pPr>
            <w:r w:rsidRPr="00B17255">
              <w:rPr>
                <w:sz w:val="24"/>
                <w:szCs w:val="24"/>
              </w:rPr>
              <w:t>Year 3</w:t>
            </w:r>
          </w:p>
        </w:tc>
        <w:tc>
          <w:tcPr>
            <w:tcW w:w="1360" w:type="dxa"/>
            <w:tcBorders>
              <w:top w:val="nil"/>
              <w:left w:val="nil"/>
              <w:bottom w:val="single" w:sz="4" w:space="0" w:color="auto"/>
              <w:right w:val="single" w:sz="4" w:space="0" w:color="auto"/>
            </w:tcBorders>
            <w:noWrap/>
            <w:vAlign w:val="center"/>
            <w:hideMark/>
          </w:tcPr>
          <w:p w14:paraId="025308A7" w14:textId="77777777" w:rsidR="00B17255" w:rsidRPr="00B17255" w:rsidRDefault="00B17255" w:rsidP="00B17255">
            <w:pPr>
              <w:spacing w:line="360" w:lineRule="auto"/>
              <w:jc w:val="center"/>
              <w:rPr>
                <w:sz w:val="24"/>
                <w:szCs w:val="24"/>
              </w:rPr>
            </w:pPr>
            <w:r w:rsidRPr="00B17255">
              <w:rPr>
                <w:sz w:val="24"/>
                <w:szCs w:val="24"/>
              </w:rPr>
              <w:t>14.0</w:t>
            </w:r>
          </w:p>
        </w:tc>
        <w:tc>
          <w:tcPr>
            <w:tcW w:w="1360" w:type="dxa"/>
            <w:tcBorders>
              <w:top w:val="nil"/>
              <w:left w:val="nil"/>
              <w:bottom w:val="single" w:sz="4" w:space="0" w:color="auto"/>
              <w:right w:val="single" w:sz="4" w:space="0" w:color="auto"/>
            </w:tcBorders>
            <w:noWrap/>
            <w:vAlign w:val="center"/>
            <w:hideMark/>
          </w:tcPr>
          <w:p w14:paraId="467F99C0"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tcBorders>
              <w:top w:val="nil"/>
              <w:left w:val="nil"/>
              <w:bottom w:val="single" w:sz="4" w:space="0" w:color="auto"/>
              <w:right w:val="single" w:sz="4" w:space="0" w:color="auto"/>
            </w:tcBorders>
            <w:noWrap/>
            <w:vAlign w:val="center"/>
            <w:hideMark/>
          </w:tcPr>
          <w:p w14:paraId="283A459A" w14:textId="77777777" w:rsidR="00B17255" w:rsidRPr="00B17255" w:rsidRDefault="00B17255" w:rsidP="00B17255">
            <w:pPr>
              <w:spacing w:line="360" w:lineRule="auto"/>
              <w:jc w:val="center"/>
              <w:rPr>
                <w:sz w:val="24"/>
                <w:szCs w:val="24"/>
              </w:rPr>
            </w:pPr>
            <w:r w:rsidRPr="00B17255">
              <w:rPr>
                <w:sz w:val="24"/>
                <w:szCs w:val="24"/>
              </w:rPr>
              <w:t>20.0</w:t>
            </w:r>
          </w:p>
        </w:tc>
      </w:tr>
      <w:tr w:rsidR="00B17255" w:rsidRPr="00B17255" w14:paraId="00B87A56" w14:textId="77777777" w:rsidTr="00B17255">
        <w:trPr>
          <w:trHeight w:val="300"/>
        </w:trPr>
        <w:tc>
          <w:tcPr>
            <w:tcW w:w="2320" w:type="dxa"/>
            <w:tcBorders>
              <w:top w:val="nil"/>
              <w:left w:val="single" w:sz="4" w:space="0" w:color="auto"/>
              <w:bottom w:val="single" w:sz="4" w:space="0" w:color="auto"/>
              <w:right w:val="single" w:sz="4" w:space="0" w:color="auto"/>
            </w:tcBorders>
            <w:noWrap/>
            <w:vAlign w:val="center"/>
            <w:hideMark/>
          </w:tcPr>
          <w:p w14:paraId="5FE6AFE9" w14:textId="77777777" w:rsidR="00B17255" w:rsidRPr="00B17255" w:rsidRDefault="00B17255" w:rsidP="00B17255">
            <w:pPr>
              <w:spacing w:line="360" w:lineRule="auto"/>
              <w:jc w:val="center"/>
              <w:rPr>
                <w:sz w:val="24"/>
                <w:szCs w:val="24"/>
              </w:rPr>
            </w:pPr>
            <w:r w:rsidRPr="00B17255">
              <w:rPr>
                <w:sz w:val="24"/>
                <w:szCs w:val="24"/>
              </w:rPr>
              <w:t>Year 4</w:t>
            </w:r>
          </w:p>
        </w:tc>
        <w:tc>
          <w:tcPr>
            <w:tcW w:w="1360" w:type="dxa"/>
            <w:tcBorders>
              <w:top w:val="nil"/>
              <w:left w:val="nil"/>
              <w:bottom w:val="single" w:sz="4" w:space="0" w:color="auto"/>
              <w:right w:val="single" w:sz="4" w:space="0" w:color="auto"/>
            </w:tcBorders>
            <w:noWrap/>
            <w:vAlign w:val="center"/>
            <w:hideMark/>
          </w:tcPr>
          <w:p w14:paraId="2FF75503" w14:textId="77777777" w:rsidR="00B17255" w:rsidRPr="00B17255" w:rsidRDefault="00B17255" w:rsidP="00B17255">
            <w:pPr>
              <w:spacing w:line="360" w:lineRule="auto"/>
              <w:jc w:val="center"/>
              <w:rPr>
                <w:sz w:val="24"/>
                <w:szCs w:val="24"/>
              </w:rPr>
            </w:pPr>
            <w:r w:rsidRPr="00B17255">
              <w:rPr>
                <w:sz w:val="24"/>
                <w:szCs w:val="24"/>
              </w:rPr>
              <w:t>10.0</w:t>
            </w:r>
          </w:p>
        </w:tc>
        <w:tc>
          <w:tcPr>
            <w:tcW w:w="1360" w:type="dxa"/>
            <w:tcBorders>
              <w:top w:val="nil"/>
              <w:left w:val="nil"/>
              <w:bottom w:val="single" w:sz="4" w:space="0" w:color="auto"/>
              <w:right w:val="single" w:sz="4" w:space="0" w:color="auto"/>
            </w:tcBorders>
            <w:noWrap/>
            <w:vAlign w:val="center"/>
            <w:hideMark/>
          </w:tcPr>
          <w:p w14:paraId="3E8525FD"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tcBorders>
              <w:top w:val="nil"/>
              <w:left w:val="nil"/>
              <w:bottom w:val="single" w:sz="4" w:space="0" w:color="auto"/>
              <w:right w:val="single" w:sz="4" w:space="0" w:color="auto"/>
            </w:tcBorders>
            <w:noWrap/>
            <w:vAlign w:val="center"/>
            <w:hideMark/>
          </w:tcPr>
          <w:p w14:paraId="150F22D8" w14:textId="77777777" w:rsidR="00B17255" w:rsidRPr="00B17255" w:rsidRDefault="00B17255" w:rsidP="00B17255">
            <w:pPr>
              <w:spacing w:line="360" w:lineRule="auto"/>
              <w:jc w:val="center"/>
              <w:rPr>
                <w:sz w:val="24"/>
                <w:szCs w:val="24"/>
              </w:rPr>
            </w:pPr>
            <w:r w:rsidRPr="00B17255">
              <w:rPr>
                <w:sz w:val="24"/>
                <w:szCs w:val="24"/>
              </w:rPr>
              <w:t>25.0</w:t>
            </w:r>
          </w:p>
        </w:tc>
      </w:tr>
      <w:tr w:rsidR="00B17255" w:rsidRPr="00B17255" w14:paraId="7CA11359" w14:textId="77777777" w:rsidTr="00B17255">
        <w:trPr>
          <w:trHeight w:val="300"/>
        </w:trPr>
        <w:tc>
          <w:tcPr>
            <w:tcW w:w="2320" w:type="dxa"/>
            <w:tcBorders>
              <w:top w:val="nil"/>
              <w:left w:val="single" w:sz="4" w:space="0" w:color="auto"/>
              <w:bottom w:val="single" w:sz="4" w:space="0" w:color="auto"/>
              <w:right w:val="single" w:sz="4" w:space="0" w:color="auto"/>
            </w:tcBorders>
            <w:noWrap/>
            <w:vAlign w:val="center"/>
            <w:hideMark/>
          </w:tcPr>
          <w:p w14:paraId="4039DBC1" w14:textId="77777777" w:rsidR="00B17255" w:rsidRPr="00B17255" w:rsidRDefault="00B17255" w:rsidP="00B17255">
            <w:pPr>
              <w:spacing w:line="360" w:lineRule="auto"/>
              <w:jc w:val="center"/>
              <w:rPr>
                <w:sz w:val="24"/>
                <w:szCs w:val="24"/>
              </w:rPr>
            </w:pPr>
            <w:r w:rsidRPr="00B17255">
              <w:rPr>
                <w:sz w:val="24"/>
                <w:szCs w:val="24"/>
              </w:rPr>
              <w:t>Year 5</w:t>
            </w:r>
          </w:p>
        </w:tc>
        <w:tc>
          <w:tcPr>
            <w:tcW w:w="1360" w:type="dxa"/>
            <w:tcBorders>
              <w:top w:val="nil"/>
              <w:left w:val="nil"/>
              <w:bottom w:val="single" w:sz="4" w:space="0" w:color="auto"/>
              <w:right w:val="single" w:sz="4" w:space="0" w:color="auto"/>
            </w:tcBorders>
            <w:noWrap/>
            <w:vAlign w:val="center"/>
            <w:hideMark/>
          </w:tcPr>
          <w:p w14:paraId="06B062E5" w14:textId="77777777" w:rsidR="00B17255" w:rsidRPr="00B17255" w:rsidRDefault="00B17255" w:rsidP="00B17255">
            <w:pPr>
              <w:spacing w:line="360" w:lineRule="auto"/>
              <w:jc w:val="center"/>
              <w:rPr>
                <w:sz w:val="24"/>
                <w:szCs w:val="24"/>
              </w:rPr>
            </w:pPr>
            <w:r w:rsidRPr="00B17255">
              <w:rPr>
                <w:sz w:val="24"/>
                <w:szCs w:val="24"/>
              </w:rPr>
              <w:t>8.0</w:t>
            </w:r>
          </w:p>
        </w:tc>
        <w:tc>
          <w:tcPr>
            <w:tcW w:w="1360" w:type="dxa"/>
            <w:tcBorders>
              <w:top w:val="nil"/>
              <w:left w:val="nil"/>
              <w:bottom w:val="single" w:sz="4" w:space="0" w:color="auto"/>
              <w:right w:val="single" w:sz="4" w:space="0" w:color="auto"/>
            </w:tcBorders>
            <w:noWrap/>
            <w:vAlign w:val="center"/>
            <w:hideMark/>
          </w:tcPr>
          <w:p w14:paraId="37CE99B9" w14:textId="77777777" w:rsidR="00B17255" w:rsidRPr="00B17255" w:rsidRDefault="00B17255" w:rsidP="00B17255">
            <w:pPr>
              <w:spacing w:line="360" w:lineRule="auto"/>
              <w:jc w:val="center"/>
              <w:rPr>
                <w:sz w:val="24"/>
                <w:szCs w:val="24"/>
              </w:rPr>
            </w:pPr>
            <w:r w:rsidRPr="00B17255">
              <w:rPr>
                <w:sz w:val="24"/>
                <w:szCs w:val="24"/>
              </w:rPr>
              <w:t>11.0</w:t>
            </w:r>
          </w:p>
        </w:tc>
        <w:tc>
          <w:tcPr>
            <w:tcW w:w="1360" w:type="dxa"/>
            <w:tcBorders>
              <w:top w:val="nil"/>
              <w:left w:val="nil"/>
              <w:bottom w:val="single" w:sz="4" w:space="0" w:color="auto"/>
              <w:right w:val="single" w:sz="4" w:space="0" w:color="auto"/>
            </w:tcBorders>
            <w:noWrap/>
            <w:vAlign w:val="center"/>
            <w:hideMark/>
          </w:tcPr>
          <w:p w14:paraId="0BEC2055" w14:textId="77777777" w:rsidR="00B17255" w:rsidRPr="00B17255" w:rsidRDefault="00B17255" w:rsidP="00B17255">
            <w:pPr>
              <w:spacing w:line="360" w:lineRule="auto"/>
              <w:jc w:val="center"/>
              <w:rPr>
                <w:sz w:val="24"/>
                <w:szCs w:val="24"/>
              </w:rPr>
            </w:pPr>
            <w:r w:rsidRPr="00B17255">
              <w:rPr>
                <w:sz w:val="24"/>
                <w:szCs w:val="24"/>
              </w:rPr>
              <w:t>5.0</w:t>
            </w:r>
          </w:p>
        </w:tc>
      </w:tr>
      <w:tr w:rsidR="00B17255" w:rsidRPr="00B17255" w14:paraId="15E801EB" w14:textId="77777777" w:rsidTr="00B17255">
        <w:trPr>
          <w:trHeight w:val="300"/>
        </w:trPr>
        <w:tc>
          <w:tcPr>
            <w:tcW w:w="2320" w:type="dxa"/>
            <w:tcBorders>
              <w:top w:val="nil"/>
              <w:left w:val="nil"/>
              <w:bottom w:val="nil"/>
              <w:right w:val="nil"/>
            </w:tcBorders>
            <w:noWrap/>
            <w:vAlign w:val="bottom"/>
            <w:hideMark/>
          </w:tcPr>
          <w:p w14:paraId="4A703F8F" w14:textId="77777777" w:rsidR="00B17255" w:rsidRPr="00B17255" w:rsidRDefault="00B17255" w:rsidP="00B17255">
            <w:pPr>
              <w:spacing w:line="360" w:lineRule="auto"/>
              <w:jc w:val="center"/>
              <w:rPr>
                <w:color w:val="000000"/>
                <w:sz w:val="24"/>
                <w:szCs w:val="24"/>
              </w:rPr>
            </w:pPr>
          </w:p>
        </w:tc>
        <w:tc>
          <w:tcPr>
            <w:tcW w:w="1360" w:type="dxa"/>
            <w:tcBorders>
              <w:top w:val="nil"/>
              <w:left w:val="nil"/>
              <w:bottom w:val="nil"/>
              <w:right w:val="nil"/>
            </w:tcBorders>
            <w:noWrap/>
            <w:vAlign w:val="bottom"/>
            <w:hideMark/>
          </w:tcPr>
          <w:p w14:paraId="4F431F19" w14:textId="77777777" w:rsidR="00B17255" w:rsidRPr="00B17255" w:rsidRDefault="00B17255" w:rsidP="00B17255">
            <w:pPr>
              <w:spacing w:line="360" w:lineRule="auto"/>
              <w:jc w:val="center"/>
              <w:rPr>
                <w:color w:val="000000"/>
                <w:sz w:val="24"/>
                <w:szCs w:val="24"/>
              </w:rPr>
            </w:pPr>
          </w:p>
        </w:tc>
        <w:tc>
          <w:tcPr>
            <w:tcW w:w="1360" w:type="dxa"/>
            <w:tcBorders>
              <w:top w:val="nil"/>
              <w:left w:val="nil"/>
              <w:bottom w:val="nil"/>
              <w:right w:val="nil"/>
            </w:tcBorders>
            <w:noWrap/>
            <w:vAlign w:val="bottom"/>
            <w:hideMark/>
          </w:tcPr>
          <w:p w14:paraId="5D0CED3A" w14:textId="77777777" w:rsidR="00B17255" w:rsidRPr="00B17255" w:rsidRDefault="00B17255" w:rsidP="00B17255">
            <w:pPr>
              <w:spacing w:line="360" w:lineRule="auto"/>
              <w:jc w:val="center"/>
              <w:rPr>
                <w:color w:val="000000"/>
                <w:sz w:val="24"/>
                <w:szCs w:val="24"/>
              </w:rPr>
            </w:pPr>
          </w:p>
        </w:tc>
        <w:tc>
          <w:tcPr>
            <w:tcW w:w="1360" w:type="dxa"/>
            <w:tcBorders>
              <w:top w:val="nil"/>
              <w:left w:val="nil"/>
              <w:bottom w:val="nil"/>
              <w:right w:val="nil"/>
            </w:tcBorders>
            <w:noWrap/>
            <w:vAlign w:val="bottom"/>
            <w:hideMark/>
          </w:tcPr>
          <w:p w14:paraId="53F5C088" w14:textId="77777777" w:rsidR="00B17255" w:rsidRPr="00B17255" w:rsidRDefault="00B17255" w:rsidP="00B17255">
            <w:pPr>
              <w:spacing w:line="360" w:lineRule="auto"/>
              <w:jc w:val="center"/>
              <w:rPr>
                <w:color w:val="000000"/>
                <w:sz w:val="24"/>
                <w:szCs w:val="24"/>
              </w:rPr>
            </w:pPr>
          </w:p>
        </w:tc>
      </w:tr>
      <w:tr w:rsidR="00B17255" w:rsidRPr="00B17255" w14:paraId="72B8E136" w14:textId="77777777" w:rsidTr="00B17255">
        <w:trPr>
          <w:trHeight w:val="300"/>
        </w:trPr>
        <w:tc>
          <w:tcPr>
            <w:tcW w:w="2320" w:type="dxa"/>
            <w:tcBorders>
              <w:top w:val="single" w:sz="4" w:space="0" w:color="auto"/>
              <w:left w:val="single" w:sz="4" w:space="0" w:color="auto"/>
              <w:bottom w:val="single" w:sz="4" w:space="0" w:color="auto"/>
              <w:right w:val="single" w:sz="4" w:space="0" w:color="auto"/>
            </w:tcBorders>
            <w:noWrap/>
            <w:vAlign w:val="center"/>
            <w:hideMark/>
          </w:tcPr>
          <w:p w14:paraId="009E460E" w14:textId="77777777" w:rsidR="00B17255" w:rsidRPr="00B17255" w:rsidRDefault="00B17255" w:rsidP="00B17255">
            <w:pPr>
              <w:spacing w:line="360" w:lineRule="auto"/>
              <w:jc w:val="center"/>
              <w:rPr>
                <w:b/>
                <w:bCs/>
                <w:sz w:val="24"/>
                <w:szCs w:val="24"/>
              </w:rPr>
            </w:pPr>
            <w:r w:rsidRPr="00B17255">
              <w:rPr>
                <w:b/>
                <w:bCs/>
                <w:sz w:val="24"/>
                <w:szCs w:val="24"/>
              </w:rPr>
              <w:t>IRR (%)</w:t>
            </w:r>
          </w:p>
        </w:tc>
        <w:tc>
          <w:tcPr>
            <w:tcW w:w="1360" w:type="dxa"/>
            <w:tcBorders>
              <w:top w:val="single" w:sz="4" w:space="0" w:color="auto"/>
              <w:left w:val="nil"/>
              <w:bottom w:val="single" w:sz="4" w:space="0" w:color="auto"/>
              <w:right w:val="single" w:sz="4" w:space="0" w:color="auto"/>
            </w:tcBorders>
            <w:noWrap/>
            <w:vAlign w:val="center"/>
            <w:hideMark/>
          </w:tcPr>
          <w:p w14:paraId="52F2249B" w14:textId="77777777" w:rsidR="00B17255" w:rsidRPr="00B17255" w:rsidRDefault="00B17255" w:rsidP="00B17255">
            <w:pPr>
              <w:spacing w:line="360" w:lineRule="auto"/>
              <w:jc w:val="center"/>
              <w:rPr>
                <w:b/>
                <w:bCs/>
                <w:sz w:val="24"/>
                <w:szCs w:val="24"/>
              </w:rPr>
            </w:pPr>
            <w:r w:rsidRPr="00B17255">
              <w:rPr>
                <w:b/>
                <w:bCs/>
                <w:sz w:val="24"/>
                <w:szCs w:val="24"/>
              </w:rPr>
              <w:t>2.72%</w:t>
            </w:r>
          </w:p>
        </w:tc>
        <w:tc>
          <w:tcPr>
            <w:tcW w:w="1360" w:type="dxa"/>
            <w:tcBorders>
              <w:top w:val="single" w:sz="4" w:space="0" w:color="auto"/>
              <w:left w:val="nil"/>
              <w:bottom w:val="single" w:sz="4" w:space="0" w:color="auto"/>
              <w:right w:val="single" w:sz="4" w:space="0" w:color="auto"/>
            </w:tcBorders>
            <w:noWrap/>
            <w:vAlign w:val="center"/>
            <w:hideMark/>
          </w:tcPr>
          <w:p w14:paraId="2E733DE1" w14:textId="77777777" w:rsidR="00B17255" w:rsidRPr="00B17255" w:rsidRDefault="00B17255" w:rsidP="00B17255">
            <w:pPr>
              <w:spacing w:line="360" w:lineRule="auto"/>
              <w:jc w:val="center"/>
              <w:rPr>
                <w:b/>
                <w:bCs/>
                <w:sz w:val="24"/>
                <w:szCs w:val="24"/>
              </w:rPr>
            </w:pPr>
            <w:r w:rsidRPr="00B17255">
              <w:rPr>
                <w:b/>
                <w:bCs/>
                <w:sz w:val="24"/>
                <w:szCs w:val="24"/>
              </w:rPr>
              <w:t>3.26%</w:t>
            </w:r>
          </w:p>
        </w:tc>
        <w:tc>
          <w:tcPr>
            <w:tcW w:w="1360" w:type="dxa"/>
            <w:tcBorders>
              <w:top w:val="single" w:sz="4" w:space="0" w:color="auto"/>
              <w:left w:val="nil"/>
              <w:bottom w:val="single" w:sz="4" w:space="0" w:color="auto"/>
              <w:right w:val="single" w:sz="4" w:space="0" w:color="auto"/>
            </w:tcBorders>
            <w:noWrap/>
            <w:vAlign w:val="center"/>
            <w:hideMark/>
          </w:tcPr>
          <w:p w14:paraId="1619B170" w14:textId="77777777" w:rsidR="00B17255" w:rsidRPr="00B17255" w:rsidRDefault="00B17255" w:rsidP="00B17255">
            <w:pPr>
              <w:spacing w:line="360" w:lineRule="auto"/>
              <w:jc w:val="center"/>
              <w:rPr>
                <w:b/>
                <w:bCs/>
                <w:sz w:val="24"/>
                <w:szCs w:val="24"/>
              </w:rPr>
            </w:pPr>
            <w:r w:rsidRPr="00B17255">
              <w:rPr>
                <w:b/>
                <w:bCs/>
                <w:sz w:val="24"/>
                <w:szCs w:val="24"/>
              </w:rPr>
              <w:t>8.59%</w:t>
            </w:r>
          </w:p>
        </w:tc>
      </w:tr>
      <w:tr w:rsidR="00B17255" w:rsidRPr="00B17255" w14:paraId="763B3E0E" w14:textId="77777777" w:rsidTr="00B17255">
        <w:trPr>
          <w:trHeight w:val="750"/>
        </w:trPr>
        <w:tc>
          <w:tcPr>
            <w:tcW w:w="2320" w:type="dxa"/>
            <w:tcBorders>
              <w:top w:val="nil"/>
              <w:left w:val="single" w:sz="4" w:space="0" w:color="auto"/>
              <w:bottom w:val="single" w:sz="4" w:space="0" w:color="auto"/>
              <w:right w:val="single" w:sz="4" w:space="0" w:color="auto"/>
            </w:tcBorders>
            <w:vAlign w:val="center"/>
            <w:hideMark/>
          </w:tcPr>
          <w:p w14:paraId="39A4D86B" w14:textId="77777777" w:rsidR="00B17255" w:rsidRPr="00B17255" w:rsidRDefault="00B17255" w:rsidP="00B17255">
            <w:pPr>
              <w:spacing w:line="360" w:lineRule="auto"/>
              <w:jc w:val="center"/>
              <w:rPr>
                <w:sz w:val="24"/>
                <w:szCs w:val="24"/>
              </w:rPr>
            </w:pPr>
            <w:r w:rsidRPr="00B17255">
              <w:rPr>
                <w:sz w:val="24"/>
                <w:szCs w:val="24"/>
              </w:rPr>
              <w:lastRenderedPageBreak/>
              <w:t>Exceeds 8% Hurdle Rate?</w:t>
            </w:r>
          </w:p>
        </w:tc>
        <w:tc>
          <w:tcPr>
            <w:tcW w:w="1360" w:type="dxa"/>
            <w:tcBorders>
              <w:top w:val="nil"/>
              <w:left w:val="nil"/>
              <w:bottom w:val="single" w:sz="4" w:space="0" w:color="auto"/>
              <w:right w:val="single" w:sz="4" w:space="0" w:color="auto"/>
            </w:tcBorders>
            <w:noWrap/>
            <w:vAlign w:val="center"/>
            <w:hideMark/>
          </w:tcPr>
          <w:p w14:paraId="040F47D5" w14:textId="77777777" w:rsidR="00B17255" w:rsidRPr="00B17255" w:rsidRDefault="00B17255" w:rsidP="00B17255">
            <w:pPr>
              <w:spacing w:line="360" w:lineRule="auto"/>
              <w:jc w:val="center"/>
              <w:rPr>
                <w:sz w:val="24"/>
                <w:szCs w:val="24"/>
              </w:rPr>
            </w:pPr>
            <w:r w:rsidRPr="00B17255">
              <w:rPr>
                <w:sz w:val="24"/>
                <w:szCs w:val="24"/>
              </w:rPr>
              <w:t>No</w:t>
            </w:r>
          </w:p>
        </w:tc>
        <w:tc>
          <w:tcPr>
            <w:tcW w:w="1360" w:type="dxa"/>
            <w:tcBorders>
              <w:top w:val="nil"/>
              <w:left w:val="nil"/>
              <w:bottom w:val="single" w:sz="4" w:space="0" w:color="auto"/>
              <w:right w:val="single" w:sz="4" w:space="0" w:color="auto"/>
            </w:tcBorders>
            <w:noWrap/>
            <w:vAlign w:val="center"/>
            <w:hideMark/>
          </w:tcPr>
          <w:p w14:paraId="59436A61" w14:textId="77777777" w:rsidR="00B17255" w:rsidRPr="00B17255" w:rsidRDefault="00B17255" w:rsidP="00B17255">
            <w:pPr>
              <w:spacing w:line="360" w:lineRule="auto"/>
              <w:jc w:val="center"/>
              <w:rPr>
                <w:sz w:val="24"/>
                <w:szCs w:val="24"/>
              </w:rPr>
            </w:pPr>
            <w:r w:rsidRPr="00B17255">
              <w:rPr>
                <w:sz w:val="24"/>
                <w:szCs w:val="24"/>
              </w:rPr>
              <w:t>No</w:t>
            </w:r>
          </w:p>
        </w:tc>
        <w:tc>
          <w:tcPr>
            <w:tcW w:w="1360" w:type="dxa"/>
            <w:tcBorders>
              <w:top w:val="nil"/>
              <w:left w:val="nil"/>
              <w:bottom w:val="single" w:sz="4" w:space="0" w:color="auto"/>
              <w:right w:val="single" w:sz="4" w:space="0" w:color="auto"/>
            </w:tcBorders>
            <w:noWrap/>
            <w:vAlign w:val="center"/>
            <w:hideMark/>
          </w:tcPr>
          <w:p w14:paraId="0A54E754" w14:textId="77777777" w:rsidR="00B17255" w:rsidRPr="00B17255" w:rsidRDefault="00B17255" w:rsidP="00B17255">
            <w:pPr>
              <w:spacing w:line="360" w:lineRule="auto"/>
              <w:jc w:val="center"/>
              <w:rPr>
                <w:sz w:val="24"/>
                <w:szCs w:val="24"/>
              </w:rPr>
            </w:pPr>
            <w:r w:rsidRPr="00B17255">
              <w:rPr>
                <w:sz w:val="24"/>
                <w:szCs w:val="24"/>
              </w:rPr>
              <w:t>Yes</w:t>
            </w:r>
          </w:p>
        </w:tc>
      </w:tr>
    </w:tbl>
    <w:p w14:paraId="59C8964C" w14:textId="77777777" w:rsidR="00B17255" w:rsidRPr="00B17255" w:rsidRDefault="00B17255" w:rsidP="00B17255">
      <w:pPr>
        <w:pStyle w:val="NormalWeb"/>
        <w:spacing w:line="360" w:lineRule="auto"/>
        <w:jc w:val="center"/>
      </w:pPr>
    </w:p>
    <w:tbl>
      <w:tblPr>
        <w:tblW w:w="6600" w:type="dxa"/>
        <w:tblInd w:w="93" w:type="dxa"/>
        <w:tblLook w:val="04A0" w:firstRow="1" w:lastRow="0" w:firstColumn="1" w:lastColumn="0" w:noHBand="0" w:noVBand="1"/>
      </w:tblPr>
      <w:tblGrid>
        <w:gridCol w:w="2520"/>
        <w:gridCol w:w="1360"/>
        <w:gridCol w:w="1360"/>
        <w:gridCol w:w="1360"/>
      </w:tblGrid>
      <w:tr w:rsidR="00B17255" w:rsidRPr="00B17255" w14:paraId="529C130A" w14:textId="77777777" w:rsidTr="00B17255">
        <w:trPr>
          <w:trHeight w:val="300"/>
        </w:trPr>
        <w:tc>
          <w:tcPr>
            <w:tcW w:w="2520" w:type="dxa"/>
            <w:tcBorders>
              <w:top w:val="single" w:sz="4" w:space="0" w:color="auto"/>
              <w:left w:val="single" w:sz="4" w:space="0" w:color="auto"/>
              <w:bottom w:val="single" w:sz="4" w:space="0" w:color="auto"/>
              <w:right w:val="single" w:sz="4" w:space="0" w:color="auto"/>
            </w:tcBorders>
            <w:vAlign w:val="center"/>
            <w:hideMark/>
          </w:tcPr>
          <w:p w14:paraId="7F3ABB25" w14:textId="77777777" w:rsidR="00B17255" w:rsidRPr="00B17255" w:rsidRDefault="00B17255" w:rsidP="00B17255">
            <w:pPr>
              <w:spacing w:line="360" w:lineRule="auto"/>
              <w:jc w:val="center"/>
              <w:rPr>
                <w:b/>
                <w:bCs/>
                <w:sz w:val="24"/>
                <w:szCs w:val="24"/>
              </w:rPr>
            </w:pPr>
            <w:r w:rsidRPr="00B17255">
              <w:rPr>
                <w:b/>
                <w:bCs/>
                <w:sz w:val="24"/>
                <w:szCs w:val="24"/>
              </w:rPr>
              <w:t>Criteria</w:t>
            </w:r>
          </w:p>
        </w:tc>
        <w:tc>
          <w:tcPr>
            <w:tcW w:w="1360" w:type="dxa"/>
            <w:tcBorders>
              <w:top w:val="single" w:sz="4" w:space="0" w:color="auto"/>
              <w:left w:val="nil"/>
              <w:bottom w:val="single" w:sz="4" w:space="0" w:color="auto"/>
              <w:right w:val="single" w:sz="4" w:space="0" w:color="auto"/>
            </w:tcBorders>
            <w:vAlign w:val="center"/>
            <w:hideMark/>
          </w:tcPr>
          <w:p w14:paraId="0B2A7CF8"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360" w:type="dxa"/>
            <w:tcBorders>
              <w:top w:val="single" w:sz="4" w:space="0" w:color="auto"/>
              <w:left w:val="nil"/>
              <w:bottom w:val="single" w:sz="4" w:space="0" w:color="auto"/>
              <w:right w:val="single" w:sz="4" w:space="0" w:color="auto"/>
            </w:tcBorders>
            <w:vAlign w:val="center"/>
            <w:hideMark/>
          </w:tcPr>
          <w:p w14:paraId="7808F9C0"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360" w:type="dxa"/>
            <w:tcBorders>
              <w:top w:val="single" w:sz="4" w:space="0" w:color="auto"/>
              <w:left w:val="nil"/>
              <w:bottom w:val="single" w:sz="4" w:space="0" w:color="auto"/>
              <w:right w:val="single" w:sz="4" w:space="0" w:color="auto"/>
            </w:tcBorders>
            <w:vAlign w:val="center"/>
            <w:hideMark/>
          </w:tcPr>
          <w:p w14:paraId="0B623BC8" w14:textId="77777777" w:rsidR="00B17255" w:rsidRPr="00B17255" w:rsidRDefault="00B17255" w:rsidP="00B17255">
            <w:pPr>
              <w:spacing w:line="360" w:lineRule="auto"/>
              <w:jc w:val="center"/>
              <w:rPr>
                <w:b/>
                <w:bCs/>
                <w:sz w:val="24"/>
                <w:szCs w:val="24"/>
              </w:rPr>
            </w:pPr>
            <w:r w:rsidRPr="00B17255">
              <w:rPr>
                <w:b/>
                <w:bCs/>
                <w:sz w:val="24"/>
                <w:szCs w:val="24"/>
              </w:rPr>
              <w:t>Project C</w:t>
            </w:r>
          </w:p>
        </w:tc>
      </w:tr>
      <w:tr w:rsidR="00B17255" w:rsidRPr="00B17255" w14:paraId="03C5D1AA"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489346FE" w14:textId="77777777" w:rsidR="00B17255" w:rsidRPr="00B17255" w:rsidRDefault="00B17255" w:rsidP="00B17255">
            <w:pPr>
              <w:spacing w:line="360" w:lineRule="auto"/>
              <w:jc w:val="center"/>
              <w:rPr>
                <w:sz w:val="24"/>
                <w:szCs w:val="24"/>
              </w:rPr>
            </w:pPr>
            <w:r w:rsidRPr="00B17255">
              <w:rPr>
                <w:sz w:val="24"/>
                <w:szCs w:val="24"/>
              </w:rPr>
              <w:t>Payback Period (years)</w:t>
            </w:r>
          </w:p>
        </w:tc>
        <w:tc>
          <w:tcPr>
            <w:tcW w:w="1360" w:type="dxa"/>
            <w:tcBorders>
              <w:top w:val="nil"/>
              <w:left w:val="nil"/>
              <w:bottom w:val="single" w:sz="4" w:space="0" w:color="auto"/>
              <w:right w:val="single" w:sz="4" w:space="0" w:color="auto"/>
            </w:tcBorders>
            <w:noWrap/>
            <w:vAlign w:val="center"/>
            <w:hideMark/>
          </w:tcPr>
          <w:p w14:paraId="55174860" w14:textId="77777777" w:rsidR="00B17255" w:rsidRPr="00B17255" w:rsidRDefault="00B17255" w:rsidP="00B17255">
            <w:pPr>
              <w:spacing w:line="360" w:lineRule="auto"/>
              <w:jc w:val="center"/>
              <w:rPr>
                <w:sz w:val="24"/>
                <w:szCs w:val="24"/>
              </w:rPr>
            </w:pPr>
            <w:r w:rsidRPr="00B17255">
              <w:rPr>
                <w:sz w:val="24"/>
                <w:szCs w:val="24"/>
              </w:rPr>
              <w:t>4.50</w:t>
            </w:r>
          </w:p>
        </w:tc>
        <w:tc>
          <w:tcPr>
            <w:tcW w:w="1360" w:type="dxa"/>
            <w:tcBorders>
              <w:top w:val="nil"/>
              <w:left w:val="nil"/>
              <w:bottom w:val="single" w:sz="4" w:space="0" w:color="auto"/>
              <w:right w:val="single" w:sz="4" w:space="0" w:color="auto"/>
            </w:tcBorders>
            <w:noWrap/>
            <w:vAlign w:val="center"/>
            <w:hideMark/>
          </w:tcPr>
          <w:p w14:paraId="79407D5D" w14:textId="77777777" w:rsidR="00B17255" w:rsidRPr="00B17255" w:rsidRDefault="00B17255" w:rsidP="00B17255">
            <w:pPr>
              <w:spacing w:line="360" w:lineRule="auto"/>
              <w:jc w:val="center"/>
              <w:rPr>
                <w:sz w:val="24"/>
                <w:szCs w:val="24"/>
              </w:rPr>
            </w:pPr>
            <w:r w:rsidRPr="00B17255">
              <w:rPr>
                <w:sz w:val="24"/>
                <w:szCs w:val="24"/>
              </w:rPr>
              <w:t>4.55</w:t>
            </w:r>
          </w:p>
        </w:tc>
        <w:tc>
          <w:tcPr>
            <w:tcW w:w="1360" w:type="dxa"/>
            <w:tcBorders>
              <w:top w:val="nil"/>
              <w:left w:val="nil"/>
              <w:bottom w:val="single" w:sz="4" w:space="0" w:color="auto"/>
              <w:right w:val="single" w:sz="4" w:space="0" w:color="auto"/>
            </w:tcBorders>
            <w:noWrap/>
            <w:vAlign w:val="center"/>
            <w:hideMark/>
          </w:tcPr>
          <w:p w14:paraId="3A16479B" w14:textId="77777777" w:rsidR="00B17255" w:rsidRPr="00B17255" w:rsidRDefault="00B17255" w:rsidP="00B17255">
            <w:pPr>
              <w:spacing w:line="360" w:lineRule="auto"/>
              <w:jc w:val="center"/>
              <w:rPr>
                <w:sz w:val="24"/>
                <w:szCs w:val="24"/>
              </w:rPr>
            </w:pPr>
            <w:r w:rsidRPr="00B17255">
              <w:rPr>
                <w:sz w:val="24"/>
                <w:szCs w:val="24"/>
              </w:rPr>
              <w:t>3.60</w:t>
            </w:r>
          </w:p>
        </w:tc>
      </w:tr>
      <w:tr w:rsidR="00B17255" w:rsidRPr="00B17255" w14:paraId="15586807"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57091DC1" w14:textId="77777777" w:rsidR="00B17255" w:rsidRPr="00B17255" w:rsidRDefault="00B17255" w:rsidP="00B17255">
            <w:pPr>
              <w:spacing w:line="360" w:lineRule="auto"/>
              <w:jc w:val="center"/>
              <w:rPr>
                <w:sz w:val="24"/>
                <w:szCs w:val="24"/>
              </w:rPr>
            </w:pPr>
            <w:r w:rsidRPr="00B17255">
              <w:rPr>
                <w:sz w:val="24"/>
                <w:szCs w:val="24"/>
              </w:rPr>
              <w:t>ARR (%)</w:t>
            </w:r>
          </w:p>
        </w:tc>
        <w:tc>
          <w:tcPr>
            <w:tcW w:w="1360" w:type="dxa"/>
            <w:tcBorders>
              <w:top w:val="nil"/>
              <w:left w:val="nil"/>
              <w:bottom w:val="single" w:sz="4" w:space="0" w:color="auto"/>
              <w:right w:val="single" w:sz="4" w:space="0" w:color="auto"/>
            </w:tcBorders>
            <w:noWrap/>
            <w:vAlign w:val="center"/>
            <w:hideMark/>
          </w:tcPr>
          <w:p w14:paraId="13C75B65" w14:textId="77777777" w:rsidR="00B17255" w:rsidRPr="00B17255" w:rsidRDefault="00B17255" w:rsidP="00B17255">
            <w:pPr>
              <w:spacing w:line="360" w:lineRule="auto"/>
              <w:jc w:val="center"/>
              <w:rPr>
                <w:sz w:val="24"/>
                <w:szCs w:val="24"/>
              </w:rPr>
            </w:pPr>
            <w:r w:rsidRPr="00B17255">
              <w:rPr>
                <w:sz w:val="24"/>
                <w:szCs w:val="24"/>
              </w:rPr>
              <w:t>3.2%</w:t>
            </w:r>
          </w:p>
        </w:tc>
        <w:tc>
          <w:tcPr>
            <w:tcW w:w="1360" w:type="dxa"/>
            <w:tcBorders>
              <w:top w:val="nil"/>
              <w:left w:val="nil"/>
              <w:bottom w:val="single" w:sz="4" w:space="0" w:color="auto"/>
              <w:right w:val="single" w:sz="4" w:space="0" w:color="auto"/>
            </w:tcBorders>
            <w:noWrap/>
            <w:vAlign w:val="center"/>
            <w:hideMark/>
          </w:tcPr>
          <w:p w14:paraId="6209E2D8" w14:textId="77777777" w:rsidR="00B17255" w:rsidRPr="00B17255" w:rsidRDefault="00B17255" w:rsidP="00B17255">
            <w:pPr>
              <w:spacing w:line="360" w:lineRule="auto"/>
              <w:jc w:val="center"/>
              <w:rPr>
                <w:sz w:val="24"/>
                <w:szCs w:val="24"/>
              </w:rPr>
            </w:pPr>
            <w:r w:rsidRPr="00B17255">
              <w:rPr>
                <w:sz w:val="24"/>
                <w:szCs w:val="24"/>
              </w:rPr>
              <w:t>4.0%</w:t>
            </w:r>
          </w:p>
        </w:tc>
        <w:tc>
          <w:tcPr>
            <w:tcW w:w="1360" w:type="dxa"/>
            <w:tcBorders>
              <w:top w:val="nil"/>
              <w:left w:val="nil"/>
              <w:bottom w:val="single" w:sz="4" w:space="0" w:color="auto"/>
              <w:right w:val="single" w:sz="4" w:space="0" w:color="auto"/>
            </w:tcBorders>
            <w:noWrap/>
            <w:vAlign w:val="center"/>
            <w:hideMark/>
          </w:tcPr>
          <w:p w14:paraId="3050584E" w14:textId="77777777" w:rsidR="00B17255" w:rsidRPr="00B17255" w:rsidRDefault="00B17255" w:rsidP="00B17255">
            <w:pPr>
              <w:spacing w:line="360" w:lineRule="auto"/>
              <w:jc w:val="center"/>
              <w:rPr>
                <w:sz w:val="24"/>
                <w:szCs w:val="24"/>
              </w:rPr>
            </w:pPr>
            <w:r w:rsidRPr="00B17255">
              <w:rPr>
                <w:sz w:val="24"/>
                <w:szCs w:val="24"/>
              </w:rPr>
              <w:t>12.0%</w:t>
            </w:r>
          </w:p>
        </w:tc>
      </w:tr>
      <w:tr w:rsidR="00B17255" w:rsidRPr="00B17255" w14:paraId="54124E51"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7B9B9727" w14:textId="77777777" w:rsidR="00B17255" w:rsidRPr="00B17255" w:rsidRDefault="00B17255" w:rsidP="00B17255">
            <w:pPr>
              <w:spacing w:line="360" w:lineRule="auto"/>
              <w:jc w:val="center"/>
              <w:rPr>
                <w:sz w:val="24"/>
                <w:szCs w:val="24"/>
              </w:rPr>
            </w:pPr>
            <w:r w:rsidRPr="00B17255">
              <w:rPr>
                <w:sz w:val="24"/>
                <w:szCs w:val="24"/>
              </w:rPr>
              <w:t>NPV (£m)</w:t>
            </w:r>
          </w:p>
        </w:tc>
        <w:tc>
          <w:tcPr>
            <w:tcW w:w="1360" w:type="dxa"/>
            <w:tcBorders>
              <w:top w:val="nil"/>
              <w:left w:val="nil"/>
              <w:bottom w:val="single" w:sz="4" w:space="0" w:color="auto"/>
              <w:right w:val="single" w:sz="4" w:space="0" w:color="auto"/>
            </w:tcBorders>
            <w:noWrap/>
            <w:vAlign w:val="center"/>
            <w:hideMark/>
          </w:tcPr>
          <w:p w14:paraId="1B029F5E" w14:textId="77777777" w:rsidR="00B17255" w:rsidRPr="00B17255" w:rsidRDefault="00B17255" w:rsidP="00B17255">
            <w:pPr>
              <w:spacing w:line="360" w:lineRule="auto"/>
              <w:jc w:val="center"/>
              <w:rPr>
                <w:sz w:val="24"/>
                <w:szCs w:val="24"/>
              </w:rPr>
            </w:pPr>
            <w:r w:rsidRPr="00B17255">
              <w:rPr>
                <w:sz w:val="24"/>
                <w:szCs w:val="24"/>
              </w:rPr>
              <w:t>-6.54</w:t>
            </w:r>
          </w:p>
        </w:tc>
        <w:tc>
          <w:tcPr>
            <w:tcW w:w="1360" w:type="dxa"/>
            <w:tcBorders>
              <w:top w:val="nil"/>
              <w:left w:val="nil"/>
              <w:bottom w:val="single" w:sz="4" w:space="0" w:color="auto"/>
              <w:right w:val="single" w:sz="4" w:space="0" w:color="auto"/>
            </w:tcBorders>
            <w:noWrap/>
            <w:vAlign w:val="center"/>
            <w:hideMark/>
          </w:tcPr>
          <w:p w14:paraId="4EA897B7" w14:textId="77777777" w:rsidR="00B17255" w:rsidRPr="00B17255" w:rsidRDefault="00B17255" w:rsidP="00B17255">
            <w:pPr>
              <w:spacing w:line="360" w:lineRule="auto"/>
              <w:jc w:val="center"/>
              <w:rPr>
                <w:sz w:val="24"/>
                <w:szCs w:val="24"/>
              </w:rPr>
            </w:pPr>
            <w:r w:rsidRPr="00B17255">
              <w:rPr>
                <w:sz w:val="24"/>
                <w:szCs w:val="24"/>
              </w:rPr>
              <w:t>-6.08</w:t>
            </w:r>
          </w:p>
        </w:tc>
        <w:tc>
          <w:tcPr>
            <w:tcW w:w="1360" w:type="dxa"/>
            <w:tcBorders>
              <w:top w:val="nil"/>
              <w:left w:val="nil"/>
              <w:bottom w:val="single" w:sz="4" w:space="0" w:color="auto"/>
              <w:right w:val="single" w:sz="4" w:space="0" w:color="auto"/>
            </w:tcBorders>
            <w:noWrap/>
            <w:vAlign w:val="center"/>
            <w:hideMark/>
          </w:tcPr>
          <w:p w14:paraId="34D114A8" w14:textId="77777777" w:rsidR="00B17255" w:rsidRPr="00B17255" w:rsidRDefault="00B17255" w:rsidP="00B17255">
            <w:pPr>
              <w:spacing w:line="360" w:lineRule="auto"/>
              <w:jc w:val="center"/>
              <w:rPr>
                <w:sz w:val="24"/>
                <w:szCs w:val="24"/>
              </w:rPr>
            </w:pPr>
            <w:r w:rsidRPr="00B17255">
              <w:rPr>
                <w:sz w:val="24"/>
                <w:szCs w:val="24"/>
              </w:rPr>
              <w:t>0.86</w:t>
            </w:r>
          </w:p>
        </w:tc>
      </w:tr>
      <w:tr w:rsidR="00B17255" w:rsidRPr="00B17255" w14:paraId="26390F27"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5D5358BC" w14:textId="77777777" w:rsidR="00B17255" w:rsidRPr="00B17255" w:rsidRDefault="00B17255" w:rsidP="00B17255">
            <w:pPr>
              <w:spacing w:line="360" w:lineRule="auto"/>
              <w:jc w:val="center"/>
              <w:rPr>
                <w:sz w:val="24"/>
                <w:szCs w:val="24"/>
              </w:rPr>
            </w:pPr>
            <w:r w:rsidRPr="00B17255">
              <w:rPr>
                <w:sz w:val="24"/>
                <w:szCs w:val="24"/>
              </w:rPr>
              <w:t>Profitability Index</w:t>
            </w:r>
          </w:p>
        </w:tc>
        <w:tc>
          <w:tcPr>
            <w:tcW w:w="1360" w:type="dxa"/>
            <w:tcBorders>
              <w:top w:val="nil"/>
              <w:left w:val="nil"/>
              <w:bottom w:val="single" w:sz="4" w:space="0" w:color="auto"/>
              <w:right w:val="single" w:sz="4" w:space="0" w:color="auto"/>
            </w:tcBorders>
            <w:noWrap/>
            <w:vAlign w:val="center"/>
            <w:hideMark/>
          </w:tcPr>
          <w:p w14:paraId="617FFFEF" w14:textId="77777777" w:rsidR="00B17255" w:rsidRPr="00B17255" w:rsidRDefault="00B17255" w:rsidP="00B17255">
            <w:pPr>
              <w:spacing w:line="360" w:lineRule="auto"/>
              <w:jc w:val="center"/>
              <w:rPr>
                <w:sz w:val="24"/>
                <w:szCs w:val="24"/>
              </w:rPr>
            </w:pPr>
            <w:r w:rsidRPr="00B17255">
              <w:rPr>
                <w:sz w:val="24"/>
                <w:szCs w:val="24"/>
              </w:rPr>
              <w:t>0.87</w:t>
            </w:r>
          </w:p>
        </w:tc>
        <w:tc>
          <w:tcPr>
            <w:tcW w:w="1360" w:type="dxa"/>
            <w:tcBorders>
              <w:top w:val="nil"/>
              <w:left w:val="nil"/>
              <w:bottom w:val="single" w:sz="4" w:space="0" w:color="auto"/>
              <w:right w:val="single" w:sz="4" w:space="0" w:color="auto"/>
            </w:tcBorders>
            <w:noWrap/>
            <w:vAlign w:val="center"/>
            <w:hideMark/>
          </w:tcPr>
          <w:p w14:paraId="068A5349" w14:textId="77777777" w:rsidR="00B17255" w:rsidRPr="00B17255" w:rsidRDefault="00B17255" w:rsidP="00B17255">
            <w:pPr>
              <w:spacing w:line="360" w:lineRule="auto"/>
              <w:jc w:val="center"/>
              <w:rPr>
                <w:sz w:val="24"/>
                <w:szCs w:val="24"/>
              </w:rPr>
            </w:pPr>
            <w:r w:rsidRPr="00B17255">
              <w:rPr>
                <w:sz w:val="24"/>
                <w:szCs w:val="24"/>
              </w:rPr>
              <w:t>0.88</w:t>
            </w:r>
          </w:p>
        </w:tc>
        <w:tc>
          <w:tcPr>
            <w:tcW w:w="1360" w:type="dxa"/>
            <w:tcBorders>
              <w:top w:val="nil"/>
              <w:left w:val="nil"/>
              <w:bottom w:val="single" w:sz="4" w:space="0" w:color="auto"/>
              <w:right w:val="single" w:sz="4" w:space="0" w:color="auto"/>
            </w:tcBorders>
            <w:noWrap/>
            <w:vAlign w:val="center"/>
            <w:hideMark/>
          </w:tcPr>
          <w:p w14:paraId="03A9DABC" w14:textId="77777777" w:rsidR="00B17255" w:rsidRPr="00B17255" w:rsidRDefault="00B17255" w:rsidP="00B17255">
            <w:pPr>
              <w:spacing w:line="360" w:lineRule="auto"/>
              <w:jc w:val="center"/>
              <w:rPr>
                <w:sz w:val="24"/>
                <w:szCs w:val="24"/>
              </w:rPr>
            </w:pPr>
            <w:r w:rsidRPr="00B17255">
              <w:rPr>
                <w:sz w:val="24"/>
                <w:szCs w:val="24"/>
              </w:rPr>
              <w:t>1.02</w:t>
            </w:r>
          </w:p>
        </w:tc>
      </w:tr>
      <w:tr w:rsidR="00B17255" w:rsidRPr="00B17255" w14:paraId="7A647F5D"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76070F20" w14:textId="77777777" w:rsidR="00B17255" w:rsidRPr="00B17255" w:rsidRDefault="00B17255" w:rsidP="00B17255">
            <w:pPr>
              <w:spacing w:line="360" w:lineRule="auto"/>
              <w:jc w:val="center"/>
              <w:rPr>
                <w:sz w:val="24"/>
                <w:szCs w:val="24"/>
              </w:rPr>
            </w:pPr>
            <w:r w:rsidRPr="00B17255">
              <w:rPr>
                <w:sz w:val="24"/>
                <w:szCs w:val="24"/>
              </w:rPr>
              <w:t>IRR (%)</w:t>
            </w:r>
          </w:p>
        </w:tc>
        <w:tc>
          <w:tcPr>
            <w:tcW w:w="1360" w:type="dxa"/>
            <w:tcBorders>
              <w:top w:val="nil"/>
              <w:left w:val="nil"/>
              <w:bottom w:val="single" w:sz="4" w:space="0" w:color="auto"/>
              <w:right w:val="single" w:sz="4" w:space="0" w:color="auto"/>
            </w:tcBorders>
            <w:noWrap/>
            <w:vAlign w:val="center"/>
            <w:hideMark/>
          </w:tcPr>
          <w:p w14:paraId="07DC352A" w14:textId="77777777" w:rsidR="00B17255" w:rsidRPr="00B17255" w:rsidRDefault="00B17255" w:rsidP="00B17255">
            <w:pPr>
              <w:spacing w:line="360" w:lineRule="auto"/>
              <w:jc w:val="center"/>
              <w:rPr>
                <w:sz w:val="24"/>
                <w:szCs w:val="24"/>
              </w:rPr>
            </w:pPr>
            <w:r w:rsidRPr="00B17255">
              <w:rPr>
                <w:sz w:val="24"/>
                <w:szCs w:val="24"/>
              </w:rPr>
              <w:t>2.72%</w:t>
            </w:r>
          </w:p>
        </w:tc>
        <w:tc>
          <w:tcPr>
            <w:tcW w:w="1360" w:type="dxa"/>
            <w:tcBorders>
              <w:top w:val="nil"/>
              <w:left w:val="nil"/>
              <w:bottom w:val="single" w:sz="4" w:space="0" w:color="auto"/>
              <w:right w:val="single" w:sz="4" w:space="0" w:color="auto"/>
            </w:tcBorders>
            <w:noWrap/>
            <w:vAlign w:val="center"/>
            <w:hideMark/>
          </w:tcPr>
          <w:p w14:paraId="25F04D86" w14:textId="77777777" w:rsidR="00B17255" w:rsidRPr="00B17255" w:rsidRDefault="00B17255" w:rsidP="00B17255">
            <w:pPr>
              <w:spacing w:line="360" w:lineRule="auto"/>
              <w:jc w:val="center"/>
              <w:rPr>
                <w:sz w:val="24"/>
                <w:szCs w:val="24"/>
              </w:rPr>
            </w:pPr>
            <w:r w:rsidRPr="00B17255">
              <w:rPr>
                <w:sz w:val="24"/>
                <w:szCs w:val="24"/>
              </w:rPr>
              <w:t>3.26%</w:t>
            </w:r>
          </w:p>
        </w:tc>
        <w:tc>
          <w:tcPr>
            <w:tcW w:w="1360" w:type="dxa"/>
            <w:tcBorders>
              <w:top w:val="nil"/>
              <w:left w:val="nil"/>
              <w:bottom w:val="single" w:sz="4" w:space="0" w:color="auto"/>
              <w:right w:val="single" w:sz="4" w:space="0" w:color="auto"/>
            </w:tcBorders>
            <w:noWrap/>
            <w:vAlign w:val="center"/>
            <w:hideMark/>
          </w:tcPr>
          <w:p w14:paraId="0EDAC92D" w14:textId="77777777" w:rsidR="00B17255" w:rsidRPr="00B17255" w:rsidRDefault="00B17255" w:rsidP="00B17255">
            <w:pPr>
              <w:spacing w:line="360" w:lineRule="auto"/>
              <w:jc w:val="center"/>
              <w:rPr>
                <w:sz w:val="24"/>
                <w:szCs w:val="24"/>
              </w:rPr>
            </w:pPr>
            <w:r w:rsidRPr="00B17255">
              <w:rPr>
                <w:sz w:val="24"/>
                <w:szCs w:val="24"/>
              </w:rPr>
              <w:t>8.59%</w:t>
            </w:r>
          </w:p>
        </w:tc>
      </w:tr>
    </w:tbl>
    <w:p w14:paraId="7C76FF94" w14:textId="77777777" w:rsidR="00B17255" w:rsidRPr="00B17255" w:rsidRDefault="00B17255" w:rsidP="00B17255">
      <w:pPr>
        <w:pStyle w:val="NormalWeb"/>
        <w:spacing w:line="360" w:lineRule="auto"/>
        <w:jc w:val="center"/>
      </w:pPr>
    </w:p>
    <w:tbl>
      <w:tblPr>
        <w:tblW w:w="8420" w:type="dxa"/>
        <w:tblInd w:w="93" w:type="dxa"/>
        <w:tblLook w:val="04A0" w:firstRow="1" w:lastRow="0" w:firstColumn="1" w:lastColumn="0" w:noHBand="0" w:noVBand="1"/>
      </w:tblPr>
      <w:tblGrid>
        <w:gridCol w:w="2520"/>
        <w:gridCol w:w="2100"/>
        <w:gridCol w:w="1900"/>
        <w:gridCol w:w="1900"/>
      </w:tblGrid>
      <w:tr w:rsidR="00B17255" w:rsidRPr="00B17255" w14:paraId="609D75A1" w14:textId="77777777" w:rsidTr="00B17255">
        <w:trPr>
          <w:trHeight w:val="300"/>
        </w:trPr>
        <w:tc>
          <w:tcPr>
            <w:tcW w:w="2520" w:type="dxa"/>
            <w:tcBorders>
              <w:top w:val="single" w:sz="4" w:space="0" w:color="auto"/>
              <w:left w:val="single" w:sz="4" w:space="0" w:color="auto"/>
              <w:bottom w:val="single" w:sz="4" w:space="0" w:color="auto"/>
              <w:right w:val="single" w:sz="4" w:space="0" w:color="auto"/>
            </w:tcBorders>
            <w:vAlign w:val="center"/>
            <w:hideMark/>
          </w:tcPr>
          <w:p w14:paraId="7C37C713" w14:textId="77777777" w:rsidR="00B17255" w:rsidRPr="00B17255" w:rsidRDefault="00B17255" w:rsidP="00B17255">
            <w:pPr>
              <w:spacing w:line="360" w:lineRule="auto"/>
              <w:jc w:val="center"/>
              <w:rPr>
                <w:b/>
                <w:bCs/>
                <w:sz w:val="24"/>
                <w:szCs w:val="24"/>
              </w:rPr>
            </w:pPr>
            <w:r w:rsidRPr="00B17255">
              <w:rPr>
                <w:b/>
                <w:bCs/>
                <w:sz w:val="24"/>
                <w:szCs w:val="24"/>
              </w:rPr>
              <w:t>Item</w:t>
            </w:r>
          </w:p>
        </w:tc>
        <w:tc>
          <w:tcPr>
            <w:tcW w:w="2100" w:type="dxa"/>
            <w:tcBorders>
              <w:top w:val="single" w:sz="4" w:space="0" w:color="auto"/>
              <w:left w:val="nil"/>
              <w:bottom w:val="single" w:sz="4" w:space="0" w:color="auto"/>
              <w:right w:val="single" w:sz="4" w:space="0" w:color="auto"/>
            </w:tcBorders>
            <w:vAlign w:val="center"/>
            <w:hideMark/>
          </w:tcPr>
          <w:p w14:paraId="02DD1CEA" w14:textId="77777777" w:rsidR="00B17255" w:rsidRPr="00B17255" w:rsidRDefault="00B17255" w:rsidP="00B17255">
            <w:pPr>
              <w:spacing w:line="360" w:lineRule="auto"/>
              <w:jc w:val="center"/>
              <w:rPr>
                <w:b/>
                <w:bCs/>
                <w:sz w:val="24"/>
                <w:szCs w:val="24"/>
              </w:rPr>
            </w:pPr>
            <w:r w:rsidRPr="00B17255">
              <w:rPr>
                <w:b/>
                <w:bCs/>
                <w:sz w:val="24"/>
                <w:szCs w:val="24"/>
              </w:rPr>
              <w:t>Project A</w:t>
            </w:r>
          </w:p>
        </w:tc>
        <w:tc>
          <w:tcPr>
            <w:tcW w:w="1900" w:type="dxa"/>
            <w:tcBorders>
              <w:top w:val="single" w:sz="4" w:space="0" w:color="auto"/>
              <w:left w:val="nil"/>
              <w:bottom w:val="single" w:sz="4" w:space="0" w:color="auto"/>
              <w:right w:val="single" w:sz="4" w:space="0" w:color="auto"/>
            </w:tcBorders>
            <w:vAlign w:val="center"/>
            <w:hideMark/>
          </w:tcPr>
          <w:p w14:paraId="77AAFDF8" w14:textId="77777777" w:rsidR="00B17255" w:rsidRPr="00B17255" w:rsidRDefault="00B17255" w:rsidP="00B17255">
            <w:pPr>
              <w:spacing w:line="360" w:lineRule="auto"/>
              <w:jc w:val="center"/>
              <w:rPr>
                <w:b/>
                <w:bCs/>
                <w:sz w:val="24"/>
                <w:szCs w:val="24"/>
              </w:rPr>
            </w:pPr>
            <w:r w:rsidRPr="00B17255">
              <w:rPr>
                <w:b/>
                <w:bCs/>
                <w:sz w:val="24"/>
                <w:szCs w:val="24"/>
              </w:rPr>
              <w:t>Project B</w:t>
            </w:r>
          </w:p>
        </w:tc>
        <w:tc>
          <w:tcPr>
            <w:tcW w:w="1900" w:type="dxa"/>
            <w:tcBorders>
              <w:top w:val="single" w:sz="4" w:space="0" w:color="auto"/>
              <w:left w:val="nil"/>
              <w:bottom w:val="single" w:sz="4" w:space="0" w:color="auto"/>
              <w:right w:val="single" w:sz="4" w:space="0" w:color="auto"/>
            </w:tcBorders>
            <w:vAlign w:val="center"/>
            <w:hideMark/>
          </w:tcPr>
          <w:p w14:paraId="75DDFF70" w14:textId="77777777" w:rsidR="00B17255" w:rsidRPr="00B17255" w:rsidRDefault="00B17255" w:rsidP="00B17255">
            <w:pPr>
              <w:spacing w:line="360" w:lineRule="auto"/>
              <w:jc w:val="center"/>
              <w:rPr>
                <w:b/>
                <w:bCs/>
                <w:sz w:val="24"/>
                <w:szCs w:val="24"/>
              </w:rPr>
            </w:pPr>
            <w:r w:rsidRPr="00B17255">
              <w:rPr>
                <w:b/>
                <w:bCs/>
                <w:sz w:val="24"/>
                <w:szCs w:val="24"/>
              </w:rPr>
              <w:t>Project C</w:t>
            </w:r>
          </w:p>
        </w:tc>
      </w:tr>
      <w:tr w:rsidR="00B17255" w:rsidRPr="00B17255" w14:paraId="6DDB1870"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13B68AC4" w14:textId="77777777" w:rsidR="00B17255" w:rsidRPr="00B17255" w:rsidRDefault="00B17255" w:rsidP="00B17255">
            <w:pPr>
              <w:spacing w:line="360" w:lineRule="auto"/>
              <w:jc w:val="center"/>
              <w:rPr>
                <w:sz w:val="24"/>
                <w:szCs w:val="24"/>
              </w:rPr>
            </w:pPr>
            <w:r w:rsidRPr="00B17255">
              <w:rPr>
                <w:sz w:val="24"/>
                <w:szCs w:val="24"/>
              </w:rPr>
              <w:t>Initial Investment (£m)</w:t>
            </w:r>
          </w:p>
        </w:tc>
        <w:tc>
          <w:tcPr>
            <w:tcW w:w="2100" w:type="dxa"/>
            <w:tcBorders>
              <w:top w:val="nil"/>
              <w:left w:val="nil"/>
              <w:bottom w:val="single" w:sz="4" w:space="0" w:color="auto"/>
              <w:right w:val="single" w:sz="4" w:space="0" w:color="auto"/>
            </w:tcBorders>
            <w:noWrap/>
            <w:vAlign w:val="center"/>
            <w:hideMark/>
          </w:tcPr>
          <w:p w14:paraId="5CF63C8B" w14:textId="77777777" w:rsidR="00B17255" w:rsidRPr="00B17255" w:rsidRDefault="00B17255" w:rsidP="00B17255">
            <w:pPr>
              <w:spacing w:line="360" w:lineRule="auto"/>
              <w:jc w:val="center"/>
              <w:rPr>
                <w:sz w:val="24"/>
                <w:szCs w:val="24"/>
              </w:rPr>
            </w:pPr>
            <w:r w:rsidRPr="00B17255">
              <w:rPr>
                <w:sz w:val="24"/>
                <w:szCs w:val="24"/>
              </w:rPr>
              <w:t>50</w:t>
            </w:r>
          </w:p>
        </w:tc>
        <w:tc>
          <w:tcPr>
            <w:tcW w:w="1900" w:type="dxa"/>
            <w:tcBorders>
              <w:top w:val="nil"/>
              <w:left w:val="nil"/>
              <w:bottom w:val="single" w:sz="4" w:space="0" w:color="auto"/>
              <w:right w:val="single" w:sz="4" w:space="0" w:color="auto"/>
            </w:tcBorders>
            <w:noWrap/>
            <w:vAlign w:val="center"/>
            <w:hideMark/>
          </w:tcPr>
          <w:p w14:paraId="6D7D9B4D" w14:textId="77777777" w:rsidR="00B17255" w:rsidRPr="00B17255" w:rsidRDefault="00B17255" w:rsidP="00B17255">
            <w:pPr>
              <w:spacing w:line="360" w:lineRule="auto"/>
              <w:jc w:val="center"/>
              <w:rPr>
                <w:sz w:val="24"/>
                <w:szCs w:val="24"/>
              </w:rPr>
            </w:pPr>
            <w:r w:rsidRPr="00B17255">
              <w:rPr>
                <w:sz w:val="24"/>
                <w:szCs w:val="24"/>
              </w:rPr>
              <w:t>50</w:t>
            </w:r>
          </w:p>
        </w:tc>
        <w:tc>
          <w:tcPr>
            <w:tcW w:w="1900" w:type="dxa"/>
            <w:tcBorders>
              <w:top w:val="nil"/>
              <w:left w:val="nil"/>
              <w:bottom w:val="single" w:sz="4" w:space="0" w:color="auto"/>
              <w:right w:val="single" w:sz="4" w:space="0" w:color="auto"/>
            </w:tcBorders>
            <w:noWrap/>
            <w:vAlign w:val="center"/>
            <w:hideMark/>
          </w:tcPr>
          <w:p w14:paraId="06BBCE04" w14:textId="77777777" w:rsidR="00B17255" w:rsidRPr="00B17255" w:rsidRDefault="00B17255" w:rsidP="00B17255">
            <w:pPr>
              <w:spacing w:line="360" w:lineRule="auto"/>
              <w:jc w:val="center"/>
              <w:rPr>
                <w:sz w:val="24"/>
                <w:szCs w:val="24"/>
              </w:rPr>
            </w:pPr>
            <w:r w:rsidRPr="00B17255">
              <w:rPr>
                <w:sz w:val="24"/>
                <w:szCs w:val="24"/>
              </w:rPr>
              <w:t>50</w:t>
            </w:r>
          </w:p>
        </w:tc>
      </w:tr>
      <w:tr w:rsidR="00B17255" w:rsidRPr="00B17255" w14:paraId="19521CD9"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0945683E" w14:textId="77777777" w:rsidR="00B17255" w:rsidRPr="00B17255" w:rsidRDefault="00B17255" w:rsidP="00B17255">
            <w:pPr>
              <w:spacing w:line="360" w:lineRule="auto"/>
              <w:jc w:val="center"/>
              <w:rPr>
                <w:sz w:val="24"/>
                <w:szCs w:val="24"/>
              </w:rPr>
            </w:pPr>
            <w:r w:rsidRPr="00B17255">
              <w:rPr>
                <w:sz w:val="24"/>
                <w:szCs w:val="24"/>
              </w:rPr>
              <w:t>NPV (£m)</w:t>
            </w:r>
          </w:p>
        </w:tc>
        <w:tc>
          <w:tcPr>
            <w:tcW w:w="2100" w:type="dxa"/>
            <w:tcBorders>
              <w:top w:val="nil"/>
              <w:left w:val="nil"/>
              <w:bottom w:val="single" w:sz="4" w:space="0" w:color="auto"/>
              <w:right w:val="single" w:sz="4" w:space="0" w:color="auto"/>
            </w:tcBorders>
            <w:noWrap/>
            <w:vAlign w:val="center"/>
            <w:hideMark/>
          </w:tcPr>
          <w:p w14:paraId="46BCC733" w14:textId="77777777" w:rsidR="00B17255" w:rsidRPr="00B17255" w:rsidRDefault="00B17255" w:rsidP="00B17255">
            <w:pPr>
              <w:spacing w:line="360" w:lineRule="auto"/>
              <w:jc w:val="center"/>
              <w:rPr>
                <w:sz w:val="24"/>
                <w:szCs w:val="24"/>
              </w:rPr>
            </w:pPr>
            <w:r w:rsidRPr="00B17255">
              <w:rPr>
                <w:sz w:val="24"/>
                <w:szCs w:val="24"/>
              </w:rPr>
              <w:t>-6.54</w:t>
            </w:r>
          </w:p>
        </w:tc>
        <w:tc>
          <w:tcPr>
            <w:tcW w:w="1900" w:type="dxa"/>
            <w:tcBorders>
              <w:top w:val="nil"/>
              <w:left w:val="nil"/>
              <w:bottom w:val="single" w:sz="4" w:space="0" w:color="auto"/>
              <w:right w:val="single" w:sz="4" w:space="0" w:color="auto"/>
            </w:tcBorders>
            <w:noWrap/>
            <w:vAlign w:val="center"/>
            <w:hideMark/>
          </w:tcPr>
          <w:p w14:paraId="5332BD9A" w14:textId="77777777" w:rsidR="00B17255" w:rsidRPr="00B17255" w:rsidRDefault="00B17255" w:rsidP="00B17255">
            <w:pPr>
              <w:spacing w:line="360" w:lineRule="auto"/>
              <w:jc w:val="center"/>
              <w:rPr>
                <w:sz w:val="24"/>
                <w:szCs w:val="24"/>
              </w:rPr>
            </w:pPr>
            <w:r w:rsidRPr="00B17255">
              <w:rPr>
                <w:sz w:val="24"/>
                <w:szCs w:val="24"/>
              </w:rPr>
              <w:t>-6.08</w:t>
            </w:r>
          </w:p>
        </w:tc>
        <w:tc>
          <w:tcPr>
            <w:tcW w:w="1900" w:type="dxa"/>
            <w:tcBorders>
              <w:top w:val="nil"/>
              <w:left w:val="nil"/>
              <w:bottom w:val="single" w:sz="4" w:space="0" w:color="auto"/>
              <w:right w:val="single" w:sz="4" w:space="0" w:color="auto"/>
            </w:tcBorders>
            <w:noWrap/>
            <w:vAlign w:val="center"/>
            <w:hideMark/>
          </w:tcPr>
          <w:p w14:paraId="5CA0A11F" w14:textId="77777777" w:rsidR="00B17255" w:rsidRPr="00B17255" w:rsidRDefault="00B17255" w:rsidP="00B17255">
            <w:pPr>
              <w:spacing w:line="360" w:lineRule="auto"/>
              <w:jc w:val="center"/>
              <w:rPr>
                <w:sz w:val="24"/>
                <w:szCs w:val="24"/>
              </w:rPr>
            </w:pPr>
            <w:r w:rsidRPr="00B17255">
              <w:rPr>
                <w:sz w:val="24"/>
                <w:szCs w:val="24"/>
              </w:rPr>
              <w:t>0.86</w:t>
            </w:r>
          </w:p>
        </w:tc>
      </w:tr>
      <w:tr w:rsidR="00B17255" w:rsidRPr="00B17255" w14:paraId="6A2E7AF8"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7E296A99" w14:textId="77777777" w:rsidR="00B17255" w:rsidRPr="00B17255" w:rsidRDefault="00B17255" w:rsidP="00B17255">
            <w:pPr>
              <w:spacing w:line="360" w:lineRule="auto"/>
              <w:jc w:val="center"/>
              <w:rPr>
                <w:sz w:val="24"/>
                <w:szCs w:val="24"/>
              </w:rPr>
            </w:pPr>
            <w:r w:rsidRPr="00B17255">
              <w:rPr>
                <w:sz w:val="24"/>
                <w:szCs w:val="24"/>
              </w:rPr>
              <w:t>Profitability Index</w:t>
            </w:r>
          </w:p>
        </w:tc>
        <w:tc>
          <w:tcPr>
            <w:tcW w:w="2100" w:type="dxa"/>
            <w:tcBorders>
              <w:top w:val="nil"/>
              <w:left w:val="nil"/>
              <w:bottom w:val="single" w:sz="4" w:space="0" w:color="auto"/>
              <w:right w:val="single" w:sz="4" w:space="0" w:color="auto"/>
            </w:tcBorders>
            <w:noWrap/>
            <w:vAlign w:val="center"/>
            <w:hideMark/>
          </w:tcPr>
          <w:p w14:paraId="15EB7183" w14:textId="77777777" w:rsidR="00B17255" w:rsidRPr="00B17255" w:rsidRDefault="00B17255" w:rsidP="00B17255">
            <w:pPr>
              <w:spacing w:line="360" w:lineRule="auto"/>
              <w:jc w:val="center"/>
              <w:rPr>
                <w:sz w:val="24"/>
                <w:szCs w:val="24"/>
              </w:rPr>
            </w:pPr>
            <w:r w:rsidRPr="00B17255">
              <w:rPr>
                <w:sz w:val="24"/>
                <w:szCs w:val="24"/>
              </w:rPr>
              <w:t>0.87</w:t>
            </w:r>
          </w:p>
        </w:tc>
        <w:tc>
          <w:tcPr>
            <w:tcW w:w="1900" w:type="dxa"/>
            <w:tcBorders>
              <w:top w:val="nil"/>
              <w:left w:val="nil"/>
              <w:bottom w:val="single" w:sz="4" w:space="0" w:color="auto"/>
              <w:right w:val="single" w:sz="4" w:space="0" w:color="auto"/>
            </w:tcBorders>
            <w:noWrap/>
            <w:vAlign w:val="center"/>
            <w:hideMark/>
          </w:tcPr>
          <w:p w14:paraId="046E60DF" w14:textId="77777777" w:rsidR="00B17255" w:rsidRPr="00B17255" w:rsidRDefault="00B17255" w:rsidP="00B17255">
            <w:pPr>
              <w:spacing w:line="360" w:lineRule="auto"/>
              <w:jc w:val="center"/>
              <w:rPr>
                <w:sz w:val="24"/>
                <w:szCs w:val="24"/>
              </w:rPr>
            </w:pPr>
            <w:r w:rsidRPr="00B17255">
              <w:rPr>
                <w:sz w:val="24"/>
                <w:szCs w:val="24"/>
              </w:rPr>
              <w:t>0.88</w:t>
            </w:r>
          </w:p>
        </w:tc>
        <w:tc>
          <w:tcPr>
            <w:tcW w:w="1900" w:type="dxa"/>
            <w:tcBorders>
              <w:top w:val="nil"/>
              <w:left w:val="nil"/>
              <w:bottom w:val="single" w:sz="4" w:space="0" w:color="auto"/>
              <w:right w:val="single" w:sz="4" w:space="0" w:color="auto"/>
            </w:tcBorders>
            <w:noWrap/>
            <w:vAlign w:val="center"/>
            <w:hideMark/>
          </w:tcPr>
          <w:p w14:paraId="1986F9EB" w14:textId="77777777" w:rsidR="00B17255" w:rsidRPr="00B17255" w:rsidRDefault="00B17255" w:rsidP="00B17255">
            <w:pPr>
              <w:spacing w:line="360" w:lineRule="auto"/>
              <w:jc w:val="center"/>
              <w:rPr>
                <w:sz w:val="24"/>
                <w:szCs w:val="24"/>
              </w:rPr>
            </w:pPr>
            <w:r w:rsidRPr="00B17255">
              <w:rPr>
                <w:sz w:val="24"/>
                <w:szCs w:val="24"/>
              </w:rPr>
              <w:t>1.02</w:t>
            </w:r>
          </w:p>
        </w:tc>
      </w:tr>
      <w:tr w:rsidR="00B17255" w:rsidRPr="00B17255" w14:paraId="57C6A91B" w14:textId="77777777" w:rsidTr="00B17255">
        <w:trPr>
          <w:trHeight w:val="300"/>
        </w:trPr>
        <w:tc>
          <w:tcPr>
            <w:tcW w:w="2520" w:type="dxa"/>
            <w:tcBorders>
              <w:top w:val="nil"/>
              <w:left w:val="nil"/>
              <w:bottom w:val="nil"/>
              <w:right w:val="nil"/>
            </w:tcBorders>
            <w:noWrap/>
            <w:vAlign w:val="bottom"/>
            <w:hideMark/>
          </w:tcPr>
          <w:p w14:paraId="14306AB1" w14:textId="77777777" w:rsidR="00B17255" w:rsidRPr="00B17255" w:rsidRDefault="00B17255" w:rsidP="00B17255">
            <w:pPr>
              <w:spacing w:line="360" w:lineRule="auto"/>
              <w:jc w:val="center"/>
              <w:rPr>
                <w:color w:val="000000"/>
                <w:sz w:val="24"/>
                <w:szCs w:val="24"/>
              </w:rPr>
            </w:pPr>
          </w:p>
        </w:tc>
        <w:tc>
          <w:tcPr>
            <w:tcW w:w="2100" w:type="dxa"/>
            <w:tcBorders>
              <w:top w:val="nil"/>
              <w:left w:val="nil"/>
              <w:bottom w:val="nil"/>
              <w:right w:val="nil"/>
            </w:tcBorders>
            <w:noWrap/>
            <w:vAlign w:val="bottom"/>
            <w:hideMark/>
          </w:tcPr>
          <w:p w14:paraId="2079BFAD" w14:textId="77777777" w:rsidR="00B17255" w:rsidRPr="00B17255" w:rsidRDefault="00B17255" w:rsidP="00B17255">
            <w:pPr>
              <w:spacing w:line="360" w:lineRule="auto"/>
              <w:jc w:val="center"/>
              <w:rPr>
                <w:color w:val="000000"/>
                <w:sz w:val="24"/>
                <w:szCs w:val="24"/>
              </w:rPr>
            </w:pPr>
          </w:p>
        </w:tc>
        <w:tc>
          <w:tcPr>
            <w:tcW w:w="1900" w:type="dxa"/>
            <w:tcBorders>
              <w:top w:val="nil"/>
              <w:left w:val="nil"/>
              <w:bottom w:val="nil"/>
              <w:right w:val="nil"/>
            </w:tcBorders>
            <w:noWrap/>
            <w:vAlign w:val="bottom"/>
            <w:hideMark/>
          </w:tcPr>
          <w:p w14:paraId="79BB0C3D" w14:textId="77777777" w:rsidR="00B17255" w:rsidRPr="00B17255" w:rsidRDefault="00B17255" w:rsidP="00B17255">
            <w:pPr>
              <w:spacing w:line="360" w:lineRule="auto"/>
              <w:jc w:val="center"/>
              <w:rPr>
                <w:color w:val="000000"/>
                <w:sz w:val="24"/>
                <w:szCs w:val="24"/>
              </w:rPr>
            </w:pPr>
          </w:p>
        </w:tc>
        <w:tc>
          <w:tcPr>
            <w:tcW w:w="1900" w:type="dxa"/>
            <w:tcBorders>
              <w:top w:val="nil"/>
              <w:left w:val="nil"/>
              <w:bottom w:val="nil"/>
              <w:right w:val="nil"/>
            </w:tcBorders>
            <w:noWrap/>
            <w:vAlign w:val="bottom"/>
            <w:hideMark/>
          </w:tcPr>
          <w:p w14:paraId="17D16970" w14:textId="77777777" w:rsidR="00B17255" w:rsidRPr="00B17255" w:rsidRDefault="00B17255" w:rsidP="00B17255">
            <w:pPr>
              <w:spacing w:line="360" w:lineRule="auto"/>
              <w:jc w:val="center"/>
              <w:rPr>
                <w:color w:val="000000"/>
                <w:sz w:val="24"/>
                <w:szCs w:val="24"/>
              </w:rPr>
            </w:pPr>
          </w:p>
        </w:tc>
      </w:tr>
      <w:tr w:rsidR="00B17255" w:rsidRPr="00B17255" w14:paraId="1BC41EDD" w14:textId="77777777" w:rsidTr="00B17255">
        <w:trPr>
          <w:trHeight w:val="300"/>
        </w:trPr>
        <w:tc>
          <w:tcPr>
            <w:tcW w:w="2520" w:type="dxa"/>
            <w:tcBorders>
              <w:top w:val="nil"/>
              <w:left w:val="nil"/>
              <w:bottom w:val="nil"/>
              <w:right w:val="nil"/>
            </w:tcBorders>
            <w:noWrap/>
            <w:vAlign w:val="bottom"/>
            <w:hideMark/>
          </w:tcPr>
          <w:p w14:paraId="7B524C38" w14:textId="77777777" w:rsidR="00B17255" w:rsidRPr="00B17255" w:rsidRDefault="00B17255" w:rsidP="00B17255">
            <w:pPr>
              <w:spacing w:line="360" w:lineRule="auto"/>
              <w:jc w:val="center"/>
              <w:rPr>
                <w:color w:val="000000"/>
                <w:sz w:val="24"/>
                <w:szCs w:val="24"/>
              </w:rPr>
            </w:pPr>
          </w:p>
        </w:tc>
        <w:tc>
          <w:tcPr>
            <w:tcW w:w="2100" w:type="dxa"/>
            <w:tcBorders>
              <w:top w:val="nil"/>
              <w:left w:val="nil"/>
              <w:bottom w:val="nil"/>
              <w:right w:val="nil"/>
            </w:tcBorders>
            <w:noWrap/>
            <w:vAlign w:val="bottom"/>
            <w:hideMark/>
          </w:tcPr>
          <w:p w14:paraId="1F42F143" w14:textId="77777777" w:rsidR="00B17255" w:rsidRPr="00B17255" w:rsidRDefault="00B17255" w:rsidP="00B17255">
            <w:pPr>
              <w:spacing w:line="360" w:lineRule="auto"/>
              <w:jc w:val="center"/>
              <w:rPr>
                <w:color w:val="000000"/>
                <w:sz w:val="24"/>
                <w:szCs w:val="24"/>
              </w:rPr>
            </w:pPr>
          </w:p>
        </w:tc>
        <w:tc>
          <w:tcPr>
            <w:tcW w:w="1900" w:type="dxa"/>
            <w:tcBorders>
              <w:top w:val="nil"/>
              <w:left w:val="nil"/>
              <w:bottom w:val="nil"/>
              <w:right w:val="nil"/>
            </w:tcBorders>
            <w:noWrap/>
            <w:vAlign w:val="bottom"/>
            <w:hideMark/>
          </w:tcPr>
          <w:p w14:paraId="662E66FD" w14:textId="77777777" w:rsidR="00B17255" w:rsidRPr="00B17255" w:rsidRDefault="00B17255" w:rsidP="00B17255">
            <w:pPr>
              <w:spacing w:line="360" w:lineRule="auto"/>
              <w:jc w:val="center"/>
              <w:rPr>
                <w:color w:val="000000"/>
                <w:sz w:val="24"/>
                <w:szCs w:val="24"/>
              </w:rPr>
            </w:pPr>
          </w:p>
        </w:tc>
        <w:tc>
          <w:tcPr>
            <w:tcW w:w="1900" w:type="dxa"/>
            <w:tcBorders>
              <w:top w:val="nil"/>
              <w:left w:val="nil"/>
              <w:bottom w:val="nil"/>
              <w:right w:val="nil"/>
            </w:tcBorders>
            <w:noWrap/>
            <w:vAlign w:val="bottom"/>
            <w:hideMark/>
          </w:tcPr>
          <w:p w14:paraId="1D31D4F9" w14:textId="77777777" w:rsidR="00B17255" w:rsidRPr="00B17255" w:rsidRDefault="00B17255" w:rsidP="00B17255">
            <w:pPr>
              <w:spacing w:line="360" w:lineRule="auto"/>
              <w:jc w:val="center"/>
              <w:rPr>
                <w:color w:val="000000"/>
                <w:sz w:val="24"/>
                <w:szCs w:val="24"/>
              </w:rPr>
            </w:pPr>
          </w:p>
        </w:tc>
      </w:tr>
      <w:tr w:rsidR="00B17255" w:rsidRPr="00B17255" w14:paraId="2558CAA4" w14:textId="77777777" w:rsidTr="00B17255">
        <w:trPr>
          <w:trHeight w:val="600"/>
        </w:trPr>
        <w:tc>
          <w:tcPr>
            <w:tcW w:w="2520" w:type="dxa"/>
            <w:tcBorders>
              <w:top w:val="single" w:sz="4" w:space="0" w:color="auto"/>
              <w:left w:val="single" w:sz="4" w:space="0" w:color="auto"/>
              <w:bottom w:val="single" w:sz="4" w:space="0" w:color="auto"/>
              <w:right w:val="single" w:sz="4" w:space="0" w:color="auto"/>
            </w:tcBorders>
            <w:vAlign w:val="center"/>
            <w:hideMark/>
          </w:tcPr>
          <w:p w14:paraId="4DE0C5EC" w14:textId="77777777" w:rsidR="00B17255" w:rsidRPr="00B17255" w:rsidRDefault="00B17255" w:rsidP="00B17255">
            <w:pPr>
              <w:spacing w:line="360" w:lineRule="auto"/>
              <w:jc w:val="center"/>
              <w:rPr>
                <w:b/>
                <w:bCs/>
                <w:sz w:val="24"/>
                <w:szCs w:val="24"/>
              </w:rPr>
            </w:pPr>
            <w:r w:rsidRPr="00B17255">
              <w:rPr>
                <w:b/>
                <w:bCs/>
                <w:sz w:val="24"/>
                <w:szCs w:val="24"/>
              </w:rPr>
              <w:t>Two-Project Combination</w:t>
            </w:r>
          </w:p>
        </w:tc>
        <w:tc>
          <w:tcPr>
            <w:tcW w:w="2100" w:type="dxa"/>
            <w:tcBorders>
              <w:top w:val="single" w:sz="4" w:space="0" w:color="auto"/>
              <w:left w:val="nil"/>
              <w:bottom w:val="single" w:sz="4" w:space="0" w:color="auto"/>
              <w:right w:val="single" w:sz="4" w:space="0" w:color="auto"/>
            </w:tcBorders>
            <w:vAlign w:val="center"/>
            <w:hideMark/>
          </w:tcPr>
          <w:p w14:paraId="4315CD12" w14:textId="77777777" w:rsidR="00B17255" w:rsidRPr="00B17255" w:rsidRDefault="00B17255" w:rsidP="00B17255">
            <w:pPr>
              <w:spacing w:line="360" w:lineRule="auto"/>
              <w:jc w:val="center"/>
              <w:rPr>
                <w:b/>
                <w:bCs/>
                <w:sz w:val="24"/>
                <w:szCs w:val="24"/>
              </w:rPr>
            </w:pPr>
            <w:r w:rsidRPr="00B17255">
              <w:rPr>
                <w:b/>
                <w:bCs/>
                <w:sz w:val="24"/>
                <w:szCs w:val="24"/>
              </w:rPr>
              <w:t>Combined Investment (£m)</w:t>
            </w:r>
          </w:p>
        </w:tc>
        <w:tc>
          <w:tcPr>
            <w:tcW w:w="1900" w:type="dxa"/>
            <w:tcBorders>
              <w:top w:val="single" w:sz="4" w:space="0" w:color="auto"/>
              <w:left w:val="nil"/>
              <w:bottom w:val="single" w:sz="4" w:space="0" w:color="auto"/>
              <w:right w:val="single" w:sz="4" w:space="0" w:color="auto"/>
            </w:tcBorders>
            <w:vAlign w:val="center"/>
            <w:hideMark/>
          </w:tcPr>
          <w:p w14:paraId="3668F951" w14:textId="77777777" w:rsidR="00B17255" w:rsidRPr="00B17255" w:rsidRDefault="00B17255" w:rsidP="00B17255">
            <w:pPr>
              <w:spacing w:line="360" w:lineRule="auto"/>
              <w:jc w:val="center"/>
              <w:rPr>
                <w:b/>
                <w:bCs/>
                <w:sz w:val="24"/>
                <w:szCs w:val="24"/>
              </w:rPr>
            </w:pPr>
            <w:r w:rsidRPr="00B17255">
              <w:rPr>
                <w:b/>
                <w:bCs/>
                <w:sz w:val="24"/>
                <w:szCs w:val="24"/>
              </w:rPr>
              <w:t>Combined NPV (£m)</w:t>
            </w:r>
          </w:p>
        </w:tc>
        <w:tc>
          <w:tcPr>
            <w:tcW w:w="1900" w:type="dxa"/>
            <w:tcBorders>
              <w:top w:val="single" w:sz="4" w:space="0" w:color="auto"/>
              <w:left w:val="nil"/>
              <w:bottom w:val="single" w:sz="4" w:space="0" w:color="auto"/>
              <w:right w:val="single" w:sz="4" w:space="0" w:color="auto"/>
            </w:tcBorders>
            <w:vAlign w:val="center"/>
            <w:hideMark/>
          </w:tcPr>
          <w:p w14:paraId="743160BB" w14:textId="77777777" w:rsidR="00B17255" w:rsidRPr="00B17255" w:rsidRDefault="00B17255" w:rsidP="00B17255">
            <w:pPr>
              <w:spacing w:line="360" w:lineRule="auto"/>
              <w:jc w:val="center"/>
              <w:rPr>
                <w:b/>
                <w:bCs/>
                <w:sz w:val="24"/>
                <w:szCs w:val="24"/>
              </w:rPr>
            </w:pPr>
            <w:r w:rsidRPr="00B17255">
              <w:rPr>
                <w:b/>
                <w:bCs/>
                <w:sz w:val="24"/>
                <w:szCs w:val="24"/>
              </w:rPr>
              <w:t>Within £100m Budget?</w:t>
            </w:r>
          </w:p>
        </w:tc>
      </w:tr>
      <w:tr w:rsidR="00B17255" w:rsidRPr="00B17255" w14:paraId="3DDACCBE"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5A62ADD9" w14:textId="77777777" w:rsidR="00B17255" w:rsidRPr="00B17255" w:rsidRDefault="00B17255" w:rsidP="00B17255">
            <w:pPr>
              <w:spacing w:line="360" w:lineRule="auto"/>
              <w:jc w:val="center"/>
              <w:rPr>
                <w:sz w:val="24"/>
                <w:szCs w:val="24"/>
              </w:rPr>
            </w:pPr>
            <w:r w:rsidRPr="00B17255">
              <w:rPr>
                <w:sz w:val="24"/>
                <w:szCs w:val="24"/>
              </w:rPr>
              <w:t>A + B</w:t>
            </w:r>
          </w:p>
        </w:tc>
        <w:tc>
          <w:tcPr>
            <w:tcW w:w="2100" w:type="dxa"/>
            <w:tcBorders>
              <w:top w:val="nil"/>
              <w:left w:val="nil"/>
              <w:bottom w:val="single" w:sz="4" w:space="0" w:color="auto"/>
              <w:right w:val="single" w:sz="4" w:space="0" w:color="auto"/>
            </w:tcBorders>
            <w:noWrap/>
            <w:vAlign w:val="center"/>
            <w:hideMark/>
          </w:tcPr>
          <w:p w14:paraId="16B4477C" w14:textId="77777777" w:rsidR="00B17255" w:rsidRPr="00B17255" w:rsidRDefault="00B17255" w:rsidP="00B17255">
            <w:pPr>
              <w:spacing w:line="360" w:lineRule="auto"/>
              <w:jc w:val="center"/>
              <w:rPr>
                <w:sz w:val="24"/>
                <w:szCs w:val="24"/>
              </w:rPr>
            </w:pPr>
            <w:r w:rsidRPr="00B17255">
              <w:rPr>
                <w:sz w:val="24"/>
                <w:szCs w:val="24"/>
              </w:rPr>
              <w:t>100</w:t>
            </w:r>
          </w:p>
        </w:tc>
        <w:tc>
          <w:tcPr>
            <w:tcW w:w="1900" w:type="dxa"/>
            <w:tcBorders>
              <w:top w:val="nil"/>
              <w:left w:val="nil"/>
              <w:bottom w:val="single" w:sz="4" w:space="0" w:color="auto"/>
              <w:right w:val="single" w:sz="4" w:space="0" w:color="auto"/>
            </w:tcBorders>
            <w:noWrap/>
            <w:vAlign w:val="center"/>
            <w:hideMark/>
          </w:tcPr>
          <w:p w14:paraId="1D2717DF" w14:textId="77777777" w:rsidR="00B17255" w:rsidRPr="00B17255" w:rsidRDefault="00B17255" w:rsidP="00B17255">
            <w:pPr>
              <w:spacing w:line="360" w:lineRule="auto"/>
              <w:jc w:val="center"/>
              <w:rPr>
                <w:sz w:val="24"/>
                <w:szCs w:val="24"/>
              </w:rPr>
            </w:pPr>
            <w:r w:rsidRPr="00B17255">
              <w:rPr>
                <w:sz w:val="24"/>
                <w:szCs w:val="24"/>
              </w:rPr>
              <w:t>-12.62</w:t>
            </w:r>
          </w:p>
        </w:tc>
        <w:tc>
          <w:tcPr>
            <w:tcW w:w="1900" w:type="dxa"/>
            <w:tcBorders>
              <w:top w:val="nil"/>
              <w:left w:val="nil"/>
              <w:bottom w:val="single" w:sz="4" w:space="0" w:color="auto"/>
              <w:right w:val="single" w:sz="4" w:space="0" w:color="auto"/>
            </w:tcBorders>
            <w:noWrap/>
            <w:vAlign w:val="center"/>
            <w:hideMark/>
          </w:tcPr>
          <w:p w14:paraId="7FCB85D9" w14:textId="77777777" w:rsidR="00B17255" w:rsidRPr="00B17255" w:rsidRDefault="00B17255" w:rsidP="00B17255">
            <w:pPr>
              <w:spacing w:line="360" w:lineRule="auto"/>
              <w:jc w:val="center"/>
              <w:rPr>
                <w:sz w:val="24"/>
                <w:szCs w:val="24"/>
              </w:rPr>
            </w:pPr>
            <w:r w:rsidRPr="00B17255">
              <w:rPr>
                <w:sz w:val="24"/>
                <w:szCs w:val="24"/>
              </w:rPr>
              <w:t>Yes</w:t>
            </w:r>
          </w:p>
        </w:tc>
      </w:tr>
      <w:tr w:rsidR="00B17255" w:rsidRPr="00B17255" w14:paraId="0E59264F"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0DED790E" w14:textId="77777777" w:rsidR="00B17255" w:rsidRPr="00B17255" w:rsidRDefault="00B17255" w:rsidP="00B17255">
            <w:pPr>
              <w:spacing w:line="360" w:lineRule="auto"/>
              <w:jc w:val="center"/>
              <w:rPr>
                <w:sz w:val="24"/>
                <w:szCs w:val="24"/>
              </w:rPr>
            </w:pPr>
            <w:r w:rsidRPr="00B17255">
              <w:rPr>
                <w:sz w:val="24"/>
                <w:szCs w:val="24"/>
              </w:rPr>
              <w:t>A + C</w:t>
            </w:r>
          </w:p>
        </w:tc>
        <w:tc>
          <w:tcPr>
            <w:tcW w:w="2100" w:type="dxa"/>
            <w:tcBorders>
              <w:top w:val="nil"/>
              <w:left w:val="nil"/>
              <w:bottom w:val="single" w:sz="4" w:space="0" w:color="auto"/>
              <w:right w:val="single" w:sz="4" w:space="0" w:color="auto"/>
            </w:tcBorders>
            <w:noWrap/>
            <w:vAlign w:val="center"/>
            <w:hideMark/>
          </w:tcPr>
          <w:p w14:paraId="6A49D45E" w14:textId="77777777" w:rsidR="00B17255" w:rsidRPr="00B17255" w:rsidRDefault="00B17255" w:rsidP="00B17255">
            <w:pPr>
              <w:spacing w:line="360" w:lineRule="auto"/>
              <w:jc w:val="center"/>
              <w:rPr>
                <w:sz w:val="24"/>
                <w:szCs w:val="24"/>
              </w:rPr>
            </w:pPr>
            <w:r w:rsidRPr="00B17255">
              <w:rPr>
                <w:sz w:val="24"/>
                <w:szCs w:val="24"/>
              </w:rPr>
              <w:t>100</w:t>
            </w:r>
          </w:p>
        </w:tc>
        <w:tc>
          <w:tcPr>
            <w:tcW w:w="1900" w:type="dxa"/>
            <w:tcBorders>
              <w:top w:val="nil"/>
              <w:left w:val="nil"/>
              <w:bottom w:val="single" w:sz="4" w:space="0" w:color="auto"/>
              <w:right w:val="single" w:sz="4" w:space="0" w:color="auto"/>
            </w:tcBorders>
            <w:noWrap/>
            <w:vAlign w:val="center"/>
            <w:hideMark/>
          </w:tcPr>
          <w:p w14:paraId="2D650286" w14:textId="77777777" w:rsidR="00B17255" w:rsidRPr="00B17255" w:rsidRDefault="00B17255" w:rsidP="00B17255">
            <w:pPr>
              <w:spacing w:line="360" w:lineRule="auto"/>
              <w:jc w:val="center"/>
              <w:rPr>
                <w:sz w:val="24"/>
                <w:szCs w:val="24"/>
              </w:rPr>
            </w:pPr>
            <w:r w:rsidRPr="00B17255">
              <w:rPr>
                <w:sz w:val="24"/>
                <w:szCs w:val="24"/>
              </w:rPr>
              <w:t>-5.69</w:t>
            </w:r>
          </w:p>
        </w:tc>
        <w:tc>
          <w:tcPr>
            <w:tcW w:w="1900" w:type="dxa"/>
            <w:tcBorders>
              <w:top w:val="nil"/>
              <w:left w:val="nil"/>
              <w:bottom w:val="single" w:sz="4" w:space="0" w:color="auto"/>
              <w:right w:val="single" w:sz="4" w:space="0" w:color="auto"/>
            </w:tcBorders>
            <w:noWrap/>
            <w:vAlign w:val="center"/>
            <w:hideMark/>
          </w:tcPr>
          <w:p w14:paraId="171EA97F" w14:textId="77777777" w:rsidR="00B17255" w:rsidRPr="00B17255" w:rsidRDefault="00B17255" w:rsidP="00B17255">
            <w:pPr>
              <w:spacing w:line="360" w:lineRule="auto"/>
              <w:jc w:val="center"/>
              <w:rPr>
                <w:sz w:val="24"/>
                <w:szCs w:val="24"/>
              </w:rPr>
            </w:pPr>
            <w:r w:rsidRPr="00B17255">
              <w:rPr>
                <w:sz w:val="24"/>
                <w:szCs w:val="24"/>
              </w:rPr>
              <w:t>Yes</w:t>
            </w:r>
          </w:p>
        </w:tc>
      </w:tr>
      <w:tr w:rsidR="00B17255" w:rsidRPr="00B17255" w14:paraId="1FE44F52" w14:textId="77777777" w:rsidTr="00B17255">
        <w:trPr>
          <w:trHeight w:val="300"/>
        </w:trPr>
        <w:tc>
          <w:tcPr>
            <w:tcW w:w="2520" w:type="dxa"/>
            <w:tcBorders>
              <w:top w:val="nil"/>
              <w:left w:val="single" w:sz="4" w:space="0" w:color="auto"/>
              <w:bottom w:val="single" w:sz="4" w:space="0" w:color="auto"/>
              <w:right w:val="single" w:sz="4" w:space="0" w:color="auto"/>
            </w:tcBorders>
            <w:noWrap/>
            <w:vAlign w:val="center"/>
            <w:hideMark/>
          </w:tcPr>
          <w:p w14:paraId="0D1F6EE2" w14:textId="77777777" w:rsidR="00B17255" w:rsidRPr="00B17255" w:rsidRDefault="00B17255" w:rsidP="00B17255">
            <w:pPr>
              <w:spacing w:line="360" w:lineRule="auto"/>
              <w:jc w:val="center"/>
              <w:rPr>
                <w:sz w:val="24"/>
                <w:szCs w:val="24"/>
              </w:rPr>
            </w:pPr>
            <w:r w:rsidRPr="00B17255">
              <w:rPr>
                <w:sz w:val="24"/>
                <w:szCs w:val="24"/>
              </w:rPr>
              <w:t>B + C</w:t>
            </w:r>
          </w:p>
        </w:tc>
        <w:tc>
          <w:tcPr>
            <w:tcW w:w="2100" w:type="dxa"/>
            <w:tcBorders>
              <w:top w:val="nil"/>
              <w:left w:val="nil"/>
              <w:bottom w:val="single" w:sz="4" w:space="0" w:color="auto"/>
              <w:right w:val="single" w:sz="4" w:space="0" w:color="auto"/>
            </w:tcBorders>
            <w:noWrap/>
            <w:vAlign w:val="center"/>
            <w:hideMark/>
          </w:tcPr>
          <w:p w14:paraId="09ED80D6" w14:textId="77777777" w:rsidR="00B17255" w:rsidRPr="00B17255" w:rsidRDefault="00B17255" w:rsidP="00B17255">
            <w:pPr>
              <w:spacing w:line="360" w:lineRule="auto"/>
              <w:jc w:val="center"/>
              <w:rPr>
                <w:sz w:val="24"/>
                <w:szCs w:val="24"/>
              </w:rPr>
            </w:pPr>
            <w:r w:rsidRPr="00B17255">
              <w:rPr>
                <w:sz w:val="24"/>
                <w:szCs w:val="24"/>
              </w:rPr>
              <w:t>100</w:t>
            </w:r>
          </w:p>
        </w:tc>
        <w:tc>
          <w:tcPr>
            <w:tcW w:w="1900" w:type="dxa"/>
            <w:tcBorders>
              <w:top w:val="nil"/>
              <w:left w:val="nil"/>
              <w:bottom w:val="single" w:sz="4" w:space="0" w:color="auto"/>
              <w:right w:val="single" w:sz="4" w:space="0" w:color="auto"/>
            </w:tcBorders>
            <w:noWrap/>
            <w:vAlign w:val="center"/>
            <w:hideMark/>
          </w:tcPr>
          <w:p w14:paraId="77745613" w14:textId="77777777" w:rsidR="00B17255" w:rsidRPr="00B17255" w:rsidRDefault="00B17255" w:rsidP="00B17255">
            <w:pPr>
              <w:spacing w:line="360" w:lineRule="auto"/>
              <w:jc w:val="center"/>
              <w:rPr>
                <w:sz w:val="24"/>
                <w:szCs w:val="24"/>
              </w:rPr>
            </w:pPr>
            <w:r w:rsidRPr="00B17255">
              <w:rPr>
                <w:sz w:val="24"/>
                <w:szCs w:val="24"/>
              </w:rPr>
              <w:t>-5.22</w:t>
            </w:r>
          </w:p>
        </w:tc>
        <w:tc>
          <w:tcPr>
            <w:tcW w:w="1900" w:type="dxa"/>
            <w:tcBorders>
              <w:top w:val="nil"/>
              <w:left w:val="nil"/>
              <w:bottom w:val="single" w:sz="4" w:space="0" w:color="auto"/>
              <w:right w:val="single" w:sz="4" w:space="0" w:color="auto"/>
            </w:tcBorders>
            <w:noWrap/>
            <w:vAlign w:val="center"/>
            <w:hideMark/>
          </w:tcPr>
          <w:p w14:paraId="451709EB" w14:textId="77777777" w:rsidR="00B17255" w:rsidRPr="00B17255" w:rsidRDefault="00B17255" w:rsidP="00B17255">
            <w:pPr>
              <w:spacing w:line="360" w:lineRule="auto"/>
              <w:jc w:val="center"/>
              <w:rPr>
                <w:sz w:val="24"/>
                <w:szCs w:val="24"/>
              </w:rPr>
            </w:pPr>
            <w:r w:rsidRPr="00B17255">
              <w:rPr>
                <w:sz w:val="24"/>
                <w:szCs w:val="24"/>
              </w:rPr>
              <w:t>Yes</w:t>
            </w:r>
          </w:p>
        </w:tc>
      </w:tr>
    </w:tbl>
    <w:p w14:paraId="14C3B331" w14:textId="77777777" w:rsidR="00B17255" w:rsidRPr="0001001E" w:rsidRDefault="00B17255" w:rsidP="006911CE">
      <w:pPr>
        <w:pStyle w:val="NormalWeb"/>
        <w:spacing w:line="360" w:lineRule="auto"/>
        <w:jc w:val="both"/>
      </w:pPr>
    </w:p>
    <w:p w14:paraId="32BE0D55" w14:textId="77777777" w:rsidR="00B569EF" w:rsidRPr="00733834" w:rsidRDefault="00B569EF" w:rsidP="00D575BB">
      <w:pPr>
        <w:spacing w:before="240" w:after="80" w:line="360" w:lineRule="auto"/>
        <w:jc w:val="both"/>
        <w:rPr>
          <w:sz w:val="24"/>
          <w:szCs w:val="24"/>
        </w:rPr>
      </w:pPr>
    </w:p>
    <w:p w14:paraId="40124800" w14:textId="77777777" w:rsidR="005C7E84" w:rsidRPr="00733834" w:rsidRDefault="005C7E84" w:rsidP="00D575BB">
      <w:pPr>
        <w:spacing w:before="240" w:line="360" w:lineRule="auto"/>
        <w:jc w:val="both"/>
        <w:rPr>
          <w:sz w:val="24"/>
          <w:szCs w:val="24"/>
        </w:rPr>
      </w:pPr>
    </w:p>
    <w:sectPr w:rsidR="005C7E84" w:rsidRPr="00733834">
      <w:footerReference w:type="default" r:id="rId35"/>
      <w:pgSz w:w="12240" w:h="15840"/>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78113" w14:textId="77777777" w:rsidR="00AC6F8F" w:rsidRDefault="00AC6F8F" w:rsidP="00C07CC3">
      <w:r>
        <w:separator/>
      </w:r>
    </w:p>
  </w:endnote>
  <w:endnote w:type="continuationSeparator" w:id="0">
    <w:p w14:paraId="02490F07" w14:textId="77777777" w:rsidR="00AC6F8F" w:rsidRDefault="00AC6F8F" w:rsidP="00C07C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8379366"/>
      <w:docPartObj>
        <w:docPartGallery w:val="Page Numbers (Bottom of Page)"/>
        <w:docPartUnique/>
      </w:docPartObj>
    </w:sdtPr>
    <w:sdtEndPr>
      <w:rPr>
        <w:noProof/>
      </w:rPr>
    </w:sdtEndPr>
    <w:sdtContent>
      <w:p w14:paraId="1D68D5AD" w14:textId="77777777" w:rsidR="00C07CC3" w:rsidRDefault="00C07CC3">
        <w:pPr>
          <w:pStyle w:val="Footer"/>
          <w:jc w:val="right"/>
        </w:pPr>
        <w:r>
          <w:fldChar w:fldCharType="begin"/>
        </w:r>
        <w:r>
          <w:instrText xml:space="preserve"> PAGE   \* MERGEFORMAT </w:instrText>
        </w:r>
        <w:r>
          <w:fldChar w:fldCharType="separate"/>
        </w:r>
        <w:r w:rsidR="001E07CB">
          <w:rPr>
            <w:noProof/>
          </w:rPr>
          <w:t>2</w:t>
        </w:r>
        <w:r>
          <w:rPr>
            <w:noProof/>
          </w:rPr>
          <w:fldChar w:fldCharType="end"/>
        </w:r>
      </w:p>
    </w:sdtContent>
  </w:sdt>
  <w:p w14:paraId="59DA0944" w14:textId="77777777" w:rsidR="00C07CC3" w:rsidRDefault="00C07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B7802" w14:textId="77777777" w:rsidR="00AC6F8F" w:rsidRDefault="00AC6F8F" w:rsidP="00C07CC3">
      <w:r>
        <w:separator/>
      </w:r>
    </w:p>
  </w:footnote>
  <w:footnote w:type="continuationSeparator" w:id="0">
    <w:p w14:paraId="401BC0E8" w14:textId="77777777" w:rsidR="00AC6F8F" w:rsidRDefault="00AC6F8F" w:rsidP="00C07C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30E2"/>
    <w:multiLevelType w:val="multilevel"/>
    <w:tmpl w:val="FC0878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864D1"/>
    <w:multiLevelType w:val="multilevel"/>
    <w:tmpl w:val="097A12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2325D1"/>
    <w:multiLevelType w:val="multilevel"/>
    <w:tmpl w:val="0C880440"/>
    <w:lvl w:ilvl="0">
      <w:start w:val="2"/>
      <w:numFmt w:val="decimal"/>
      <w:lvlText w:val="%1"/>
      <w:lvlJc w:val="left"/>
      <w:pPr>
        <w:ind w:left="360" w:hanging="360"/>
      </w:pPr>
      <w:rPr>
        <w:rFonts w:eastAsia="Calibri" w:hint="default"/>
        <w:b/>
      </w:rPr>
    </w:lvl>
    <w:lvl w:ilvl="1">
      <w:start w:val="9"/>
      <w:numFmt w:val="decimal"/>
      <w:lvlText w:val="%1.%2"/>
      <w:lvlJc w:val="left"/>
      <w:pPr>
        <w:ind w:left="360" w:hanging="360"/>
      </w:pPr>
      <w:rPr>
        <w:rFonts w:eastAsia="Calibri" w:hint="default"/>
        <w:b/>
      </w:rPr>
    </w:lvl>
    <w:lvl w:ilvl="2">
      <w:start w:val="1"/>
      <w:numFmt w:val="decimal"/>
      <w:lvlText w:val="%1.%2.%3"/>
      <w:lvlJc w:val="left"/>
      <w:pPr>
        <w:ind w:left="720" w:hanging="720"/>
      </w:pPr>
      <w:rPr>
        <w:rFonts w:eastAsia="Calibri" w:hint="default"/>
        <w:b/>
      </w:rPr>
    </w:lvl>
    <w:lvl w:ilvl="3">
      <w:start w:val="1"/>
      <w:numFmt w:val="decimal"/>
      <w:lvlText w:val="%1.%2.%3.%4"/>
      <w:lvlJc w:val="left"/>
      <w:pPr>
        <w:ind w:left="720" w:hanging="720"/>
      </w:pPr>
      <w:rPr>
        <w:rFonts w:eastAsia="Calibri" w:hint="default"/>
        <w:b/>
      </w:rPr>
    </w:lvl>
    <w:lvl w:ilvl="4">
      <w:start w:val="1"/>
      <w:numFmt w:val="decimal"/>
      <w:lvlText w:val="%1.%2.%3.%4.%5"/>
      <w:lvlJc w:val="left"/>
      <w:pPr>
        <w:ind w:left="1080" w:hanging="1080"/>
      </w:pPr>
      <w:rPr>
        <w:rFonts w:eastAsia="Calibri" w:hint="default"/>
        <w:b/>
      </w:rPr>
    </w:lvl>
    <w:lvl w:ilvl="5">
      <w:start w:val="1"/>
      <w:numFmt w:val="decimal"/>
      <w:lvlText w:val="%1.%2.%3.%4.%5.%6"/>
      <w:lvlJc w:val="left"/>
      <w:pPr>
        <w:ind w:left="1080" w:hanging="1080"/>
      </w:pPr>
      <w:rPr>
        <w:rFonts w:eastAsia="Calibri" w:hint="default"/>
        <w:b/>
      </w:rPr>
    </w:lvl>
    <w:lvl w:ilvl="6">
      <w:start w:val="1"/>
      <w:numFmt w:val="decimal"/>
      <w:lvlText w:val="%1.%2.%3.%4.%5.%6.%7"/>
      <w:lvlJc w:val="left"/>
      <w:pPr>
        <w:ind w:left="1440" w:hanging="1440"/>
      </w:pPr>
      <w:rPr>
        <w:rFonts w:eastAsia="Calibri" w:hint="default"/>
        <w:b/>
      </w:rPr>
    </w:lvl>
    <w:lvl w:ilvl="7">
      <w:start w:val="1"/>
      <w:numFmt w:val="decimal"/>
      <w:lvlText w:val="%1.%2.%3.%4.%5.%6.%7.%8"/>
      <w:lvlJc w:val="left"/>
      <w:pPr>
        <w:ind w:left="1440" w:hanging="1440"/>
      </w:pPr>
      <w:rPr>
        <w:rFonts w:eastAsia="Calibri" w:hint="default"/>
        <w:b/>
      </w:rPr>
    </w:lvl>
    <w:lvl w:ilvl="8">
      <w:start w:val="1"/>
      <w:numFmt w:val="decimal"/>
      <w:lvlText w:val="%1.%2.%3.%4.%5.%6.%7.%8.%9"/>
      <w:lvlJc w:val="left"/>
      <w:pPr>
        <w:ind w:left="1800" w:hanging="1800"/>
      </w:pPr>
      <w:rPr>
        <w:rFonts w:eastAsia="Calibri" w:hint="default"/>
        <w:b/>
      </w:rPr>
    </w:lvl>
  </w:abstractNum>
  <w:abstractNum w:abstractNumId="3" w15:restartNumberingAfterBreak="0">
    <w:nsid w:val="3E864D07"/>
    <w:multiLevelType w:val="multilevel"/>
    <w:tmpl w:val="8432F6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0C596B"/>
    <w:multiLevelType w:val="hybridMultilevel"/>
    <w:tmpl w:val="48569874"/>
    <w:lvl w:ilvl="0" w:tplc="0C66E790">
      <w:start w:val="1"/>
      <w:numFmt w:val="bullet"/>
      <w:lvlText w:val="●"/>
      <w:lvlJc w:val="left"/>
      <w:pPr>
        <w:ind w:left="720" w:hanging="360"/>
      </w:pPr>
    </w:lvl>
    <w:lvl w:ilvl="1" w:tplc="2BEC5E48">
      <w:start w:val="1"/>
      <w:numFmt w:val="bullet"/>
      <w:lvlText w:val="○"/>
      <w:lvlJc w:val="left"/>
      <w:pPr>
        <w:ind w:left="1440" w:hanging="360"/>
      </w:pPr>
    </w:lvl>
    <w:lvl w:ilvl="2" w:tplc="7D86E4DC">
      <w:start w:val="1"/>
      <w:numFmt w:val="bullet"/>
      <w:lvlText w:val="■"/>
      <w:lvlJc w:val="left"/>
      <w:pPr>
        <w:ind w:left="2160" w:hanging="360"/>
      </w:pPr>
    </w:lvl>
    <w:lvl w:ilvl="3" w:tplc="4FF86BF0">
      <w:start w:val="1"/>
      <w:numFmt w:val="bullet"/>
      <w:lvlText w:val="●"/>
      <w:lvlJc w:val="left"/>
      <w:pPr>
        <w:ind w:left="2880" w:hanging="360"/>
      </w:pPr>
    </w:lvl>
    <w:lvl w:ilvl="4" w:tplc="57F267E0">
      <w:start w:val="1"/>
      <w:numFmt w:val="bullet"/>
      <w:lvlText w:val="○"/>
      <w:lvlJc w:val="left"/>
      <w:pPr>
        <w:ind w:left="3600" w:hanging="360"/>
      </w:pPr>
    </w:lvl>
    <w:lvl w:ilvl="5" w:tplc="5F5E2B0C">
      <w:start w:val="1"/>
      <w:numFmt w:val="bullet"/>
      <w:lvlText w:val="■"/>
      <w:lvlJc w:val="left"/>
      <w:pPr>
        <w:ind w:left="4320" w:hanging="360"/>
      </w:pPr>
    </w:lvl>
    <w:lvl w:ilvl="6" w:tplc="F620D3D0">
      <w:start w:val="1"/>
      <w:numFmt w:val="bullet"/>
      <w:lvlText w:val="●"/>
      <w:lvlJc w:val="left"/>
      <w:pPr>
        <w:ind w:left="5040" w:hanging="360"/>
      </w:pPr>
    </w:lvl>
    <w:lvl w:ilvl="7" w:tplc="69B83056">
      <w:start w:val="1"/>
      <w:numFmt w:val="bullet"/>
      <w:lvlText w:val="●"/>
      <w:lvlJc w:val="left"/>
      <w:pPr>
        <w:ind w:left="5760" w:hanging="360"/>
      </w:pPr>
    </w:lvl>
    <w:lvl w:ilvl="8" w:tplc="B5CCE788">
      <w:start w:val="1"/>
      <w:numFmt w:val="bullet"/>
      <w:lvlText w:val="●"/>
      <w:lvlJc w:val="left"/>
      <w:pPr>
        <w:ind w:left="6480" w:hanging="360"/>
      </w:pPr>
    </w:lvl>
  </w:abstractNum>
  <w:abstractNum w:abstractNumId="5" w15:restartNumberingAfterBreak="0">
    <w:nsid w:val="4D393C57"/>
    <w:multiLevelType w:val="multilevel"/>
    <w:tmpl w:val="140674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EA3DA6"/>
    <w:multiLevelType w:val="multilevel"/>
    <w:tmpl w:val="A808C28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21719F"/>
    <w:multiLevelType w:val="multilevel"/>
    <w:tmpl w:val="786A17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2309562">
    <w:abstractNumId w:val="4"/>
    <w:lvlOverride w:ilvl="0">
      <w:startOverride w:val="1"/>
    </w:lvlOverride>
  </w:num>
  <w:num w:numId="2" w16cid:durableId="1604537089">
    <w:abstractNumId w:val="2"/>
  </w:num>
  <w:num w:numId="3" w16cid:durableId="1293754487">
    <w:abstractNumId w:val="1"/>
  </w:num>
  <w:num w:numId="4" w16cid:durableId="838737368">
    <w:abstractNumId w:val="3"/>
  </w:num>
  <w:num w:numId="5" w16cid:durableId="49154196">
    <w:abstractNumId w:val="6"/>
  </w:num>
  <w:num w:numId="6" w16cid:durableId="1234778751">
    <w:abstractNumId w:val="5"/>
  </w:num>
  <w:num w:numId="7" w16cid:durableId="1405100864">
    <w:abstractNumId w:val="7"/>
  </w:num>
  <w:num w:numId="8" w16cid:durableId="877009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E84"/>
    <w:rsid w:val="0001001E"/>
    <w:rsid w:val="000664BC"/>
    <w:rsid w:val="00071D74"/>
    <w:rsid w:val="000C496D"/>
    <w:rsid w:val="00147A83"/>
    <w:rsid w:val="00170F65"/>
    <w:rsid w:val="001953DE"/>
    <w:rsid w:val="001E07CB"/>
    <w:rsid w:val="002E54BA"/>
    <w:rsid w:val="003010B0"/>
    <w:rsid w:val="004352CD"/>
    <w:rsid w:val="00463A9F"/>
    <w:rsid w:val="0048315F"/>
    <w:rsid w:val="005C7E84"/>
    <w:rsid w:val="005D6463"/>
    <w:rsid w:val="006015B2"/>
    <w:rsid w:val="00621346"/>
    <w:rsid w:val="00647164"/>
    <w:rsid w:val="006911CE"/>
    <w:rsid w:val="006B7428"/>
    <w:rsid w:val="00733834"/>
    <w:rsid w:val="00782847"/>
    <w:rsid w:val="007918F4"/>
    <w:rsid w:val="007B70E3"/>
    <w:rsid w:val="008123FC"/>
    <w:rsid w:val="00847EF0"/>
    <w:rsid w:val="0089288E"/>
    <w:rsid w:val="008C5DB4"/>
    <w:rsid w:val="00901611"/>
    <w:rsid w:val="00934A61"/>
    <w:rsid w:val="00987BAC"/>
    <w:rsid w:val="00A60CC5"/>
    <w:rsid w:val="00AC6F8F"/>
    <w:rsid w:val="00B17255"/>
    <w:rsid w:val="00B21B68"/>
    <w:rsid w:val="00B569EF"/>
    <w:rsid w:val="00B8308D"/>
    <w:rsid w:val="00B93B0C"/>
    <w:rsid w:val="00BA3781"/>
    <w:rsid w:val="00BB4161"/>
    <w:rsid w:val="00C07CC3"/>
    <w:rsid w:val="00C116FD"/>
    <w:rsid w:val="00CF196E"/>
    <w:rsid w:val="00D36C16"/>
    <w:rsid w:val="00D575BB"/>
    <w:rsid w:val="00E1691C"/>
    <w:rsid w:val="00E34143"/>
    <w:rsid w:val="00EB15EB"/>
    <w:rsid w:val="00F921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F594"/>
  <w15:docId w15:val="{6A151CA9-AA98-4664-BA4A-759DB15FB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15F"/>
  </w:style>
  <w:style w:type="paragraph" w:styleId="Heading1">
    <w:name w:val="heading 1"/>
    <w:basedOn w:val="Normal"/>
    <w:qFormat/>
    <w:rsid w:val="007B70E3"/>
    <w:pPr>
      <w:spacing w:before="240" w:line="360" w:lineRule="auto"/>
      <w:jc w:val="both"/>
      <w:outlineLvl w:val="0"/>
    </w:pPr>
    <w:rPr>
      <w:b/>
      <w:sz w:val="28"/>
      <w:szCs w:val="24"/>
    </w:rPr>
  </w:style>
  <w:style w:type="paragraph" w:styleId="Heading2">
    <w:name w:val="heading 2"/>
    <w:qFormat/>
    <w:rsid w:val="007B70E3"/>
    <w:pPr>
      <w:spacing w:before="240" w:after="120" w:line="360" w:lineRule="auto"/>
      <w:jc w:val="both"/>
      <w:outlineLvl w:val="1"/>
    </w:pPr>
    <w:rPr>
      <w:rFonts w:eastAsia="Calibri"/>
      <w:b/>
      <w:bCs/>
      <w:color w:val="000000" w:themeColor="text1"/>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7918F4"/>
    <w:rPr>
      <w:b/>
      <w:bCs/>
    </w:rPr>
  </w:style>
  <w:style w:type="paragraph" w:styleId="NormalWeb">
    <w:name w:val="Normal (Web)"/>
    <w:basedOn w:val="Normal"/>
    <w:uiPriority w:val="99"/>
    <w:semiHidden/>
    <w:unhideWhenUsed/>
    <w:rsid w:val="007918F4"/>
    <w:pPr>
      <w:spacing w:before="100" w:beforeAutospacing="1" w:after="100" w:afterAutospacing="1"/>
    </w:pPr>
    <w:rPr>
      <w:sz w:val="24"/>
      <w:szCs w:val="24"/>
    </w:rPr>
  </w:style>
  <w:style w:type="paragraph" w:customStyle="1" w:styleId="font-claude-response-body">
    <w:name w:val="font-claude-response-body"/>
    <w:basedOn w:val="Normal"/>
    <w:rsid w:val="00D36C16"/>
    <w:pPr>
      <w:spacing w:before="100" w:beforeAutospacing="1" w:after="100" w:afterAutospacing="1"/>
    </w:pPr>
    <w:rPr>
      <w:sz w:val="24"/>
      <w:szCs w:val="24"/>
    </w:rPr>
  </w:style>
  <w:style w:type="paragraph" w:customStyle="1" w:styleId="pdq2pgselectionanchorcontainer">
    <w:name w:val="pdq2pg_selectionanchorcontainer"/>
    <w:basedOn w:val="Normal"/>
    <w:rsid w:val="0089288E"/>
    <w:pPr>
      <w:spacing w:before="100" w:beforeAutospacing="1" w:after="100" w:afterAutospacing="1"/>
    </w:pPr>
    <w:rPr>
      <w:sz w:val="24"/>
      <w:szCs w:val="24"/>
    </w:rPr>
  </w:style>
  <w:style w:type="character" w:styleId="Emphasis">
    <w:name w:val="Emphasis"/>
    <w:basedOn w:val="DefaultParagraphFont"/>
    <w:uiPriority w:val="20"/>
    <w:qFormat/>
    <w:rsid w:val="0089288E"/>
    <w:rPr>
      <w:i/>
      <w:iCs/>
    </w:rPr>
  </w:style>
  <w:style w:type="paragraph" w:styleId="Header">
    <w:name w:val="header"/>
    <w:basedOn w:val="Normal"/>
    <w:link w:val="HeaderChar"/>
    <w:uiPriority w:val="99"/>
    <w:unhideWhenUsed/>
    <w:rsid w:val="00C07CC3"/>
    <w:pPr>
      <w:tabs>
        <w:tab w:val="center" w:pos="4513"/>
        <w:tab w:val="right" w:pos="9026"/>
      </w:tabs>
    </w:pPr>
  </w:style>
  <w:style w:type="character" w:customStyle="1" w:styleId="HeaderChar">
    <w:name w:val="Header Char"/>
    <w:basedOn w:val="DefaultParagraphFont"/>
    <w:link w:val="Header"/>
    <w:uiPriority w:val="99"/>
    <w:rsid w:val="00C07CC3"/>
  </w:style>
  <w:style w:type="paragraph" w:styleId="Footer">
    <w:name w:val="footer"/>
    <w:basedOn w:val="Normal"/>
    <w:link w:val="FooterChar"/>
    <w:uiPriority w:val="99"/>
    <w:unhideWhenUsed/>
    <w:rsid w:val="00C07CC3"/>
    <w:pPr>
      <w:tabs>
        <w:tab w:val="center" w:pos="4513"/>
        <w:tab w:val="right" w:pos="9026"/>
      </w:tabs>
    </w:pPr>
  </w:style>
  <w:style w:type="character" w:customStyle="1" w:styleId="FooterChar">
    <w:name w:val="Footer Char"/>
    <w:basedOn w:val="DefaultParagraphFont"/>
    <w:link w:val="Footer"/>
    <w:uiPriority w:val="99"/>
    <w:rsid w:val="00C07CC3"/>
  </w:style>
  <w:style w:type="paragraph" w:styleId="TOCHeading">
    <w:name w:val="TOC Heading"/>
    <w:basedOn w:val="Heading1"/>
    <w:next w:val="Normal"/>
    <w:uiPriority w:val="39"/>
    <w:semiHidden/>
    <w:unhideWhenUsed/>
    <w:qFormat/>
    <w:rsid w:val="00A60CC5"/>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A60CC5"/>
    <w:pPr>
      <w:spacing w:after="100"/>
    </w:pPr>
  </w:style>
  <w:style w:type="paragraph" w:styleId="TOC2">
    <w:name w:val="toc 2"/>
    <w:basedOn w:val="Normal"/>
    <w:next w:val="Normal"/>
    <w:autoRedefine/>
    <w:uiPriority w:val="39"/>
    <w:unhideWhenUsed/>
    <w:rsid w:val="00A60CC5"/>
    <w:pPr>
      <w:spacing w:after="100"/>
      <w:ind w:left="200"/>
    </w:pPr>
  </w:style>
  <w:style w:type="paragraph" w:styleId="BalloonText">
    <w:name w:val="Balloon Text"/>
    <w:basedOn w:val="Normal"/>
    <w:link w:val="BalloonTextChar"/>
    <w:uiPriority w:val="99"/>
    <w:semiHidden/>
    <w:unhideWhenUsed/>
    <w:rsid w:val="00A60CC5"/>
    <w:rPr>
      <w:rFonts w:ascii="Tahoma" w:hAnsi="Tahoma" w:cs="Tahoma"/>
      <w:sz w:val="16"/>
      <w:szCs w:val="16"/>
    </w:rPr>
  </w:style>
  <w:style w:type="character" w:customStyle="1" w:styleId="BalloonTextChar">
    <w:name w:val="Balloon Text Char"/>
    <w:basedOn w:val="DefaultParagraphFont"/>
    <w:link w:val="BalloonText"/>
    <w:uiPriority w:val="99"/>
    <w:semiHidden/>
    <w:rsid w:val="00A60C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692006">
      <w:bodyDiv w:val="1"/>
      <w:marLeft w:val="0"/>
      <w:marRight w:val="0"/>
      <w:marTop w:val="0"/>
      <w:marBottom w:val="0"/>
      <w:divBdr>
        <w:top w:val="none" w:sz="0" w:space="0" w:color="auto"/>
        <w:left w:val="none" w:sz="0" w:space="0" w:color="auto"/>
        <w:bottom w:val="none" w:sz="0" w:space="0" w:color="auto"/>
        <w:right w:val="none" w:sz="0" w:space="0" w:color="auto"/>
      </w:divBdr>
    </w:div>
    <w:div w:id="315839390">
      <w:bodyDiv w:val="1"/>
      <w:marLeft w:val="0"/>
      <w:marRight w:val="0"/>
      <w:marTop w:val="0"/>
      <w:marBottom w:val="0"/>
      <w:divBdr>
        <w:top w:val="none" w:sz="0" w:space="0" w:color="auto"/>
        <w:left w:val="none" w:sz="0" w:space="0" w:color="auto"/>
        <w:bottom w:val="none" w:sz="0" w:space="0" w:color="auto"/>
        <w:right w:val="none" w:sz="0" w:space="0" w:color="auto"/>
      </w:divBdr>
    </w:div>
    <w:div w:id="468866677">
      <w:bodyDiv w:val="1"/>
      <w:marLeft w:val="0"/>
      <w:marRight w:val="0"/>
      <w:marTop w:val="0"/>
      <w:marBottom w:val="0"/>
      <w:divBdr>
        <w:top w:val="none" w:sz="0" w:space="0" w:color="auto"/>
        <w:left w:val="none" w:sz="0" w:space="0" w:color="auto"/>
        <w:bottom w:val="none" w:sz="0" w:space="0" w:color="auto"/>
        <w:right w:val="none" w:sz="0" w:space="0" w:color="auto"/>
      </w:divBdr>
    </w:div>
    <w:div w:id="728000525">
      <w:bodyDiv w:val="1"/>
      <w:marLeft w:val="0"/>
      <w:marRight w:val="0"/>
      <w:marTop w:val="0"/>
      <w:marBottom w:val="0"/>
      <w:divBdr>
        <w:top w:val="none" w:sz="0" w:space="0" w:color="auto"/>
        <w:left w:val="none" w:sz="0" w:space="0" w:color="auto"/>
        <w:bottom w:val="none" w:sz="0" w:space="0" w:color="auto"/>
        <w:right w:val="none" w:sz="0" w:space="0" w:color="auto"/>
      </w:divBdr>
    </w:div>
    <w:div w:id="790393463">
      <w:bodyDiv w:val="1"/>
      <w:marLeft w:val="0"/>
      <w:marRight w:val="0"/>
      <w:marTop w:val="0"/>
      <w:marBottom w:val="0"/>
      <w:divBdr>
        <w:top w:val="none" w:sz="0" w:space="0" w:color="auto"/>
        <w:left w:val="none" w:sz="0" w:space="0" w:color="auto"/>
        <w:bottom w:val="none" w:sz="0" w:space="0" w:color="auto"/>
        <w:right w:val="none" w:sz="0" w:space="0" w:color="auto"/>
      </w:divBdr>
    </w:div>
    <w:div w:id="972979972">
      <w:bodyDiv w:val="1"/>
      <w:marLeft w:val="0"/>
      <w:marRight w:val="0"/>
      <w:marTop w:val="0"/>
      <w:marBottom w:val="0"/>
      <w:divBdr>
        <w:top w:val="none" w:sz="0" w:space="0" w:color="auto"/>
        <w:left w:val="none" w:sz="0" w:space="0" w:color="auto"/>
        <w:bottom w:val="none" w:sz="0" w:space="0" w:color="auto"/>
        <w:right w:val="none" w:sz="0" w:space="0" w:color="auto"/>
      </w:divBdr>
    </w:div>
    <w:div w:id="1077825886">
      <w:bodyDiv w:val="1"/>
      <w:marLeft w:val="0"/>
      <w:marRight w:val="0"/>
      <w:marTop w:val="0"/>
      <w:marBottom w:val="0"/>
      <w:divBdr>
        <w:top w:val="none" w:sz="0" w:space="0" w:color="auto"/>
        <w:left w:val="none" w:sz="0" w:space="0" w:color="auto"/>
        <w:bottom w:val="none" w:sz="0" w:space="0" w:color="auto"/>
        <w:right w:val="none" w:sz="0" w:space="0" w:color="auto"/>
      </w:divBdr>
    </w:div>
    <w:div w:id="1388602258">
      <w:bodyDiv w:val="1"/>
      <w:marLeft w:val="0"/>
      <w:marRight w:val="0"/>
      <w:marTop w:val="0"/>
      <w:marBottom w:val="0"/>
      <w:divBdr>
        <w:top w:val="none" w:sz="0" w:space="0" w:color="auto"/>
        <w:left w:val="none" w:sz="0" w:space="0" w:color="auto"/>
        <w:bottom w:val="none" w:sz="0" w:space="0" w:color="auto"/>
        <w:right w:val="none" w:sz="0" w:space="0" w:color="auto"/>
      </w:divBdr>
    </w:div>
    <w:div w:id="1431390993">
      <w:bodyDiv w:val="1"/>
      <w:marLeft w:val="0"/>
      <w:marRight w:val="0"/>
      <w:marTop w:val="0"/>
      <w:marBottom w:val="0"/>
      <w:divBdr>
        <w:top w:val="none" w:sz="0" w:space="0" w:color="auto"/>
        <w:left w:val="none" w:sz="0" w:space="0" w:color="auto"/>
        <w:bottom w:val="none" w:sz="0" w:space="0" w:color="auto"/>
        <w:right w:val="none" w:sz="0" w:space="0" w:color="auto"/>
      </w:divBdr>
    </w:div>
    <w:div w:id="1447506694">
      <w:bodyDiv w:val="1"/>
      <w:marLeft w:val="0"/>
      <w:marRight w:val="0"/>
      <w:marTop w:val="0"/>
      <w:marBottom w:val="0"/>
      <w:divBdr>
        <w:top w:val="none" w:sz="0" w:space="0" w:color="auto"/>
        <w:left w:val="none" w:sz="0" w:space="0" w:color="auto"/>
        <w:bottom w:val="none" w:sz="0" w:space="0" w:color="auto"/>
        <w:right w:val="none" w:sz="0" w:space="0" w:color="auto"/>
      </w:divBdr>
    </w:div>
    <w:div w:id="1464038906">
      <w:bodyDiv w:val="1"/>
      <w:marLeft w:val="0"/>
      <w:marRight w:val="0"/>
      <w:marTop w:val="0"/>
      <w:marBottom w:val="0"/>
      <w:divBdr>
        <w:top w:val="none" w:sz="0" w:space="0" w:color="auto"/>
        <w:left w:val="none" w:sz="0" w:space="0" w:color="auto"/>
        <w:bottom w:val="none" w:sz="0" w:space="0" w:color="auto"/>
        <w:right w:val="none" w:sz="0" w:space="0" w:color="auto"/>
      </w:divBdr>
    </w:div>
    <w:div w:id="1481655125">
      <w:bodyDiv w:val="1"/>
      <w:marLeft w:val="0"/>
      <w:marRight w:val="0"/>
      <w:marTop w:val="0"/>
      <w:marBottom w:val="0"/>
      <w:divBdr>
        <w:top w:val="none" w:sz="0" w:space="0" w:color="auto"/>
        <w:left w:val="none" w:sz="0" w:space="0" w:color="auto"/>
        <w:bottom w:val="none" w:sz="0" w:space="0" w:color="auto"/>
        <w:right w:val="none" w:sz="0" w:space="0" w:color="auto"/>
      </w:divBdr>
    </w:div>
    <w:div w:id="1523276813">
      <w:bodyDiv w:val="1"/>
      <w:marLeft w:val="0"/>
      <w:marRight w:val="0"/>
      <w:marTop w:val="0"/>
      <w:marBottom w:val="0"/>
      <w:divBdr>
        <w:top w:val="none" w:sz="0" w:space="0" w:color="auto"/>
        <w:left w:val="none" w:sz="0" w:space="0" w:color="auto"/>
        <w:bottom w:val="none" w:sz="0" w:space="0" w:color="auto"/>
        <w:right w:val="none" w:sz="0" w:space="0" w:color="auto"/>
      </w:divBdr>
    </w:div>
    <w:div w:id="1587348397">
      <w:bodyDiv w:val="1"/>
      <w:marLeft w:val="0"/>
      <w:marRight w:val="0"/>
      <w:marTop w:val="0"/>
      <w:marBottom w:val="0"/>
      <w:divBdr>
        <w:top w:val="none" w:sz="0" w:space="0" w:color="auto"/>
        <w:left w:val="none" w:sz="0" w:space="0" w:color="auto"/>
        <w:bottom w:val="none" w:sz="0" w:space="0" w:color="auto"/>
        <w:right w:val="none" w:sz="0" w:space="0" w:color="auto"/>
      </w:divBdr>
    </w:div>
    <w:div w:id="1658073149">
      <w:bodyDiv w:val="1"/>
      <w:marLeft w:val="0"/>
      <w:marRight w:val="0"/>
      <w:marTop w:val="0"/>
      <w:marBottom w:val="0"/>
      <w:divBdr>
        <w:top w:val="none" w:sz="0" w:space="0" w:color="auto"/>
        <w:left w:val="none" w:sz="0" w:space="0" w:color="auto"/>
        <w:bottom w:val="none" w:sz="0" w:space="0" w:color="auto"/>
        <w:right w:val="none" w:sz="0" w:space="0" w:color="auto"/>
      </w:divBdr>
    </w:div>
    <w:div w:id="1693846457">
      <w:bodyDiv w:val="1"/>
      <w:marLeft w:val="0"/>
      <w:marRight w:val="0"/>
      <w:marTop w:val="0"/>
      <w:marBottom w:val="0"/>
      <w:divBdr>
        <w:top w:val="none" w:sz="0" w:space="0" w:color="auto"/>
        <w:left w:val="none" w:sz="0" w:space="0" w:color="auto"/>
        <w:bottom w:val="none" w:sz="0" w:space="0" w:color="auto"/>
        <w:right w:val="none" w:sz="0" w:space="0" w:color="auto"/>
      </w:divBdr>
    </w:div>
    <w:div w:id="2010323398">
      <w:bodyDiv w:val="1"/>
      <w:marLeft w:val="0"/>
      <w:marRight w:val="0"/>
      <w:marTop w:val="0"/>
      <w:marBottom w:val="0"/>
      <w:divBdr>
        <w:top w:val="none" w:sz="0" w:space="0" w:color="auto"/>
        <w:left w:val="none" w:sz="0" w:space="0" w:color="auto"/>
        <w:bottom w:val="none" w:sz="0" w:space="0" w:color="auto"/>
        <w:right w:val="none" w:sz="0" w:space="0" w:color="auto"/>
      </w:divBdr>
    </w:div>
    <w:div w:id="21066136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jhm.2022.103144" TargetMode="External"/><Relationship Id="rId18" Type="http://schemas.openxmlformats.org/officeDocument/2006/relationships/hyperlink" Target="https://doi.org/10.1016/j.ijhm.2023.103563" TargetMode="External"/><Relationship Id="rId26" Type="http://schemas.openxmlformats.org/officeDocument/2006/relationships/hyperlink" Target="https://ir.hilton.com/financial-reporting/annual-reports" TargetMode="External"/><Relationship Id="rId21" Type="http://schemas.openxmlformats.org/officeDocument/2006/relationships/hyperlink" Target="https://doi.org/10.1080/23322039.2023.2296195" TargetMode="External"/><Relationship Id="rId34" Type="http://schemas.openxmlformats.org/officeDocument/2006/relationships/hyperlink" Target="https://wttc.org/research/economic-impact" TargetMode="External"/><Relationship Id="rId7" Type="http://schemas.openxmlformats.org/officeDocument/2006/relationships/endnotes" Target="endnotes.xml"/><Relationship Id="rId12" Type="http://schemas.openxmlformats.org/officeDocument/2006/relationships/hyperlink" Target="https://doi.org/10.1108/JEFAS-09-2021-0198" TargetMode="External"/><Relationship Id="rId17" Type="http://schemas.openxmlformats.org/officeDocument/2006/relationships/hyperlink" Target="https://doi.org/10.1080/10548408.2024.2406346" TargetMode="External"/><Relationship Id="rId25" Type="http://schemas.openxmlformats.org/officeDocument/2006/relationships/hyperlink" Target="https://ir.hilton.com/financial-reporting/annual-reports" TargetMode="External"/><Relationship Id="rId33" Type="http://schemas.openxmlformats.org/officeDocument/2006/relationships/hyperlink" Target="https://www.sec.gov/edgar/search/" TargetMode="External"/><Relationship Id="rId2" Type="http://schemas.openxmlformats.org/officeDocument/2006/relationships/numbering" Target="numbering.xml"/><Relationship Id="rId16" Type="http://schemas.openxmlformats.org/officeDocument/2006/relationships/hyperlink" Target="https://doi.org/10.1007/s13132-023-01138-7" TargetMode="External"/><Relationship Id="rId20" Type="http://schemas.openxmlformats.org/officeDocument/2006/relationships/hyperlink" Target="https://doi.org/10.1371/journal.pone.0295850" TargetMode="External"/><Relationship Id="rId29" Type="http://schemas.openxmlformats.org/officeDocument/2006/relationships/hyperlink" Target="https://www.ihgplc.com/en/investors/results-reports-and-present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270012.2024.2306929" TargetMode="External"/><Relationship Id="rId24" Type="http://schemas.openxmlformats.org/officeDocument/2006/relationships/hyperlink" Target="https://arxiv.org/pdf/2302.02875" TargetMode="External"/><Relationship Id="rId32" Type="http://schemas.openxmlformats.org/officeDocument/2006/relationships/hyperlink" Target="https://str.com/data-insights-blo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09669582.2023.2246702" TargetMode="External"/><Relationship Id="rId23" Type="http://schemas.openxmlformats.org/officeDocument/2006/relationships/hyperlink" Target="https://doi.org/10.30574/wjarr.2023.19.2.1483" TargetMode="External"/><Relationship Id="rId28" Type="http://schemas.openxmlformats.org/officeDocument/2006/relationships/hyperlink" Target="https://ir.hilton.com/news-and-events/news" TargetMode="External"/><Relationship Id="rId36" Type="http://schemas.openxmlformats.org/officeDocument/2006/relationships/fontTable" Target="fontTable.xml"/><Relationship Id="rId10" Type="http://schemas.openxmlformats.org/officeDocument/2006/relationships/hyperlink" Target="https://doi.org/10.1108/JES-10-2021-0513" TargetMode="External"/><Relationship Id="rId19" Type="http://schemas.openxmlformats.org/officeDocument/2006/relationships/hyperlink" Target="https://doi.org/10.1108/SAMPJ-05-2022-0284" TargetMode="External"/><Relationship Id="rId31" Type="http://schemas.openxmlformats.org/officeDocument/2006/relationships/hyperlink" Target="https://www.sec.gov/cgi-bin/browse-edgar?action=getcompany&amp;company=marriott+international&amp;type=10-K" TargetMode="External"/><Relationship Id="rId4" Type="http://schemas.openxmlformats.org/officeDocument/2006/relationships/settings" Target="settings.xml"/><Relationship Id="rId9" Type="http://schemas.openxmlformats.org/officeDocument/2006/relationships/hyperlink" Target="https://ssrn.com/abstract=4986846" TargetMode="External"/><Relationship Id="rId14" Type="http://schemas.openxmlformats.org/officeDocument/2006/relationships/hyperlink" Target="https://doi.org/10.1111/ajes.12528" TargetMode="External"/><Relationship Id="rId22" Type="http://schemas.openxmlformats.org/officeDocument/2006/relationships/hyperlink" Target="https://doi.org/10.3390/ijerph20021100" TargetMode="External"/><Relationship Id="rId27" Type="http://schemas.openxmlformats.org/officeDocument/2006/relationships/hyperlink" Target="https://www.sec.gov/cgi-bin/browse-edgar?action=getcompany&amp;company=hilton+worldwide&amp;type=10-K" TargetMode="External"/><Relationship Id="rId30" Type="http://schemas.openxmlformats.org/officeDocument/2006/relationships/hyperlink" Target="https://www.macrotrends.net/stocks/charts/HLT/hilton-worldwide-holdings/gross-profit" TargetMode="External"/><Relationship Id="rId35"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E442FD-92AD-493F-8712-5D276D5C9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7168</Words>
  <Characters>40863</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patel Dhruv</cp:lastModifiedBy>
  <cp:revision>2</cp:revision>
  <dcterms:created xsi:type="dcterms:W3CDTF">2026-08-13T02:25:00Z</dcterms:created>
  <dcterms:modified xsi:type="dcterms:W3CDTF">2026-08-13T02:25:00Z</dcterms:modified>
</cp:coreProperties>
</file>