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7DBE" w14:textId="77777777" w:rsidR="00864599" w:rsidRPr="004579C5" w:rsidRDefault="00864599" w:rsidP="00864599">
      <w:pPr>
        <w:pStyle w:val="Title"/>
        <w:jc w:val="center"/>
        <w:rPr>
          <w:rFonts w:ascii="Arial" w:hAnsi="Arial" w:cs="Arial"/>
          <w:b/>
          <w:color w:val="000000" w:themeColor="text1"/>
          <w:sz w:val="36"/>
          <w:szCs w:val="36"/>
          <w:lang w:val="en-GB"/>
        </w:rPr>
      </w:pPr>
    </w:p>
    <w:p w14:paraId="4593A41C" w14:textId="77777777" w:rsidR="00864599" w:rsidRPr="004579C5" w:rsidRDefault="00864599" w:rsidP="00864599">
      <w:pPr>
        <w:pStyle w:val="Title"/>
        <w:jc w:val="center"/>
        <w:rPr>
          <w:rFonts w:ascii="Arial" w:hAnsi="Arial" w:cs="Arial"/>
          <w:b/>
          <w:color w:val="000000" w:themeColor="text1"/>
          <w:sz w:val="36"/>
          <w:szCs w:val="36"/>
          <w:lang w:val="en-GB"/>
        </w:rPr>
      </w:pPr>
    </w:p>
    <w:p w14:paraId="4C0BA7F4" w14:textId="77777777" w:rsidR="00864599" w:rsidRPr="004579C5" w:rsidRDefault="00864599" w:rsidP="00864599">
      <w:pPr>
        <w:pStyle w:val="Title"/>
        <w:jc w:val="center"/>
        <w:rPr>
          <w:rFonts w:ascii="Arial" w:hAnsi="Arial" w:cs="Arial"/>
          <w:b/>
          <w:color w:val="000000" w:themeColor="text1"/>
          <w:sz w:val="36"/>
          <w:szCs w:val="36"/>
          <w:lang w:val="en-GB"/>
        </w:rPr>
      </w:pPr>
    </w:p>
    <w:p w14:paraId="7637170D" w14:textId="77777777" w:rsidR="00864599" w:rsidRPr="004579C5" w:rsidRDefault="00864599" w:rsidP="00864599">
      <w:pPr>
        <w:pStyle w:val="Title"/>
        <w:jc w:val="center"/>
        <w:rPr>
          <w:rFonts w:ascii="Arial" w:hAnsi="Arial" w:cs="Arial"/>
          <w:b/>
          <w:color w:val="000000" w:themeColor="text1"/>
          <w:sz w:val="36"/>
          <w:szCs w:val="36"/>
          <w:lang w:val="en-GB"/>
        </w:rPr>
      </w:pPr>
    </w:p>
    <w:p w14:paraId="3A7C3EA4" w14:textId="77777777" w:rsidR="00864599" w:rsidRPr="004579C5" w:rsidRDefault="00864599" w:rsidP="00864599">
      <w:pPr>
        <w:pStyle w:val="Title"/>
        <w:jc w:val="center"/>
        <w:rPr>
          <w:rFonts w:ascii="Arial" w:hAnsi="Arial" w:cs="Arial"/>
          <w:b/>
          <w:color w:val="000000" w:themeColor="text1"/>
          <w:sz w:val="36"/>
          <w:szCs w:val="36"/>
          <w:lang w:val="en-GB"/>
        </w:rPr>
      </w:pPr>
    </w:p>
    <w:p w14:paraId="4B7BE93A" w14:textId="77777777" w:rsidR="00864599" w:rsidRPr="004579C5" w:rsidRDefault="00864599" w:rsidP="00864599">
      <w:pPr>
        <w:pStyle w:val="Title"/>
        <w:jc w:val="center"/>
        <w:rPr>
          <w:rFonts w:ascii="Arial" w:hAnsi="Arial" w:cs="Arial"/>
          <w:b/>
          <w:color w:val="000000" w:themeColor="text1"/>
          <w:sz w:val="36"/>
          <w:szCs w:val="36"/>
          <w:lang w:val="en-GB"/>
        </w:rPr>
      </w:pPr>
    </w:p>
    <w:p w14:paraId="6BAF3321" w14:textId="77777777" w:rsidR="00864599" w:rsidRPr="004579C5" w:rsidRDefault="00864599" w:rsidP="00864599">
      <w:pPr>
        <w:pStyle w:val="Title"/>
        <w:jc w:val="center"/>
        <w:rPr>
          <w:rFonts w:ascii="Arial" w:hAnsi="Arial" w:cs="Arial"/>
          <w:b/>
          <w:color w:val="000000" w:themeColor="text1"/>
          <w:sz w:val="36"/>
          <w:szCs w:val="36"/>
          <w:lang w:val="en-GB"/>
        </w:rPr>
      </w:pPr>
    </w:p>
    <w:p w14:paraId="3B4969C2" w14:textId="77777777" w:rsidR="00864599" w:rsidRPr="004579C5" w:rsidRDefault="00864599" w:rsidP="00864599">
      <w:pPr>
        <w:pStyle w:val="Title"/>
        <w:jc w:val="center"/>
        <w:rPr>
          <w:rFonts w:ascii="Arial" w:hAnsi="Arial" w:cs="Arial"/>
          <w:b/>
          <w:color w:val="000000" w:themeColor="text1"/>
          <w:sz w:val="36"/>
          <w:szCs w:val="36"/>
          <w:lang w:val="en-GB"/>
        </w:rPr>
      </w:pPr>
    </w:p>
    <w:p w14:paraId="0A6AF931" w14:textId="77777777" w:rsidR="00864599" w:rsidRPr="004579C5" w:rsidRDefault="00864599" w:rsidP="00864599">
      <w:pPr>
        <w:pStyle w:val="Title"/>
        <w:jc w:val="center"/>
        <w:rPr>
          <w:rFonts w:ascii="Arial" w:hAnsi="Arial" w:cs="Arial"/>
          <w:b/>
          <w:color w:val="000000" w:themeColor="text1"/>
          <w:sz w:val="36"/>
          <w:szCs w:val="36"/>
          <w:lang w:val="en-GB"/>
        </w:rPr>
      </w:pPr>
    </w:p>
    <w:p w14:paraId="44E68BBE" w14:textId="77777777" w:rsidR="00864599" w:rsidRPr="004579C5" w:rsidRDefault="00864599" w:rsidP="00864599">
      <w:pPr>
        <w:pStyle w:val="Title"/>
        <w:jc w:val="center"/>
        <w:rPr>
          <w:rFonts w:ascii="Arial" w:hAnsi="Arial" w:cs="Arial"/>
          <w:b/>
          <w:color w:val="000000" w:themeColor="text1"/>
          <w:sz w:val="36"/>
          <w:szCs w:val="36"/>
          <w:lang w:val="en-GB"/>
        </w:rPr>
      </w:pPr>
    </w:p>
    <w:p w14:paraId="5B8BC1AD" w14:textId="77777777" w:rsidR="00864599" w:rsidRPr="004579C5" w:rsidRDefault="00864599" w:rsidP="00864599">
      <w:pPr>
        <w:pStyle w:val="Title"/>
        <w:jc w:val="center"/>
        <w:rPr>
          <w:rFonts w:ascii="Arial" w:hAnsi="Arial" w:cs="Arial"/>
          <w:b/>
          <w:color w:val="000000" w:themeColor="text1"/>
          <w:sz w:val="36"/>
          <w:szCs w:val="36"/>
          <w:lang w:val="en-GB"/>
        </w:rPr>
      </w:pPr>
    </w:p>
    <w:p w14:paraId="1B91F8E5" w14:textId="77777777" w:rsidR="00864599" w:rsidRPr="004579C5" w:rsidRDefault="00864599" w:rsidP="00864599">
      <w:pPr>
        <w:pStyle w:val="Title"/>
        <w:jc w:val="center"/>
        <w:rPr>
          <w:rFonts w:ascii="Arial" w:hAnsi="Arial" w:cs="Arial"/>
          <w:b/>
          <w:color w:val="000000" w:themeColor="text1"/>
          <w:sz w:val="36"/>
          <w:szCs w:val="36"/>
          <w:lang w:val="en-GB"/>
        </w:rPr>
      </w:pPr>
      <w:r w:rsidRPr="004579C5">
        <w:rPr>
          <w:rFonts w:ascii="Arial" w:hAnsi="Arial" w:cs="Arial"/>
          <w:b/>
          <w:color w:val="000000" w:themeColor="text1"/>
          <w:sz w:val="36"/>
          <w:szCs w:val="36"/>
          <w:lang w:val="en-GB"/>
        </w:rPr>
        <w:t>Criminal law</w:t>
      </w:r>
    </w:p>
    <w:p w14:paraId="68A0511E" w14:textId="700B08EC" w:rsidR="008A48B0" w:rsidRPr="004579C5" w:rsidRDefault="008A48B0" w:rsidP="00864599">
      <w:pPr>
        <w:rPr>
          <w:lang w:val="en-GB"/>
        </w:rPr>
      </w:pPr>
      <w:r w:rsidRPr="004579C5">
        <w:rPr>
          <w:lang w:val="en-GB"/>
        </w:rPr>
        <w:br w:type="page"/>
      </w:r>
    </w:p>
    <w:sdt>
      <w:sdtPr>
        <w:rPr>
          <w:rFonts w:ascii="Arial" w:eastAsiaTheme="minorHAnsi" w:hAnsi="Arial" w:cstheme="minorBidi"/>
          <w:b w:val="0"/>
          <w:bCs w:val="0"/>
          <w:color w:val="auto"/>
          <w:sz w:val="24"/>
          <w:szCs w:val="22"/>
          <w:lang w:val="en-GB"/>
        </w:rPr>
        <w:id w:val="1547875987"/>
        <w:docPartObj>
          <w:docPartGallery w:val="Table of Contents"/>
          <w:docPartUnique/>
        </w:docPartObj>
      </w:sdtPr>
      <w:sdtContent>
        <w:p w14:paraId="6954D76B" w14:textId="77777777" w:rsidR="00485136" w:rsidRPr="004579C5" w:rsidRDefault="00485136" w:rsidP="00485136">
          <w:pPr>
            <w:pStyle w:val="TOCHeading"/>
            <w:jc w:val="center"/>
            <w:rPr>
              <w:lang w:val="en-GB"/>
            </w:rPr>
          </w:pPr>
          <w:r w:rsidRPr="004579C5">
            <w:rPr>
              <w:rFonts w:ascii="Arial" w:hAnsi="Arial" w:cs="Arial"/>
              <w:color w:val="000000" w:themeColor="text1"/>
              <w:sz w:val="24"/>
              <w:lang w:val="en-GB"/>
            </w:rPr>
            <w:t>Table of Contents</w:t>
          </w:r>
        </w:p>
        <w:p w14:paraId="76D916CF" w14:textId="77777777" w:rsidR="00485136" w:rsidRPr="004579C5" w:rsidRDefault="00485136">
          <w:pPr>
            <w:pStyle w:val="TOC1"/>
            <w:tabs>
              <w:tab w:val="right" w:leader="dot" w:pos="9350"/>
            </w:tabs>
            <w:rPr>
              <w:rFonts w:asciiTheme="minorHAnsi" w:eastAsiaTheme="minorEastAsia" w:hAnsiTheme="minorHAnsi"/>
              <w:noProof/>
              <w:sz w:val="22"/>
              <w:lang w:val="en-GB"/>
            </w:rPr>
          </w:pPr>
          <w:r w:rsidRPr="004579C5">
            <w:rPr>
              <w:lang w:val="en-GB"/>
            </w:rPr>
            <w:fldChar w:fldCharType="begin"/>
          </w:r>
          <w:r w:rsidRPr="004579C5">
            <w:rPr>
              <w:lang w:val="en-GB"/>
            </w:rPr>
            <w:instrText xml:space="preserve"> TOC \o "1-3" \h \z \u </w:instrText>
          </w:r>
          <w:r w:rsidRPr="004579C5">
            <w:rPr>
              <w:lang w:val="en-GB"/>
            </w:rPr>
            <w:fldChar w:fldCharType="separate"/>
          </w:r>
          <w:hyperlink w:anchor="_Toc133948345" w:history="1">
            <w:r w:rsidRPr="004579C5">
              <w:rPr>
                <w:rStyle w:val="Hyperlink"/>
                <w:noProof/>
                <w:lang w:val="en-GB"/>
              </w:rPr>
              <w:t>Introduction</w:t>
            </w:r>
            <w:r w:rsidRPr="004579C5">
              <w:rPr>
                <w:noProof/>
                <w:webHidden/>
                <w:lang w:val="en-GB"/>
              </w:rPr>
              <w:tab/>
            </w:r>
            <w:r w:rsidRPr="004579C5">
              <w:rPr>
                <w:noProof/>
                <w:webHidden/>
                <w:lang w:val="en-GB"/>
              </w:rPr>
              <w:fldChar w:fldCharType="begin"/>
            </w:r>
            <w:r w:rsidRPr="004579C5">
              <w:rPr>
                <w:noProof/>
                <w:webHidden/>
                <w:lang w:val="en-GB"/>
              </w:rPr>
              <w:instrText xml:space="preserve"> PAGEREF _Toc133948345 \h </w:instrText>
            </w:r>
            <w:r w:rsidRPr="004579C5">
              <w:rPr>
                <w:noProof/>
                <w:webHidden/>
                <w:lang w:val="en-GB"/>
              </w:rPr>
            </w:r>
            <w:r w:rsidRPr="004579C5">
              <w:rPr>
                <w:noProof/>
                <w:webHidden/>
                <w:lang w:val="en-GB"/>
              </w:rPr>
              <w:fldChar w:fldCharType="separate"/>
            </w:r>
            <w:r w:rsidRPr="004579C5">
              <w:rPr>
                <w:noProof/>
                <w:webHidden/>
                <w:lang w:val="en-GB"/>
              </w:rPr>
              <w:t>3</w:t>
            </w:r>
            <w:r w:rsidRPr="004579C5">
              <w:rPr>
                <w:noProof/>
                <w:webHidden/>
                <w:lang w:val="en-GB"/>
              </w:rPr>
              <w:fldChar w:fldCharType="end"/>
            </w:r>
          </w:hyperlink>
        </w:p>
        <w:p w14:paraId="014CF578" w14:textId="77777777" w:rsidR="00485136" w:rsidRPr="004579C5" w:rsidRDefault="00000000">
          <w:pPr>
            <w:pStyle w:val="TOC1"/>
            <w:tabs>
              <w:tab w:val="right" w:leader="dot" w:pos="9350"/>
            </w:tabs>
            <w:rPr>
              <w:rFonts w:asciiTheme="minorHAnsi" w:eastAsiaTheme="minorEastAsia" w:hAnsiTheme="minorHAnsi"/>
              <w:noProof/>
              <w:sz w:val="22"/>
              <w:lang w:val="en-GB"/>
            </w:rPr>
          </w:pPr>
          <w:hyperlink w:anchor="_Toc133948346" w:history="1">
            <w:r w:rsidR="00485136" w:rsidRPr="004579C5">
              <w:rPr>
                <w:rStyle w:val="Hyperlink"/>
                <w:noProof/>
                <w:lang w:val="en-GB"/>
              </w:rPr>
              <w:t>Body</w:t>
            </w:r>
            <w:r w:rsidR="00485136" w:rsidRPr="004579C5">
              <w:rPr>
                <w:noProof/>
                <w:webHidden/>
                <w:lang w:val="en-GB"/>
              </w:rPr>
              <w:tab/>
            </w:r>
            <w:r w:rsidR="00485136" w:rsidRPr="004579C5">
              <w:rPr>
                <w:noProof/>
                <w:webHidden/>
                <w:lang w:val="en-GB"/>
              </w:rPr>
              <w:fldChar w:fldCharType="begin"/>
            </w:r>
            <w:r w:rsidR="00485136" w:rsidRPr="004579C5">
              <w:rPr>
                <w:noProof/>
                <w:webHidden/>
                <w:lang w:val="en-GB"/>
              </w:rPr>
              <w:instrText xml:space="preserve"> PAGEREF _Toc133948346 \h </w:instrText>
            </w:r>
            <w:r w:rsidR="00485136" w:rsidRPr="004579C5">
              <w:rPr>
                <w:noProof/>
                <w:webHidden/>
                <w:lang w:val="en-GB"/>
              </w:rPr>
            </w:r>
            <w:r w:rsidR="00485136" w:rsidRPr="004579C5">
              <w:rPr>
                <w:noProof/>
                <w:webHidden/>
                <w:lang w:val="en-GB"/>
              </w:rPr>
              <w:fldChar w:fldCharType="separate"/>
            </w:r>
            <w:r w:rsidR="00485136" w:rsidRPr="004579C5">
              <w:rPr>
                <w:noProof/>
                <w:webHidden/>
                <w:lang w:val="en-GB"/>
              </w:rPr>
              <w:t>3</w:t>
            </w:r>
            <w:r w:rsidR="00485136" w:rsidRPr="004579C5">
              <w:rPr>
                <w:noProof/>
                <w:webHidden/>
                <w:lang w:val="en-GB"/>
              </w:rPr>
              <w:fldChar w:fldCharType="end"/>
            </w:r>
          </w:hyperlink>
        </w:p>
        <w:p w14:paraId="0071B039" w14:textId="77777777" w:rsidR="00485136" w:rsidRPr="004579C5" w:rsidRDefault="00000000">
          <w:pPr>
            <w:pStyle w:val="TOC1"/>
            <w:tabs>
              <w:tab w:val="right" w:leader="dot" w:pos="9350"/>
            </w:tabs>
            <w:rPr>
              <w:rFonts w:asciiTheme="minorHAnsi" w:eastAsiaTheme="minorEastAsia" w:hAnsiTheme="minorHAnsi"/>
              <w:noProof/>
              <w:sz w:val="22"/>
              <w:lang w:val="en-GB"/>
            </w:rPr>
          </w:pPr>
          <w:hyperlink w:anchor="_Toc133948347" w:history="1">
            <w:r w:rsidR="00485136" w:rsidRPr="004579C5">
              <w:rPr>
                <w:rStyle w:val="Hyperlink"/>
                <w:noProof/>
                <w:lang w:val="en-GB"/>
              </w:rPr>
              <w:t>Conclusion</w:t>
            </w:r>
            <w:r w:rsidR="00485136" w:rsidRPr="004579C5">
              <w:rPr>
                <w:noProof/>
                <w:webHidden/>
                <w:lang w:val="en-GB"/>
              </w:rPr>
              <w:tab/>
            </w:r>
            <w:r w:rsidR="00485136" w:rsidRPr="004579C5">
              <w:rPr>
                <w:noProof/>
                <w:webHidden/>
                <w:lang w:val="en-GB"/>
              </w:rPr>
              <w:fldChar w:fldCharType="begin"/>
            </w:r>
            <w:r w:rsidR="00485136" w:rsidRPr="004579C5">
              <w:rPr>
                <w:noProof/>
                <w:webHidden/>
                <w:lang w:val="en-GB"/>
              </w:rPr>
              <w:instrText xml:space="preserve"> PAGEREF _Toc133948347 \h </w:instrText>
            </w:r>
            <w:r w:rsidR="00485136" w:rsidRPr="004579C5">
              <w:rPr>
                <w:noProof/>
                <w:webHidden/>
                <w:lang w:val="en-GB"/>
              </w:rPr>
            </w:r>
            <w:r w:rsidR="00485136" w:rsidRPr="004579C5">
              <w:rPr>
                <w:noProof/>
                <w:webHidden/>
                <w:lang w:val="en-GB"/>
              </w:rPr>
              <w:fldChar w:fldCharType="separate"/>
            </w:r>
            <w:r w:rsidR="00485136" w:rsidRPr="004579C5">
              <w:rPr>
                <w:noProof/>
                <w:webHidden/>
                <w:lang w:val="en-GB"/>
              </w:rPr>
              <w:t>6</w:t>
            </w:r>
            <w:r w:rsidR="00485136" w:rsidRPr="004579C5">
              <w:rPr>
                <w:noProof/>
                <w:webHidden/>
                <w:lang w:val="en-GB"/>
              </w:rPr>
              <w:fldChar w:fldCharType="end"/>
            </w:r>
          </w:hyperlink>
        </w:p>
        <w:p w14:paraId="248233F5" w14:textId="77777777" w:rsidR="00485136" w:rsidRPr="004579C5" w:rsidRDefault="00000000">
          <w:pPr>
            <w:pStyle w:val="TOC1"/>
            <w:tabs>
              <w:tab w:val="right" w:leader="dot" w:pos="9350"/>
            </w:tabs>
            <w:rPr>
              <w:rFonts w:asciiTheme="minorHAnsi" w:eastAsiaTheme="minorEastAsia" w:hAnsiTheme="minorHAnsi"/>
              <w:noProof/>
              <w:sz w:val="22"/>
              <w:lang w:val="en-GB"/>
            </w:rPr>
          </w:pPr>
          <w:hyperlink w:anchor="_Toc133948348" w:history="1">
            <w:r w:rsidR="00485136" w:rsidRPr="004579C5">
              <w:rPr>
                <w:rStyle w:val="Hyperlink"/>
                <w:noProof/>
                <w:lang w:val="en-GB"/>
              </w:rPr>
              <w:t>Reference List</w:t>
            </w:r>
            <w:r w:rsidR="00485136" w:rsidRPr="004579C5">
              <w:rPr>
                <w:noProof/>
                <w:webHidden/>
                <w:lang w:val="en-GB"/>
              </w:rPr>
              <w:tab/>
            </w:r>
            <w:r w:rsidR="00485136" w:rsidRPr="004579C5">
              <w:rPr>
                <w:noProof/>
                <w:webHidden/>
                <w:lang w:val="en-GB"/>
              </w:rPr>
              <w:fldChar w:fldCharType="begin"/>
            </w:r>
            <w:r w:rsidR="00485136" w:rsidRPr="004579C5">
              <w:rPr>
                <w:noProof/>
                <w:webHidden/>
                <w:lang w:val="en-GB"/>
              </w:rPr>
              <w:instrText xml:space="preserve"> PAGEREF _Toc133948348 \h </w:instrText>
            </w:r>
            <w:r w:rsidR="00485136" w:rsidRPr="004579C5">
              <w:rPr>
                <w:noProof/>
                <w:webHidden/>
                <w:lang w:val="en-GB"/>
              </w:rPr>
            </w:r>
            <w:r w:rsidR="00485136" w:rsidRPr="004579C5">
              <w:rPr>
                <w:noProof/>
                <w:webHidden/>
                <w:lang w:val="en-GB"/>
              </w:rPr>
              <w:fldChar w:fldCharType="separate"/>
            </w:r>
            <w:r w:rsidR="00485136" w:rsidRPr="004579C5">
              <w:rPr>
                <w:noProof/>
                <w:webHidden/>
                <w:lang w:val="en-GB"/>
              </w:rPr>
              <w:t>7</w:t>
            </w:r>
            <w:r w:rsidR="00485136" w:rsidRPr="004579C5">
              <w:rPr>
                <w:noProof/>
                <w:webHidden/>
                <w:lang w:val="en-GB"/>
              </w:rPr>
              <w:fldChar w:fldCharType="end"/>
            </w:r>
          </w:hyperlink>
        </w:p>
        <w:p w14:paraId="320FF44A" w14:textId="77777777" w:rsidR="00485136" w:rsidRPr="004579C5" w:rsidRDefault="00485136">
          <w:pPr>
            <w:rPr>
              <w:lang w:val="en-GB"/>
            </w:rPr>
          </w:pPr>
          <w:r w:rsidRPr="004579C5">
            <w:rPr>
              <w:lang w:val="en-GB"/>
            </w:rPr>
            <w:fldChar w:fldCharType="end"/>
          </w:r>
        </w:p>
      </w:sdtContent>
    </w:sdt>
    <w:p w14:paraId="291B8181" w14:textId="77777777" w:rsidR="008A48B0" w:rsidRPr="004579C5" w:rsidRDefault="008A48B0">
      <w:pPr>
        <w:rPr>
          <w:rFonts w:ascii="Times New Roman" w:hAnsi="Times New Roman" w:cs="Times New Roman"/>
          <w:b/>
          <w:lang w:val="en-GB"/>
        </w:rPr>
      </w:pPr>
      <w:r w:rsidRPr="004579C5">
        <w:rPr>
          <w:rFonts w:ascii="Times New Roman" w:hAnsi="Times New Roman" w:cs="Times New Roman"/>
          <w:b/>
          <w:lang w:val="en-GB"/>
        </w:rPr>
        <w:br w:type="page"/>
      </w:r>
    </w:p>
    <w:p w14:paraId="1F44000E" w14:textId="77777777" w:rsidR="00980679" w:rsidRPr="004579C5" w:rsidRDefault="009F116E" w:rsidP="00864599">
      <w:pPr>
        <w:pStyle w:val="Heading1"/>
        <w:rPr>
          <w:lang w:val="en-GB"/>
        </w:rPr>
      </w:pPr>
      <w:bookmarkStart w:id="0" w:name="_Toc133948345"/>
      <w:r w:rsidRPr="004579C5">
        <w:rPr>
          <w:lang w:val="en-GB"/>
        </w:rPr>
        <w:lastRenderedPageBreak/>
        <w:t>Introduction</w:t>
      </w:r>
      <w:bookmarkEnd w:id="0"/>
    </w:p>
    <w:p w14:paraId="0EC2CE2D" w14:textId="77777777" w:rsidR="001508BB" w:rsidRPr="004579C5" w:rsidRDefault="00F44278" w:rsidP="003308AF">
      <w:pPr>
        <w:rPr>
          <w:rFonts w:cs="Arial"/>
          <w:lang w:val="en-GB"/>
        </w:rPr>
      </w:pPr>
      <w:r w:rsidRPr="004579C5">
        <w:rPr>
          <w:rFonts w:cs="Arial"/>
          <w:lang w:val="en-GB"/>
        </w:rPr>
        <w:t>This set of law or c</w:t>
      </w:r>
      <w:r w:rsidR="001508BB" w:rsidRPr="004579C5">
        <w:rPr>
          <w:rFonts w:cs="Arial"/>
          <w:lang w:val="en-GB"/>
        </w:rPr>
        <w:t xml:space="preserve">riminal law </w:t>
      </w:r>
      <w:r w:rsidRPr="004579C5">
        <w:rPr>
          <w:rFonts w:cs="Arial"/>
          <w:lang w:val="en-GB"/>
        </w:rPr>
        <w:t xml:space="preserve">specifically in the UK can be demonstrated as the set of laws that is mainly depends on </w:t>
      </w:r>
      <w:r w:rsidR="001508BB" w:rsidRPr="004579C5">
        <w:rPr>
          <w:rFonts w:cs="Arial"/>
          <w:lang w:val="en-GB"/>
        </w:rPr>
        <w:t xml:space="preserve">criminal offenses and </w:t>
      </w:r>
      <w:r w:rsidRPr="004579C5">
        <w:rPr>
          <w:rFonts w:cs="Arial"/>
          <w:lang w:val="en-GB"/>
        </w:rPr>
        <w:t xml:space="preserve">the probable </w:t>
      </w:r>
      <w:r w:rsidR="001508BB" w:rsidRPr="004579C5">
        <w:rPr>
          <w:rFonts w:cs="Arial"/>
          <w:lang w:val="en-GB"/>
        </w:rPr>
        <w:t xml:space="preserve">punishment for </w:t>
      </w:r>
      <w:r w:rsidRPr="004579C5">
        <w:rPr>
          <w:rFonts w:cs="Arial"/>
          <w:lang w:val="en-GB"/>
        </w:rPr>
        <w:t xml:space="preserve">all who usually </w:t>
      </w:r>
      <w:r w:rsidR="001508BB" w:rsidRPr="004579C5">
        <w:rPr>
          <w:rFonts w:cs="Arial"/>
          <w:lang w:val="en-GB"/>
        </w:rPr>
        <w:t>commit th</w:t>
      </w:r>
      <w:r w:rsidRPr="004579C5">
        <w:rPr>
          <w:rFonts w:cs="Arial"/>
          <w:lang w:val="en-GB"/>
        </w:rPr>
        <w:t>ose crimes</w:t>
      </w:r>
      <w:r w:rsidR="001508BB" w:rsidRPr="004579C5">
        <w:rPr>
          <w:rFonts w:cs="Arial"/>
          <w:lang w:val="en-GB"/>
        </w:rPr>
        <w:t xml:space="preserve">. </w:t>
      </w:r>
      <w:r w:rsidRPr="004579C5">
        <w:rPr>
          <w:rFonts w:cs="Arial"/>
          <w:lang w:val="en-GB"/>
        </w:rPr>
        <w:t>There are some sets of laws or enactments that are applied or</w:t>
      </w:r>
      <w:r w:rsidR="001508BB" w:rsidRPr="004579C5">
        <w:rPr>
          <w:rFonts w:cs="Arial"/>
          <w:lang w:val="en-GB"/>
        </w:rPr>
        <w:t xml:space="preserve"> enforced by the police, prosecutors, and courts</w:t>
      </w:r>
      <w:r w:rsidRPr="004579C5">
        <w:rPr>
          <w:rFonts w:cs="Arial"/>
          <w:lang w:val="en-GB"/>
        </w:rPr>
        <w:t xml:space="preserve"> to the criminal</w:t>
      </w:r>
      <w:r w:rsidR="001508BB" w:rsidRPr="004579C5">
        <w:rPr>
          <w:rFonts w:cs="Arial"/>
          <w:lang w:val="en-GB"/>
        </w:rPr>
        <w:t xml:space="preserve">. Crimes are classified as either summary offenses or indictable offenses, with the latter being more serious and requiring a trial by jury. </w:t>
      </w:r>
      <w:r w:rsidRPr="004579C5">
        <w:rPr>
          <w:rFonts w:cs="Arial"/>
          <w:lang w:val="en-GB"/>
        </w:rPr>
        <w:t xml:space="preserve">Additionally, judges in the United Kingdom use a set of sentencing guidelines to determine the appropriate sentence for a convicted criminal. </w:t>
      </w:r>
      <w:r w:rsidR="00F365EF" w:rsidRPr="004579C5">
        <w:rPr>
          <w:rFonts w:cs="Arial"/>
          <w:lang w:val="en-GB"/>
        </w:rPr>
        <w:t>Equally</w:t>
      </w:r>
      <w:r w:rsidRPr="004579C5">
        <w:rPr>
          <w:rFonts w:cs="Arial"/>
          <w:lang w:val="en-GB"/>
        </w:rPr>
        <w:t>, the UK law enforcement framework puts major areas of strength for an on the insurance of individual freedoms and fair treatment.</w:t>
      </w:r>
    </w:p>
    <w:p w14:paraId="626C4F34" w14:textId="77777777" w:rsidR="00C16B1A" w:rsidRPr="004579C5" w:rsidRDefault="00C16B1A" w:rsidP="00864599">
      <w:pPr>
        <w:pStyle w:val="Heading1"/>
        <w:rPr>
          <w:lang w:val="en-GB"/>
        </w:rPr>
      </w:pPr>
      <w:bookmarkStart w:id="1" w:name="_Toc133948346"/>
      <w:r w:rsidRPr="004579C5">
        <w:rPr>
          <w:lang w:val="en-GB"/>
        </w:rPr>
        <w:t>Body</w:t>
      </w:r>
      <w:bookmarkEnd w:id="1"/>
    </w:p>
    <w:p w14:paraId="70275E95" w14:textId="77777777" w:rsidR="00C16B1A" w:rsidRPr="004579C5" w:rsidRDefault="00C16B1A" w:rsidP="003308AF">
      <w:pPr>
        <w:rPr>
          <w:rFonts w:cs="Arial"/>
          <w:b/>
          <w:lang w:val="en-GB"/>
        </w:rPr>
      </w:pPr>
      <w:r w:rsidRPr="004579C5">
        <w:rPr>
          <w:rFonts w:cs="Arial"/>
          <w:b/>
          <w:lang w:val="en-GB"/>
        </w:rPr>
        <w:t>Rule</w:t>
      </w:r>
    </w:p>
    <w:p w14:paraId="316476D0" w14:textId="77777777" w:rsidR="00C16B1A" w:rsidRPr="004579C5" w:rsidRDefault="00C16B1A" w:rsidP="00C16B1A">
      <w:pPr>
        <w:rPr>
          <w:rFonts w:cs="Arial"/>
          <w:lang w:val="en-GB"/>
        </w:rPr>
      </w:pPr>
      <w:r w:rsidRPr="004579C5">
        <w:rPr>
          <w:rFonts w:cs="Arial"/>
          <w:lang w:val="en-GB"/>
        </w:rPr>
        <w:t>In the case of the tort of negligence,</w:t>
      </w:r>
      <w:r w:rsidR="00693A03" w:rsidRPr="004579C5">
        <w:rPr>
          <w:rFonts w:cs="Arial"/>
          <w:lang w:val="en-GB"/>
        </w:rPr>
        <w:t> negligence</w:t>
      </w:r>
      <w:r w:rsidRPr="004579C5">
        <w:rPr>
          <w:rFonts w:cs="Arial"/>
          <w:lang w:val="en-GB"/>
        </w:rPr>
        <w:t xml:space="preserve"> is regarded as the bridge of legal duty that is to be taken care which can lead to damage caused by the defendant to the plaintiff. The term negligence is used with the purpose of including the defendant for the liability under Civil law. </w:t>
      </w:r>
      <w:r w:rsidR="00693A03" w:rsidRPr="004579C5">
        <w:rPr>
          <w:rFonts w:cs="Arial"/>
          <w:lang w:val="en-GB"/>
        </w:rPr>
        <w:t>Sometimes</w:t>
      </w:r>
      <w:r w:rsidRPr="004579C5">
        <w:rPr>
          <w:rFonts w:cs="Arial"/>
          <w:lang w:val="en-GB"/>
        </w:rPr>
        <w:t xml:space="preserve"> it can be evaluated with the help of criminal law as well. In the case of civil law, negligence is measured in accordance with the amount of damages incurred</w:t>
      </w:r>
      <w:r w:rsidR="00B31F1B">
        <w:rPr>
          <w:rFonts w:cs="Arial"/>
          <w:lang w:val="en-GB"/>
        </w:rPr>
        <w:t xml:space="preserve"> (</w:t>
      </w:r>
      <w:r w:rsidR="00B31F1B">
        <w:rPr>
          <w:rFonts w:cs="Arial"/>
        </w:rPr>
        <w:t xml:space="preserve">Stoyanova, </w:t>
      </w:r>
      <w:r w:rsidR="00B31F1B" w:rsidRPr="00B31F1B">
        <w:rPr>
          <w:rFonts w:cs="Arial"/>
        </w:rPr>
        <w:t>2020</w:t>
      </w:r>
      <w:r w:rsidR="00B31F1B">
        <w:rPr>
          <w:rFonts w:cs="Arial"/>
        </w:rPr>
        <w:t>)</w:t>
      </w:r>
      <w:r w:rsidRPr="004579C5">
        <w:rPr>
          <w:rFonts w:cs="Arial"/>
          <w:lang w:val="en-GB"/>
        </w:rPr>
        <w:t xml:space="preserve">. </w:t>
      </w:r>
      <w:r w:rsidR="00693A03" w:rsidRPr="004579C5">
        <w:rPr>
          <w:rFonts w:cs="Arial"/>
          <w:lang w:val="en-GB"/>
        </w:rPr>
        <w:t>However, criminal law analyse</w:t>
      </w:r>
      <w:r w:rsidRPr="004579C5">
        <w:rPr>
          <w:rFonts w:cs="Arial"/>
          <w:lang w:val="en-GB"/>
        </w:rPr>
        <w:t xml:space="preserve">s the degree of negligence to understand the liability. Torts are known as legal wrongs and negligence is a part of the same. The test required that the harm caused by the situation must be a foreseeable result of the conduct of the defendant. </w:t>
      </w:r>
      <w:r w:rsidR="00693A03" w:rsidRPr="004579C5">
        <w:rPr>
          <w:rFonts w:cs="Arial"/>
          <w:lang w:val="en-GB"/>
        </w:rPr>
        <w:t>Besides</w:t>
      </w:r>
      <w:r w:rsidRPr="004579C5">
        <w:rPr>
          <w:rFonts w:cs="Arial"/>
          <w:lang w:val="en-GB"/>
        </w:rPr>
        <w:t xml:space="preserve"> that, the existence of a relationship of proximity is required in accordance with the tort of negligence. </w:t>
      </w:r>
      <w:r w:rsidR="00693A03" w:rsidRPr="004579C5">
        <w:rPr>
          <w:rFonts w:cs="Arial"/>
          <w:lang w:val="en-GB"/>
        </w:rPr>
        <w:t>Finally</w:t>
      </w:r>
      <w:r w:rsidRPr="004579C5">
        <w:rPr>
          <w:rFonts w:cs="Arial"/>
          <w:lang w:val="en-GB"/>
        </w:rPr>
        <w:t>, imposing the liability must be fair as well as reasonable.</w:t>
      </w:r>
    </w:p>
    <w:p w14:paraId="762EC6A0" w14:textId="77777777" w:rsidR="00C16B1A" w:rsidRPr="004579C5" w:rsidRDefault="00C16B1A" w:rsidP="00C16B1A">
      <w:pPr>
        <w:rPr>
          <w:rFonts w:cs="Arial"/>
          <w:lang w:val="en-GB"/>
        </w:rPr>
      </w:pPr>
      <w:r w:rsidRPr="004579C5">
        <w:rPr>
          <w:rFonts w:cs="Arial"/>
          <w:lang w:val="en-GB"/>
        </w:rPr>
        <w:t xml:space="preserve">The essentials of the tort of negligence are the duty of care and the duty to whom. </w:t>
      </w:r>
      <w:r w:rsidR="00693A03" w:rsidRPr="004579C5">
        <w:rPr>
          <w:rFonts w:cs="Arial"/>
          <w:lang w:val="en-GB"/>
        </w:rPr>
        <w:t>Duty</w:t>
      </w:r>
      <w:r w:rsidRPr="004579C5">
        <w:rPr>
          <w:rFonts w:cs="Arial"/>
          <w:lang w:val="en-GB"/>
        </w:rPr>
        <w:t xml:space="preserve"> of care is regarded as an important condition where the defendants owe the liability for negligence from the plaintiff.  </w:t>
      </w:r>
      <w:r w:rsidR="00693A03" w:rsidRPr="004579C5">
        <w:rPr>
          <w:rFonts w:cs="Arial"/>
          <w:lang w:val="en-GB"/>
        </w:rPr>
        <w:t>On</w:t>
      </w:r>
      <w:r w:rsidRPr="004579C5">
        <w:rPr>
          <w:rFonts w:cs="Arial"/>
          <w:lang w:val="en-GB"/>
        </w:rPr>
        <w:t xml:space="preserve"> the other hand, the duty to who reflects the scope and its expansion </w:t>
      </w:r>
      <w:r w:rsidR="00693A03" w:rsidRPr="004579C5">
        <w:rPr>
          <w:rFonts w:cs="Arial"/>
          <w:lang w:val="en-GB"/>
        </w:rPr>
        <w:t>rose</w:t>
      </w:r>
      <w:r w:rsidRPr="004579C5">
        <w:rPr>
          <w:rFonts w:cs="Arial"/>
          <w:lang w:val="en-GB"/>
        </w:rPr>
        <w:t xml:space="preserve"> by the situation. </w:t>
      </w:r>
      <w:r w:rsidR="00693A03" w:rsidRPr="004579C5">
        <w:rPr>
          <w:rFonts w:cs="Arial"/>
          <w:lang w:val="en-GB"/>
        </w:rPr>
        <w:t>Besides</w:t>
      </w:r>
      <w:r w:rsidRPr="004579C5">
        <w:rPr>
          <w:rFonts w:cs="Arial"/>
          <w:lang w:val="en-GB"/>
        </w:rPr>
        <w:t xml:space="preserve"> that, a duty must be there towards the plaintiff. </w:t>
      </w:r>
      <w:r w:rsidR="00693A03" w:rsidRPr="004579C5">
        <w:rPr>
          <w:rFonts w:cs="Arial"/>
          <w:lang w:val="en-GB"/>
        </w:rPr>
        <w:t>In</w:t>
      </w:r>
      <w:r w:rsidRPr="004579C5">
        <w:rPr>
          <w:rFonts w:cs="Arial"/>
          <w:lang w:val="en-GB"/>
        </w:rPr>
        <w:t xml:space="preserve"> addition to that, an important condition for the liability is that the plaintiff is responsible to prove the negligence which is the reason that the defendant has not </w:t>
      </w:r>
      <w:r w:rsidRPr="004579C5">
        <w:rPr>
          <w:rFonts w:cs="Arial"/>
          <w:lang w:val="en-GB"/>
        </w:rPr>
        <w:lastRenderedPageBreak/>
        <w:t>been able to perform duties</w:t>
      </w:r>
      <w:r w:rsidR="00B31F1B">
        <w:rPr>
          <w:rFonts w:cs="Arial"/>
          <w:lang w:val="en-GB"/>
        </w:rPr>
        <w:t xml:space="preserve"> (</w:t>
      </w:r>
      <w:proofErr w:type="spellStart"/>
      <w:r w:rsidR="00B31F1B" w:rsidRPr="00B31F1B">
        <w:rPr>
          <w:rFonts w:cs="Arial"/>
        </w:rPr>
        <w:t>Naimat</w:t>
      </w:r>
      <w:proofErr w:type="spellEnd"/>
      <w:r w:rsidR="00B31F1B">
        <w:rPr>
          <w:rFonts w:cs="Arial"/>
        </w:rPr>
        <w:t xml:space="preserve"> </w:t>
      </w:r>
      <w:r w:rsidR="00B31F1B" w:rsidRPr="00B31F1B">
        <w:rPr>
          <w:rFonts w:cs="Arial"/>
          <w:i/>
        </w:rPr>
        <w:t>et al</w:t>
      </w:r>
      <w:r w:rsidR="00B31F1B">
        <w:rPr>
          <w:rFonts w:cs="Arial"/>
        </w:rPr>
        <w:t>., 2022)</w:t>
      </w:r>
      <w:r w:rsidR="00B31F1B">
        <w:rPr>
          <w:rFonts w:cs="Arial"/>
          <w:lang w:val="en-GB"/>
        </w:rPr>
        <w:t>.</w:t>
      </w:r>
      <w:r w:rsidRPr="004579C5">
        <w:rPr>
          <w:rFonts w:cs="Arial"/>
          <w:lang w:val="en-GB"/>
        </w:rPr>
        <w:t xml:space="preserve"> </w:t>
      </w:r>
      <w:r w:rsidR="00693A03" w:rsidRPr="004579C5">
        <w:rPr>
          <w:rFonts w:cs="Arial"/>
          <w:lang w:val="en-GB"/>
        </w:rPr>
        <w:t>Breach</w:t>
      </w:r>
      <w:r w:rsidRPr="004579C5">
        <w:rPr>
          <w:rFonts w:cs="Arial"/>
          <w:lang w:val="en-GB"/>
        </w:rPr>
        <w:t xml:space="preserve"> of duty is known as the non-observance of required care in a situation. </w:t>
      </w:r>
    </w:p>
    <w:p w14:paraId="7B86E9BF" w14:textId="77777777" w:rsidR="00C16B1A" w:rsidRPr="004579C5" w:rsidRDefault="00C16B1A" w:rsidP="003308AF">
      <w:pPr>
        <w:rPr>
          <w:rFonts w:cs="Arial"/>
          <w:lang w:val="en-GB"/>
        </w:rPr>
      </w:pPr>
      <w:r w:rsidRPr="004579C5">
        <w:rPr>
          <w:rFonts w:cs="Arial"/>
          <w:lang w:val="en-GB"/>
        </w:rPr>
        <w:t>The case of Polly and Mohammed depicts the Tort of negligence as Mohammed died due to the glass ashtray smashed by Polly on his head. This caused the instant death of Mohammed in that situation. The Tort of Negligence is regarded as a legal wrong that is caused by an individual and there is also a sufferer of the same</w:t>
      </w:r>
      <w:r w:rsidR="00B31F1B">
        <w:rPr>
          <w:rFonts w:cs="Arial"/>
          <w:lang w:val="en-GB"/>
        </w:rPr>
        <w:t xml:space="preserve"> (Chaudhary, 2020)</w:t>
      </w:r>
      <w:r w:rsidRPr="004579C5">
        <w:rPr>
          <w:rFonts w:cs="Arial"/>
          <w:lang w:val="en-GB"/>
        </w:rPr>
        <w:t xml:space="preserve">. </w:t>
      </w:r>
      <w:r w:rsidR="00693A03" w:rsidRPr="004579C5">
        <w:rPr>
          <w:rFonts w:cs="Arial"/>
          <w:lang w:val="en-GB"/>
        </w:rPr>
        <w:t>The</w:t>
      </w:r>
      <w:r w:rsidRPr="004579C5">
        <w:rPr>
          <w:rFonts w:cs="Arial"/>
          <w:lang w:val="en-GB"/>
        </w:rPr>
        <w:t xml:space="preserve"> offender has not been capable of taking proper care of that situation due to this situation. On the other hand, an original person would understand the foreseeable risk in that situation however the offender has not been able to evaluate the consequences of the same.  </w:t>
      </w:r>
      <w:r w:rsidR="00693A03" w:rsidRPr="004579C5">
        <w:rPr>
          <w:rFonts w:cs="Arial"/>
          <w:lang w:val="en-GB"/>
        </w:rPr>
        <w:t>In</w:t>
      </w:r>
      <w:r w:rsidRPr="004579C5">
        <w:rPr>
          <w:rFonts w:cs="Arial"/>
          <w:lang w:val="en-GB"/>
        </w:rPr>
        <w:t xml:space="preserve"> the case of a common person, he would have understood the situation which has not been examined by Polly. She has become infuriated and that has been the reason for the cause of death of Mohammad in that situation. This is regarded as a criminal of in accordance with the Tort of Negligence. In accordance with the situation, a contractual relationship between the parties is involved however the Civil or related to the negligence has evolved around the time. </w:t>
      </w:r>
      <w:r w:rsidR="00693A03" w:rsidRPr="004579C5">
        <w:rPr>
          <w:rFonts w:cs="Arial"/>
          <w:lang w:val="en-GB"/>
        </w:rPr>
        <w:t>It</w:t>
      </w:r>
      <w:r w:rsidRPr="004579C5">
        <w:rPr>
          <w:rFonts w:cs="Arial"/>
          <w:lang w:val="en-GB"/>
        </w:rPr>
        <w:t xml:space="preserve"> has been capable of dealing the situations where there is no relationship between the parties as well. </w:t>
      </w:r>
    </w:p>
    <w:p w14:paraId="01C24DE2" w14:textId="77777777" w:rsidR="009F116E" w:rsidRPr="004579C5" w:rsidRDefault="009F116E" w:rsidP="003308AF">
      <w:pPr>
        <w:rPr>
          <w:rFonts w:cs="Arial"/>
          <w:b/>
          <w:lang w:val="en-GB"/>
        </w:rPr>
      </w:pPr>
      <w:r w:rsidRPr="004579C5">
        <w:rPr>
          <w:rFonts w:cs="Arial"/>
          <w:b/>
          <w:lang w:val="en-GB"/>
        </w:rPr>
        <w:t>Case law 1</w:t>
      </w:r>
      <w:r w:rsidR="00FF132F" w:rsidRPr="004579C5">
        <w:rPr>
          <w:rFonts w:cs="Arial"/>
          <w:b/>
          <w:lang w:val="en-GB"/>
        </w:rPr>
        <w:t>: R V Sangha (1998)</w:t>
      </w:r>
    </w:p>
    <w:p w14:paraId="16329692" w14:textId="7E5F04DE" w:rsidR="002A0F61" w:rsidRPr="004579C5" w:rsidRDefault="002A0F61" w:rsidP="003308AF">
      <w:pPr>
        <w:rPr>
          <w:rFonts w:cs="Arial"/>
          <w:lang w:val="en-GB"/>
        </w:rPr>
      </w:pPr>
      <w:r w:rsidRPr="004579C5">
        <w:rPr>
          <w:rFonts w:cs="Arial"/>
          <w:lang w:val="en-GB"/>
        </w:rPr>
        <w:t>According to the current body of case law, the appellant burned a mattress in a housing complex while the apartment was empty. The apartments were built so that the fire couldn't spread to other apartments nearby. Under section 1(2) of the Criminal Damage Act of 1971, the appellant challenged his conviction for aggravated criminal damage, arguing that the charge was unjustified because no lives were in danger.</w:t>
      </w:r>
      <w:r w:rsidR="00315AED" w:rsidRPr="004579C5">
        <w:rPr>
          <w:rFonts w:cs="Arial"/>
          <w:lang w:val="en-GB"/>
        </w:rPr>
        <w:t xml:space="preserve"> Moreover, from the entire story it can be stated that his belief was supported. </w:t>
      </w:r>
      <w:r w:rsidR="00AB5CB0" w:rsidRPr="004579C5">
        <w:rPr>
          <w:rFonts w:cs="Arial"/>
          <w:lang w:val="en-GB"/>
        </w:rPr>
        <w:t>According to the report of R V Sangha (1998), t</w:t>
      </w:r>
      <w:r w:rsidR="00315AED" w:rsidRPr="004579C5">
        <w:rPr>
          <w:rFonts w:cs="Arial"/>
          <w:lang w:val="en-GB"/>
        </w:rPr>
        <w:t xml:space="preserve">here was no such need like the life should be engaged at any cost. Now </w:t>
      </w:r>
      <w:r w:rsidR="00DE1634" w:rsidRPr="004579C5">
        <w:rPr>
          <w:rFonts w:cs="Arial"/>
          <w:lang w:val="en-GB"/>
        </w:rPr>
        <w:t xml:space="preserve">the main question is if a </w:t>
      </w:r>
      <w:r w:rsidR="00315AED" w:rsidRPr="004579C5">
        <w:rPr>
          <w:rFonts w:cs="Arial"/>
          <w:lang w:val="en-GB"/>
        </w:rPr>
        <w:t xml:space="preserve">reasonable bystander would have recognized an obvious risk of property damage and life risk when the fire started was the standard to be applied. It didn't matter if there were </w:t>
      </w:r>
      <w:r w:rsidR="00BA1661" w:rsidRPr="004579C5">
        <w:rPr>
          <w:rFonts w:cs="Arial"/>
          <w:lang w:val="en-GB"/>
        </w:rPr>
        <w:t>characteristics</w:t>
      </w:r>
      <w:r w:rsidR="00315AED" w:rsidRPr="004579C5">
        <w:rPr>
          <w:rFonts w:cs="Arial"/>
          <w:lang w:val="en-GB"/>
        </w:rPr>
        <w:t xml:space="preserve"> that prevented the risk from occurring.</w:t>
      </w:r>
    </w:p>
    <w:p w14:paraId="2DC70CC0" w14:textId="77777777" w:rsidR="009F116E" w:rsidRPr="004579C5" w:rsidRDefault="009F116E" w:rsidP="003308AF">
      <w:pPr>
        <w:rPr>
          <w:rFonts w:cs="Arial"/>
          <w:b/>
          <w:lang w:val="en-GB"/>
        </w:rPr>
      </w:pPr>
      <w:r w:rsidRPr="004579C5">
        <w:rPr>
          <w:rFonts w:cs="Arial"/>
          <w:b/>
          <w:lang w:val="en-GB"/>
        </w:rPr>
        <w:t>Case law 2</w:t>
      </w:r>
      <w:r w:rsidR="00FF132F" w:rsidRPr="004579C5">
        <w:rPr>
          <w:rFonts w:cs="Arial"/>
          <w:b/>
          <w:lang w:val="en-GB"/>
        </w:rPr>
        <w:t>: R V Hatter (2013)</w:t>
      </w:r>
    </w:p>
    <w:p w14:paraId="4840E496" w14:textId="7D40D843" w:rsidR="00AB5CB0" w:rsidRPr="004579C5" w:rsidRDefault="00AB5CB0" w:rsidP="003308AF">
      <w:pPr>
        <w:rPr>
          <w:rFonts w:cs="Arial"/>
          <w:lang w:val="en-GB"/>
        </w:rPr>
      </w:pPr>
      <w:r w:rsidRPr="004579C5">
        <w:rPr>
          <w:rFonts w:cs="Arial"/>
          <w:lang w:val="en-GB"/>
        </w:rPr>
        <w:lastRenderedPageBreak/>
        <w:t xml:space="preserve">In the </w:t>
      </w:r>
      <w:r w:rsidR="00384D27" w:rsidRPr="004579C5">
        <w:rPr>
          <w:rFonts w:cs="Arial"/>
          <w:lang w:val="en-GB"/>
        </w:rPr>
        <w:t xml:space="preserve">present scenario, it has been </w:t>
      </w:r>
      <w:proofErr w:type="spellStart"/>
      <w:r w:rsidR="00384D27" w:rsidRPr="004579C5">
        <w:rPr>
          <w:rFonts w:cs="Arial"/>
          <w:lang w:val="en-GB"/>
        </w:rPr>
        <w:t>analyzed</w:t>
      </w:r>
      <w:proofErr w:type="spellEnd"/>
      <w:r w:rsidR="00384D27" w:rsidRPr="004579C5">
        <w:rPr>
          <w:rFonts w:cs="Arial"/>
          <w:lang w:val="en-GB"/>
        </w:rPr>
        <w:t xml:space="preserve"> that Mark Hatter who has started a relationship with Dawn </w:t>
      </w:r>
      <w:proofErr w:type="spellStart"/>
      <w:r w:rsidR="00384D27" w:rsidRPr="004579C5">
        <w:rPr>
          <w:rFonts w:cs="Arial"/>
          <w:lang w:val="en-GB"/>
        </w:rPr>
        <w:t>Blackhouse</w:t>
      </w:r>
      <w:proofErr w:type="spellEnd"/>
      <w:r w:rsidR="00384D27" w:rsidRPr="004579C5">
        <w:rPr>
          <w:rFonts w:cs="Arial"/>
          <w:lang w:val="en-GB"/>
        </w:rPr>
        <w:t xml:space="preserve"> who was younger to him. Now, from the study it has been </w:t>
      </w:r>
      <w:proofErr w:type="spellStart"/>
      <w:r w:rsidR="00384D27" w:rsidRPr="004579C5">
        <w:rPr>
          <w:rFonts w:cs="Arial"/>
          <w:lang w:val="en-GB"/>
        </w:rPr>
        <w:t>analyzed</w:t>
      </w:r>
      <w:proofErr w:type="spellEnd"/>
      <w:r w:rsidR="00384D27" w:rsidRPr="004579C5">
        <w:rPr>
          <w:rFonts w:cs="Arial"/>
          <w:lang w:val="en-GB"/>
        </w:rPr>
        <w:t xml:space="preserve"> that the person was highly kind towards her and her kids. She had </w:t>
      </w:r>
      <w:r w:rsidR="001565A2" w:rsidRPr="004579C5">
        <w:rPr>
          <w:rFonts w:cs="Arial"/>
          <w:lang w:val="en-GB"/>
        </w:rPr>
        <w:t>assured</w:t>
      </w:r>
      <w:r w:rsidR="00384D27" w:rsidRPr="004579C5">
        <w:rPr>
          <w:rFonts w:cs="Arial"/>
          <w:lang w:val="en-GB"/>
        </w:rPr>
        <w:t xml:space="preserve"> to reverse her </w:t>
      </w:r>
      <w:r w:rsidR="001565A2" w:rsidRPr="004579C5">
        <w:rPr>
          <w:rFonts w:cs="Arial"/>
          <w:lang w:val="en-GB"/>
        </w:rPr>
        <w:t>decontamination</w:t>
      </w:r>
      <w:r w:rsidR="00384D27" w:rsidRPr="004579C5">
        <w:rPr>
          <w:rFonts w:cs="Arial"/>
          <w:lang w:val="en-GB"/>
        </w:rPr>
        <w:t xml:space="preserve">, and he had never been married. </w:t>
      </w:r>
      <w:r w:rsidR="001565A2" w:rsidRPr="004579C5">
        <w:rPr>
          <w:rFonts w:cs="Arial"/>
          <w:lang w:val="en-GB"/>
        </w:rPr>
        <w:t xml:space="preserve">In the near future it has also been observed that just to </w:t>
      </w:r>
      <w:r w:rsidR="00384D27" w:rsidRPr="004579C5">
        <w:rPr>
          <w:rFonts w:cs="Arial"/>
          <w:lang w:val="en-GB"/>
        </w:rPr>
        <w:t>g</w:t>
      </w:r>
      <w:r w:rsidR="001565A2" w:rsidRPr="004579C5">
        <w:rPr>
          <w:rFonts w:cs="Arial"/>
          <w:lang w:val="en-GB"/>
        </w:rPr>
        <w:t>e</w:t>
      </w:r>
      <w:r w:rsidR="00384D27" w:rsidRPr="004579C5">
        <w:rPr>
          <w:rFonts w:cs="Arial"/>
          <w:lang w:val="en-GB"/>
        </w:rPr>
        <w:t xml:space="preserve">t rid of </w:t>
      </w:r>
      <w:r w:rsidR="001565A2" w:rsidRPr="004579C5">
        <w:rPr>
          <w:rFonts w:cs="Arial"/>
          <w:lang w:val="en-GB"/>
        </w:rPr>
        <w:t xml:space="preserve">all </w:t>
      </w:r>
      <w:r w:rsidR="00BA1661" w:rsidRPr="004579C5">
        <w:rPr>
          <w:rFonts w:cs="Arial"/>
          <w:lang w:val="en-GB"/>
        </w:rPr>
        <w:t>these stuffs</w:t>
      </w:r>
      <w:r w:rsidR="00BA1661">
        <w:rPr>
          <w:rFonts w:cs="Arial"/>
          <w:lang w:val="en-GB"/>
        </w:rPr>
        <w:t>,</w:t>
      </w:r>
      <w:r w:rsidR="00384D27" w:rsidRPr="004579C5">
        <w:rPr>
          <w:rFonts w:cs="Arial"/>
          <w:lang w:val="en-GB"/>
        </w:rPr>
        <w:t xml:space="preserve"> she began seeing another man despite the fact that she never told the litigant it was finished. </w:t>
      </w:r>
      <w:r w:rsidR="00AF2F18" w:rsidRPr="004579C5">
        <w:rPr>
          <w:rFonts w:cs="Arial"/>
          <w:lang w:val="en-GB"/>
        </w:rPr>
        <w:t>As per the statement of R V Hatter (2013), h</w:t>
      </w:r>
      <w:r w:rsidR="001565A2" w:rsidRPr="004579C5">
        <w:rPr>
          <w:rFonts w:cs="Arial"/>
          <w:lang w:val="en-GB"/>
        </w:rPr>
        <w:t>e went to her house at midnight with a knife after breaking through an upstairs window. He asserted that while he was holding the blade, he was lifting the floor coverings when he coincidentally wounded her in the chest and wrist. After that, he stabbed himself in the chest and committed suicide. During the preliminary, the litigant guaranteed a mishap, yet the jury dismissed this case. Because there was no evidence that</w:t>
      </w:r>
      <w:r w:rsidR="00CD2DEF">
        <w:rPr>
          <w:rFonts w:cs="Arial"/>
          <w:lang w:val="en-GB"/>
        </w:rPr>
        <w:t xml:space="preserve"> the defendant had lost control so that,</w:t>
      </w:r>
      <w:r w:rsidR="001565A2" w:rsidRPr="004579C5">
        <w:rPr>
          <w:rFonts w:cs="Arial"/>
          <w:lang w:val="en-GB"/>
        </w:rPr>
        <w:t xml:space="preserve"> the circumstances </w:t>
      </w:r>
      <w:r w:rsidR="00CD2DEF" w:rsidRPr="004579C5">
        <w:rPr>
          <w:rFonts w:cs="Arial"/>
          <w:lang w:val="en-GB"/>
        </w:rPr>
        <w:t>was</w:t>
      </w:r>
      <w:r w:rsidR="001565A2" w:rsidRPr="004579C5">
        <w:rPr>
          <w:rFonts w:cs="Arial"/>
          <w:lang w:val="en-GB"/>
        </w:rPr>
        <w:t xml:space="preserve"> not particularly grave, and he did not have a justifiable sense of being seriously wronged, the trial judge decided that the jury could not hear about loss of control.</w:t>
      </w:r>
      <w:r w:rsidR="004579C5">
        <w:rPr>
          <w:rFonts w:cs="Arial"/>
          <w:lang w:val="en-GB"/>
        </w:rPr>
        <w:t xml:space="preserve"> </w:t>
      </w:r>
      <w:r w:rsidR="00384D27" w:rsidRPr="004579C5">
        <w:rPr>
          <w:rFonts w:cs="Arial"/>
          <w:lang w:val="en-GB"/>
        </w:rPr>
        <w:t>The judge's finding that the defendant had lost control was appealed by the defendant.</w:t>
      </w:r>
    </w:p>
    <w:p w14:paraId="7C8E293A" w14:textId="77777777" w:rsidR="009F116E" w:rsidRPr="004579C5" w:rsidRDefault="009F116E" w:rsidP="003308AF">
      <w:pPr>
        <w:rPr>
          <w:rFonts w:cs="Arial"/>
          <w:b/>
          <w:lang w:val="en-GB"/>
        </w:rPr>
      </w:pPr>
      <w:r w:rsidRPr="004579C5">
        <w:rPr>
          <w:rFonts w:cs="Arial"/>
          <w:b/>
          <w:lang w:val="en-GB"/>
        </w:rPr>
        <w:t>Case law 3</w:t>
      </w:r>
      <w:r w:rsidR="00FF132F" w:rsidRPr="004579C5">
        <w:rPr>
          <w:rFonts w:cs="Arial"/>
          <w:b/>
          <w:lang w:val="en-GB"/>
        </w:rPr>
        <w:t>: R V Kemp (1957)</w:t>
      </w:r>
    </w:p>
    <w:p w14:paraId="74D094FF" w14:textId="2EF906B6" w:rsidR="009E50C1" w:rsidRPr="004579C5" w:rsidRDefault="00037724" w:rsidP="003308AF">
      <w:pPr>
        <w:rPr>
          <w:rFonts w:cs="Arial"/>
          <w:lang w:val="en-GB"/>
        </w:rPr>
      </w:pPr>
      <w:r w:rsidRPr="004579C5">
        <w:rPr>
          <w:rFonts w:cs="Arial"/>
          <w:lang w:val="en-GB"/>
        </w:rPr>
        <w:t xml:space="preserve">In the present case, it has been </w:t>
      </w:r>
      <w:proofErr w:type="spellStart"/>
      <w:r w:rsidRPr="004579C5">
        <w:rPr>
          <w:rFonts w:cs="Arial"/>
          <w:lang w:val="en-GB"/>
        </w:rPr>
        <w:t>analyzed</w:t>
      </w:r>
      <w:proofErr w:type="spellEnd"/>
      <w:r w:rsidRPr="004579C5">
        <w:rPr>
          <w:rFonts w:cs="Arial"/>
          <w:lang w:val="en-GB"/>
        </w:rPr>
        <w:t xml:space="preserve"> that </w:t>
      </w:r>
      <w:r w:rsidR="00A4360E" w:rsidRPr="004579C5">
        <w:rPr>
          <w:rFonts w:cs="Arial"/>
          <w:lang w:val="en-GB"/>
        </w:rPr>
        <w:t>the husband in this scenario was silent and highly obedient towards her wife suddenly</w:t>
      </w:r>
      <w:r w:rsidR="00D45F95" w:rsidRPr="004579C5">
        <w:rPr>
          <w:rFonts w:cs="Arial"/>
          <w:lang w:val="en-GB"/>
        </w:rPr>
        <w:t xml:space="preserve"> used a </w:t>
      </w:r>
      <w:r w:rsidR="00A4360E" w:rsidRPr="004579C5">
        <w:rPr>
          <w:rFonts w:cs="Arial"/>
          <w:lang w:val="en-GB"/>
        </w:rPr>
        <w:t>hammer to violently assault her without any significant</w:t>
      </w:r>
      <w:r w:rsidR="00D45F95" w:rsidRPr="004579C5">
        <w:rPr>
          <w:rFonts w:cs="Arial"/>
          <w:lang w:val="en-GB"/>
        </w:rPr>
        <w:t xml:space="preserve"> reason. </w:t>
      </w:r>
      <w:r w:rsidR="00A4360E" w:rsidRPr="004579C5">
        <w:rPr>
          <w:rFonts w:cs="Arial"/>
          <w:lang w:val="en-GB"/>
        </w:rPr>
        <w:t>In addition to that, h</w:t>
      </w:r>
      <w:r w:rsidR="00D45F95" w:rsidRPr="004579C5">
        <w:rPr>
          <w:rFonts w:cs="Arial"/>
          <w:lang w:val="en-GB"/>
        </w:rPr>
        <w:t xml:space="preserve">e was </w:t>
      </w:r>
      <w:r w:rsidR="00A4360E" w:rsidRPr="004579C5">
        <w:rPr>
          <w:rFonts w:cs="Arial"/>
          <w:lang w:val="en-GB"/>
        </w:rPr>
        <w:t xml:space="preserve">also </w:t>
      </w:r>
      <w:r w:rsidR="00D45F95" w:rsidRPr="004579C5">
        <w:rPr>
          <w:rFonts w:cs="Arial"/>
          <w:lang w:val="en-GB"/>
        </w:rPr>
        <w:t xml:space="preserve">accused of causing harm, </w:t>
      </w:r>
      <w:r w:rsidR="00A4360E" w:rsidRPr="004579C5">
        <w:rPr>
          <w:rFonts w:cs="Arial"/>
          <w:lang w:val="en-GB"/>
        </w:rPr>
        <w:t>but after some point of time it has been</w:t>
      </w:r>
      <w:r w:rsidR="004579C5">
        <w:rPr>
          <w:rFonts w:cs="Arial"/>
          <w:lang w:val="en-GB"/>
        </w:rPr>
        <w:t xml:space="preserve"> </w:t>
      </w:r>
      <w:r w:rsidR="00A4360E" w:rsidRPr="004579C5">
        <w:rPr>
          <w:rFonts w:cs="Arial"/>
          <w:lang w:val="en-GB"/>
        </w:rPr>
        <w:t xml:space="preserve">observed that due to some previous </w:t>
      </w:r>
      <w:r w:rsidR="00BA1661" w:rsidRPr="004579C5">
        <w:rPr>
          <w:rFonts w:cs="Arial"/>
          <w:lang w:val="en-GB"/>
        </w:rPr>
        <w:t>reasons,</w:t>
      </w:r>
      <w:r w:rsidR="00A4360E" w:rsidRPr="004579C5">
        <w:rPr>
          <w:rFonts w:cs="Arial"/>
          <w:lang w:val="en-GB"/>
        </w:rPr>
        <w:t xml:space="preserve"> he had a blockage in his </w:t>
      </w:r>
      <w:r w:rsidR="00D45F95" w:rsidRPr="004579C5">
        <w:rPr>
          <w:rFonts w:cs="Arial"/>
          <w:lang w:val="en-GB"/>
        </w:rPr>
        <w:t xml:space="preserve">brain </w:t>
      </w:r>
      <w:r w:rsidR="00A4360E" w:rsidRPr="004579C5">
        <w:rPr>
          <w:rFonts w:cs="Arial"/>
          <w:lang w:val="en-GB"/>
        </w:rPr>
        <w:t xml:space="preserve">because of </w:t>
      </w:r>
      <w:r w:rsidR="00D45F95" w:rsidRPr="004579C5">
        <w:rPr>
          <w:rFonts w:cs="Arial"/>
          <w:lang w:val="en-GB"/>
        </w:rPr>
        <w:t>hardened arteries</w:t>
      </w:r>
      <w:r w:rsidR="00886426" w:rsidRPr="004579C5">
        <w:rPr>
          <w:rFonts w:cs="Arial"/>
          <w:lang w:val="en-GB"/>
        </w:rPr>
        <w:t xml:space="preserve"> (R V Kemp, 1957)</w:t>
      </w:r>
      <w:r w:rsidR="00D45F95" w:rsidRPr="004579C5">
        <w:rPr>
          <w:rFonts w:cs="Arial"/>
          <w:lang w:val="en-GB"/>
        </w:rPr>
        <w:t xml:space="preserve">. </w:t>
      </w:r>
      <w:r w:rsidR="00A4360E" w:rsidRPr="004579C5">
        <w:rPr>
          <w:rFonts w:cs="Arial"/>
          <w:lang w:val="en-GB"/>
        </w:rPr>
        <w:t xml:space="preserve">In the end, </w:t>
      </w:r>
      <w:r w:rsidR="00BA1661" w:rsidRPr="004579C5">
        <w:rPr>
          <w:rFonts w:cs="Arial"/>
          <w:lang w:val="en-GB"/>
        </w:rPr>
        <w:t>because of</w:t>
      </w:r>
      <w:r w:rsidR="00A4360E" w:rsidRPr="004579C5">
        <w:rPr>
          <w:rFonts w:cs="Arial"/>
          <w:lang w:val="en-GB"/>
        </w:rPr>
        <w:t xml:space="preserve"> that he was completely unaware of what he did and </w:t>
      </w:r>
      <w:r w:rsidR="00D45F95" w:rsidRPr="004579C5">
        <w:rPr>
          <w:rFonts w:cs="Arial"/>
          <w:lang w:val="en-GB"/>
        </w:rPr>
        <w:t xml:space="preserve">picked up the hammer </w:t>
      </w:r>
      <w:r w:rsidR="00A4360E" w:rsidRPr="004579C5">
        <w:rPr>
          <w:rFonts w:cs="Arial"/>
          <w:lang w:val="en-GB"/>
        </w:rPr>
        <w:t>hit his wife with that</w:t>
      </w:r>
      <w:r w:rsidR="00D45F95" w:rsidRPr="004579C5">
        <w:rPr>
          <w:rFonts w:cs="Arial"/>
          <w:lang w:val="en-GB"/>
        </w:rPr>
        <w:t xml:space="preserve">. He </w:t>
      </w:r>
      <w:r w:rsidR="00A4360E" w:rsidRPr="004579C5">
        <w:rPr>
          <w:rFonts w:cs="Arial"/>
          <w:lang w:val="en-GB"/>
        </w:rPr>
        <w:t>projected</w:t>
      </w:r>
      <w:r w:rsidR="00D45F95" w:rsidRPr="004579C5">
        <w:rPr>
          <w:rFonts w:cs="Arial"/>
          <w:lang w:val="en-GB"/>
        </w:rPr>
        <w:t xml:space="preserve"> to use </w:t>
      </w:r>
      <w:r w:rsidR="00A4360E" w:rsidRPr="004579C5">
        <w:rPr>
          <w:rFonts w:cs="Arial"/>
          <w:lang w:val="en-GB"/>
        </w:rPr>
        <w:t xml:space="preserve">that in order to safeguard with </w:t>
      </w:r>
      <w:r w:rsidR="00D45F95" w:rsidRPr="004579C5">
        <w:rPr>
          <w:rFonts w:cs="Arial"/>
          <w:lang w:val="en-GB"/>
        </w:rPr>
        <w:t>his actions.</w:t>
      </w:r>
    </w:p>
    <w:p w14:paraId="00F0EF74" w14:textId="77777777" w:rsidR="004A07C2" w:rsidRPr="004579C5" w:rsidRDefault="004A07C2" w:rsidP="003308AF">
      <w:pPr>
        <w:rPr>
          <w:rFonts w:cs="Arial"/>
          <w:b/>
          <w:lang w:val="en-GB"/>
        </w:rPr>
      </w:pPr>
      <w:r w:rsidRPr="004579C5">
        <w:rPr>
          <w:rFonts w:cs="Arial"/>
          <w:b/>
          <w:lang w:val="en-GB"/>
        </w:rPr>
        <w:t xml:space="preserve">Case law 4: R V </w:t>
      </w:r>
      <w:proofErr w:type="spellStart"/>
      <w:r w:rsidRPr="004579C5">
        <w:rPr>
          <w:rFonts w:cs="Arial"/>
          <w:b/>
          <w:lang w:val="en-GB"/>
        </w:rPr>
        <w:t>Woollin</w:t>
      </w:r>
      <w:proofErr w:type="spellEnd"/>
      <w:r w:rsidRPr="004579C5">
        <w:rPr>
          <w:rFonts w:cs="Arial"/>
          <w:b/>
          <w:lang w:val="en-GB"/>
        </w:rPr>
        <w:t xml:space="preserve"> (1999)</w:t>
      </w:r>
    </w:p>
    <w:p w14:paraId="361EEF83" w14:textId="77777777" w:rsidR="008E52E4" w:rsidRPr="004579C5" w:rsidRDefault="008E52E4" w:rsidP="008E52E4">
      <w:pPr>
        <w:rPr>
          <w:rFonts w:cs="Arial"/>
          <w:lang w:val="en-GB"/>
        </w:rPr>
      </w:pPr>
      <w:r w:rsidRPr="004579C5">
        <w:rPr>
          <w:rFonts w:cs="Arial"/>
          <w:lang w:val="en-GB"/>
        </w:rPr>
        <w:t xml:space="preserve">In accordance with the case study of R V </w:t>
      </w:r>
      <w:proofErr w:type="spellStart"/>
      <w:r w:rsidRPr="004579C5">
        <w:rPr>
          <w:rFonts w:cs="Arial"/>
          <w:lang w:val="en-GB"/>
        </w:rPr>
        <w:t>Woollin</w:t>
      </w:r>
      <w:proofErr w:type="spellEnd"/>
      <w:r w:rsidRPr="004579C5">
        <w:rPr>
          <w:rFonts w:cs="Arial"/>
          <w:lang w:val="en-GB"/>
        </w:rPr>
        <w:t xml:space="preserve"> (1999), the major point was that the intention of Murder needs foresight of virtual certainty. According to the situation, it has been reflected that </w:t>
      </w:r>
      <w:proofErr w:type="spellStart"/>
      <w:r w:rsidRPr="004579C5">
        <w:rPr>
          <w:rFonts w:cs="Arial"/>
          <w:lang w:val="en-GB"/>
        </w:rPr>
        <w:t>Woollin</w:t>
      </w:r>
      <w:proofErr w:type="spellEnd"/>
      <w:r w:rsidRPr="004579C5">
        <w:rPr>
          <w:rFonts w:cs="Arial"/>
          <w:lang w:val="en-GB"/>
        </w:rPr>
        <w:t xml:space="preserve"> has tried to kill his three-month-old son by throwing him onto a hard surface. It could have been the reason for killing that baby. This case clearly shows the Tort of negligence where </w:t>
      </w:r>
      <w:proofErr w:type="spellStart"/>
      <w:r w:rsidRPr="004579C5">
        <w:rPr>
          <w:rFonts w:cs="Arial"/>
          <w:lang w:val="en-GB"/>
        </w:rPr>
        <w:t>Woollin</w:t>
      </w:r>
      <w:proofErr w:type="spellEnd"/>
      <w:r w:rsidRPr="004579C5">
        <w:rPr>
          <w:rFonts w:cs="Arial"/>
          <w:lang w:val="en-GB"/>
        </w:rPr>
        <w:t xml:space="preserve"> did not realise the consequences of the situation and tried to kill the baby. The direction of the judge has suggested that the </w:t>
      </w:r>
      <w:r w:rsidRPr="004579C5">
        <w:rPr>
          <w:rFonts w:cs="Arial"/>
          <w:lang w:val="en-GB"/>
        </w:rPr>
        <w:lastRenderedPageBreak/>
        <w:t>appellant had a realisation about the substantial risk along with the suffering of the child hens they could be capable of convicting him of Murder.  The appeal has been allowed and the conviction of the model was changed with the case of manslaughter. </w:t>
      </w:r>
    </w:p>
    <w:p w14:paraId="5BD73B2C" w14:textId="77777777" w:rsidR="009F116E" w:rsidRPr="004579C5" w:rsidRDefault="009F116E" w:rsidP="00864599">
      <w:pPr>
        <w:pStyle w:val="Heading1"/>
        <w:rPr>
          <w:lang w:val="en-GB"/>
        </w:rPr>
      </w:pPr>
      <w:bookmarkStart w:id="2" w:name="_Toc133948347"/>
      <w:r w:rsidRPr="004579C5">
        <w:rPr>
          <w:lang w:val="en-GB"/>
        </w:rPr>
        <w:t>Conclusion</w:t>
      </w:r>
      <w:bookmarkEnd w:id="2"/>
    </w:p>
    <w:p w14:paraId="6B05F055" w14:textId="1F6A032C" w:rsidR="00886426" w:rsidRPr="004579C5" w:rsidRDefault="004579C5" w:rsidP="003308AF">
      <w:pPr>
        <w:rPr>
          <w:rFonts w:cs="Arial"/>
          <w:lang w:val="en-GB"/>
        </w:rPr>
      </w:pPr>
      <w:r w:rsidRPr="004579C5">
        <w:rPr>
          <w:rFonts w:cs="Arial"/>
          <w:lang w:val="en-GB"/>
        </w:rPr>
        <w:t xml:space="preserve">The study has clearly reflected the tort of negligence along with its principles. In accordance with the same, the case study of Polly and Mohammad has been analysed. The rage of Polly and negligence towards the consequences has been the reason for the death of Mohammed in the scenario. Thereafter, this has been analysed with the help of the discussion of the overall study. </w:t>
      </w:r>
      <w:r w:rsidR="00886426" w:rsidRPr="004579C5">
        <w:rPr>
          <w:rFonts w:cs="Arial"/>
          <w:lang w:val="en-GB"/>
        </w:rPr>
        <w:t xml:space="preserve">From the entire </w:t>
      </w:r>
      <w:r w:rsidR="00CF3CF1" w:rsidRPr="004579C5">
        <w:rPr>
          <w:rFonts w:cs="Arial"/>
          <w:lang w:val="en-GB"/>
        </w:rPr>
        <w:t xml:space="preserve">assessment it can be stated that the case of different for each of the cases and if someone is responsible for any particular case then that person needs to </w:t>
      </w:r>
      <w:r w:rsidR="00BA1661" w:rsidRPr="004579C5">
        <w:rPr>
          <w:rFonts w:cs="Arial"/>
          <w:lang w:val="en-GB"/>
        </w:rPr>
        <w:t>punish</w:t>
      </w:r>
      <w:r w:rsidR="00CF3CF1" w:rsidRPr="004579C5">
        <w:rPr>
          <w:rFonts w:cs="Arial"/>
          <w:lang w:val="en-GB"/>
        </w:rPr>
        <w:t xml:space="preserve"> </w:t>
      </w:r>
      <w:r w:rsidR="005678CF" w:rsidRPr="004579C5">
        <w:rPr>
          <w:rFonts w:cs="Arial"/>
          <w:lang w:val="en-GB"/>
        </w:rPr>
        <w:t xml:space="preserve">for this wrong work. In three different scenarios it has been </w:t>
      </w:r>
      <w:proofErr w:type="spellStart"/>
      <w:r w:rsidR="005678CF" w:rsidRPr="004579C5">
        <w:rPr>
          <w:rFonts w:cs="Arial"/>
          <w:lang w:val="en-GB"/>
        </w:rPr>
        <w:t>analyzed</w:t>
      </w:r>
      <w:proofErr w:type="spellEnd"/>
      <w:r w:rsidR="005678CF" w:rsidRPr="004579C5">
        <w:rPr>
          <w:rFonts w:cs="Arial"/>
          <w:lang w:val="en-GB"/>
        </w:rPr>
        <w:t xml:space="preserve"> that even if a person who is having some mental issues or some other problem which is affecting the emotions or heath of another person needs to be punished. </w:t>
      </w:r>
      <w:r w:rsidR="006E2A7F" w:rsidRPr="004579C5">
        <w:rPr>
          <w:rFonts w:cs="Arial"/>
          <w:lang w:val="en-GB"/>
        </w:rPr>
        <w:t xml:space="preserve">Moreover, by punishing those who break the law, it </w:t>
      </w:r>
      <w:r w:rsidR="00BE6844" w:rsidRPr="004579C5">
        <w:rPr>
          <w:rFonts w:cs="Arial"/>
          <w:lang w:val="en-GB"/>
        </w:rPr>
        <w:t xml:space="preserve">is highly important to identify </w:t>
      </w:r>
      <w:r w:rsidR="006E2A7F" w:rsidRPr="004579C5">
        <w:rPr>
          <w:rFonts w:cs="Arial"/>
          <w:lang w:val="en-GB"/>
        </w:rPr>
        <w:t>the</w:t>
      </w:r>
      <w:r w:rsidR="00BE6844" w:rsidRPr="004579C5">
        <w:rPr>
          <w:rFonts w:cs="Arial"/>
          <w:lang w:val="en-GB"/>
        </w:rPr>
        <w:t xml:space="preserve"> people who are performing the crime or criminal activities. </w:t>
      </w:r>
      <w:r w:rsidRPr="004579C5">
        <w:rPr>
          <w:rFonts w:cs="Arial"/>
          <w:lang w:val="en-GB"/>
        </w:rPr>
        <w:t xml:space="preserve">It has also evaluated the case law of R V </w:t>
      </w:r>
      <w:proofErr w:type="spellStart"/>
      <w:r w:rsidRPr="004579C5">
        <w:rPr>
          <w:rFonts w:cs="Arial"/>
          <w:lang w:val="en-GB"/>
        </w:rPr>
        <w:t>Woollin</w:t>
      </w:r>
      <w:proofErr w:type="spellEnd"/>
      <w:r w:rsidRPr="004579C5">
        <w:rPr>
          <w:rFonts w:cs="Arial"/>
          <w:lang w:val="en-GB"/>
        </w:rPr>
        <w:t xml:space="preserve"> with a similar situation where </w:t>
      </w:r>
      <w:proofErr w:type="spellStart"/>
      <w:r w:rsidRPr="004579C5">
        <w:rPr>
          <w:rFonts w:cs="Arial"/>
          <w:lang w:val="en-GB"/>
        </w:rPr>
        <w:t>Woollin</w:t>
      </w:r>
      <w:proofErr w:type="spellEnd"/>
      <w:r w:rsidRPr="004579C5">
        <w:rPr>
          <w:rFonts w:cs="Arial"/>
          <w:lang w:val="en-GB"/>
        </w:rPr>
        <w:t xml:space="preserve"> has tried to kill his three-month-old baby and that has been regarded as a murder by the judge. </w:t>
      </w:r>
    </w:p>
    <w:p w14:paraId="5DE1D58D" w14:textId="77777777" w:rsidR="00485136" w:rsidRPr="004579C5" w:rsidRDefault="00485136">
      <w:pPr>
        <w:spacing w:line="259" w:lineRule="auto"/>
        <w:jc w:val="left"/>
        <w:rPr>
          <w:rFonts w:cs="Arial"/>
          <w:lang w:val="en-GB"/>
        </w:rPr>
      </w:pPr>
      <w:r w:rsidRPr="004579C5">
        <w:rPr>
          <w:rFonts w:cs="Arial"/>
          <w:lang w:val="en-GB"/>
        </w:rPr>
        <w:br w:type="page"/>
      </w:r>
    </w:p>
    <w:p w14:paraId="3BCA78FC" w14:textId="77777777" w:rsidR="00485136" w:rsidRPr="004579C5" w:rsidRDefault="00485136" w:rsidP="00485136">
      <w:pPr>
        <w:pStyle w:val="Heading1"/>
        <w:rPr>
          <w:lang w:val="en-GB"/>
        </w:rPr>
      </w:pPr>
      <w:bookmarkStart w:id="3" w:name="_Toc133948348"/>
      <w:r w:rsidRPr="004579C5">
        <w:rPr>
          <w:lang w:val="en-GB"/>
        </w:rPr>
        <w:lastRenderedPageBreak/>
        <w:t>Reference List</w:t>
      </w:r>
      <w:bookmarkEnd w:id="3"/>
    </w:p>
    <w:p w14:paraId="61903190" w14:textId="77777777" w:rsidR="00B31F1B" w:rsidRPr="004579C5" w:rsidRDefault="00B31F1B" w:rsidP="003308AF">
      <w:pPr>
        <w:rPr>
          <w:rFonts w:cs="Arial"/>
          <w:lang w:val="en-GB"/>
        </w:rPr>
      </w:pPr>
      <w:r w:rsidRPr="00B31F1B">
        <w:rPr>
          <w:rFonts w:cs="Arial"/>
        </w:rPr>
        <w:t>Chaudhary, R.S., 2020. Tort: Professional Negligence of Investigating Authorities with its Legal Remedies. </w:t>
      </w:r>
      <w:r w:rsidRPr="00B31F1B">
        <w:rPr>
          <w:rFonts w:cs="Arial"/>
          <w:i/>
          <w:iCs/>
        </w:rPr>
        <w:t>Available at SSRN 3688322</w:t>
      </w:r>
      <w:r w:rsidRPr="00B31F1B">
        <w:rPr>
          <w:rFonts w:cs="Arial"/>
        </w:rPr>
        <w:t>.</w:t>
      </w:r>
    </w:p>
    <w:p w14:paraId="73CA4F3B" w14:textId="77777777" w:rsidR="00B31F1B" w:rsidRDefault="00B31F1B" w:rsidP="003308AF">
      <w:pPr>
        <w:rPr>
          <w:rFonts w:cs="Arial"/>
        </w:rPr>
      </w:pPr>
      <w:proofErr w:type="spellStart"/>
      <w:r w:rsidRPr="00B31F1B">
        <w:rPr>
          <w:rFonts w:cs="Arial"/>
        </w:rPr>
        <w:t>Naimat</w:t>
      </w:r>
      <w:proofErr w:type="spellEnd"/>
      <w:r w:rsidRPr="00B31F1B">
        <w:rPr>
          <w:rFonts w:cs="Arial"/>
        </w:rPr>
        <w:t>, N., Bakar, E.A. and Arif, A.M.M., 2022. Liability of the Manufacturer under Tort of Negligence on the Issue of Halal. </w:t>
      </w:r>
      <w:r w:rsidRPr="00B31F1B">
        <w:rPr>
          <w:rFonts w:cs="Arial"/>
          <w:i/>
          <w:iCs/>
        </w:rPr>
        <w:t>Malaysian Journal of Social Sciences and Humanities (MJSSH)</w:t>
      </w:r>
      <w:r w:rsidRPr="00B31F1B">
        <w:rPr>
          <w:rFonts w:cs="Arial"/>
        </w:rPr>
        <w:t>, </w:t>
      </w:r>
      <w:r w:rsidRPr="00B31F1B">
        <w:rPr>
          <w:rFonts w:cs="Arial"/>
          <w:i/>
          <w:iCs/>
        </w:rPr>
        <w:t>7</w:t>
      </w:r>
      <w:r w:rsidRPr="00B31F1B">
        <w:rPr>
          <w:rFonts w:cs="Arial"/>
        </w:rPr>
        <w:t>(10), pp.e001808-e001808.</w:t>
      </w:r>
    </w:p>
    <w:p w14:paraId="334E762E" w14:textId="77777777" w:rsidR="00B31F1B" w:rsidRDefault="00B31F1B" w:rsidP="003308AF">
      <w:pPr>
        <w:rPr>
          <w:rFonts w:cs="Arial"/>
        </w:rPr>
      </w:pPr>
      <w:r w:rsidRPr="00B31F1B">
        <w:rPr>
          <w:rFonts w:cs="Arial"/>
        </w:rPr>
        <w:t>Stoyanova, V., 2020. Common law tort of negligence as a tool for deconstructing positive obligations under the European convention on human rights. </w:t>
      </w:r>
      <w:r w:rsidRPr="00B31F1B">
        <w:rPr>
          <w:rFonts w:cs="Arial"/>
          <w:i/>
          <w:iCs/>
        </w:rPr>
        <w:t>The International Journal of Human Rights</w:t>
      </w:r>
      <w:r w:rsidRPr="00B31F1B">
        <w:rPr>
          <w:rFonts w:cs="Arial"/>
        </w:rPr>
        <w:t>, </w:t>
      </w:r>
      <w:r w:rsidRPr="00B31F1B">
        <w:rPr>
          <w:rFonts w:cs="Arial"/>
          <w:i/>
          <w:iCs/>
        </w:rPr>
        <w:t>24</w:t>
      </w:r>
      <w:r w:rsidRPr="00B31F1B">
        <w:rPr>
          <w:rFonts w:cs="Arial"/>
        </w:rPr>
        <w:t>(5), pp.632-655.</w:t>
      </w:r>
    </w:p>
    <w:sectPr w:rsidR="00B31F1B" w:rsidSect="00E3519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4B474" w14:textId="77777777" w:rsidR="0095156E" w:rsidRDefault="0095156E" w:rsidP="008A48B0">
      <w:pPr>
        <w:spacing w:after="0" w:line="240" w:lineRule="auto"/>
      </w:pPr>
      <w:r>
        <w:separator/>
      </w:r>
    </w:p>
  </w:endnote>
  <w:endnote w:type="continuationSeparator" w:id="0">
    <w:p w14:paraId="099F5D50" w14:textId="77777777" w:rsidR="0095156E" w:rsidRDefault="0095156E" w:rsidP="008A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875986"/>
      <w:docPartObj>
        <w:docPartGallery w:val="Page Numbers (Bottom of Page)"/>
        <w:docPartUnique/>
      </w:docPartObj>
    </w:sdtPr>
    <w:sdtContent>
      <w:p w14:paraId="2D39D163" w14:textId="77777777" w:rsidR="00864599" w:rsidRDefault="00000000">
        <w:pPr>
          <w:pStyle w:val="Footer"/>
          <w:jc w:val="right"/>
        </w:pPr>
        <w:r>
          <w:fldChar w:fldCharType="begin"/>
        </w:r>
        <w:r>
          <w:instrText xml:space="preserve"> PAGE   \* MERGEFORMAT </w:instrText>
        </w:r>
        <w:r>
          <w:fldChar w:fldCharType="separate"/>
        </w:r>
        <w:r w:rsidR="00B31F1B">
          <w:rPr>
            <w:noProof/>
          </w:rPr>
          <w:t>1</w:t>
        </w:r>
        <w:r>
          <w:rPr>
            <w:noProof/>
          </w:rPr>
          <w:fldChar w:fldCharType="end"/>
        </w:r>
      </w:p>
    </w:sdtContent>
  </w:sdt>
  <w:p w14:paraId="1E227E76" w14:textId="77777777" w:rsidR="008A48B0" w:rsidRDefault="008A4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C107F" w14:textId="77777777" w:rsidR="0095156E" w:rsidRDefault="0095156E" w:rsidP="008A48B0">
      <w:pPr>
        <w:spacing w:after="0" w:line="240" w:lineRule="auto"/>
      </w:pPr>
      <w:r>
        <w:separator/>
      </w:r>
    </w:p>
  </w:footnote>
  <w:footnote w:type="continuationSeparator" w:id="0">
    <w:p w14:paraId="64C4205B" w14:textId="77777777" w:rsidR="0095156E" w:rsidRDefault="0095156E" w:rsidP="008A48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8AF"/>
    <w:rsid w:val="00037724"/>
    <w:rsid w:val="001508BB"/>
    <w:rsid w:val="001565A2"/>
    <w:rsid w:val="002A0F61"/>
    <w:rsid w:val="002C440E"/>
    <w:rsid w:val="00301BAA"/>
    <w:rsid w:val="00315AED"/>
    <w:rsid w:val="003308AF"/>
    <w:rsid w:val="00384D27"/>
    <w:rsid w:val="004579C5"/>
    <w:rsid w:val="004723EE"/>
    <w:rsid w:val="00485136"/>
    <w:rsid w:val="004A07C2"/>
    <w:rsid w:val="004C7620"/>
    <w:rsid w:val="005678CF"/>
    <w:rsid w:val="005F5A22"/>
    <w:rsid w:val="00655E6F"/>
    <w:rsid w:val="00693A03"/>
    <w:rsid w:val="006E2A7F"/>
    <w:rsid w:val="00721DBD"/>
    <w:rsid w:val="00864599"/>
    <w:rsid w:val="00886426"/>
    <w:rsid w:val="008A48B0"/>
    <w:rsid w:val="008E52E4"/>
    <w:rsid w:val="0095156E"/>
    <w:rsid w:val="00980679"/>
    <w:rsid w:val="009E50C1"/>
    <w:rsid w:val="009F116E"/>
    <w:rsid w:val="00A4360E"/>
    <w:rsid w:val="00AB5CB0"/>
    <w:rsid w:val="00AF2F18"/>
    <w:rsid w:val="00B31F1B"/>
    <w:rsid w:val="00BA1661"/>
    <w:rsid w:val="00BE6844"/>
    <w:rsid w:val="00C16B1A"/>
    <w:rsid w:val="00CD2DEF"/>
    <w:rsid w:val="00CF3CF1"/>
    <w:rsid w:val="00D45F95"/>
    <w:rsid w:val="00DE1634"/>
    <w:rsid w:val="00E35195"/>
    <w:rsid w:val="00F365EF"/>
    <w:rsid w:val="00F44278"/>
    <w:rsid w:val="00FF13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7C6E"/>
  <w15:docId w15:val="{EEF3CF57-B5D0-4BD6-8D0D-3A3A37CA9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599"/>
    <w:pPr>
      <w:spacing w:line="360" w:lineRule="auto"/>
      <w:jc w:val="both"/>
    </w:pPr>
    <w:rPr>
      <w:rFonts w:ascii="Arial" w:hAnsi="Arial"/>
      <w:sz w:val="24"/>
    </w:rPr>
  </w:style>
  <w:style w:type="paragraph" w:styleId="Heading1">
    <w:name w:val="heading 1"/>
    <w:basedOn w:val="Normal"/>
    <w:next w:val="Normal"/>
    <w:link w:val="Heading1Char"/>
    <w:uiPriority w:val="9"/>
    <w:qFormat/>
    <w:rsid w:val="00864599"/>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A48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48B0"/>
  </w:style>
  <w:style w:type="paragraph" w:styleId="Footer">
    <w:name w:val="footer"/>
    <w:basedOn w:val="Normal"/>
    <w:link w:val="FooterChar"/>
    <w:uiPriority w:val="99"/>
    <w:unhideWhenUsed/>
    <w:rsid w:val="008A4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8B0"/>
  </w:style>
  <w:style w:type="paragraph" w:styleId="Title">
    <w:name w:val="Title"/>
    <w:basedOn w:val="Normal"/>
    <w:next w:val="Normal"/>
    <w:link w:val="TitleChar"/>
    <w:uiPriority w:val="10"/>
    <w:qFormat/>
    <w:rsid w:val="0086459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64599"/>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864599"/>
    <w:rPr>
      <w:rFonts w:ascii="Arial" w:eastAsiaTheme="majorEastAsia" w:hAnsi="Arial" w:cstheme="majorBidi"/>
      <w:b/>
      <w:bCs/>
      <w:color w:val="000000" w:themeColor="text1"/>
      <w:sz w:val="24"/>
      <w:szCs w:val="28"/>
    </w:rPr>
  </w:style>
  <w:style w:type="paragraph" w:styleId="TOCHeading">
    <w:name w:val="TOC Heading"/>
    <w:basedOn w:val="Heading1"/>
    <w:next w:val="Normal"/>
    <w:uiPriority w:val="39"/>
    <w:semiHidden/>
    <w:unhideWhenUsed/>
    <w:qFormat/>
    <w:rsid w:val="00485136"/>
    <w:pPr>
      <w:spacing w:line="276" w:lineRule="auto"/>
      <w:jc w:val="left"/>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485136"/>
    <w:pPr>
      <w:spacing w:after="100"/>
    </w:pPr>
  </w:style>
  <w:style w:type="character" w:styleId="Hyperlink">
    <w:name w:val="Hyperlink"/>
    <w:basedOn w:val="DefaultParagraphFont"/>
    <w:uiPriority w:val="99"/>
    <w:unhideWhenUsed/>
    <w:rsid w:val="00485136"/>
    <w:rPr>
      <w:color w:val="0563C1" w:themeColor="hyperlink"/>
      <w:u w:val="single"/>
    </w:rPr>
  </w:style>
  <w:style w:type="paragraph" w:styleId="BalloonText">
    <w:name w:val="Balloon Text"/>
    <w:basedOn w:val="Normal"/>
    <w:link w:val="BalloonTextChar"/>
    <w:uiPriority w:val="99"/>
    <w:semiHidden/>
    <w:unhideWhenUsed/>
    <w:rsid w:val="00485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64196">
      <w:bodyDiv w:val="1"/>
      <w:marLeft w:val="0"/>
      <w:marRight w:val="0"/>
      <w:marTop w:val="0"/>
      <w:marBottom w:val="0"/>
      <w:divBdr>
        <w:top w:val="none" w:sz="0" w:space="0" w:color="auto"/>
        <w:left w:val="none" w:sz="0" w:space="0" w:color="auto"/>
        <w:bottom w:val="none" w:sz="0" w:space="0" w:color="auto"/>
        <w:right w:val="none" w:sz="0" w:space="0" w:color="auto"/>
      </w:divBdr>
    </w:div>
    <w:div w:id="365066960">
      <w:bodyDiv w:val="1"/>
      <w:marLeft w:val="0"/>
      <w:marRight w:val="0"/>
      <w:marTop w:val="0"/>
      <w:marBottom w:val="0"/>
      <w:divBdr>
        <w:top w:val="none" w:sz="0" w:space="0" w:color="auto"/>
        <w:left w:val="none" w:sz="0" w:space="0" w:color="auto"/>
        <w:bottom w:val="none" w:sz="0" w:space="0" w:color="auto"/>
        <w:right w:val="none" w:sz="0" w:space="0" w:color="auto"/>
      </w:divBdr>
    </w:div>
    <w:div w:id="880483655">
      <w:bodyDiv w:val="1"/>
      <w:marLeft w:val="0"/>
      <w:marRight w:val="0"/>
      <w:marTop w:val="0"/>
      <w:marBottom w:val="0"/>
      <w:divBdr>
        <w:top w:val="none" w:sz="0" w:space="0" w:color="auto"/>
        <w:left w:val="none" w:sz="0" w:space="0" w:color="auto"/>
        <w:bottom w:val="none" w:sz="0" w:space="0" w:color="auto"/>
        <w:right w:val="none" w:sz="0" w:space="0" w:color="auto"/>
      </w:divBdr>
      <w:divsChild>
        <w:div w:id="1940063140">
          <w:marLeft w:val="0"/>
          <w:marRight w:val="0"/>
          <w:marTop w:val="0"/>
          <w:marBottom w:val="0"/>
          <w:divBdr>
            <w:top w:val="single" w:sz="2" w:space="0" w:color="auto"/>
            <w:left w:val="single" w:sz="2" w:space="0" w:color="auto"/>
            <w:bottom w:val="single" w:sz="6" w:space="0" w:color="auto"/>
            <w:right w:val="single" w:sz="2" w:space="0" w:color="auto"/>
          </w:divBdr>
          <w:divsChild>
            <w:div w:id="1619485939">
              <w:marLeft w:val="0"/>
              <w:marRight w:val="0"/>
              <w:marTop w:val="100"/>
              <w:marBottom w:val="100"/>
              <w:divBdr>
                <w:top w:val="single" w:sz="2" w:space="0" w:color="D9D9E3"/>
                <w:left w:val="single" w:sz="2" w:space="0" w:color="D9D9E3"/>
                <w:bottom w:val="single" w:sz="2" w:space="0" w:color="D9D9E3"/>
                <w:right w:val="single" w:sz="2" w:space="0" w:color="D9D9E3"/>
              </w:divBdr>
              <w:divsChild>
                <w:div w:id="58481596">
                  <w:marLeft w:val="0"/>
                  <w:marRight w:val="0"/>
                  <w:marTop w:val="0"/>
                  <w:marBottom w:val="0"/>
                  <w:divBdr>
                    <w:top w:val="single" w:sz="2" w:space="0" w:color="D9D9E3"/>
                    <w:left w:val="single" w:sz="2" w:space="0" w:color="D9D9E3"/>
                    <w:bottom w:val="single" w:sz="2" w:space="0" w:color="D9D9E3"/>
                    <w:right w:val="single" w:sz="2" w:space="0" w:color="D9D9E3"/>
                  </w:divBdr>
                  <w:divsChild>
                    <w:div w:id="177693263">
                      <w:marLeft w:val="0"/>
                      <w:marRight w:val="0"/>
                      <w:marTop w:val="0"/>
                      <w:marBottom w:val="0"/>
                      <w:divBdr>
                        <w:top w:val="single" w:sz="2" w:space="0" w:color="D9D9E3"/>
                        <w:left w:val="single" w:sz="2" w:space="0" w:color="D9D9E3"/>
                        <w:bottom w:val="single" w:sz="2" w:space="0" w:color="D9D9E3"/>
                        <w:right w:val="single" w:sz="2" w:space="0" w:color="D9D9E3"/>
                      </w:divBdr>
                      <w:divsChild>
                        <w:div w:id="1053237190">
                          <w:marLeft w:val="0"/>
                          <w:marRight w:val="0"/>
                          <w:marTop w:val="0"/>
                          <w:marBottom w:val="0"/>
                          <w:divBdr>
                            <w:top w:val="single" w:sz="2" w:space="0" w:color="D9D9E3"/>
                            <w:left w:val="single" w:sz="2" w:space="0" w:color="D9D9E3"/>
                            <w:bottom w:val="single" w:sz="2" w:space="0" w:color="D9D9E3"/>
                            <w:right w:val="single" w:sz="2" w:space="0" w:color="D9D9E3"/>
                          </w:divBdr>
                          <w:divsChild>
                            <w:div w:id="122730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8143685">
      <w:bodyDiv w:val="1"/>
      <w:marLeft w:val="0"/>
      <w:marRight w:val="0"/>
      <w:marTop w:val="0"/>
      <w:marBottom w:val="0"/>
      <w:divBdr>
        <w:top w:val="none" w:sz="0" w:space="0" w:color="auto"/>
        <w:left w:val="none" w:sz="0" w:space="0" w:color="auto"/>
        <w:bottom w:val="none" w:sz="0" w:space="0" w:color="auto"/>
        <w:right w:val="none" w:sz="0" w:space="0" w:color="auto"/>
      </w:divBdr>
      <w:divsChild>
        <w:div w:id="270019472">
          <w:marLeft w:val="0"/>
          <w:marRight w:val="0"/>
          <w:marTop w:val="0"/>
          <w:marBottom w:val="0"/>
          <w:divBdr>
            <w:top w:val="single" w:sz="2" w:space="0" w:color="auto"/>
            <w:left w:val="single" w:sz="2" w:space="0" w:color="auto"/>
            <w:bottom w:val="single" w:sz="6" w:space="0" w:color="auto"/>
            <w:right w:val="single" w:sz="2" w:space="0" w:color="auto"/>
          </w:divBdr>
          <w:divsChild>
            <w:div w:id="424156776">
              <w:marLeft w:val="0"/>
              <w:marRight w:val="0"/>
              <w:marTop w:val="100"/>
              <w:marBottom w:val="100"/>
              <w:divBdr>
                <w:top w:val="single" w:sz="2" w:space="0" w:color="D9D9E3"/>
                <w:left w:val="single" w:sz="2" w:space="0" w:color="D9D9E3"/>
                <w:bottom w:val="single" w:sz="2" w:space="0" w:color="D9D9E3"/>
                <w:right w:val="single" w:sz="2" w:space="0" w:color="D9D9E3"/>
              </w:divBdr>
              <w:divsChild>
                <w:div w:id="82772172">
                  <w:marLeft w:val="0"/>
                  <w:marRight w:val="0"/>
                  <w:marTop w:val="0"/>
                  <w:marBottom w:val="0"/>
                  <w:divBdr>
                    <w:top w:val="single" w:sz="2" w:space="0" w:color="D9D9E3"/>
                    <w:left w:val="single" w:sz="2" w:space="0" w:color="D9D9E3"/>
                    <w:bottom w:val="single" w:sz="2" w:space="0" w:color="D9D9E3"/>
                    <w:right w:val="single" w:sz="2" w:space="0" w:color="D9D9E3"/>
                  </w:divBdr>
                  <w:divsChild>
                    <w:div w:id="2084527664">
                      <w:marLeft w:val="0"/>
                      <w:marRight w:val="0"/>
                      <w:marTop w:val="0"/>
                      <w:marBottom w:val="0"/>
                      <w:divBdr>
                        <w:top w:val="single" w:sz="2" w:space="0" w:color="D9D9E3"/>
                        <w:left w:val="single" w:sz="2" w:space="0" w:color="D9D9E3"/>
                        <w:bottom w:val="single" w:sz="2" w:space="0" w:color="D9D9E3"/>
                        <w:right w:val="single" w:sz="2" w:space="0" w:color="D9D9E3"/>
                      </w:divBdr>
                      <w:divsChild>
                        <w:div w:id="866866942">
                          <w:marLeft w:val="0"/>
                          <w:marRight w:val="0"/>
                          <w:marTop w:val="0"/>
                          <w:marBottom w:val="0"/>
                          <w:divBdr>
                            <w:top w:val="single" w:sz="2" w:space="0" w:color="D9D9E3"/>
                            <w:left w:val="single" w:sz="2" w:space="0" w:color="D9D9E3"/>
                            <w:bottom w:val="single" w:sz="2" w:space="0" w:color="D9D9E3"/>
                            <w:right w:val="single" w:sz="2" w:space="0" w:color="D9D9E3"/>
                          </w:divBdr>
                          <w:divsChild>
                            <w:div w:id="698819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1854321">
      <w:bodyDiv w:val="1"/>
      <w:marLeft w:val="0"/>
      <w:marRight w:val="0"/>
      <w:marTop w:val="0"/>
      <w:marBottom w:val="0"/>
      <w:divBdr>
        <w:top w:val="none" w:sz="0" w:space="0" w:color="auto"/>
        <w:left w:val="none" w:sz="0" w:space="0" w:color="auto"/>
        <w:bottom w:val="none" w:sz="0" w:space="0" w:color="auto"/>
        <w:right w:val="none" w:sz="0" w:space="0" w:color="auto"/>
      </w:divBdr>
      <w:divsChild>
        <w:div w:id="846674743">
          <w:marLeft w:val="0"/>
          <w:marRight w:val="0"/>
          <w:marTop w:val="0"/>
          <w:marBottom w:val="0"/>
          <w:divBdr>
            <w:top w:val="single" w:sz="2" w:space="0" w:color="auto"/>
            <w:left w:val="single" w:sz="2" w:space="0" w:color="auto"/>
            <w:bottom w:val="single" w:sz="6" w:space="0" w:color="auto"/>
            <w:right w:val="single" w:sz="2" w:space="0" w:color="auto"/>
          </w:divBdr>
          <w:divsChild>
            <w:div w:id="186605619">
              <w:marLeft w:val="0"/>
              <w:marRight w:val="0"/>
              <w:marTop w:val="100"/>
              <w:marBottom w:val="100"/>
              <w:divBdr>
                <w:top w:val="single" w:sz="2" w:space="0" w:color="D9D9E3"/>
                <w:left w:val="single" w:sz="2" w:space="0" w:color="D9D9E3"/>
                <w:bottom w:val="single" w:sz="2" w:space="0" w:color="D9D9E3"/>
                <w:right w:val="single" w:sz="2" w:space="0" w:color="D9D9E3"/>
              </w:divBdr>
              <w:divsChild>
                <w:div w:id="432094973">
                  <w:marLeft w:val="0"/>
                  <w:marRight w:val="0"/>
                  <w:marTop w:val="0"/>
                  <w:marBottom w:val="0"/>
                  <w:divBdr>
                    <w:top w:val="single" w:sz="2" w:space="0" w:color="D9D9E3"/>
                    <w:left w:val="single" w:sz="2" w:space="0" w:color="D9D9E3"/>
                    <w:bottom w:val="single" w:sz="2" w:space="0" w:color="D9D9E3"/>
                    <w:right w:val="single" w:sz="2" w:space="0" w:color="D9D9E3"/>
                  </w:divBdr>
                  <w:divsChild>
                    <w:div w:id="542719758">
                      <w:marLeft w:val="0"/>
                      <w:marRight w:val="0"/>
                      <w:marTop w:val="0"/>
                      <w:marBottom w:val="0"/>
                      <w:divBdr>
                        <w:top w:val="single" w:sz="2" w:space="0" w:color="D9D9E3"/>
                        <w:left w:val="single" w:sz="2" w:space="0" w:color="D9D9E3"/>
                        <w:bottom w:val="single" w:sz="2" w:space="0" w:color="D9D9E3"/>
                        <w:right w:val="single" w:sz="2" w:space="0" w:color="D9D9E3"/>
                      </w:divBdr>
                      <w:divsChild>
                        <w:div w:id="1606813594">
                          <w:marLeft w:val="0"/>
                          <w:marRight w:val="0"/>
                          <w:marTop w:val="0"/>
                          <w:marBottom w:val="0"/>
                          <w:divBdr>
                            <w:top w:val="single" w:sz="2" w:space="0" w:color="D9D9E3"/>
                            <w:left w:val="single" w:sz="2" w:space="0" w:color="D9D9E3"/>
                            <w:bottom w:val="single" w:sz="2" w:space="0" w:color="D9D9E3"/>
                            <w:right w:val="single" w:sz="2" w:space="0" w:color="D9D9E3"/>
                          </w:divBdr>
                          <w:divsChild>
                            <w:div w:id="1366908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0074038">
      <w:bodyDiv w:val="1"/>
      <w:marLeft w:val="0"/>
      <w:marRight w:val="0"/>
      <w:marTop w:val="0"/>
      <w:marBottom w:val="0"/>
      <w:divBdr>
        <w:top w:val="none" w:sz="0" w:space="0" w:color="auto"/>
        <w:left w:val="none" w:sz="0" w:space="0" w:color="auto"/>
        <w:bottom w:val="none" w:sz="0" w:space="0" w:color="auto"/>
        <w:right w:val="none" w:sz="0" w:space="0" w:color="auto"/>
      </w:divBdr>
    </w:div>
    <w:div w:id="1421104611">
      <w:bodyDiv w:val="1"/>
      <w:marLeft w:val="0"/>
      <w:marRight w:val="0"/>
      <w:marTop w:val="0"/>
      <w:marBottom w:val="0"/>
      <w:divBdr>
        <w:top w:val="none" w:sz="0" w:space="0" w:color="auto"/>
        <w:left w:val="none" w:sz="0" w:space="0" w:color="auto"/>
        <w:bottom w:val="none" w:sz="0" w:space="0" w:color="auto"/>
        <w:right w:val="none" w:sz="0" w:space="0" w:color="auto"/>
      </w:divBdr>
    </w:div>
    <w:div w:id="1809780408">
      <w:bodyDiv w:val="1"/>
      <w:marLeft w:val="0"/>
      <w:marRight w:val="0"/>
      <w:marTop w:val="0"/>
      <w:marBottom w:val="0"/>
      <w:divBdr>
        <w:top w:val="none" w:sz="0" w:space="0" w:color="auto"/>
        <w:left w:val="none" w:sz="0" w:space="0" w:color="auto"/>
        <w:bottom w:val="none" w:sz="0" w:space="0" w:color="auto"/>
        <w:right w:val="none" w:sz="0" w:space="0" w:color="auto"/>
      </w:divBdr>
    </w:div>
    <w:div w:id="1873421181">
      <w:bodyDiv w:val="1"/>
      <w:marLeft w:val="0"/>
      <w:marRight w:val="0"/>
      <w:marTop w:val="0"/>
      <w:marBottom w:val="0"/>
      <w:divBdr>
        <w:top w:val="none" w:sz="0" w:space="0" w:color="auto"/>
        <w:left w:val="none" w:sz="0" w:space="0" w:color="auto"/>
        <w:bottom w:val="none" w:sz="0" w:space="0" w:color="auto"/>
        <w:right w:val="none" w:sz="0" w:space="0" w:color="auto"/>
      </w:divBdr>
      <w:divsChild>
        <w:div w:id="1657799693">
          <w:marLeft w:val="0"/>
          <w:marRight w:val="0"/>
          <w:marTop w:val="0"/>
          <w:marBottom w:val="0"/>
          <w:divBdr>
            <w:top w:val="none" w:sz="0" w:space="0" w:color="auto"/>
            <w:left w:val="none" w:sz="0" w:space="0" w:color="auto"/>
            <w:bottom w:val="none" w:sz="0" w:space="0" w:color="auto"/>
            <w:right w:val="none" w:sz="0" w:space="0" w:color="auto"/>
          </w:divBdr>
          <w:divsChild>
            <w:div w:id="7299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79DEF-B3C6-44A0-BA96-A956487EE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Eduard Dochiu (2214589)</cp:lastModifiedBy>
  <cp:revision>2</cp:revision>
  <dcterms:created xsi:type="dcterms:W3CDTF">2023-05-01T17:17:00Z</dcterms:created>
  <dcterms:modified xsi:type="dcterms:W3CDTF">2023-05-04T21:41:00Z</dcterms:modified>
</cp:coreProperties>
</file>