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408DC" w14:textId="43EF004E" w:rsidR="0082616F" w:rsidRP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Student Name &amp; ID: </w:t>
      </w:r>
      <w:r w:rsidRPr="0082616F">
        <w:rPr>
          <w:rFonts w:ascii="Times New Roman" w:eastAsia="Times New Roman" w:hAnsi="Times New Roman" w:cs="Times New Roman"/>
          <w:b/>
          <w:bCs/>
          <w:sz w:val="36"/>
          <w:szCs w:val="36"/>
        </w:rPr>
        <w:t xml:space="preserve">Farhat </w:t>
      </w:r>
      <w:proofErr w:type="spellStart"/>
      <w:r w:rsidRPr="0082616F">
        <w:rPr>
          <w:rFonts w:ascii="Times New Roman" w:eastAsia="Times New Roman" w:hAnsi="Times New Roman" w:cs="Times New Roman"/>
          <w:b/>
          <w:bCs/>
          <w:sz w:val="36"/>
          <w:szCs w:val="36"/>
        </w:rPr>
        <w:t>Azhar</w:t>
      </w:r>
      <w:proofErr w:type="spellEnd"/>
      <w:r w:rsidRPr="0082616F">
        <w:rPr>
          <w:rFonts w:ascii="Times New Roman" w:eastAsia="Times New Roman" w:hAnsi="Times New Roman" w:cs="Times New Roman"/>
          <w:b/>
          <w:bCs/>
          <w:sz w:val="36"/>
          <w:szCs w:val="36"/>
        </w:rPr>
        <w:t xml:space="preserve"> (2213611)</w:t>
      </w:r>
    </w:p>
    <w:p w14:paraId="2A34BF4F" w14:textId="0E35A4AD" w:rsidR="0082616F" w:rsidRP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Module </w:t>
      </w:r>
      <w:proofErr w:type="spellStart"/>
      <w:proofErr w:type="gramStart"/>
      <w:r>
        <w:rPr>
          <w:rFonts w:ascii="Times New Roman" w:eastAsia="Times New Roman" w:hAnsi="Times New Roman" w:cs="Times New Roman"/>
          <w:b/>
          <w:bCs/>
          <w:sz w:val="36"/>
          <w:szCs w:val="36"/>
        </w:rPr>
        <w:t>Tutor:</w:t>
      </w:r>
      <w:r w:rsidRPr="0082616F">
        <w:rPr>
          <w:rFonts w:ascii="Times New Roman" w:eastAsia="Times New Roman" w:hAnsi="Times New Roman" w:cs="Times New Roman"/>
          <w:b/>
          <w:bCs/>
          <w:sz w:val="36"/>
          <w:szCs w:val="36"/>
        </w:rPr>
        <w:t>Chloe</w:t>
      </w:r>
      <w:proofErr w:type="spellEnd"/>
      <w:proofErr w:type="gramEnd"/>
      <w:r w:rsidRPr="0082616F">
        <w:rPr>
          <w:rFonts w:ascii="Times New Roman" w:eastAsia="Times New Roman" w:hAnsi="Times New Roman" w:cs="Times New Roman"/>
          <w:b/>
          <w:bCs/>
          <w:sz w:val="36"/>
          <w:szCs w:val="36"/>
        </w:rPr>
        <w:t xml:space="preserve"> Harries</w:t>
      </w:r>
    </w:p>
    <w:p w14:paraId="1303D00A" w14:textId="3AFB3B24" w:rsidR="00373670"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r w:rsidRPr="0082616F">
        <w:rPr>
          <w:rFonts w:ascii="Times New Roman" w:eastAsia="Times New Roman" w:hAnsi="Times New Roman" w:cs="Times New Roman"/>
          <w:b/>
          <w:bCs/>
          <w:sz w:val="36"/>
          <w:szCs w:val="36"/>
        </w:rPr>
        <w:t>BMHP6020</w:t>
      </w:r>
      <w:r w:rsidR="00373670" w:rsidRPr="00373670">
        <w:rPr>
          <w:rFonts w:ascii="Times New Roman" w:eastAsia="Times New Roman" w:hAnsi="Times New Roman" w:cs="Times New Roman"/>
          <w:b/>
          <w:bCs/>
          <w:sz w:val="36"/>
          <w:szCs w:val="36"/>
        </w:rPr>
        <w:t>Element 1: Project Proposal</w:t>
      </w:r>
    </w:p>
    <w:p w14:paraId="5318BA0E" w14:textId="76A68D17" w:rsid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p>
    <w:p w14:paraId="6E7F9BAC" w14:textId="3083FA1D" w:rsid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p>
    <w:p w14:paraId="521F0247" w14:textId="0AA72C2C" w:rsid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p>
    <w:p w14:paraId="4A56474F" w14:textId="6AFA8BCC" w:rsidR="0082616F"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p>
    <w:p w14:paraId="28D1F2BE" w14:textId="77777777" w:rsidR="0082616F" w:rsidRPr="00373670" w:rsidRDefault="0082616F" w:rsidP="0082616F">
      <w:pPr>
        <w:spacing w:before="100" w:beforeAutospacing="1" w:after="100" w:afterAutospacing="1" w:line="240" w:lineRule="auto"/>
        <w:jc w:val="center"/>
        <w:outlineLvl w:val="1"/>
        <w:rPr>
          <w:rFonts w:ascii="Times New Roman" w:eastAsia="Times New Roman" w:hAnsi="Times New Roman" w:cs="Times New Roman"/>
          <w:b/>
          <w:bCs/>
          <w:sz w:val="36"/>
          <w:szCs w:val="36"/>
        </w:rPr>
      </w:pPr>
    </w:p>
    <w:p w14:paraId="1450D099" w14:textId="77777777"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7"/>
          <w:szCs w:val="27"/>
        </w:rPr>
      </w:pPr>
      <w:r w:rsidRPr="00373670">
        <w:rPr>
          <w:rFonts w:ascii="Times New Roman" w:eastAsia="Times New Roman" w:hAnsi="Times New Roman" w:cs="Times New Roman"/>
          <w:b/>
          <w:bCs/>
          <w:sz w:val="27"/>
          <w:szCs w:val="27"/>
        </w:rPr>
        <w:t>Project Title</w:t>
      </w:r>
    </w:p>
    <w:p w14:paraId="7B5F4390" w14:textId="77777777" w:rsidR="00373670" w:rsidRPr="00373670" w:rsidRDefault="00373670" w:rsidP="00373670">
      <w:pPr>
        <w:spacing w:before="100" w:beforeAutospacing="1" w:after="100" w:afterAutospacing="1" w:line="240" w:lineRule="auto"/>
        <w:rPr>
          <w:rFonts w:ascii="Times New Roman" w:eastAsia="Times New Roman" w:hAnsi="Times New Roman" w:cs="Times New Roman"/>
          <w:sz w:val="24"/>
          <w:szCs w:val="24"/>
        </w:rPr>
      </w:pPr>
      <w:r w:rsidRPr="00373670">
        <w:rPr>
          <w:rFonts w:ascii="Times New Roman" w:eastAsia="Times New Roman" w:hAnsi="Times New Roman" w:cs="Times New Roman"/>
          <w:b/>
          <w:bCs/>
          <w:sz w:val="24"/>
          <w:szCs w:val="24"/>
        </w:rPr>
        <w:t>Exploring the Relationship Between Workforce Wellbeing and Quality of Care in Health and Social Care Settings: A Scoping Review.</w:t>
      </w:r>
    </w:p>
    <w:p w14:paraId="10AFDE2E" w14:textId="77777777"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7"/>
          <w:szCs w:val="27"/>
        </w:rPr>
      </w:pPr>
      <w:r w:rsidRPr="00373670">
        <w:rPr>
          <w:rFonts w:ascii="Times New Roman" w:eastAsia="Times New Roman" w:hAnsi="Times New Roman" w:cs="Times New Roman"/>
          <w:b/>
          <w:bCs/>
          <w:sz w:val="27"/>
          <w:szCs w:val="27"/>
        </w:rPr>
        <w:t>1. Introduction and Rationale</w:t>
      </w:r>
    </w:p>
    <w:p w14:paraId="20740AC9" w14:textId="473D6688" w:rsidR="00373670" w:rsidRDefault="00373670" w:rsidP="00373670">
      <w:pPr>
        <w:spacing w:before="100" w:beforeAutospacing="1" w:after="100" w:afterAutospacing="1" w:line="24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A motivated, engaged, and healthy workforce is crucial for delivering high-quality health and social care (West et al., 2020). Conversely, many widely reported problems in the sector include burnout, high stress, and poor workplace morale, which have devastating effects on staff retention and performance (</w:t>
      </w:r>
      <w:proofErr w:type="spellStart"/>
      <w:r>
        <w:rPr>
          <w:rFonts w:ascii="Times New Roman" w:eastAsia="Times New Roman" w:hAnsi="Times New Roman" w:cs="Times New Roman"/>
          <w:sz w:val="24"/>
          <w:szCs w:val="24"/>
        </w:rPr>
        <w:t>Shanafelt</w:t>
      </w:r>
      <w:proofErr w:type="spellEnd"/>
      <w:r>
        <w:rPr>
          <w:rFonts w:ascii="Times New Roman" w:eastAsia="Times New Roman" w:hAnsi="Times New Roman" w:cs="Times New Roman"/>
          <w:sz w:val="24"/>
          <w:szCs w:val="24"/>
        </w:rPr>
        <w:t xml:space="preserve"> et al., 2020). The negative impact of poor workforce wellbeing extends beyond individual employees, as it is believed to directly affect the quality and safety of care provided to service users (Maben and Griffiths, 2008). This project is necessary because it aims to synthesize existing evidence to clarify the specific pathways and mechanisms through which workforce wellbeing (or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lack) manifests physically in care quality. Understanding this relationship is essential for informing evidence-based policies and interventions to create sustainable, high-performing care environments. </w:t>
      </w:r>
    </w:p>
    <w:p w14:paraId="7406FEE6" w14:textId="6DC5DD3E"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sz w:val="24"/>
          <w:szCs w:val="24"/>
        </w:rPr>
        <w:t>Aims and Objectives</w:t>
      </w:r>
    </w:p>
    <w:p w14:paraId="0EFDFD91" w14:textId="2AB0446A" w:rsidR="00373670" w:rsidRDefault="00373670" w:rsidP="00373670">
      <w:pPr>
        <w:spacing w:before="100" w:beforeAutospacing="1" w:after="100" w:afterAutospacing="1" w:line="24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goal of this project is to thoroughly review and map existing literature on the relationship between workforce wellbeing and care quality in health and social care settings.</w:t>
      </w:r>
    </w:p>
    <w:p w14:paraId="200EB9FB" w14:textId="77777777"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sz w:val="24"/>
          <w:szCs w:val="24"/>
        </w:rPr>
        <w:t>The specific objectives are:</w:t>
      </w:r>
    </w:p>
    <w:p w14:paraId="2BD7D189" w14:textId="0E5EF7E2" w:rsidR="00373670" w:rsidRPr="00373670" w:rsidRDefault="00373670" w:rsidP="00373670">
      <w:pPr>
        <w:pStyle w:val="ListParagraph"/>
        <w:numPr>
          <w:ilvl w:val="0"/>
          <w:numId w:val="3"/>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lastRenderedPageBreak/>
        <w:t>To identify the most common aspects of workforce wellbeing (e.g., job satisfaction, burnout, psychological safety) that researchers have linked to care quality.</w:t>
      </w:r>
    </w:p>
    <w:p w14:paraId="18AA4808" w14:textId="70534647" w:rsidR="00373670" w:rsidRPr="00373670" w:rsidRDefault="00373670" w:rsidP="00373670">
      <w:pPr>
        <w:pStyle w:val="ListParagraph"/>
        <w:numPr>
          <w:ilvl w:val="0"/>
          <w:numId w:val="3"/>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t>To review existing evidence on measurable connections between poor staff wellbeing and lapses in care quality (e.g., medication errors, patient complaints, reduced compassion).</w:t>
      </w:r>
    </w:p>
    <w:p w14:paraId="5F4E9162" w14:textId="58FE3125" w:rsidR="00373670" w:rsidRPr="00373670" w:rsidRDefault="00373670" w:rsidP="00373670">
      <w:pPr>
        <w:pStyle w:val="ListParagraph"/>
        <w:numPr>
          <w:ilvl w:val="0"/>
          <w:numId w:val="3"/>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t>To identify knowledge gaps and propose recommendations for future research and workplace interventions.</w:t>
      </w:r>
    </w:p>
    <w:p w14:paraId="7231E810" w14:textId="6479E9AA"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sz w:val="24"/>
          <w:szCs w:val="24"/>
        </w:rPr>
        <w:t>Proposed Methodology</w:t>
      </w:r>
    </w:p>
    <w:p w14:paraId="6882E66B" w14:textId="53D25582" w:rsidR="00373670" w:rsidRDefault="00373670" w:rsidP="00373670">
      <w:pPr>
        <w:spacing w:before="100" w:beforeAutospacing="1" w:after="100" w:afterAutospacing="1" w:line="24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will employ a Scoping Review methodology, suitable for mapping the literature on a complex topic, understanding key concepts, and defining the research scope (Arksey and O’Malley, 2005).</w:t>
      </w:r>
    </w:p>
    <w:p w14:paraId="63A4030B" w14:textId="53CBB82D" w:rsidR="00373670" w:rsidRDefault="00373670" w:rsidP="00373670">
      <w:pPr>
        <w:pStyle w:val="ListParagraph"/>
        <w:numPr>
          <w:ilvl w:val="0"/>
          <w:numId w:val="2"/>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b/>
          <w:bCs/>
          <w:sz w:val="24"/>
          <w:szCs w:val="24"/>
        </w:rPr>
        <w:t xml:space="preserve">Search Strategy: </w:t>
      </w:r>
      <w:r w:rsidRPr="00373670">
        <w:rPr>
          <w:rFonts w:ascii="Times New Roman" w:eastAsia="Times New Roman" w:hAnsi="Times New Roman" w:cs="Times New Roman"/>
          <w:sz w:val="24"/>
          <w:szCs w:val="24"/>
        </w:rPr>
        <w:t>A systematic search will be conducted across major academic databases like MEDLINE, PsycINFO, CINAHL, and Web of Science using relevant keywords. These will include, but not be limited to, terms such as workforce wellbeing, staff burnout, job satisfaction, care quality, patient safety, and health and social care.</w:t>
      </w:r>
    </w:p>
    <w:p w14:paraId="49656BC4" w14:textId="77777777" w:rsidR="00373670" w:rsidRPr="00373670" w:rsidRDefault="00373670" w:rsidP="00373670">
      <w:pPr>
        <w:pStyle w:val="ListParagraph"/>
        <w:spacing w:before="100" w:beforeAutospacing="1" w:after="100" w:afterAutospacing="1" w:line="240" w:lineRule="auto"/>
        <w:outlineLvl w:val="2"/>
        <w:rPr>
          <w:rFonts w:ascii="Times New Roman" w:eastAsia="Times New Roman" w:hAnsi="Times New Roman" w:cs="Times New Roman"/>
          <w:sz w:val="24"/>
          <w:szCs w:val="24"/>
        </w:rPr>
      </w:pPr>
    </w:p>
    <w:p w14:paraId="249D880D" w14:textId="6517CBC5" w:rsidR="00373670" w:rsidRDefault="00373670" w:rsidP="00373670">
      <w:pPr>
        <w:pStyle w:val="ListParagraph"/>
        <w:numPr>
          <w:ilvl w:val="0"/>
          <w:numId w:val="2"/>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b/>
          <w:bCs/>
          <w:sz w:val="24"/>
          <w:szCs w:val="24"/>
        </w:rPr>
        <w:t>Inclusion/Exclusion Criteria:</w:t>
      </w:r>
      <w:r w:rsidRPr="00373670">
        <w:rPr>
          <w:rFonts w:ascii="Times New Roman" w:eastAsia="Times New Roman" w:hAnsi="Times New Roman" w:cs="Times New Roman"/>
          <w:sz w:val="24"/>
          <w:szCs w:val="24"/>
        </w:rPr>
        <w:t xml:space="preserve"> Studies published in English since 2010 that focus on any healthcare or social care context (e.g., hospitals, nursing homes, community care) will be included. Non-peer-reviewed literature, such as review articles and editorials, will generally be excluded, although key policy documents may be used for contextual background.</w:t>
      </w:r>
    </w:p>
    <w:p w14:paraId="295C0B20" w14:textId="77777777" w:rsidR="00373670" w:rsidRPr="00373670" w:rsidRDefault="00373670" w:rsidP="00373670">
      <w:pPr>
        <w:pStyle w:val="ListParagraph"/>
        <w:rPr>
          <w:rFonts w:ascii="Times New Roman" w:eastAsia="Times New Roman" w:hAnsi="Times New Roman" w:cs="Times New Roman"/>
          <w:sz w:val="24"/>
          <w:szCs w:val="24"/>
        </w:rPr>
      </w:pPr>
    </w:p>
    <w:p w14:paraId="5CF11FC1" w14:textId="77777777" w:rsidR="00373670" w:rsidRPr="00373670" w:rsidRDefault="00373670" w:rsidP="00373670">
      <w:pPr>
        <w:pStyle w:val="ListParagraph"/>
        <w:spacing w:before="100" w:beforeAutospacing="1" w:after="100" w:afterAutospacing="1" w:line="240" w:lineRule="auto"/>
        <w:outlineLvl w:val="2"/>
        <w:rPr>
          <w:rFonts w:ascii="Times New Roman" w:eastAsia="Times New Roman" w:hAnsi="Times New Roman" w:cs="Times New Roman"/>
          <w:sz w:val="24"/>
          <w:szCs w:val="24"/>
        </w:rPr>
      </w:pPr>
    </w:p>
    <w:p w14:paraId="343F28B4" w14:textId="2B90D66C" w:rsidR="00373670" w:rsidRPr="00373670" w:rsidRDefault="00373670" w:rsidP="00373670">
      <w:pPr>
        <w:pStyle w:val="ListParagraph"/>
        <w:numPr>
          <w:ilvl w:val="0"/>
          <w:numId w:val="2"/>
        </w:numPr>
        <w:spacing w:before="100" w:beforeAutospacing="1" w:after="100" w:afterAutospacing="1" w:line="240" w:lineRule="auto"/>
        <w:outlineLvl w:val="2"/>
        <w:rPr>
          <w:rFonts w:ascii="Times New Roman" w:eastAsia="Times New Roman" w:hAnsi="Times New Roman" w:cs="Times New Roman"/>
          <w:sz w:val="24"/>
          <w:szCs w:val="24"/>
        </w:rPr>
      </w:pPr>
      <w:r w:rsidRPr="00373670">
        <w:rPr>
          <w:rFonts w:ascii="Times New Roman" w:eastAsia="Times New Roman" w:hAnsi="Times New Roman" w:cs="Times New Roman"/>
          <w:b/>
          <w:bCs/>
          <w:sz w:val="24"/>
          <w:szCs w:val="24"/>
        </w:rPr>
        <w:t xml:space="preserve">Data Charting and Synthesis: </w:t>
      </w:r>
      <w:r w:rsidRPr="00373670">
        <w:rPr>
          <w:rFonts w:ascii="Times New Roman" w:eastAsia="Times New Roman" w:hAnsi="Times New Roman" w:cs="Times New Roman"/>
          <w:sz w:val="24"/>
          <w:szCs w:val="24"/>
        </w:rPr>
        <w:t>Data will be extracted regarding study design, sample size, measures of wellbeing, care quality metrics, and reported relationships. Findings will be synthesized thematically, emphasizing the strength and consistency of the identified links.</w:t>
      </w:r>
    </w:p>
    <w:p w14:paraId="5D153999" w14:textId="77777777"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p>
    <w:p w14:paraId="08190C31" w14:textId="2C205EC8" w:rsid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sz w:val="24"/>
          <w:szCs w:val="24"/>
        </w:rPr>
        <w:t>Projected Schedule and Deliverables:</w:t>
      </w:r>
    </w:p>
    <w:p w14:paraId="70E0ECE1" w14:textId="6EA00E96" w:rsid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noProof/>
          <w:sz w:val="24"/>
          <w:szCs w:val="24"/>
        </w:rPr>
        <w:lastRenderedPageBreak/>
        <w:drawing>
          <wp:inline distT="0" distB="0" distL="0" distR="0" wp14:anchorId="3E4DBC1A" wp14:editId="126CB214">
            <wp:extent cx="5905500" cy="2559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05807" cy="2559183"/>
                    </a:xfrm>
                    <a:prstGeom prst="rect">
                      <a:avLst/>
                    </a:prstGeom>
                  </pic:spPr>
                </pic:pic>
              </a:graphicData>
            </a:graphic>
          </wp:inline>
        </w:drawing>
      </w:r>
    </w:p>
    <w:p w14:paraId="0D5C7127" w14:textId="771A088D"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Gantt Chart</w:t>
      </w:r>
    </w:p>
    <w:p w14:paraId="0BE72968" w14:textId="10B1B16E" w:rsidR="00373670" w:rsidRDefault="00373670" w:rsidP="00373670">
      <w:pPr>
        <w:spacing w:before="100" w:beforeAutospacing="1" w:after="100" w:afterAutospacing="1" w:line="24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deliverable will be a comprehensive Project Report that critically analyzes the literature and offers actionable recommendations to enhance the interface between workforce wellbeing and care quality.</w:t>
      </w:r>
    </w:p>
    <w:p w14:paraId="1515D5B9" w14:textId="77777777" w:rsid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sidRPr="00373670">
        <w:rPr>
          <w:rFonts w:ascii="Times New Roman" w:eastAsia="Times New Roman" w:hAnsi="Times New Roman" w:cs="Times New Roman"/>
          <w:b/>
          <w:bCs/>
          <w:sz w:val="24"/>
          <w:szCs w:val="24"/>
        </w:rPr>
        <w:t>Conclusion</w:t>
      </w:r>
    </w:p>
    <w:p w14:paraId="7DAEDA12" w14:textId="0DE49431"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This study is a timely and vital investigation into an essential issue facing contemporary health and social care systems. It aims to meet all module learning outcomes by engaging intellectual skills, deepening knowledge, and conducting critical analysis, resulting in a high-quality, effective work through a rigorous Scoping Review methodology.</w:t>
      </w:r>
    </w:p>
    <w:p w14:paraId="2340B145" w14:textId="33A28AAD" w:rsidR="00373670" w:rsidRPr="00373670" w:rsidRDefault="00373670" w:rsidP="00373670">
      <w:pPr>
        <w:spacing w:before="100" w:beforeAutospacing="1" w:after="100" w:afterAutospacing="1" w:line="240" w:lineRule="auto"/>
        <w:outlineLvl w:val="2"/>
        <w:rPr>
          <w:rFonts w:ascii="Times New Roman" w:eastAsia="Times New Roman" w:hAnsi="Times New Roman" w:cs="Times New Roman"/>
          <w:b/>
          <w:bCs/>
          <w:sz w:val="27"/>
          <w:szCs w:val="27"/>
        </w:rPr>
      </w:pPr>
      <w:r w:rsidRPr="00373670">
        <w:rPr>
          <w:rFonts w:ascii="Times New Roman" w:eastAsia="Times New Roman" w:hAnsi="Times New Roman" w:cs="Times New Roman"/>
          <w:b/>
          <w:bCs/>
          <w:sz w:val="27"/>
          <w:szCs w:val="27"/>
        </w:rPr>
        <w:t>References</w:t>
      </w:r>
    </w:p>
    <w:p w14:paraId="03DD5DFD" w14:textId="77777777" w:rsidR="00373670" w:rsidRPr="00373670" w:rsidRDefault="00373670" w:rsidP="00373670">
      <w:pPr>
        <w:spacing w:before="100" w:beforeAutospacing="1" w:after="100" w:afterAutospacing="1" w:line="240" w:lineRule="auto"/>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t xml:space="preserve">Arksey, H., &amp; O’Malley, L. (2005). Scoping studies: Towards a methodological framework. </w:t>
      </w:r>
      <w:r w:rsidRPr="00373670">
        <w:rPr>
          <w:rFonts w:ascii="Times New Roman" w:eastAsia="Times New Roman" w:hAnsi="Times New Roman" w:cs="Times New Roman"/>
          <w:i/>
          <w:iCs/>
          <w:sz w:val="24"/>
          <w:szCs w:val="24"/>
        </w:rPr>
        <w:t>International Journal of Social Research Methodology</w:t>
      </w:r>
      <w:r w:rsidRPr="00373670">
        <w:rPr>
          <w:rFonts w:ascii="Times New Roman" w:eastAsia="Times New Roman" w:hAnsi="Times New Roman" w:cs="Times New Roman"/>
          <w:sz w:val="24"/>
          <w:szCs w:val="24"/>
        </w:rPr>
        <w:t xml:space="preserve">, </w:t>
      </w:r>
      <w:r w:rsidRPr="00373670">
        <w:rPr>
          <w:rFonts w:ascii="Times New Roman" w:eastAsia="Times New Roman" w:hAnsi="Times New Roman" w:cs="Times New Roman"/>
          <w:i/>
          <w:iCs/>
          <w:sz w:val="24"/>
          <w:szCs w:val="24"/>
        </w:rPr>
        <w:t>8</w:t>
      </w:r>
      <w:r w:rsidRPr="00373670">
        <w:rPr>
          <w:rFonts w:ascii="Times New Roman" w:eastAsia="Times New Roman" w:hAnsi="Times New Roman" w:cs="Times New Roman"/>
          <w:sz w:val="24"/>
          <w:szCs w:val="24"/>
        </w:rPr>
        <w:t>(1), 19-32.</w:t>
      </w:r>
    </w:p>
    <w:p w14:paraId="5E6B760B" w14:textId="77777777" w:rsidR="00373670" w:rsidRPr="00373670" w:rsidRDefault="00373670" w:rsidP="00373670">
      <w:pPr>
        <w:spacing w:before="100" w:beforeAutospacing="1" w:after="100" w:afterAutospacing="1" w:line="240" w:lineRule="auto"/>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t xml:space="preserve">Maben, J., &amp; Griffiths, P. (2008). Nurse retention and patient care: An overview of the literature. </w:t>
      </w:r>
      <w:r w:rsidRPr="00373670">
        <w:rPr>
          <w:rFonts w:ascii="Times New Roman" w:eastAsia="Times New Roman" w:hAnsi="Times New Roman" w:cs="Times New Roman"/>
          <w:i/>
          <w:iCs/>
          <w:sz w:val="24"/>
          <w:szCs w:val="24"/>
        </w:rPr>
        <w:t>International Journal of Nursing Studies</w:t>
      </w:r>
      <w:r w:rsidRPr="00373670">
        <w:rPr>
          <w:rFonts w:ascii="Times New Roman" w:eastAsia="Times New Roman" w:hAnsi="Times New Roman" w:cs="Times New Roman"/>
          <w:sz w:val="24"/>
          <w:szCs w:val="24"/>
        </w:rPr>
        <w:t xml:space="preserve">, </w:t>
      </w:r>
      <w:r w:rsidRPr="00373670">
        <w:rPr>
          <w:rFonts w:ascii="Times New Roman" w:eastAsia="Times New Roman" w:hAnsi="Times New Roman" w:cs="Times New Roman"/>
          <w:i/>
          <w:iCs/>
          <w:sz w:val="24"/>
          <w:szCs w:val="24"/>
        </w:rPr>
        <w:t>45</w:t>
      </w:r>
      <w:r w:rsidRPr="00373670">
        <w:rPr>
          <w:rFonts w:ascii="Times New Roman" w:eastAsia="Times New Roman" w:hAnsi="Times New Roman" w:cs="Times New Roman"/>
          <w:sz w:val="24"/>
          <w:szCs w:val="24"/>
        </w:rPr>
        <w:t>(6), 846-856.</w:t>
      </w:r>
    </w:p>
    <w:p w14:paraId="5B9C7A9B" w14:textId="77777777" w:rsidR="00373670" w:rsidRPr="00373670" w:rsidRDefault="00373670" w:rsidP="00373670">
      <w:pPr>
        <w:spacing w:before="100" w:beforeAutospacing="1" w:after="100" w:afterAutospacing="1" w:line="240" w:lineRule="auto"/>
        <w:rPr>
          <w:rFonts w:ascii="Times New Roman" w:eastAsia="Times New Roman" w:hAnsi="Times New Roman" w:cs="Times New Roman"/>
          <w:sz w:val="24"/>
          <w:szCs w:val="24"/>
        </w:rPr>
      </w:pPr>
      <w:proofErr w:type="spellStart"/>
      <w:r w:rsidRPr="00373670">
        <w:rPr>
          <w:rFonts w:ascii="Times New Roman" w:eastAsia="Times New Roman" w:hAnsi="Times New Roman" w:cs="Times New Roman"/>
          <w:sz w:val="24"/>
          <w:szCs w:val="24"/>
        </w:rPr>
        <w:t>Shanafelt</w:t>
      </w:r>
      <w:proofErr w:type="spellEnd"/>
      <w:r w:rsidRPr="00373670">
        <w:rPr>
          <w:rFonts w:ascii="Times New Roman" w:eastAsia="Times New Roman" w:hAnsi="Times New Roman" w:cs="Times New Roman"/>
          <w:sz w:val="24"/>
          <w:szCs w:val="24"/>
        </w:rPr>
        <w:t xml:space="preserve">, T., </w:t>
      </w:r>
      <w:proofErr w:type="spellStart"/>
      <w:r w:rsidRPr="00373670">
        <w:rPr>
          <w:rFonts w:ascii="Times New Roman" w:eastAsia="Times New Roman" w:hAnsi="Times New Roman" w:cs="Times New Roman"/>
          <w:sz w:val="24"/>
          <w:szCs w:val="24"/>
        </w:rPr>
        <w:t>Dyrbye</w:t>
      </w:r>
      <w:proofErr w:type="spellEnd"/>
      <w:r w:rsidRPr="00373670">
        <w:rPr>
          <w:rFonts w:ascii="Times New Roman" w:eastAsia="Times New Roman" w:hAnsi="Times New Roman" w:cs="Times New Roman"/>
          <w:sz w:val="24"/>
          <w:szCs w:val="24"/>
        </w:rPr>
        <w:t xml:space="preserve">, L., </w:t>
      </w:r>
      <w:proofErr w:type="spellStart"/>
      <w:r w:rsidRPr="00373670">
        <w:rPr>
          <w:rFonts w:ascii="Times New Roman" w:eastAsia="Times New Roman" w:hAnsi="Times New Roman" w:cs="Times New Roman"/>
          <w:sz w:val="24"/>
          <w:szCs w:val="24"/>
        </w:rPr>
        <w:t>Sinsky</w:t>
      </w:r>
      <w:proofErr w:type="spellEnd"/>
      <w:r w:rsidRPr="00373670">
        <w:rPr>
          <w:rFonts w:ascii="Times New Roman" w:eastAsia="Times New Roman" w:hAnsi="Times New Roman" w:cs="Times New Roman"/>
          <w:sz w:val="24"/>
          <w:szCs w:val="24"/>
        </w:rPr>
        <w:t xml:space="preserve">, C., </w:t>
      </w:r>
      <w:proofErr w:type="spellStart"/>
      <w:r w:rsidRPr="00373670">
        <w:rPr>
          <w:rFonts w:ascii="Times New Roman" w:eastAsia="Times New Roman" w:hAnsi="Times New Roman" w:cs="Times New Roman"/>
          <w:sz w:val="24"/>
          <w:szCs w:val="24"/>
        </w:rPr>
        <w:t>Oreskovich</w:t>
      </w:r>
      <w:proofErr w:type="spellEnd"/>
      <w:r w:rsidRPr="00373670">
        <w:rPr>
          <w:rFonts w:ascii="Times New Roman" w:eastAsia="Times New Roman" w:hAnsi="Times New Roman" w:cs="Times New Roman"/>
          <w:sz w:val="24"/>
          <w:szCs w:val="24"/>
        </w:rPr>
        <w:t xml:space="preserve">, M. R., Strong, L., &amp; </w:t>
      </w:r>
      <w:proofErr w:type="spellStart"/>
      <w:r w:rsidRPr="00373670">
        <w:rPr>
          <w:rFonts w:ascii="Times New Roman" w:eastAsia="Times New Roman" w:hAnsi="Times New Roman" w:cs="Times New Roman"/>
          <w:sz w:val="24"/>
          <w:szCs w:val="24"/>
        </w:rPr>
        <w:t>Trockel</w:t>
      </w:r>
      <w:proofErr w:type="spellEnd"/>
      <w:r w:rsidRPr="00373670">
        <w:rPr>
          <w:rFonts w:ascii="Times New Roman" w:eastAsia="Times New Roman" w:hAnsi="Times New Roman" w:cs="Times New Roman"/>
          <w:sz w:val="24"/>
          <w:szCs w:val="24"/>
        </w:rPr>
        <w:t xml:space="preserve">, M. (2020). Changes in burnout and satisfaction with work-life integration in physicians and the general US working population between 2011 and 2017. </w:t>
      </w:r>
      <w:r w:rsidRPr="00373670">
        <w:rPr>
          <w:rFonts w:ascii="Times New Roman" w:eastAsia="Times New Roman" w:hAnsi="Times New Roman" w:cs="Times New Roman"/>
          <w:i/>
          <w:iCs/>
          <w:sz w:val="24"/>
          <w:szCs w:val="24"/>
        </w:rPr>
        <w:t>Mayo Clinic Proceedings</w:t>
      </w:r>
      <w:r w:rsidRPr="00373670">
        <w:rPr>
          <w:rFonts w:ascii="Times New Roman" w:eastAsia="Times New Roman" w:hAnsi="Times New Roman" w:cs="Times New Roman"/>
          <w:sz w:val="24"/>
          <w:szCs w:val="24"/>
        </w:rPr>
        <w:t xml:space="preserve">, </w:t>
      </w:r>
      <w:r w:rsidRPr="00373670">
        <w:rPr>
          <w:rFonts w:ascii="Times New Roman" w:eastAsia="Times New Roman" w:hAnsi="Times New Roman" w:cs="Times New Roman"/>
          <w:i/>
          <w:iCs/>
          <w:sz w:val="24"/>
          <w:szCs w:val="24"/>
        </w:rPr>
        <w:t>95</w:t>
      </w:r>
      <w:r w:rsidRPr="00373670">
        <w:rPr>
          <w:rFonts w:ascii="Times New Roman" w:eastAsia="Times New Roman" w:hAnsi="Times New Roman" w:cs="Times New Roman"/>
          <w:sz w:val="24"/>
          <w:szCs w:val="24"/>
        </w:rPr>
        <w:t>(6), 1144-1155.</w:t>
      </w:r>
    </w:p>
    <w:p w14:paraId="1D187AC1" w14:textId="77777777" w:rsidR="00373670" w:rsidRPr="00373670" w:rsidRDefault="00373670" w:rsidP="00373670">
      <w:pPr>
        <w:spacing w:before="100" w:beforeAutospacing="1" w:after="100" w:afterAutospacing="1" w:line="240" w:lineRule="auto"/>
        <w:rPr>
          <w:rFonts w:ascii="Times New Roman" w:eastAsia="Times New Roman" w:hAnsi="Times New Roman" w:cs="Times New Roman"/>
          <w:sz w:val="24"/>
          <w:szCs w:val="24"/>
        </w:rPr>
      </w:pPr>
      <w:r w:rsidRPr="00373670">
        <w:rPr>
          <w:rFonts w:ascii="Times New Roman" w:eastAsia="Times New Roman" w:hAnsi="Times New Roman" w:cs="Times New Roman"/>
          <w:sz w:val="24"/>
          <w:szCs w:val="24"/>
        </w:rPr>
        <w:t xml:space="preserve">West, M., </w:t>
      </w:r>
      <w:proofErr w:type="spellStart"/>
      <w:r w:rsidRPr="00373670">
        <w:rPr>
          <w:rFonts w:ascii="Times New Roman" w:eastAsia="Times New Roman" w:hAnsi="Times New Roman" w:cs="Times New Roman"/>
          <w:sz w:val="24"/>
          <w:szCs w:val="24"/>
        </w:rPr>
        <w:t>Armit</w:t>
      </w:r>
      <w:proofErr w:type="spellEnd"/>
      <w:r w:rsidRPr="00373670">
        <w:rPr>
          <w:rFonts w:ascii="Times New Roman" w:eastAsia="Times New Roman" w:hAnsi="Times New Roman" w:cs="Times New Roman"/>
          <w:sz w:val="24"/>
          <w:szCs w:val="24"/>
        </w:rPr>
        <w:t xml:space="preserve">, K., </w:t>
      </w:r>
      <w:proofErr w:type="spellStart"/>
      <w:r w:rsidRPr="00373670">
        <w:rPr>
          <w:rFonts w:ascii="Times New Roman" w:eastAsia="Times New Roman" w:hAnsi="Times New Roman" w:cs="Times New Roman"/>
          <w:sz w:val="24"/>
          <w:szCs w:val="24"/>
        </w:rPr>
        <w:t>Loewenthal</w:t>
      </w:r>
      <w:proofErr w:type="spellEnd"/>
      <w:r w:rsidRPr="00373670">
        <w:rPr>
          <w:rFonts w:ascii="Times New Roman" w:eastAsia="Times New Roman" w:hAnsi="Times New Roman" w:cs="Times New Roman"/>
          <w:sz w:val="24"/>
          <w:szCs w:val="24"/>
        </w:rPr>
        <w:t xml:space="preserve">, L., Patterson, D., Quinn, H., &amp; Dawson, J. (2020). </w:t>
      </w:r>
      <w:r w:rsidRPr="00373670">
        <w:rPr>
          <w:rFonts w:ascii="Times New Roman" w:eastAsia="Times New Roman" w:hAnsi="Times New Roman" w:cs="Times New Roman"/>
          <w:i/>
          <w:iCs/>
          <w:sz w:val="24"/>
          <w:szCs w:val="24"/>
        </w:rPr>
        <w:t>The Courage of Compassion: Supporting Nurses and Midwives to Deliver High-Quality Care</w:t>
      </w:r>
      <w:r w:rsidRPr="00373670">
        <w:rPr>
          <w:rFonts w:ascii="Times New Roman" w:eastAsia="Times New Roman" w:hAnsi="Times New Roman" w:cs="Times New Roman"/>
          <w:sz w:val="24"/>
          <w:szCs w:val="24"/>
        </w:rPr>
        <w:t>. The King’s Fund.</w:t>
      </w:r>
    </w:p>
    <w:p w14:paraId="571DFA14" w14:textId="77777777" w:rsidR="003A1087" w:rsidRDefault="003A1087"/>
    <w:sectPr w:rsidR="003A10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B4FDE"/>
    <w:multiLevelType w:val="multilevel"/>
    <w:tmpl w:val="920EA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9F6CA7"/>
    <w:multiLevelType w:val="hybridMultilevel"/>
    <w:tmpl w:val="46080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2B11E5"/>
    <w:multiLevelType w:val="hybridMultilevel"/>
    <w:tmpl w:val="88A837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57139D"/>
    <w:multiLevelType w:val="hybridMultilevel"/>
    <w:tmpl w:val="B1D4BB76"/>
    <w:lvl w:ilvl="0" w:tplc="9634E4F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670"/>
    <w:rsid w:val="00373670"/>
    <w:rsid w:val="003A1087"/>
    <w:rsid w:val="003A3F63"/>
    <w:rsid w:val="0082616F"/>
    <w:rsid w:val="00C14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34E4AF"/>
  <w15:chartTrackingRefBased/>
  <w15:docId w15:val="{562E8F48-3176-4B98-9F99-99C3B078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7367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7367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367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7367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7367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xport-sheets-button">
    <w:name w:val="export-sheets-button"/>
    <w:basedOn w:val="DefaultParagraphFont"/>
    <w:rsid w:val="00373670"/>
  </w:style>
  <w:style w:type="table" w:styleId="TableGrid">
    <w:name w:val="Table Grid"/>
    <w:basedOn w:val="TableNormal"/>
    <w:uiPriority w:val="39"/>
    <w:rsid w:val="00373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3670"/>
    <w:pPr>
      <w:ind w:left="720"/>
      <w:contextualSpacing/>
    </w:pPr>
  </w:style>
  <w:style w:type="character" w:customStyle="1" w:styleId="Heading1Char">
    <w:name w:val="Heading 1 Char"/>
    <w:basedOn w:val="DefaultParagraphFont"/>
    <w:link w:val="Heading1"/>
    <w:uiPriority w:val="9"/>
    <w:rsid w:val="008261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616F"/>
    <w:pPr>
      <w:outlineLvl w:val="9"/>
    </w:pPr>
  </w:style>
  <w:style w:type="paragraph" w:styleId="TOC2">
    <w:name w:val="toc 2"/>
    <w:basedOn w:val="Normal"/>
    <w:next w:val="Normal"/>
    <w:autoRedefine/>
    <w:uiPriority w:val="39"/>
    <w:unhideWhenUsed/>
    <w:rsid w:val="0082616F"/>
    <w:pPr>
      <w:spacing w:after="100"/>
      <w:ind w:left="220"/>
    </w:pPr>
  </w:style>
  <w:style w:type="paragraph" w:styleId="TOC3">
    <w:name w:val="toc 3"/>
    <w:basedOn w:val="Normal"/>
    <w:next w:val="Normal"/>
    <w:autoRedefine/>
    <w:uiPriority w:val="39"/>
    <w:unhideWhenUsed/>
    <w:rsid w:val="0082616F"/>
    <w:pPr>
      <w:spacing w:after="100"/>
      <w:ind w:left="440"/>
    </w:pPr>
  </w:style>
  <w:style w:type="character" w:styleId="Hyperlink">
    <w:name w:val="Hyperlink"/>
    <w:basedOn w:val="DefaultParagraphFont"/>
    <w:uiPriority w:val="99"/>
    <w:unhideWhenUsed/>
    <w:rsid w:val="008261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547257">
      <w:bodyDiv w:val="1"/>
      <w:marLeft w:val="0"/>
      <w:marRight w:val="0"/>
      <w:marTop w:val="0"/>
      <w:marBottom w:val="0"/>
      <w:divBdr>
        <w:top w:val="none" w:sz="0" w:space="0" w:color="auto"/>
        <w:left w:val="none" w:sz="0" w:space="0" w:color="auto"/>
        <w:bottom w:val="none" w:sz="0" w:space="0" w:color="auto"/>
        <w:right w:val="none" w:sz="0" w:space="0" w:color="auto"/>
      </w:divBdr>
      <w:divsChild>
        <w:div w:id="1291935786">
          <w:marLeft w:val="0"/>
          <w:marRight w:val="0"/>
          <w:marTop w:val="0"/>
          <w:marBottom w:val="0"/>
          <w:divBdr>
            <w:top w:val="none" w:sz="0" w:space="0" w:color="auto"/>
            <w:left w:val="none" w:sz="0" w:space="0" w:color="auto"/>
            <w:bottom w:val="none" w:sz="0" w:space="0" w:color="auto"/>
            <w:right w:val="none" w:sz="0" w:space="0" w:color="auto"/>
          </w:divBdr>
          <w:divsChild>
            <w:div w:id="1942831694">
              <w:marLeft w:val="0"/>
              <w:marRight w:val="0"/>
              <w:marTop w:val="0"/>
              <w:marBottom w:val="0"/>
              <w:divBdr>
                <w:top w:val="none" w:sz="0" w:space="0" w:color="auto"/>
                <w:left w:val="none" w:sz="0" w:space="0" w:color="auto"/>
                <w:bottom w:val="none" w:sz="0" w:space="0" w:color="auto"/>
                <w:right w:val="none" w:sz="0" w:space="0" w:color="auto"/>
              </w:divBdr>
              <w:divsChild>
                <w:div w:id="1279526598">
                  <w:marLeft w:val="0"/>
                  <w:marRight w:val="0"/>
                  <w:marTop w:val="0"/>
                  <w:marBottom w:val="0"/>
                  <w:divBdr>
                    <w:top w:val="none" w:sz="0" w:space="0" w:color="auto"/>
                    <w:left w:val="none" w:sz="0" w:space="0" w:color="auto"/>
                    <w:bottom w:val="none" w:sz="0" w:space="0" w:color="auto"/>
                    <w:right w:val="none" w:sz="0" w:space="0" w:color="auto"/>
                  </w:divBdr>
                  <w:divsChild>
                    <w:div w:id="1691905257">
                      <w:marLeft w:val="0"/>
                      <w:marRight w:val="0"/>
                      <w:marTop w:val="0"/>
                      <w:marBottom w:val="0"/>
                      <w:divBdr>
                        <w:top w:val="none" w:sz="0" w:space="0" w:color="auto"/>
                        <w:left w:val="none" w:sz="0" w:space="0" w:color="auto"/>
                        <w:bottom w:val="none" w:sz="0" w:space="0" w:color="auto"/>
                        <w:right w:val="none" w:sz="0" w:space="0" w:color="auto"/>
                      </w:divBdr>
                    </w:div>
                    <w:div w:id="146692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711109-474B-405C-9BFA-47CD7DA2E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636</Words>
  <Characters>3831</Characters>
  <Application>Microsoft Office Word</Application>
  <DocSecurity>0</DocSecurity>
  <Lines>72</Lines>
  <Paragraphs>33</Paragraphs>
  <ScaleCrop>false</ScaleCrop>
  <Company/>
  <LinksUpToDate>false</LinksUpToDate>
  <CharactersWithSpaces>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2025-10-14T11:24:00Z</dcterms:created>
  <dcterms:modified xsi:type="dcterms:W3CDTF">2025-10-14T11:24:00Z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78a87993-d4f8-4a00-9399-5a3f6c6efb22</vt:lpwstr>
  </property>
</Properties>
</file>