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BF42A" w14:textId="60A116E5" w:rsidR="00221A40" w:rsidRPr="00532FEE" w:rsidRDefault="00221A40" w:rsidP="00221A40">
      <w:pPr>
        <w:jc w:val="center"/>
        <w:rPr>
          <w:rFonts w:ascii="Arial" w:hAnsi="Arial" w:cs="Arial"/>
          <w:sz w:val="22"/>
          <w:szCs w:val="22"/>
        </w:rPr>
      </w:pPr>
      <w:r w:rsidRPr="00532FEE">
        <w:rPr>
          <w:rFonts w:ascii="Arial" w:hAnsi="Arial" w:cs="Arial"/>
          <w:b/>
          <w:bCs/>
          <w:sz w:val="22"/>
          <w:szCs w:val="22"/>
          <w:lang w:val="en-US"/>
        </w:rPr>
        <w:t>Psychology in Health and Social Care (LCHS 4010)</w:t>
      </w:r>
    </w:p>
    <w:p w14:paraId="70D19530" w14:textId="2552EDAA" w:rsidR="00221A40" w:rsidRPr="00532FEE" w:rsidRDefault="00221A40" w:rsidP="00221A40">
      <w:pPr>
        <w:tabs>
          <w:tab w:val="center" w:pos="4513"/>
          <w:tab w:val="left" w:pos="7260"/>
        </w:tabs>
        <w:rPr>
          <w:rFonts w:ascii="Arial" w:hAnsi="Arial" w:cs="Arial"/>
          <w:sz w:val="22"/>
          <w:szCs w:val="22"/>
        </w:rPr>
      </w:pPr>
    </w:p>
    <w:p w14:paraId="33553977" w14:textId="6BA52162" w:rsidR="00221A40" w:rsidRPr="00532FEE" w:rsidRDefault="00221A40" w:rsidP="00221A40">
      <w:pPr>
        <w:rPr>
          <w:rFonts w:ascii="Arial" w:hAnsi="Arial" w:cs="Arial"/>
          <w:sz w:val="22"/>
          <w:szCs w:val="22"/>
        </w:rPr>
      </w:pPr>
    </w:p>
    <w:p w14:paraId="678A5AC7" w14:textId="35CF8309" w:rsidR="00221A40" w:rsidRPr="00532FEE" w:rsidRDefault="00221A40" w:rsidP="00221A40">
      <w:pPr>
        <w:jc w:val="center"/>
        <w:rPr>
          <w:rFonts w:ascii="Arial" w:hAnsi="Arial" w:cs="Arial"/>
          <w:sz w:val="22"/>
          <w:szCs w:val="22"/>
        </w:rPr>
      </w:pPr>
      <w:r w:rsidRPr="00532FEE">
        <w:rPr>
          <w:rFonts w:ascii="Arial" w:hAnsi="Arial" w:cs="Arial"/>
          <w:b/>
          <w:bCs/>
          <w:sz w:val="22"/>
          <w:szCs w:val="22"/>
          <w:lang w:val="en-US"/>
        </w:rPr>
        <w:t>Assignment 1</w:t>
      </w:r>
    </w:p>
    <w:p w14:paraId="25B3C46F" w14:textId="77777777" w:rsidR="00221A40" w:rsidRPr="00532FEE" w:rsidRDefault="00221A40" w:rsidP="00221A40">
      <w:pPr>
        <w:rPr>
          <w:rFonts w:ascii="Arial" w:hAnsi="Arial" w:cs="Arial"/>
          <w:sz w:val="22"/>
          <w:szCs w:val="22"/>
          <w:lang w:val="en-US"/>
        </w:rPr>
      </w:pPr>
    </w:p>
    <w:p w14:paraId="41C9683F" w14:textId="434E1621" w:rsidR="00221A40" w:rsidRPr="00532FEE" w:rsidRDefault="00221A40" w:rsidP="00221A40">
      <w:pPr>
        <w:rPr>
          <w:rFonts w:ascii="Arial" w:hAnsi="Arial" w:cs="Arial"/>
          <w:sz w:val="22"/>
          <w:szCs w:val="22"/>
        </w:rPr>
      </w:pPr>
      <w:r w:rsidRPr="00532FEE">
        <w:rPr>
          <w:rFonts w:ascii="Arial" w:hAnsi="Arial" w:cs="Arial"/>
          <w:sz w:val="22"/>
          <w:szCs w:val="22"/>
          <w:lang w:val="en-US"/>
        </w:rPr>
        <w:t xml:space="preserve">Student Name:  </w:t>
      </w:r>
      <w:r w:rsidRPr="00532FEE">
        <w:rPr>
          <w:rFonts w:ascii="Arial" w:hAnsi="Arial" w:cs="Arial"/>
          <w:b/>
          <w:bCs/>
          <w:sz w:val="22"/>
          <w:szCs w:val="22"/>
          <w:lang w:val="en-US"/>
        </w:rPr>
        <w:t xml:space="preserve">Nilsa Quaresma Santa Rosa </w:t>
      </w:r>
    </w:p>
    <w:p w14:paraId="615DC033" w14:textId="77777777" w:rsidR="00221A40" w:rsidRPr="00532FEE" w:rsidRDefault="00221A40" w:rsidP="00221A40">
      <w:pPr>
        <w:rPr>
          <w:rFonts w:ascii="Arial" w:hAnsi="Arial" w:cs="Arial"/>
          <w:sz w:val="22"/>
          <w:szCs w:val="22"/>
          <w:lang w:val="en-US"/>
        </w:rPr>
      </w:pPr>
    </w:p>
    <w:p w14:paraId="6794675C" w14:textId="7C83A4FF" w:rsidR="00221A40" w:rsidRPr="00532FEE" w:rsidRDefault="00221A40" w:rsidP="00221A40">
      <w:pPr>
        <w:rPr>
          <w:rFonts w:ascii="Arial" w:hAnsi="Arial" w:cs="Arial"/>
          <w:sz w:val="22"/>
          <w:szCs w:val="22"/>
        </w:rPr>
      </w:pPr>
      <w:r w:rsidRPr="00532FEE">
        <w:rPr>
          <w:rFonts w:ascii="Arial" w:hAnsi="Arial" w:cs="Arial"/>
          <w:sz w:val="22"/>
          <w:szCs w:val="22"/>
          <w:lang w:val="en-US"/>
        </w:rPr>
        <w:t xml:space="preserve">Student ID: </w:t>
      </w:r>
      <w:r w:rsidRPr="00532FEE">
        <w:rPr>
          <w:rFonts w:ascii="Arial" w:hAnsi="Arial" w:cs="Arial"/>
          <w:b/>
          <w:bCs/>
          <w:sz w:val="22"/>
          <w:szCs w:val="22"/>
          <w:lang w:val="en-US"/>
        </w:rPr>
        <w:t>2222169</w:t>
      </w:r>
    </w:p>
    <w:p w14:paraId="6596AE14" w14:textId="77777777" w:rsidR="00221A40" w:rsidRPr="00532FEE" w:rsidRDefault="00221A40" w:rsidP="00221A40">
      <w:pPr>
        <w:rPr>
          <w:rFonts w:ascii="Arial" w:hAnsi="Arial" w:cs="Arial"/>
          <w:sz w:val="22"/>
          <w:szCs w:val="22"/>
          <w:lang w:val="en-US"/>
        </w:rPr>
      </w:pPr>
    </w:p>
    <w:p w14:paraId="33EE66CF" w14:textId="64A33E37" w:rsidR="00221A40" w:rsidRPr="00532FEE" w:rsidRDefault="00221A40" w:rsidP="00221A40">
      <w:pPr>
        <w:rPr>
          <w:rFonts w:ascii="Arial" w:hAnsi="Arial" w:cs="Arial"/>
          <w:sz w:val="22"/>
          <w:szCs w:val="22"/>
        </w:rPr>
      </w:pPr>
      <w:r w:rsidRPr="00532FEE">
        <w:rPr>
          <w:rFonts w:ascii="Arial" w:hAnsi="Arial" w:cs="Arial"/>
          <w:sz w:val="22"/>
          <w:szCs w:val="22"/>
          <w:lang w:val="en-US"/>
        </w:rPr>
        <w:t xml:space="preserve">Lecturer’s Name: </w:t>
      </w:r>
      <w:r w:rsidRPr="00532FEE">
        <w:rPr>
          <w:rFonts w:ascii="Arial" w:hAnsi="Arial" w:cs="Arial"/>
          <w:b/>
          <w:bCs/>
          <w:sz w:val="22"/>
          <w:szCs w:val="22"/>
          <w:lang w:val="en-US"/>
        </w:rPr>
        <w:t>Fara Wiita</w:t>
      </w:r>
    </w:p>
    <w:p w14:paraId="7E1CE26B" w14:textId="77777777" w:rsidR="00221A40" w:rsidRPr="00532FEE" w:rsidRDefault="00221A40">
      <w:pPr>
        <w:rPr>
          <w:rFonts w:ascii="Arial" w:hAnsi="Arial" w:cs="Arial"/>
          <w:sz w:val="22"/>
          <w:szCs w:val="22"/>
        </w:rPr>
      </w:pPr>
    </w:p>
    <w:p w14:paraId="35305CB4" w14:textId="77777777" w:rsidR="00221A40" w:rsidRPr="00532FEE" w:rsidRDefault="00221A40">
      <w:pPr>
        <w:rPr>
          <w:rFonts w:ascii="Arial" w:hAnsi="Arial" w:cs="Arial"/>
          <w:sz w:val="22"/>
          <w:szCs w:val="22"/>
        </w:rPr>
      </w:pPr>
    </w:p>
    <w:p w14:paraId="7B1CFF1D" w14:textId="77777777" w:rsidR="00221A40" w:rsidRPr="00532FEE" w:rsidRDefault="00221A40">
      <w:pPr>
        <w:rPr>
          <w:rFonts w:ascii="Arial" w:hAnsi="Arial" w:cs="Arial"/>
          <w:sz w:val="22"/>
          <w:szCs w:val="22"/>
        </w:rPr>
      </w:pPr>
    </w:p>
    <w:p w14:paraId="55488218" w14:textId="77777777" w:rsidR="00221A40" w:rsidRPr="00532FEE" w:rsidRDefault="00221A40">
      <w:pPr>
        <w:rPr>
          <w:rFonts w:ascii="Arial" w:hAnsi="Arial" w:cs="Arial"/>
          <w:sz w:val="22"/>
          <w:szCs w:val="22"/>
        </w:rPr>
      </w:pPr>
    </w:p>
    <w:p w14:paraId="5FC13B29" w14:textId="77777777" w:rsidR="00221A40" w:rsidRPr="00532FEE" w:rsidRDefault="00221A40">
      <w:pPr>
        <w:rPr>
          <w:rFonts w:ascii="Arial" w:hAnsi="Arial" w:cs="Arial"/>
          <w:sz w:val="22"/>
          <w:szCs w:val="22"/>
        </w:rPr>
      </w:pPr>
    </w:p>
    <w:p w14:paraId="1F2EF54A" w14:textId="77777777" w:rsidR="00221A40" w:rsidRPr="00532FEE" w:rsidRDefault="00221A40">
      <w:pPr>
        <w:rPr>
          <w:rFonts w:ascii="Arial" w:hAnsi="Arial" w:cs="Arial"/>
          <w:sz w:val="22"/>
          <w:szCs w:val="22"/>
        </w:rPr>
      </w:pPr>
    </w:p>
    <w:p w14:paraId="6FE152E8" w14:textId="77777777" w:rsidR="00221A40" w:rsidRPr="00532FEE" w:rsidRDefault="00221A40">
      <w:pPr>
        <w:rPr>
          <w:rFonts w:ascii="Arial" w:hAnsi="Arial" w:cs="Arial"/>
          <w:sz w:val="22"/>
          <w:szCs w:val="22"/>
        </w:rPr>
      </w:pPr>
    </w:p>
    <w:p w14:paraId="6ECC01D5" w14:textId="77777777" w:rsidR="00221A40" w:rsidRPr="00532FEE" w:rsidRDefault="00221A40">
      <w:pPr>
        <w:rPr>
          <w:rFonts w:ascii="Arial" w:hAnsi="Arial" w:cs="Arial"/>
          <w:sz w:val="22"/>
          <w:szCs w:val="22"/>
        </w:rPr>
      </w:pPr>
    </w:p>
    <w:p w14:paraId="7E34F9F9" w14:textId="77777777" w:rsidR="00221A40" w:rsidRPr="00532FEE" w:rsidRDefault="00221A40">
      <w:pPr>
        <w:rPr>
          <w:rFonts w:ascii="Arial" w:hAnsi="Arial" w:cs="Arial"/>
          <w:sz w:val="22"/>
          <w:szCs w:val="22"/>
        </w:rPr>
      </w:pPr>
    </w:p>
    <w:p w14:paraId="70B0BF95" w14:textId="77777777" w:rsidR="00221A40" w:rsidRPr="00532FEE" w:rsidRDefault="00221A40">
      <w:pPr>
        <w:rPr>
          <w:rFonts w:ascii="Arial" w:hAnsi="Arial" w:cs="Arial"/>
          <w:sz w:val="22"/>
          <w:szCs w:val="22"/>
        </w:rPr>
      </w:pPr>
    </w:p>
    <w:p w14:paraId="2B9DC751" w14:textId="77777777" w:rsidR="00221A40" w:rsidRPr="00532FEE" w:rsidRDefault="00221A40">
      <w:pPr>
        <w:rPr>
          <w:rFonts w:ascii="Arial" w:hAnsi="Arial" w:cs="Arial"/>
          <w:sz w:val="22"/>
          <w:szCs w:val="22"/>
        </w:rPr>
      </w:pPr>
    </w:p>
    <w:p w14:paraId="5C3D4D9B" w14:textId="77777777" w:rsidR="00221A40" w:rsidRPr="00532FEE" w:rsidRDefault="00221A40">
      <w:pPr>
        <w:rPr>
          <w:rFonts w:ascii="Arial" w:hAnsi="Arial" w:cs="Arial"/>
          <w:sz w:val="22"/>
          <w:szCs w:val="22"/>
        </w:rPr>
      </w:pPr>
    </w:p>
    <w:p w14:paraId="76FFEFDB" w14:textId="77777777" w:rsidR="00221A40" w:rsidRPr="00532FEE" w:rsidRDefault="00221A40">
      <w:pPr>
        <w:rPr>
          <w:rFonts w:ascii="Arial" w:hAnsi="Arial" w:cs="Arial"/>
          <w:sz w:val="22"/>
          <w:szCs w:val="22"/>
        </w:rPr>
      </w:pPr>
    </w:p>
    <w:p w14:paraId="7AD04371" w14:textId="77777777" w:rsidR="00221A40" w:rsidRPr="00532FEE" w:rsidRDefault="00221A40">
      <w:pPr>
        <w:rPr>
          <w:rFonts w:ascii="Arial" w:hAnsi="Arial" w:cs="Arial"/>
          <w:sz w:val="22"/>
          <w:szCs w:val="22"/>
        </w:rPr>
      </w:pPr>
    </w:p>
    <w:p w14:paraId="144C07D7" w14:textId="77777777" w:rsidR="00221A40" w:rsidRPr="00532FEE" w:rsidRDefault="00221A40">
      <w:pPr>
        <w:rPr>
          <w:rFonts w:ascii="Arial" w:hAnsi="Arial" w:cs="Arial"/>
          <w:sz w:val="22"/>
          <w:szCs w:val="22"/>
        </w:rPr>
      </w:pPr>
    </w:p>
    <w:p w14:paraId="71918883" w14:textId="77777777" w:rsidR="00221A40" w:rsidRPr="00532FEE" w:rsidRDefault="00221A40">
      <w:pPr>
        <w:rPr>
          <w:rFonts w:ascii="Arial" w:hAnsi="Arial" w:cs="Arial"/>
          <w:sz w:val="22"/>
          <w:szCs w:val="22"/>
        </w:rPr>
      </w:pPr>
    </w:p>
    <w:p w14:paraId="5EB20F4B" w14:textId="77777777" w:rsidR="00221A40" w:rsidRPr="00532FEE" w:rsidRDefault="00221A40">
      <w:pPr>
        <w:rPr>
          <w:rFonts w:ascii="Arial" w:hAnsi="Arial" w:cs="Arial"/>
          <w:sz w:val="22"/>
          <w:szCs w:val="22"/>
        </w:rPr>
      </w:pPr>
    </w:p>
    <w:p w14:paraId="07A22E14" w14:textId="77777777" w:rsidR="00221A40" w:rsidRPr="00532FEE" w:rsidRDefault="00221A40">
      <w:pPr>
        <w:rPr>
          <w:rFonts w:ascii="Arial" w:hAnsi="Arial" w:cs="Arial"/>
          <w:sz w:val="22"/>
          <w:szCs w:val="22"/>
        </w:rPr>
      </w:pPr>
    </w:p>
    <w:p w14:paraId="52C87959" w14:textId="7861E919" w:rsidR="00221A40" w:rsidRPr="00532FEE" w:rsidRDefault="00221A40" w:rsidP="00221A40">
      <w:pPr>
        <w:jc w:val="center"/>
        <w:rPr>
          <w:rFonts w:ascii="Arial" w:hAnsi="Arial" w:cs="Arial"/>
          <w:b/>
          <w:bCs/>
          <w:sz w:val="22"/>
          <w:szCs w:val="22"/>
        </w:rPr>
      </w:pPr>
      <w:r w:rsidRPr="00532FEE">
        <w:rPr>
          <w:rFonts w:ascii="Arial" w:hAnsi="Arial" w:cs="Arial"/>
          <w:b/>
          <w:bCs/>
          <w:sz w:val="22"/>
          <w:szCs w:val="22"/>
        </w:rPr>
        <w:t>Using Psychological theory and Research to Support Adults 65+ With Psychological Health Conditions in a Dementia Care Home</w:t>
      </w:r>
    </w:p>
    <w:p w14:paraId="0F35CFD2" w14:textId="77777777" w:rsidR="00221A40" w:rsidRPr="00532FEE" w:rsidRDefault="00221A40" w:rsidP="00221A40">
      <w:pPr>
        <w:jc w:val="center"/>
        <w:rPr>
          <w:rFonts w:ascii="Arial" w:hAnsi="Arial" w:cs="Arial"/>
          <w:b/>
          <w:bCs/>
          <w:sz w:val="22"/>
          <w:szCs w:val="22"/>
        </w:rPr>
      </w:pPr>
    </w:p>
    <w:p w14:paraId="279E54DD" w14:textId="77777777" w:rsidR="00221A40" w:rsidRPr="00532FEE" w:rsidRDefault="00221A40" w:rsidP="00221A40">
      <w:pPr>
        <w:jc w:val="center"/>
        <w:rPr>
          <w:rFonts w:ascii="Arial" w:hAnsi="Arial" w:cs="Arial"/>
          <w:b/>
          <w:bCs/>
          <w:sz w:val="22"/>
          <w:szCs w:val="22"/>
        </w:rPr>
      </w:pPr>
    </w:p>
    <w:p w14:paraId="721527A0" w14:textId="4CE30071" w:rsidR="00553BAE" w:rsidRPr="00532FEE" w:rsidRDefault="00CE0313" w:rsidP="009055BB">
      <w:pPr>
        <w:rPr>
          <w:rFonts w:ascii="Arial" w:eastAsia="Times New Roman" w:hAnsi="Arial" w:cs="Arial"/>
          <w:color w:val="000000"/>
          <w:sz w:val="22"/>
          <w:szCs w:val="22"/>
          <w:bdr w:val="none" w:sz="0" w:space="0" w:color="auto" w:frame="1"/>
        </w:rPr>
      </w:pPr>
      <w:r w:rsidRPr="00532FEE">
        <w:rPr>
          <w:rFonts w:ascii="Arial" w:eastAsia="Times New Roman" w:hAnsi="Arial" w:cs="Arial"/>
          <w:b/>
          <w:bCs/>
          <w:color w:val="000000"/>
          <w:sz w:val="22"/>
          <w:szCs w:val="22"/>
          <w:bdr w:val="none" w:sz="0" w:space="0" w:color="auto" w:frame="1"/>
        </w:rPr>
        <w:t>Introduction</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Dementia is a progressive condition that affects memory, thinking, and behaviour, most commonly in adults over the age of 65. In care settings, individuals with dementia often experience anxiety, depression, and agitation. These feelings can present as behaviours such as aggression, withdrawal, or </w:t>
      </w:r>
      <w:r w:rsidR="00F26A8C" w:rsidRPr="00532FEE">
        <w:rPr>
          <w:rFonts w:ascii="Arial" w:eastAsia="Times New Roman" w:hAnsi="Arial" w:cs="Arial"/>
          <w:color w:val="000000"/>
          <w:sz w:val="22"/>
          <w:szCs w:val="22"/>
          <w:bdr w:val="none" w:sz="0" w:space="0" w:color="auto" w:frame="1"/>
        </w:rPr>
        <w:t>clear</w:t>
      </w:r>
      <w:r w:rsidRPr="00532FEE">
        <w:rPr>
          <w:rFonts w:ascii="Arial" w:eastAsia="Times New Roman" w:hAnsi="Arial" w:cs="Arial"/>
          <w:color w:val="000000"/>
          <w:sz w:val="22"/>
          <w:szCs w:val="22"/>
          <w:bdr w:val="none" w:sz="0" w:space="0" w:color="auto" w:frame="1"/>
        </w:rPr>
        <w:t xml:space="preserve"> indifference. Although these behaviours can be difficult to manage, they are often a way of expressing unmet needs, including discomfort, confusion, or fear (NICE, 2018).</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Understanding why these behaviours occur is essential for providing effective, person-centred care. Rather than simply reacting to behaviour, care staff need to consider the underlying causes. Psychological theories can help with this by offering </w:t>
      </w:r>
      <w:r w:rsidR="00F26A8C" w:rsidRPr="00532FEE">
        <w:rPr>
          <w:rFonts w:ascii="Arial" w:eastAsia="Times New Roman" w:hAnsi="Arial" w:cs="Arial"/>
          <w:color w:val="000000"/>
          <w:sz w:val="22"/>
          <w:szCs w:val="22"/>
          <w:bdr w:val="none" w:sz="0" w:space="0" w:color="auto" w:frame="1"/>
        </w:rPr>
        <w:t>several ways</w:t>
      </w:r>
      <w:r w:rsidRPr="00532FEE">
        <w:rPr>
          <w:rFonts w:ascii="Arial" w:eastAsia="Times New Roman" w:hAnsi="Arial" w:cs="Arial"/>
          <w:color w:val="000000"/>
          <w:sz w:val="22"/>
          <w:szCs w:val="22"/>
          <w:bdr w:val="none" w:sz="0" w:space="0" w:color="auto" w:frame="1"/>
        </w:rPr>
        <w:t xml:space="preserve"> to interpret and respond to behaviour. This report focuses on social cognitive theory and behaviourism, and how both can </w:t>
      </w:r>
      <w:bookmarkStart w:id="0" w:name="_Int_jpj5MFoZ"/>
      <w:r w:rsidRPr="00532FEE">
        <w:rPr>
          <w:rFonts w:ascii="Arial" w:eastAsia="Times New Roman" w:hAnsi="Arial" w:cs="Arial"/>
          <w:color w:val="000000"/>
          <w:sz w:val="22"/>
          <w:szCs w:val="22"/>
          <w:bdr w:val="none" w:sz="0" w:space="0" w:color="auto" w:frame="1"/>
        </w:rPr>
        <w:t>be applied</w:t>
      </w:r>
      <w:bookmarkEnd w:id="0"/>
      <w:r w:rsidRPr="00532FEE">
        <w:rPr>
          <w:rFonts w:ascii="Arial" w:eastAsia="Times New Roman" w:hAnsi="Arial" w:cs="Arial"/>
          <w:color w:val="000000"/>
          <w:sz w:val="22"/>
          <w:szCs w:val="22"/>
          <w:bdr w:val="none" w:sz="0" w:space="0" w:color="auto" w:frame="1"/>
        </w:rPr>
        <w:t xml:space="preserve"> in dementia care</w:t>
      </w:r>
      <w:r w:rsidR="00F26A8C" w:rsidRPr="00532FEE">
        <w:rPr>
          <w:rFonts w:ascii="Arial" w:eastAsia="Times New Roman" w:hAnsi="Arial" w:cs="Arial"/>
          <w:color w:val="000000"/>
          <w:sz w:val="22"/>
          <w:szCs w:val="22"/>
          <w:bdr w:val="none" w:sz="0" w:space="0" w:color="auto" w:frame="1"/>
        </w:rPr>
        <w:t>.</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b/>
          <w:bCs/>
          <w:color w:val="000000"/>
          <w:sz w:val="22"/>
          <w:szCs w:val="22"/>
          <w:bdr w:val="none" w:sz="0" w:space="0" w:color="auto" w:frame="1"/>
        </w:rPr>
        <w:t>Social Cognitive Theory (</w:t>
      </w:r>
      <w:proofErr w:type="spellStart"/>
      <w:r w:rsidRPr="00532FEE">
        <w:rPr>
          <w:rFonts w:ascii="Arial" w:eastAsia="Times New Roman" w:hAnsi="Arial" w:cs="Arial"/>
          <w:b/>
          <w:bCs/>
          <w:color w:val="000000"/>
          <w:sz w:val="22"/>
          <w:szCs w:val="22"/>
          <w:bdr w:val="none" w:sz="0" w:space="0" w:color="auto" w:frame="1"/>
        </w:rPr>
        <w:t>Bandura</w:t>
      </w:r>
      <w:proofErr w:type="spellEnd"/>
      <w:r w:rsidRPr="00532FEE">
        <w:rPr>
          <w:rFonts w:ascii="Arial" w:eastAsia="Times New Roman" w:hAnsi="Arial" w:cs="Arial"/>
          <w:b/>
          <w:bCs/>
          <w:color w:val="000000"/>
          <w:sz w:val="22"/>
          <w:szCs w:val="22"/>
          <w:bdr w:val="none" w:sz="0" w:space="0" w:color="auto" w:frame="1"/>
        </w:rPr>
        <w:t>)</w:t>
      </w:r>
      <w:r w:rsidRPr="00532FEE">
        <w:rPr>
          <w:rFonts w:ascii="Arial" w:eastAsia="Times New Roman" w:hAnsi="Arial" w:cs="Arial"/>
          <w:b/>
          <w:bCs/>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Social Cognitive Theory, introduced by </w:t>
      </w:r>
      <w:proofErr w:type="spellStart"/>
      <w:r w:rsidRPr="00532FEE">
        <w:rPr>
          <w:rFonts w:ascii="Arial" w:eastAsia="Times New Roman" w:hAnsi="Arial" w:cs="Arial"/>
          <w:color w:val="000000"/>
          <w:sz w:val="22"/>
          <w:szCs w:val="22"/>
          <w:bdr w:val="none" w:sz="0" w:space="0" w:color="auto" w:frame="1"/>
        </w:rPr>
        <w:t>Bandura</w:t>
      </w:r>
      <w:proofErr w:type="spellEnd"/>
      <w:r w:rsidRPr="00532FEE">
        <w:rPr>
          <w:rFonts w:ascii="Arial" w:eastAsia="Times New Roman" w:hAnsi="Arial" w:cs="Arial"/>
          <w:color w:val="000000"/>
          <w:sz w:val="22"/>
          <w:szCs w:val="22"/>
          <w:bdr w:val="none" w:sz="0" w:space="0" w:color="auto" w:frame="1"/>
        </w:rPr>
        <w:t xml:space="preserve"> (1986), explains behaviour as the result of an interaction between personal factors, environmental influences, and the behaviour itself. In dementia care, this means that a resident’s actions are shaped not only by their condition, but also by their surroundings and the way others interact with them.</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For example, a resident who becomes upset during personal care may be experiencing confusion, but this reaction can be made worse by external factors such as unfamiliar staff, noise, or a lack of privacy. This shows that behaviour cannot </w:t>
      </w:r>
      <w:bookmarkStart w:id="1" w:name="_Int_3NQOunC3"/>
      <w:r w:rsidRPr="00532FEE">
        <w:rPr>
          <w:rFonts w:ascii="Arial" w:eastAsia="Times New Roman" w:hAnsi="Arial" w:cs="Arial"/>
          <w:color w:val="000000"/>
          <w:sz w:val="22"/>
          <w:szCs w:val="22"/>
          <w:bdr w:val="none" w:sz="0" w:space="0" w:color="auto" w:frame="1"/>
        </w:rPr>
        <w:t>be understood</w:t>
      </w:r>
      <w:bookmarkEnd w:id="1"/>
      <w:r w:rsidRPr="00532FEE">
        <w:rPr>
          <w:rFonts w:ascii="Arial" w:eastAsia="Times New Roman" w:hAnsi="Arial" w:cs="Arial"/>
          <w:color w:val="000000"/>
          <w:sz w:val="22"/>
          <w:szCs w:val="22"/>
          <w:bdr w:val="none" w:sz="0" w:space="0" w:color="auto" w:frame="1"/>
        </w:rPr>
        <w:t xml:space="preserve"> in isolation and must </w:t>
      </w:r>
      <w:bookmarkStart w:id="2" w:name="_Int_MuspzUuE"/>
      <w:r w:rsidRPr="00532FEE">
        <w:rPr>
          <w:rFonts w:ascii="Arial" w:eastAsia="Times New Roman" w:hAnsi="Arial" w:cs="Arial"/>
          <w:color w:val="000000"/>
          <w:sz w:val="22"/>
          <w:szCs w:val="22"/>
          <w:bdr w:val="none" w:sz="0" w:space="0" w:color="auto" w:frame="1"/>
        </w:rPr>
        <w:t>be considered</w:t>
      </w:r>
      <w:bookmarkEnd w:id="2"/>
      <w:r w:rsidRPr="00532FEE">
        <w:rPr>
          <w:rFonts w:ascii="Arial" w:eastAsia="Times New Roman" w:hAnsi="Arial" w:cs="Arial"/>
          <w:color w:val="000000"/>
          <w:sz w:val="22"/>
          <w:szCs w:val="22"/>
          <w:bdr w:val="none" w:sz="0" w:space="0" w:color="auto" w:frame="1"/>
        </w:rPr>
        <w:t xml:space="preserve"> within its wider context.</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A key concept within this theory is self-efficacy, which refers to a person’s belief in their ability to carry out tasks (</w:t>
      </w:r>
      <w:proofErr w:type="spellStart"/>
      <w:r w:rsidRPr="00532FEE">
        <w:rPr>
          <w:rFonts w:ascii="Arial" w:eastAsia="Times New Roman" w:hAnsi="Arial" w:cs="Arial"/>
          <w:color w:val="000000"/>
          <w:sz w:val="22"/>
          <w:szCs w:val="22"/>
          <w:bdr w:val="none" w:sz="0" w:space="0" w:color="auto" w:frame="1"/>
        </w:rPr>
        <w:t>Bandura</w:t>
      </w:r>
      <w:proofErr w:type="spellEnd"/>
      <w:r w:rsidRPr="00532FEE">
        <w:rPr>
          <w:rFonts w:ascii="Arial" w:eastAsia="Times New Roman" w:hAnsi="Arial" w:cs="Arial"/>
          <w:color w:val="000000"/>
          <w:sz w:val="22"/>
          <w:szCs w:val="22"/>
          <w:bdr w:val="none" w:sz="0" w:space="0" w:color="auto" w:frame="1"/>
        </w:rPr>
        <w:t>, 1997). For people living with dementia, self-efficacy often decreases over time due to memory loss and repeated difficulties with everyday activities. As confidence declines, individuals may begin to withdraw or avoid tasks altogether.</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For instance, if a resident has difficulty dressing themselves on several occasions, they may start to believe they are no longer capable. This can lead to frustration, reduced independence, and increased reliance on care staff. In this way, low self-efficacy can negatively affect both behaviour and overall wellbeing.</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Care staff can support residents by helping to </w:t>
      </w:r>
      <w:r w:rsidR="00DE1622" w:rsidRPr="00532FEE">
        <w:rPr>
          <w:rFonts w:ascii="Arial" w:eastAsia="Times New Roman" w:hAnsi="Arial" w:cs="Arial"/>
          <w:color w:val="000000"/>
          <w:sz w:val="22"/>
          <w:szCs w:val="22"/>
          <w:bdr w:val="none" w:sz="0" w:space="0" w:color="auto" w:frame="1"/>
        </w:rPr>
        <w:t>keep</w:t>
      </w:r>
      <w:r w:rsidRPr="00532FEE">
        <w:rPr>
          <w:rFonts w:ascii="Arial" w:eastAsia="Times New Roman" w:hAnsi="Arial" w:cs="Arial"/>
          <w:color w:val="000000"/>
          <w:sz w:val="22"/>
          <w:szCs w:val="22"/>
          <w:bdr w:val="none" w:sz="0" w:space="0" w:color="auto" w:frame="1"/>
        </w:rPr>
        <w:t xml:space="preserve"> or rebuild this sense of ability. This can </w:t>
      </w:r>
      <w:bookmarkStart w:id="3" w:name="_Int_kPY8pQ7w"/>
      <w:r w:rsidRPr="00532FEE">
        <w:rPr>
          <w:rFonts w:ascii="Arial" w:eastAsia="Times New Roman" w:hAnsi="Arial" w:cs="Arial"/>
          <w:color w:val="000000"/>
          <w:sz w:val="22"/>
          <w:szCs w:val="22"/>
          <w:bdr w:val="none" w:sz="0" w:space="0" w:color="auto" w:frame="1"/>
        </w:rPr>
        <w:t>be done</w:t>
      </w:r>
      <w:bookmarkEnd w:id="3"/>
      <w:r w:rsidRPr="00532FEE">
        <w:rPr>
          <w:rFonts w:ascii="Arial" w:eastAsia="Times New Roman" w:hAnsi="Arial" w:cs="Arial"/>
          <w:color w:val="000000"/>
          <w:sz w:val="22"/>
          <w:szCs w:val="22"/>
          <w:bdr w:val="none" w:sz="0" w:space="0" w:color="auto" w:frame="1"/>
        </w:rPr>
        <w:t xml:space="preserve"> by breaking tasks into smaller, manageable steps, offering encouragement, and allowing sufficient time for completion. Instead of taking over, guiding the resident through the process can help preserve independence.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The behaviour and attitude of staff are also important. Calm communication, clear instructions, and reassurance can reduce anxiety and confusion. A supportive environment, along with recognition of small achievements, can help residents feel more confident and </w:t>
      </w:r>
      <w:r w:rsidRPr="00532FEE">
        <w:rPr>
          <w:rFonts w:ascii="Arial" w:eastAsia="Times New Roman" w:hAnsi="Arial" w:cs="Arial"/>
          <w:color w:val="000000"/>
          <w:sz w:val="22"/>
          <w:szCs w:val="22"/>
          <w:bdr w:val="none" w:sz="0" w:space="0" w:color="auto" w:frame="1"/>
        </w:rPr>
        <w:lastRenderedPageBreak/>
        <w:t>willing to engage in daily activities.</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b/>
          <w:bCs/>
          <w:color w:val="000000"/>
          <w:sz w:val="22"/>
          <w:szCs w:val="22"/>
          <w:bdr w:val="none" w:sz="0" w:space="0" w:color="auto" w:frame="1"/>
        </w:rPr>
        <w:t>Behaviourism (Operant Conditioning)</w:t>
      </w:r>
      <w:r w:rsidRPr="00532FEE">
        <w:rPr>
          <w:rFonts w:ascii="Arial" w:eastAsia="Times New Roman" w:hAnsi="Arial" w:cs="Arial"/>
          <w:b/>
          <w:bCs/>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Behaviourism focuses on how behaviour </w:t>
      </w:r>
      <w:bookmarkStart w:id="4" w:name="_Int_GqoPw8Ek"/>
      <w:r w:rsidRPr="00532FEE">
        <w:rPr>
          <w:rFonts w:ascii="Arial" w:eastAsia="Times New Roman" w:hAnsi="Arial" w:cs="Arial"/>
          <w:color w:val="000000"/>
          <w:sz w:val="22"/>
          <w:szCs w:val="22"/>
          <w:bdr w:val="none" w:sz="0" w:space="0" w:color="auto" w:frame="1"/>
        </w:rPr>
        <w:t>is learned</w:t>
      </w:r>
      <w:bookmarkEnd w:id="4"/>
      <w:r w:rsidRPr="00532FEE">
        <w:rPr>
          <w:rFonts w:ascii="Arial" w:eastAsia="Times New Roman" w:hAnsi="Arial" w:cs="Arial"/>
          <w:color w:val="000000"/>
          <w:sz w:val="22"/>
          <w:szCs w:val="22"/>
          <w:bdr w:val="none" w:sz="0" w:space="0" w:color="auto" w:frame="1"/>
        </w:rPr>
        <w:t xml:space="preserve"> through interaction with the environment. Skinner (1953) proposed that behaviour </w:t>
      </w:r>
      <w:bookmarkStart w:id="5" w:name="_Int_LbUepW2m"/>
      <w:r w:rsidRPr="00532FEE">
        <w:rPr>
          <w:rFonts w:ascii="Arial" w:eastAsia="Times New Roman" w:hAnsi="Arial" w:cs="Arial"/>
          <w:color w:val="000000"/>
          <w:sz w:val="22"/>
          <w:szCs w:val="22"/>
          <w:bdr w:val="none" w:sz="0" w:space="0" w:color="auto" w:frame="1"/>
        </w:rPr>
        <w:t>is shaped</w:t>
      </w:r>
      <w:bookmarkEnd w:id="5"/>
      <w:r w:rsidRPr="00532FEE">
        <w:rPr>
          <w:rFonts w:ascii="Arial" w:eastAsia="Times New Roman" w:hAnsi="Arial" w:cs="Arial"/>
          <w:color w:val="000000"/>
          <w:sz w:val="22"/>
          <w:szCs w:val="22"/>
          <w:bdr w:val="none" w:sz="0" w:space="0" w:color="auto" w:frame="1"/>
        </w:rPr>
        <w:t xml:space="preserve"> by reinforcement, meaning that actions followed by positive outcomes are more likely to be repeated.</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In dementia care, this can help explain why certain behaviours continue over time. For example, if a resident becomes aggressive during personal care and staff respond by stopping the activity, the resident may learn that this behaviour allows them to avoid the situation. As a result, the behaviour may occur more frequently.</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Positive reinforcement is commonly used to encourage more desirable behaviours. For instance, praising a resident for cooperating during care or </w:t>
      </w:r>
      <w:r w:rsidR="00DE1622" w:rsidRPr="00532FEE">
        <w:rPr>
          <w:rFonts w:ascii="Arial" w:eastAsia="Times New Roman" w:hAnsi="Arial" w:cs="Arial"/>
          <w:color w:val="000000"/>
          <w:sz w:val="22"/>
          <w:szCs w:val="22"/>
          <w:bdr w:val="none" w:sz="0" w:space="0" w:color="auto" w:frame="1"/>
        </w:rPr>
        <w:t>taking part</w:t>
      </w:r>
      <w:r w:rsidRPr="00532FEE">
        <w:rPr>
          <w:rFonts w:ascii="Arial" w:eastAsia="Times New Roman" w:hAnsi="Arial" w:cs="Arial"/>
          <w:color w:val="000000"/>
          <w:sz w:val="22"/>
          <w:szCs w:val="22"/>
          <w:bdr w:val="none" w:sz="0" w:space="0" w:color="auto" w:frame="1"/>
        </w:rPr>
        <w:t xml:space="preserve"> in an activity can increase the likelihood that they will repeat that behaviour in the future. Simple rewards such as kind words, attention, or preferred activities can be effective.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Negative reinforcement also plays a role, as it involves removing an unpleasant experience to encourage behaviour. In some cases, residents may refuse care to avoid discomfort or confusion. If staff consistently withdraw when this happens, it may unintentionally reinforce the refusal.</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For this reason, it is important for staff to respond consistently and focus more on encouraging positive behaviour rather than reinforcing avoidance. At the same time, </w:t>
      </w:r>
      <w:r w:rsidR="005705FF" w:rsidRPr="00532FEE">
        <w:rPr>
          <w:rFonts w:ascii="Arial" w:eastAsia="Times New Roman" w:hAnsi="Arial" w:cs="Arial"/>
          <w:color w:val="000000"/>
          <w:sz w:val="22"/>
          <w:szCs w:val="22"/>
          <w:bdr w:val="none" w:sz="0" w:space="0" w:color="auto" w:frame="1"/>
        </w:rPr>
        <w:t>finding</w:t>
      </w:r>
      <w:r w:rsidRPr="00532FEE">
        <w:rPr>
          <w:rFonts w:ascii="Arial" w:eastAsia="Times New Roman" w:hAnsi="Arial" w:cs="Arial"/>
          <w:color w:val="000000"/>
          <w:sz w:val="22"/>
          <w:szCs w:val="22"/>
          <w:bdr w:val="none" w:sz="0" w:space="0" w:color="auto" w:frame="1"/>
        </w:rPr>
        <w:t xml:space="preserve"> and reducing triggers</w:t>
      </w:r>
      <w:r w:rsidR="005705FF" w:rsidRPr="00532FEE">
        <w:rPr>
          <w:rFonts w:ascii="Arial" w:eastAsia="Times New Roman" w:hAnsi="Arial" w:cs="Arial"/>
          <w:color w:val="000000"/>
          <w:sz w:val="22"/>
          <w:szCs w:val="22"/>
          <w:bdr w:val="none" w:sz="0" w:space="0" w:color="auto" w:frame="1"/>
        </w:rPr>
        <w:t xml:space="preserve"> </w:t>
      </w:r>
      <w:r w:rsidRPr="00532FEE">
        <w:rPr>
          <w:rFonts w:ascii="Arial" w:eastAsia="Times New Roman" w:hAnsi="Arial" w:cs="Arial"/>
          <w:color w:val="000000"/>
          <w:sz w:val="22"/>
          <w:szCs w:val="22"/>
          <w:bdr w:val="none" w:sz="0" w:space="0" w:color="auto" w:frame="1"/>
        </w:rPr>
        <w:t>such as loud environments or unclear communication</w:t>
      </w:r>
      <w:r w:rsidR="005705FF" w:rsidRPr="00532FEE">
        <w:rPr>
          <w:rFonts w:ascii="Arial" w:eastAsia="Times New Roman" w:hAnsi="Arial" w:cs="Arial"/>
          <w:color w:val="000000"/>
          <w:sz w:val="22"/>
          <w:szCs w:val="22"/>
          <w:bdr w:val="none" w:sz="0" w:space="0" w:color="auto" w:frame="1"/>
        </w:rPr>
        <w:t xml:space="preserve"> </w:t>
      </w:r>
      <w:r w:rsidRPr="00532FEE">
        <w:rPr>
          <w:rFonts w:ascii="Arial" w:eastAsia="Times New Roman" w:hAnsi="Arial" w:cs="Arial"/>
          <w:color w:val="000000"/>
          <w:sz w:val="22"/>
          <w:szCs w:val="22"/>
          <w:bdr w:val="none" w:sz="0" w:space="0" w:color="auto" w:frame="1"/>
        </w:rPr>
        <w:t>can help prevent distress before it escalates.</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However, behaviourism has its limitations. It focuses </w:t>
      </w:r>
      <w:r w:rsidR="005705FF" w:rsidRPr="00532FEE">
        <w:rPr>
          <w:rFonts w:ascii="Arial" w:eastAsia="Times New Roman" w:hAnsi="Arial" w:cs="Arial"/>
          <w:color w:val="000000"/>
          <w:sz w:val="22"/>
          <w:szCs w:val="22"/>
          <w:bdr w:val="none" w:sz="0" w:space="0" w:color="auto" w:frame="1"/>
        </w:rPr>
        <w:t>on</w:t>
      </w:r>
      <w:r w:rsidRPr="00532FEE">
        <w:rPr>
          <w:rFonts w:ascii="Arial" w:eastAsia="Times New Roman" w:hAnsi="Arial" w:cs="Arial"/>
          <w:color w:val="000000"/>
          <w:sz w:val="22"/>
          <w:szCs w:val="22"/>
          <w:bdr w:val="none" w:sz="0" w:space="0" w:color="auto" w:frame="1"/>
        </w:rPr>
        <w:t xml:space="preserve"> observable behaviour and does not fully consider emotional or cognitive factors. This can be a disadvantage when working with individuals with dementia, as their behaviour is often closely linked to internal experiences that are not immediately visible.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b/>
          <w:bCs/>
          <w:color w:val="000000"/>
          <w:sz w:val="22"/>
          <w:szCs w:val="22"/>
          <w:bdr w:val="none" w:sz="0" w:space="0" w:color="auto" w:frame="1"/>
        </w:rPr>
        <w:t>Combining the Theories in Practice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Both behaviourism and social cognitive theory offer useful insights, and they can be more effective when used together. Behaviourism provides practical strategies for managing behaviour, while social cognitive theory helps explain why behaviours occur in the first place.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In practice, this means that care staff should not only respond to behaviour but also try to understand its cause. For example, if a resident becomes distressed, staff can use reinforcement techniques to encourage calm behaviour while also considering </w:t>
      </w:r>
      <w:r w:rsidR="005705FF" w:rsidRPr="00532FEE">
        <w:rPr>
          <w:rFonts w:ascii="Arial" w:eastAsia="Times New Roman" w:hAnsi="Arial" w:cs="Arial"/>
          <w:color w:val="000000"/>
          <w:sz w:val="22"/>
          <w:szCs w:val="22"/>
          <w:bdr w:val="none" w:sz="0" w:space="0" w:color="auto" w:frame="1"/>
        </w:rPr>
        <w:t>triggers</w:t>
      </w:r>
      <w:r w:rsidRPr="00532FEE">
        <w:rPr>
          <w:rFonts w:ascii="Arial" w:eastAsia="Times New Roman" w:hAnsi="Arial" w:cs="Arial"/>
          <w:color w:val="000000"/>
          <w:sz w:val="22"/>
          <w:szCs w:val="22"/>
          <w:bdr w:val="none" w:sz="0" w:space="0" w:color="auto" w:frame="1"/>
        </w:rPr>
        <w:t xml:space="preserve"> such as noise, unfamiliar routines, or communication difficulties.</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Effective care strategies may include using clear and simple language, </w:t>
      </w:r>
      <w:r w:rsidR="005705FF" w:rsidRPr="00532FEE">
        <w:rPr>
          <w:rFonts w:ascii="Arial" w:eastAsia="Times New Roman" w:hAnsi="Arial" w:cs="Arial"/>
          <w:color w:val="000000"/>
          <w:sz w:val="22"/>
          <w:szCs w:val="22"/>
          <w:bdr w:val="none" w:sz="0" w:space="0" w:color="auto" w:frame="1"/>
        </w:rPr>
        <w:t>supporting</w:t>
      </w:r>
      <w:r w:rsidRPr="00532FEE">
        <w:rPr>
          <w:rFonts w:ascii="Arial" w:eastAsia="Times New Roman" w:hAnsi="Arial" w:cs="Arial"/>
          <w:color w:val="000000"/>
          <w:sz w:val="22"/>
          <w:szCs w:val="22"/>
          <w:bdr w:val="none" w:sz="0" w:space="0" w:color="auto" w:frame="1"/>
        </w:rPr>
        <w:t xml:space="preserve"> consistent </w:t>
      </w:r>
      <w:r w:rsidRPr="00532FEE">
        <w:rPr>
          <w:rFonts w:ascii="Arial" w:eastAsia="Times New Roman" w:hAnsi="Arial" w:cs="Arial"/>
          <w:color w:val="000000"/>
          <w:sz w:val="22"/>
          <w:szCs w:val="22"/>
          <w:bdr w:val="none" w:sz="0" w:space="0" w:color="auto" w:frame="1"/>
        </w:rPr>
        <w:lastRenderedPageBreak/>
        <w:t>routines, and creating a calm environment. Encouraging participation in activities and recognising small achievements can also support confidence and engagement.</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Applying these approaches requires a person-centred mindset. Staff need to be aware of how their own behaviour affects residents. Speaking calmly, </w:t>
      </w:r>
      <w:r w:rsidR="000354EF" w:rsidRPr="00532FEE">
        <w:rPr>
          <w:rFonts w:ascii="Arial" w:eastAsia="Times New Roman" w:hAnsi="Arial" w:cs="Arial"/>
          <w:color w:val="000000"/>
          <w:sz w:val="22"/>
          <w:szCs w:val="22"/>
          <w:bdr w:val="none" w:sz="0" w:space="0" w:color="auto" w:frame="1"/>
        </w:rPr>
        <w:t>keeping</w:t>
      </w:r>
      <w:r w:rsidRPr="00532FEE">
        <w:rPr>
          <w:rFonts w:ascii="Arial" w:eastAsia="Times New Roman" w:hAnsi="Arial" w:cs="Arial"/>
          <w:color w:val="000000"/>
          <w:sz w:val="22"/>
          <w:szCs w:val="22"/>
          <w:bdr w:val="none" w:sz="0" w:space="0" w:color="auto" w:frame="1"/>
        </w:rPr>
        <w:t xml:space="preserve"> eye contact, and giving clear instructions can make a significant difference. In addition, understanding each resident’s background, preferences, and needs allows for more personalised and effective care.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b/>
          <w:bCs/>
          <w:color w:val="000000"/>
          <w:sz w:val="22"/>
          <w:szCs w:val="22"/>
          <w:bdr w:val="none" w:sz="0" w:space="0" w:color="auto" w:frame="1"/>
        </w:rPr>
        <w:t>Challenges in Application</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Despite their usefulness, applying these theories in dementia care can be challenging. Communication difficulties may make it hard for residents to express their needs, leading to misunderstandings. Staff may also face time pressures and heavy workloads, which can result in a more task-focused approach rather than person-centred care.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Managing behaviours such as aggression or withdrawal can also be stressful for staff. Over time, this can affect confidence and lead to burnout if adequate support is not provided.</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To address these challenges, care settings should focus on staff training, clear communication strategies, and consistent routines. Providing emotional support and supervision for staff is equally important, as </w:t>
      </w:r>
      <w:r w:rsidR="000354EF" w:rsidRPr="00532FEE">
        <w:rPr>
          <w:rFonts w:ascii="Arial" w:eastAsia="Times New Roman" w:hAnsi="Arial" w:cs="Arial"/>
          <w:color w:val="000000"/>
          <w:sz w:val="22"/>
          <w:szCs w:val="22"/>
          <w:bdr w:val="none" w:sz="0" w:space="0" w:color="auto" w:frame="1"/>
        </w:rPr>
        <w:t>confident,</w:t>
      </w:r>
      <w:r w:rsidRPr="00532FEE">
        <w:rPr>
          <w:rFonts w:ascii="Arial" w:eastAsia="Times New Roman" w:hAnsi="Arial" w:cs="Arial"/>
          <w:color w:val="000000"/>
          <w:sz w:val="22"/>
          <w:szCs w:val="22"/>
          <w:bdr w:val="none" w:sz="0" w:space="0" w:color="auto" w:frame="1"/>
        </w:rPr>
        <w:t xml:space="preserve"> and well-supported staff are more likely to deliver effective care.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b/>
          <w:bCs/>
          <w:color w:val="000000"/>
          <w:sz w:val="22"/>
          <w:szCs w:val="22"/>
          <w:bdr w:val="none" w:sz="0" w:space="0" w:color="auto" w:frame="1"/>
        </w:rPr>
        <w:t>Critical Comparison</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Both theories contribute to understanding behaviour, but they focus on </w:t>
      </w:r>
      <w:r w:rsidR="000354EF" w:rsidRPr="00532FEE">
        <w:rPr>
          <w:rFonts w:ascii="Arial" w:eastAsia="Times New Roman" w:hAnsi="Arial" w:cs="Arial"/>
          <w:color w:val="000000"/>
          <w:sz w:val="22"/>
          <w:szCs w:val="22"/>
          <w:bdr w:val="none" w:sz="0" w:space="0" w:color="auto" w:frame="1"/>
        </w:rPr>
        <w:t>distinct aspects</w:t>
      </w:r>
      <w:r w:rsidRPr="00532FEE">
        <w:rPr>
          <w:rFonts w:ascii="Arial" w:eastAsia="Times New Roman" w:hAnsi="Arial" w:cs="Arial"/>
          <w:color w:val="000000"/>
          <w:sz w:val="22"/>
          <w:szCs w:val="22"/>
          <w:bdr w:val="none" w:sz="0" w:space="0" w:color="auto" w:frame="1"/>
        </w:rPr>
        <w:t>. Behaviourism is useful for managing behaviour through reinforcement and provides clear, practical techniques. However, it can be overly simplistic, as it does not fully consider emotional or cognitive factors.</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In contrast, social cognitive theory offers a broader understanding by </w:t>
      </w:r>
      <w:r w:rsidR="000354EF" w:rsidRPr="00532FEE">
        <w:rPr>
          <w:rFonts w:ascii="Arial" w:eastAsia="Times New Roman" w:hAnsi="Arial" w:cs="Arial"/>
          <w:color w:val="000000"/>
          <w:sz w:val="22"/>
          <w:szCs w:val="22"/>
          <w:bdr w:val="none" w:sz="0" w:space="0" w:color="auto" w:frame="1"/>
        </w:rPr>
        <w:t>considering</w:t>
      </w:r>
      <w:r w:rsidRPr="00532FEE">
        <w:rPr>
          <w:rFonts w:ascii="Arial" w:eastAsia="Times New Roman" w:hAnsi="Arial" w:cs="Arial"/>
          <w:color w:val="000000"/>
          <w:sz w:val="22"/>
          <w:szCs w:val="22"/>
          <w:bdr w:val="none" w:sz="0" w:space="0" w:color="auto" w:frame="1"/>
        </w:rPr>
        <w:t xml:space="preserve"> thoughts, feelings, and environmental influences. While this makes it more comprehensive, it can sometimes be more difficult to apply in practice.</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Overall, combining both approaches is likely to produce the best outcomes. Behaviourism can guide how behaviour </w:t>
      </w:r>
      <w:bookmarkStart w:id="6" w:name="_Int_RkHtNnGj"/>
      <w:r w:rsidRPr="00532FEE">
        <w:rPr>
          <w:rFonts w:ascii="Arial" w:eastAsia="Times New Roman" w:hAnsi="Arial" w:cs="Arial"/>
          <w:color w:val="000000"/>
          <w:sz w:val="22"/>
          <w:szCs w:val="22"/>
          <w:bdr w:val="none" w:sz="0" w:space="0" w:color="auto" w:frame="1"/>
        </w:rPr>
        <w:t>is managed</w:t>
      </w:r>
      <w:bookmarkEnd w:id="6"/>
      <w:r w:rsidRPr="00532FEE">
        <w:rPr>
          <w:rFonts w:ascii="Arial" w:eastAsia="Times New Roman" w:hAnsi="Arial" w:cs="Arial"/>
          <w:color w:val="000000"/>
          <w:sz w:val="22"/>
          <w:szCs w:val="22"/>
          <w:bdr w:val="none" w:sz="0" w:space="0" w:color="auto" w:frame="1"/>
        </w:rPr>
        <w:t>, while social cognitive theory helps explain the underlying reasons behind it.</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b/>
          <w:bCs/>
          <w:color w:val="000000"/>
          <w:sz w:val="22"/>
          <w:szCs w:val="22"/>
          <w:bdr w:val="none" w:sz="0" w:space="0" w:color="auto" w:frame="1"/>
        </w:rPr>
        <w:t>Conclusion</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lastRenderedPageBreak/>
        <w:t xml:space="preserve">Psychological theories play </w:t>
      </w:r>
      <w:r w:rsidR="00E83ABC" w:rsidRPr="00532FEE">
        <w:rPr>
          <w:rFonts w:ascii="Arial" w:eastAsia="Times New Roman" w:hAnsi="Arial" w:cs="Arial"/>
          <w:color w:val="000000"/>
          <w:sz w:val="22"/>
          <w:szCs w:val="22"/>
          <w:bdr w:val="none" w:sz="0" w:space="0" w:color="auto" w:frame="1"/>
        </w:rPr>
        <w:t>a significant role</w:t>
      </w:r>
      <w:r w:rsidRPr="00532FEE">
        <w:rPr>
          <w:rFonts w:ascii="Arial" w:eastAsia="Times New Roman" w:hAnsi="Arial" w:cs="Arial"/>
          <w:color w:val="000000"/>
          <w:sz w:val="22"/>
          <w:szCs w:val="22"/>
          <w:bdr w:val="none" w:sz="0" w:space="0" w:color="auto" w:frame="1"/>
        </w:rPr>
        <w:t xml:space="preserve"> in supporting individuals with dementia in care settings. Behaviourism explains how behaviour </w:t>
      </w:r>
      <w:bookmarkStart w:id="7" w:name="_Int_kTMSmbic"/>
      <w:r w:rsidRPr="00532FEE">
        <w:rPr>
          <w:rFonts w:ascii="Arial" w:eastAsia="Times New Roman" w:hAnsi="Arial" w:cs="Arial"/>
          <w:color w:val="000000"/>
          <w:sz w:val="22"/>
          <w:szCs w:val="22"/>
          <w:bdr w:val="none" w:sz="0" w:space="0" w:color="auto" w:frame="1"/>
        </w:rPr>
        <w:t>is learned</w:t>
      </w:r>
      <w:bookmarkEnd w:id="7"/>
      <w:r w:rsidRPr="00532FEE">
        <w:rPr>
          <w:rFonts w:ascii="Arial" w:eastAsia="Times New Roman" w:hAnsi="Arial" w:cs="Arial"/>
          <w:color w:val="000000"/>
          <w:sz w:val="22"/>
          <w:szCs w:val="22"/>
          <w:bdr w:val="none" w:sz="0" w:space="0" w:color="auto" w:frame="1"/>
        </w:rPr>
        <w:t xml:space="preserve"> and </w:t>
      </w:r>
      <w:r w:rsidR="00E83ABC" w:rsidRPr="00532FEE">
        <w:rPr>
          <w:rFonts w:ascii="Arial" w:eastAsia="Times New Roman" w:hAnsi="Arial" w:cs="Arial"/>
          <w:color w:val="000000"/>
          <w:sz w:val="22"/>
          <w:szCs w:val="22"/>
          <w:bdr w:val="none" w:sz="0" w:space="0" w:color="auto" w:frame="1"/>
        </w:rPr>
        <w:t>kept</w:t>
      </w:r>
      <w:r w:rsidRPr="00532FEE">
        <w:rPr>
          <w:rFonts w:ascii="Arial" w:eastAsia="Times New Roman" w:hAnsi="Arial" w:cs="Arial"/>
          <w:color w:val="000000"/>
          <w:sz w:val="22"/>
          <w:szCs w:val="22"/>
          <w:bdr w:val="none" w:sz="0" w:space="0" w:color="auto" w:frame="1"/>
        </w:rPr>
        <w:t xml:space="preserve"> through reinforcement, while social cognitive theory highlights the influence of personal, social, and environmental factors.</w:t>
      </w:r>
      <w:r w:rsidRPr="00532FEE">
        <w:rPr>
          <w:rFonts w:ascii="Arial" w:eastAsia="Times New Roman" w:hAnsi="Arial" w:cs="Arial"/>
          <w:color w:val="FFFFFF"/>
          <w:sz w:val="22"/>
          <w:szCs w:val="22"/>
        </w:rPr>
        <w:br/>
      </w:r>
      <w:r w:rsidRPr="00532FEE">
        <w:rPr>
          <w:rFonts w:ascii="Arial" w:eastAsia="Times New Roman" w:hAnsi="Arial" w:cs="Arial"/>
          <w:color w:val="FFFFFF"/>
          <w:sz w:val="22"/>
          <w:szCs w:val="22"/>
        </w:rPr>
        <w:br/>
      </w:r>
      <w:r w:rsidRPr="00532FEE">
        <w:rPr>
          <w:rFonts w:ascii="Arial" w:eastAsia="Times New Roman" w:hAnsi="Arial" w:cs="Arial"/>
          <w:color w:val="000000"/>
          <w:sz w:val="22"/>
          <w:szCs w:val="22"/>
          <w:bdr w:val="none" w:sz="0" w:space="0" w:color="auto" w:frame="1"/>
        </w:rPr>
        <w:t xml:space="preserve">By applying these theories together, care staff can develop a better understanding of behaviour and respond more effectively. Although there are challenges in practice, these can </w:t>
      </w:r>
      <w:bookmarkStart w:id="8" w:name="_Int_yItKTFKq"/>
      <w:r w:rsidRPr="00532FEE">
        <w:rPr>
          <w:rFonts w:ascii="Arial" w:eastAsia="Times New Roman" w:hAnsi="Arial" w:cs="Arial"/>
          <w:color w:val="000000"/>
          <w:sz w:val="22"/>
          <w:szCs w:val="22"/>
          <w:bdr w:val="none" w:sz="0" w:space="0" w:color="auto" w:frame="1"/>
        </w:rPr>
        <w:t>be addressed</w:t>
      </w:r>
      <w:bookmarkEnd w:id="8"/>
      <w:r w:rsidRPr="00532FEE">
        <w:rPr>
          <w:rFonts w:ascii="Arial" w:eastAsia="Times New Roman" w:hAnsi="Arial" w:cs="Arial"/>
          <w:color w:val="000000"/>
          <w:sz w:val="22"/>
          <w:szCs w:val="22"/>
          <w:bdr w:val="none" w:sz="0" w:space="0" w:color="auto" w:frame="1"/>
        </w:rPr>
        <w:t xml:space="preserve"> through training, support, and a strong focus on person-centred care. </w:t>
      </w:r>
      <w:r w:rsidR="000354EF" w:rsidRPr="00532FEE">
        <w:rPr>
          <w:rFonts w:ascii="Arial" w:eastAsia="Times New Roman" w:hAnsi="Arial" w:cs="Arial"/>
          <w:color w:val="000000"/>
          <w:sz w:val="22"/>
          <w:szCs w:val="22"/>
          <w:bdr w:val="none" w:sz="0" w:space="0" w:color="auto" w:frame="1"/>
        </w:rPr>
        <w:t>This</w:t>
      </w:r>
      <w:r w:rsidRPr="00532FEE">
        <w:rPr>
          <w:rFonts w:ascii="Arial" w:eastAsia="Times New Roman" w:hAnsi="Arial" w:cs="Arial"/>
          <w:color w:val="000000"/>
          <w:sz w:val="22"/>
          <w:szCs w:val="22"/>
          <w:bdr w:val="none" w:sz="0" w:space="0" w:color="auto" w:frame="1"/>
        </w:rPr>
        <w:t xml:space="preserve"> approach can improve both the quality of care and the wellbeing of residents.</w:t>
      </w:r>
    </w:p>
    <w:p w14:paraId="2AEF1304" w14:textId="77777777" w:rsidR="003B7E84" w:rsidRPr="00532FEE" w:rsidRDefault="003B7E84" w:rsidP="009055BB">
      <w:pPr>
        <w:rPr>
          <w:rFonts w:ascii="Arial" w:eastAsia="Times New Roman" w:hAnsi="Arial" w:cs="Arial"/>
          <w:color w:val="000000"/>
          <w:sz w:val="22"/>
          <w:szCs w:val="22"/>
          <w:bdr w:val="none" w:sz="0" w:space="0" w:color="auto" w:frame="1"/>
        </w:rPr>
      </w:pPr>
    </w:p>
    <w:p w14:paraId="4E5D085D" w14:textId="77777777" w:rsidR="003B7E84" w:rsidRPr="00532FEE" w:rsidRDefault="003B7E84" w:rsidP="009055BB">
      <w:pPr>
        <w:rPr>
          <w:rFonts w:ascii="Arial" w:eastAsia="Times New Roman" w:hAnsi="Arial" w:cs="Arial"/>
          <w:color w:val="000000"/>
          <w:sz w:val="22"/>
          <w:szCs w:val="22"/>
          <w:bdr w:val="none" w:sz="0" w:space="0" w:color="auto" w:frame="1"/>
        </w:rPr>
      </w:pPr>
    </w:p>
    <w:p w14:paraId="1A3C0939" w14:textId="0FB5AFA0" w:rsidR="003B7E84" w:rsidRPr="00532FEE" w:rsidRDefault="003B7E84" w:rsidP="009055BB">
      <w:pPr>
        <w:rPr>
          <w:rFonts w:ascii="Arial" w:eastAsia="Times New Roman" w:hAnsi="Arial" w:cs="Arial"/>
          <w:b/>
          <w:bCs/>
          <w:color w:val="000000"/>
          <w:sz w:val="22"/>
          <w:szCs w:val="22"/>
          <w:bdr w:val="none" w:sz="0" w:space="0" w:color="auto" w:frame="1"/>
        </w:rPr>
      </w:pPr>
      <w:r w:rsidRPr="00532FEE">
        <w:rPr>
          <w:rFonts w:ascii="Arial" w:eastAsia="Times New Roman" w:hAnsi="Arial" w:cs="Arial"/>
          <w:b/>
          <w:bCs/>
          <w:color w:val="000000"/>
          <w:sz w:val="22"/>
          <w:szCs w:val="22"/>
          <w:bdr w:val="none" w:sz="0" w:space="0" w:color="auto" w:frame="1"/>
        </w:rPr>
        <w:t xml:space="preserve">References </w:t>
      </w:r>
    </w:p>
    <w:p w14:paraId="2AF42DA6" w14:textId="731AA504" w:rsidR="00EB722A" w:rsidRPr="00532FEE" w:rsidRDefault="00EB722A" w:rsidP="00EB722A">
      <w:pPr>
        <w:spacing w:before="100" w:beforeAutospacing="1" w:after="100" w:afterAutospacing="1" w:line="240" w:lineRule="auto"/>
        <w:rPr>
          <w:rFonts w:ascii="Arial" w:eastAsiaTheme="minorEastAsia" w:hAnsi="Arial" w:cs="Arial"/>
          <w:color w:val="000000"/>
          <w:kern w:val="0"/>
          <w:sz w:val="22"/>
          <w:szCs w:val="22"/>
          <w:lang w:eastAsia="en-GB"/>
          <w14:ligatures w14:val="none"/>
        </w:rPr>
      </w:pPr>
      <w:proofErr w:type="spellStart"/>
      <w:r w:rsidRPr="00532FEE">
        <w:rPr>
          <w:rFonts w:ascii="Arial" w:eastAsiaTheme="minorEastAsia" w:hAnsi="Arial" w:cs="Arial"/>
          <w:color w:val="000000"/>
          <w:kern w:val="0"/>
          <w:sz w:val="22"/>
          <w:szCs w:val="22"/>
          <w:lang w:eastAsia="en-GB"/>
          <w14:ligatures w14:val="none"/>
        </w:rPr>
        <w:t>Bandura</w:t>
      </w:r>
      <w:proofErr w:type="spellEnd"/>
      <w:r w:rsidRPr="00532FEE">
        <w:rPr>
          <w:rFonts w:ascii="Arial" w:eastAsiaTheme="minorEastAsia" w:hAnsi="Arial" w:cs="Arial"/>
          <w:color w:val="000000"/>
          <w:kern w:val="0"/>
          <w:sz w:val="22"/>
          <w:szCs w:val="22"/>
          <w:lang w:eastAsia="en-GB"/>
          <w14:ligatures w14:val="none"/>
        </w:rPr>
        <w:t>, A. (1986) </w:t>
      </w:r>
      <w:r w:rsidRPr="00532FEE">
        <w:rPr>
          <w:rFonts w:ascii="Arial" w:eastAsiaTheme="minorEastAsia" w:hAnsi="Arial" w:cs="Arial"/>
          <w:i/>
          <w:iCs/>
          <w:color w:val="000000"/>
          <w:kern w:val="0"/>
          <w:sz w:val="22"/>
          <w:szCs w:val="22"/>
          <w:bdr w:val="none" w:sz="0" w:space="0" w:color="auto" w:frame="1"/>
          <w:lang w:eastAsia="en-GB"/>
          <w14:ligatures w14:val="none"/>
        </w:rPr>
        <w:t>Social foundations of thought and action: A social cognitive theory</w:t>
      </w:r>
      <w:r w:rsidRPr="00532FEE">
        <w:rPr>
          <w:rFonts w:ascii="Arial" w:eastAsiaTheme="minorEastAsia" w:hAnsi="Arial" w:cs="Arial"/>
          <w:color w:val="000000"/>
          <w:kern w:val="0"/>
          <w:sz w:val="22"/>
          <w:szCs w:val="22"/>
          <w:lang w:eastAsia="en-GB"/>
          <w14:ligatures w14:val="none"/>
        </w:rPr>
        <w:t>. Englewood Cliffs: Prentice-Hall.</w:t>
      </w:r>
    </w:p>
    <w:p w14:paraId="20D240F5" w14:textId="42E32B10" w:rsidR="00EB722A" w:rsidRPr="00532FEE" w:rsidRDefault="00EB722A" w:rsidP="00EB722A">
      <w:pPr>
        <w:spacing w:before="100" w:beforeAutospacing="1" w:after="100" w:afterAutospacing="1" w:line="240" w:lineRule="auto"/>
        <w:rPr>
          <w:rFonts w:ascii="Arial" w:eastAsiaTheme="minorEastAsia" w:hAnsi="Arial" w:cs="Arial"/>
          <w:color w:val="000000"/>
          <w:kern w:val="0"/>
          <w:sz w:val="22"/>
          <w:szCs w:val="22"/>
          <w:lang w:eastAsia="en-GB"/>
          <w14:ligatures w14:val="none"/>
        </w:rPr>
      </w:pPr>
      <w:proofErr w:type="spellStart"/>
      <w:r w:rsidRPr="00532FEE">
        <w:rPr>
          <w:rFonts w:ascii="Arial" w:eastAsiaTheme="minorEastAsia" w:hAnsi="Arial" w:cs="Arial"/>
          <w:color w:val="000000"/>
          <w:kern w:val="0"/>
          <w:sz w:val="22"/>
          <w:szCs w:val="22"/>
          <w:lang w:eastAsia="en-GB"/>
          <w14:ligatures w14:val="none"/>
        </w:rPr>
        <w:t>Bandura</w:t>
      </w:r>
      <w:proofErr w:type="spellEnd"/>
      <w:r w:rsidRPr="00532FEE">
        <w:rPr>
          <w:rFonts w:ascii="Arial" w:eastAsiaTheme="minorEastAsia" w:hAnsi="Arial" w:cs="Arial"/>
          <w:color w:val="000000"/>
          <w:kern w:val="0"/>
          <w:sz w:val="22"/>
          <w:szCs w:val="22"/>
          <w:lang w:eastAsia="en-GB"/>
          <w14:ligatures w14:val="none"/>
        </w:rPr>
        <w:t>, A. (1997) </w:t>
      </w:r>
      <w:r w:rsidRPr="00532FEE">
        <w:rPr>
          <w:rFonts w:ascii="Arial" w:eastAsiaTheme="minorEastAsia" w:hAnsi="Arial" w:cs="Arial"/>
          <w:i/>
          <w:iCs/>
          <w:color w:val="000000"/>
          <w:kern w:val="0"/>
          <w:sz w:val="22"/>
          <w:szCs w:val="22"/>
          <w:bdr w:val="none" w:sz="0" w:space="0" w:color="auto" w:frame="1"/>
          <w:lang w:eastAsia="en-GB"/>
          <w14:ligatures w14:val="none"/>
        </w:rPr>
        <w:t>Self-efficacy: The exercise of control</w:t>
      </w:r>
      <w:r w:rsidRPr="00532FEE">
        <w:rPr>
          <w:rFonts w:ascii="Arial" w:eastAsiaTheme="minorEastAsia" w:hAnsi="Arial" w:cs="Arial"/>
          <w:color w:val="000000"/>
          <w:kern w:val="0"/>
          <w:sz w:val="22"/>
          <w:szCs w:val="22"/>
          <w:lang w:eastAsia="en-GB"/>
          <w14:ligatures w14:val="none"/>
        </w:rPr>
        <w:t>. New York: W.H. Freeman.</w:t>
      </w:r>
    </w:p>
    <w:p w14:paraId="0FD285FB" w14:textId="1B848F3E" w:rsidR="00EB722A" w:rsidRPr="00532FEE" w:rsidRDefault="00EB722A" w:rsidP="00EB722A">
      <w:pPr>
        <w:spacing w:before="100" w:beforeAutospacing="1" w:after="100" w:afterAutospacing="1" w:line="240" w:lineRule="auto"/>
        <w:rPr>
          <w:rFonts w:ascii="Arial" w:eastAsiaTheme="minorEastAsia" w:hAnsi="Arial" w:cs="Arial"/>
          <w:color w:val="000000"/>
          <w:kern w:val="0"/>
          <w:sz w:val="22"/>
          <w:szCs w:val="22"/>
          <w:lang w:eastAsia="en-GB"/>
          <w14:ligatures w14:val="none"/>
        </w:rPr>
      </w:pPr>
      <w:r w:rsidRPr="00532FEE">
        <w:rPr>
          <w:rFonts w:ascii="Arial" w:eastAsiaTheme="minorEastAsia" w:hAnsi="Arial" w:cs="Arial"/>
          <w:color w:val="000000"/>
          <w:kern w:val="0"/>
          <w:sz w:val="22"/>
          <w:szCs w:val="22"/>
          <w:lang w:eastAsia="en-GB"/>
          <w14:ligatures w14:val="none"/>
        </w:rPr>
        <w:t xml:space="preserve">Livingston, G., </w:t>
      </w:r>
      <w:proofErr w:type="spellStart"/>
      <w:r w:rsidRPr="00532FEE">
        <w:rPr>
          <w:rFonts w:ascii="Arial" w:eastAsiaTheme="minorEastAsia" w:hAnsi="Arial" w:cs="Arial"/>
          <w:color w:val="000000"/>
          <w:kern w:val="0"/>
          <w:sz w:val="22"/>
          <w:szCs w:val="22"/>
          <w:lang w:eastAsia="en-GB"/>
          <w14:ligatures w14:val="none"/>
        </w:rPr>
        <w:t>Sommerlad</w:t>
      </w:r>
      <w:proofErr w:type="spellEnd"/>
      <w:r w:rsidRPr="00532FEE">
        <w:rPr>
          <w:rFonts w:ascii="Arial" w:eastAsiaTheme="minorEastAsia" w:hAnsi="Arial" w:cs="Arial"/>
          <w:color w:val="000000"/>
          <w:kern w:val="0"/>
          <w:sz w:val="22"/>
          <w:szCs w:val="22"/>
          <w:lang w:eastAsia="en-GB"/>
          <w14:ligatures w14:val="none"/>
        </w:rPr>
        <w:t xml:space="preserve">, A., </w:t>
      </w:r>
      <w:proofErr w:type="spellStart"/>
      <w:r w:rsidRPr="00532FEE">
        <w:rPr>
          <w:rFonts w:ascii="Arial" w:eastAsiaTheme="minorEastAsia" w:hAnsi="Arial" w:cs="Arial"/>
          <w:color w:val="000000"/>
          <w:kern w:val="0"/>
          <w:sz w:val="22"/>
          <w:szCs w:val="22"/>
          <w:lang w:eastAsia="en-GB"/>
          <w14:ligatures w14:val="none"/>
        </w:rPr>
        <w:t>Orgeta</w:t>
      </w:r>
      <w:proofErr w:type="spellEnd"/>
      <w:r w:rsidRPr="00532FEE">
        <w:rPr>
          <w:rFonts w:ascii="Arial" w:eastAsiaTheme="minorEastAsia" w:hAnsi="Arial" w:cs="Arial"/>
          <w:color w:val="000000"/>
          <w:kern w:val="0"/>
          <w:sz w:val="22"/>
          <w:szCs w:val="22"/>
          <w:lang w:eastAsia="en-GB"/>
          <w14:ligatures w14:val="none"/>
        </w:rPr>
        <w:t xml:space="preserve">, V., </w:t>
      </w:r>
      <w:proofErr w:type="spellStart"/>
      <w:r w:rsidRPr="00532FEE">
        <w:rPr>
          <w:rFonts w:ascii="Arial" w:eastAsiaTheme="minorEastAsia" w:hAnsi="Arial" w:cs="Arial"/>
          <w:color w:val="000000"/>
          <w:kern w:val="0"/>
          <w:sz w:val="22"/>
          <w:szCs w:val="22"/>
          <w:lang w:eastAsia="en-GB"/>
          <w14:ligatures w14:val="none"/>
        </w:rPr>
        <w:t>Costafreda</w:t>
      </w:r>
      <w:proofErr w:type="spellEnd"/>
      <w:r w:rsidRPr="00532FEE">
        <w:rPr>
          <w:rFonts w:ascii="Arial" w:eastAsiaTheme="minorEastAsia" w:hAnsi="Arial" w:cs="Arial"/>
          <w:color w:val="000000"/>
          <w:kern w:val="0"/>
          <w:sz w:val="22"/>
          <w:szCs w:val="22"/>
          <w:lang w:eastAsia="en-GB"/>
          <w14:ligatures w14:val="none"/>
        </w:rPr>
        <w:t>, S.G., Huntley, J., Ames, D., Ballard, C., Banerjee, S., Burns, A., Cohen-Mansfield, J. and Cooper, C. (2017)‘Dementia prevention, intervention, and care’, </w:t>
      </w:r>
      <w:r w:rsidRPr="00532FEE">
        <w:rPr>
          <w:rFonts w:ascii="Arial" w:eastAsiaTheme="minorEastAsia" w:hAnsi="Arial" w:cs="Arial"/>
          <w:i/>
          <w:iCs/>
          <w:color w:val="000000"/>
          <w:kern w:val="0"/>
          <w:sz w:val="22"/>
          <w:szCs w:val="22"/>
          <w:bdr w:val="none" w:sz="0" w:space="0" w:color="auto" w:frame="1"/>
          <w:lang w:eastAsia="en-GB"/>
          <w14:ligatures w14:val="none"/>
        </w:rPr>
        <w:t>The Lancet</w:t>
      </w:r>
      <w:r w:rsidRPr="00532FEE">
        <w:rPr>
          <w:rFonts w:ascii="Arial" w:eastAsiaTheme="minorEastAsia" w:hAnsi="Arial" w:cs="Arial"/>
          <w:color w:val="000000"/>
          <w:kern w:val="0"/>
          <w:sz w:val="22"/>
          <w:szCs w:val="22"/>
          <w:lang w:eastAsia="en-GB"/>
          <w14:ligatures w14:val="none"/>
        </w:rPr>
        <w:t>, 390(10113), pp. 2673–2734.</w:t>
      </w:r>
    </w:p>
    <w:p w14:paraId="07C2E254" w14:textId="1BA7E79D" w:rsidR="00EB722A" w:rsidRPr="00532FEE" w:rsidRDefault="00EB722A" w:rsidP="00EB722A">
      <w:pPr>
        <w:spacing w:before="100" w:beforeAutospacing="1" w:after="100" w:afterAutospacing="1" w:line="240" w:lineRule="auto"/>
        <w:rPr>
          <w:rFonts w:ascii="Arial" w:eastAsiaTheme="minorEastAsia" w:hAnsi="Arial" w:cs="Arial"/>
          <w:color w:val="000000"/>
          <w:kern w:val="0"/>
          <w:sz w:val="22"/>
          <w:szCs w:val="22"/>
          <w:lang w:eastAsia="en-GB"/>
          <w14:ligatures w14:val="none"/>
        </w:rPr>
      </w:pPr>
      <w:r w:rsidRPr="00532FEE">
        <w:rPr>
          <w:rFonts w:ascii="Arial" w:eastAsiaTheme="minorEastAsia" w:hAnsi="Arial" w:cs="Arial"/>
          <w:color w:val="000000"/>
          <w:kern w:val="0"/>
          <w:sz w:val="22"/>
          <w:szCs w:val="22"/>
          <w:lang w:eastAsia="en-GB"/>
          <w14:ligatures w14:val="none"/>
        </w:rPr>
        <w:t>NICE (2018) </w:t>
      </w:r>
      <w:r w:rsidRPr="00532FEE">
        <w:rPr>
          <w:rFonts w:ascii="Arial" w:eastAsiaTheme="minorEastAsia" w:hAnsi="Arial" w:cs="Arial"/>
          <w:i/>
          <w:iCs/>
          <w:color w:val="000000"/>
          <w:kern w:val="0"/>
          <w:sz w:val="22"/>
          <w:szCs w:val="22"/>
          <w:bdr w:val="none" w:sz="0" w:space="0" w:color="auto" w:frame="1"/>
          <w:lang w:eastAsia="en-GB"/>
          <w14:ligatures w14:val="none"/>
        </w:rPr>
        <w:t>Dementia: assessment, management and support for people living with dementia and their carers</w:t>
      </w:r>
      <w:r w:rsidRPr="00532FEE">
        <w:rPr>
          <w:rFonts w:ascii="Arial" w:eastAsiaTheme="minorEastAsia" w:hAnsi="Arial" w:cs="Arial"/>
          <w:color w:val="000000"/>
          <w:kern w:val="0"/>
          <w:sz w:val="22"/>
          <w:szCs w:val="22"/>
          <w:lang w:eastAsia="en-GB"/>
          <w14:ligatures w14:val="none"/>
        </w:rPr>
        <w:t>. Available at: </w:t>
      </w:r>
      <w:hyperlink r:id="rId11" w:tgtFrame="_blank" w:history="1">
        <w:r w:rsidRPr="00532FEE">
          <w:rPr>
            <w:rFonts w:ascii="Arial" w:eastAsiaTheme="minorEastAsia" w:hAnsi="Arial" w:cs="Arial"/>
            <w:color w:val="4285F4"/>
            <w:kern w:val="0"/>
            <w:sz w:val="22"/>
            <w:szCs w:val="22"/>
            <w:u w:val="single"/>
            <w:bdr w:val="none" w:sz="0" w:space="0" w:color="auto" w:frame="1"/>
            <w:lang w:eastAsia="en-GB"/>
            <w14:ligatures w14:val="none"/>
          </w:rPr>
          <w:t>https://www.nice.org.uk/guidance/</w:t>
        </w:r>
        <w:proofErr w:type="spellStart"/>
        <w:r w:rsidRPr="00532FEE">
          <w:rPr>
            <w:rFonts w:ascii="Arial" w:eastAsiaTheme="minorEastAsia" w:hAnsi="Arial" w:cs="Arial"/>
            <w:color w:val="4285F4"/>
            <w:kern w:val="0"/>
            <w:sz w:val="22"/>
            <w:szCs w:val="22"/>
            <w:u w:val="single"/>
            <w:bdr w:val="none" w:sz="0" w:space="0" w:color="auto" w:frame="1"/>
            <w:lang w:eastAsia="en-GB"/>
            <w14:ligatures w14:val="none"/>
          </w:rPr>
          <w:t>ng97</w:t>
        </w:r>
        <w:proofErr w:type="spellEnd"/>
      </w:hyperlink>
    </w:p>
    <w:p w14:paraId="4C40CB7F" w14:textId="71F6435A" w:rsidR="00EB722A" w:rsidRPr="00532FEE" w:rsidRDefault="00EB722A" w:rsidP="00EB722A">
      <w:pPr>
        <w:spacing w:before="100" w:beforeAutospacing="1" w:after="100" w:afterAutospacing="1" w:line="240" w:lineRule="auto"/>
        <w:rPr>
          <w:rFonts w:ascii="Arial" w:eastAsiaTheme="minorEastAsia" w:hAnsi="Arial" w:cs="Arial"/>
          <w:color w:val="000000"/>
          <w:kern w:val="0"/>
          <w:sz w:val="22"/>
          <w:szCs w:val="22"/>
          <w:lang w:eastAsia="en-GB"/>
          <w14:ligatures w14:val="none"/>
        </w:rPr>
      </w:pPr>
      <w:r w:rsidRPr="00532FEE">
        <w:rPr>
          <w:rFonts w:ascii="Arial" w:eastAsiaTheme="minorEastAsia" w:hAnsi="Arial" w:cs="Arial"/>
          <w:color w:val="000000"/>
          <w:kern w:val="0"/>
          <w:sz w:val="22"/>
          <w:szCs w:val="22"/>
          <w:lang w:eastAsia="en-GB"/>
          <w14:ligatures w14:val="none"/>
        </w:rPr>
        <w:t>Skinner, B.F. (1953) </w:t>
      </w:r>
      <w:r w:rsidRPr="00532FEE">
        <w:rPr>
          <w:rFonts w:ascii="Arial" w:eastAsiaTheme="minorEastAsia" w:hAnsi="Arial" w:cs="Arial"/>
          <w:i/>
          <w:iCs/>
          <w:color w:val="000000"/>
          <w:kern w:val="0"/>
          <w:sz w:val="22"/>
          <w:szCs w:val="22"/>
          <w:bdr w:val="none" w:sz="0" w:space="0" w:color="auto" w:frame="1"/>
          <w:lang w:eastAsia="en-GB"/>
          <w14:ligatures w14:val="none"/>
        </w:rPr>
        <w:t xml:space="preserve">Science and human </w:t>
      </w:r>
      <w:proofErr w:type="spellStart"/>
      <w:r w:rsidRPr="00532FEE">
        <w:rPr>
          <w:rFonts w:ascii="Arial" w:eastAsiaTheme="minorEastAsia" w:hAnsi="Arial" w:cs="Arial"/>
          <w:i/>
          <w:iCs/>
          <w:color w:val="000000"/>
          <w:kern w:val="0"/>
          <w:sz w:val="22"/>
          <w:szCs w:val="22"/>
          <w:bdr w:val="none" w:sz="0" w:space="0" w:color="auto" w:frame="1"/>
          <w:lang w:eastAsia="en-GB"/>
          <w14:ligatures w14:val="none"/>
        </w:rPr>
        <w:t>behavior</w:t>
      </w:r>
      <w:proofErr w:type="spellEnd"/>
      <w:r w:rsidRPr="00532FEE">
        <w:rPr>
          <w:rFonts w:ascii="Arial" w:eastAsiaTheme="minorEastAsia" w:hAnsi="Arial" w:cs="Arial"/>
          <w:color w:val="000000"/>
          <w:kern w:val="0"/>
          <w:sz w:val="22"/>
          <w:szCs w:val="22"/>
          <w:lang w:eastAsia="en-GB"/>
          <w14:ligatures w14:val="none"/>
        </w:rPr>
        <w:t>. New York: Macmillan.</w:t>
      </w:r>
    </w:p>
    <w:p w14:paraId="6CCB99EE" w14:textId="77777777" w:rsidR="00EB722A" w:rsidRPr="00532FEE" w:rsidRDefault="00EB722A" w:rsidP="00EB722A">
      <w:pPr>
        <w:spacing w:before="100" w:beforeAutospacing="1" w:after="100" w:afterAutospacing="1" w:line="240" w:lineRule="auto"/>
        <w:rPr>
          <w:rFonts w:ascii="Arial" w:eastAsiaTheme="minorEastAsia" w:hAnsi="Arial" w:cs="Arial"/>
          <w:color w:val="000000"/>
          <w:kern w:val="0"/>
          <w:sz w:val="22"/>
          <w:szCs w:val="22"/>
          <w:lang w:eastAsia="en-GB"/>
          <w14:ligatures w14:val="none"/>
        </w:rPr>
      </w:pPr>
      <w:proofErr w:type="spellStart"/>
      <w:r w:rsidRPr="00532FEE">
        <w:rPr>
          <w:rFonts w:ascii="Arial" w:eastAsiaTheme="minorEastAsia" w:hAnsi="Arial" w:cs="Arial"/>
          <w:color w:val="000000"/>
          <w:kern w:val="0"/>
          <w:sz w:val="22"/>
          <w:szCs w:val="22"/>
          <w:lang w:eastAsia="en-GB"/>
          <w14:ligatures w14:val="none"/>
        </w:rPr>
        <w:t>Kitwood</w:t>
      </w:r>
      <w:proofErr w:type="spellEnd"/>
      <w:r w:rsidRPr="00532FEE">
        <w:rPr>
          <w:rFonts w:ascii="Arial" w:eastAsiaTheme="minorEastAsia" w:hAnsi="Arial" w:cs="Arial"/>
          <w:color w:val="000000"/>
          <w:kern w:val="0"/>
          <w:sz w:val="22"/>
          <w:szCs w:val="22"/>
          <w:lang w:eastAsia="en-GB"/>
          <w14:ligatures w14:val="none"/>
        </w:rPr>
        <w:t>, T. (1997) </w:t>
      </w:r>
      <w:r w:rsidRPr="00532FEE">
        <w:rPr>
          <w:rFonts w:ascii="Arial" w:eastAsiaTheme="minorEastAsia" w:hAnsi="Arial" w:cs="Arial"/>
          <w:i/>
          <w:iCs/>
          <w:color w:val="000000"/>
          <w:kern w:val="0"/>
          <w:sz w:val="22"/>
          <w:szCs w:val="22"/>
          <w:bdr w:val="none" w:sz="0" w:space="0" w:color="auto" w:frame="1"/>
          <w:lang w:eastAsia="en-GB"/>
          <w14:ligatures w14:val="none"/>
        </w:rPr>
        <w:t>Dementia reconsidered: The person comes first</w:t>
      </w:r>
      <w:r w:rsidRPr="00532FEE">
        <w:rPr>
          <w:rFonts w:ascii="Arial" w:eastAsiaTheme="minorEastAsia" w:hAnsi="Arial" w:cs="Arial"/>
          <w:color w:val="000000"/>
          <w:kern w:val="0"/>
          <w:sz w:val="22"/>
          <w:szCs w:val="22"/>
          <w:lang w:eastAsia="en-GB"/>
          <w14:ligatures w14:val="none"/>
        </w:rPr>
        <w:t>. Buckingham: Open University Press.</w:t>
      </w:r>
    </w:p>
    <w:p w14:paraId="59DD34A6" w14:textId="77777777" w:rsidR="00EB722A" w:rsidRPr="00532FEE" w:rsidRDefault="00EB722A" w:rsidP="00EB722A">
      <w:pPr>
        <w:spacing w:after="0" w:line="240" w:lineRule="auto"/>
        <w:rPr>
          <w:rFonts w:ascii="Arial" w:eastAsia="Times New Roman" w:hAnsi="Arial" w:cs="Arial"/>
          <w:kern w:val="0"/>
          <w:sz w:val="22"/>
          <w:szCs w:val="22"/>
          <w:lang w:eastAsia="en-GB"/>
          <w14:ligatures w14:val="none"/>
        </w:rPr>
      </w:pPr>
    </w:p>
    <w:p w14:paraId="04661672" w14:textId="77777777" w:rsidR="00EB722A" w:rsidRPr="00532FEE" w:rsidRDefault="00EB722A" w:rsidP="009055BB">
      <w:pPr>
        <w:rPr>
          <w:rFonts w:ascii="Arial" w:hAnsi="Arial" w:cs="Arial"/>
          <w:b/>
          <w:bCs/>
          <w:sz w:val="22"/>
          <w:szCs w:val="22"/>
        </w:rPr>
      </w:pPr>
    </w:p>
    <w:p w14:paraId="3D2203D0" w14:textId="5CF91E6C" w:rsidR="00553BAE" w:rsidRPr="00532FEE" w:rsidRDefault="00553BAE" w:rsidP="009055BB">
      <w:pPr>
        <w:rPr>
          <w:rFonts w:ascii="Arial" w:hAnsi="Arial" w:cs="Arial"/>
          <w:sz w:val="22"/>
          <w:szCs w:val="22"/>
        </w:rPr>
      </w:pPr>
      <w:r w:rsidRPr="00532FEE">
        <w:rPr>
          <w:rFonts w:ascii="Arial" w:hAnsi="Arial" w:cs="Arial"/>
          <w:sz w:val="22"/>
          <w:szCs w:val="22"/>
        </w:rPr>
        <w:t xml:space="preserve"> </w:t>
      </w:r>
    </w:p>
    <w:p w14:paraId="1E16DECC" w14:textId="77777777" w:rsidR="00221A40" w:rsidRPr="00532FEE" w:rsidRDefault="00221A40">
      <w:pPr>
        <w:rPr>
          <w:rFonts w:ascii="Arial" w:hAnsi="Arial" w:cs="Arial"/>
          <w:sz w:val="22"/>
          <w:szCs w:val="22"/>
        </w:rPr>
      </w:pPr>
    </w:p>
    <w:sectPr w:rsidR="00221A40" w:rsidRPr="00532F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BBA2F" w14:textId="77777777" w:rsidR="00FA345D" w:rsidRDefault="00FA345D" w:rsidP="000B5434">
      <w:pPr>
        <w:spacing w:after="0" w:line="240" w:lineRule="auto"/>
      </w:pPr>
      <w:r>
        <w:separator/>
      </w:r>
    </w:p>
  </w:endnote>
  <w:endnote w:type="continuationSeparator" w:id="0">
    <w:p w14:paraId="4E959C3E" w14:textId="77777777" w:rsidR="00FA345D" w:rsidRDefault="00FA345D" w:rsidP="000B5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A48C2" w14:textId="77777777" w:rsidR="00FA345D" w:rsidRDefault="00FA345D" w:rsidP="000B5434">
      <w:pPr>
        <w:spacing w:after="0" w:line="240" w:lineRule="auto"/>
      </w:pPr>
      <w:r>
        <w:separator/>
      </w:r>
    </w:p>
  </w:footnote>
  <w:footnote w:type="continuationSeparator" w:id="0">
    <w:p w14:paraId="78052B88" w14:textId="77777777" w:rsidR="00FA345D" w:rsidRDefault="00FA345D" w:rsidP="000B543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pj5MFoZ" int2:invalidationBookmarkName="" int2:hashCode="LtE20um5MT0JGL" int2:id="5iETo9SS">
      <int2:state int2:value="Rejected" int2:type="style"/>
    </int2:bookmark>
    <int2:bookmark int2:bookmarkName="_Int_MuspzUuE" int2:invalidationBookmarkName="" int2:hashCode="5sI2PUUDC3XtUc" int2:id="LEBWjFuM">
      <int2:state int2:value="Rejected" int2:type="style"/>
    </int2:bookmark>
    <int2:bookmark int2:bookmarkName="_Int_3NQOunC3" int2:invalidationBookmarkName="" int2:hashCode="GIUboHCkpxRe9k" int2:id="5rnlUduK">
      <int2:state int2:value="Rejected" int2:type="style"/>
    </int2:bookmark>
    <int2:bookmark int2:bookmarkName="_Int_kPY8pQ7w" int2:invalidationBookmarkName="" int2:hashCode="t8xaJcwRNn16bh" int2:id="Vj9FVU4w">
      <int2:state int2:value="Rejected" int2:type="style"/>
    </int2:bookmark>
    <int2:bookmark int2:bookmarkName="_Int_GqoPw8Ek" int2:invalidationBookmarkName="" int2:hashCode="gYCLhECOaG3OM1" int2:id="59TZDXHI">
      <int2:state int2:value="Rejected" int2:type="style"/>
    </int2:bookmark>
    <int2:bookmark int2:bookmarkName="_Int_LbUepW2m" int2:invalidationBookmarkName="" int2:hashCode="QyMHtVzhlTy+I2" int2:id="WxwSEP31">
      <int2:state int2:value="Rejected" int2:type="style"/>
    </int2:bookmark>
    <int2:bookmark int2:bookmarkName="_Int_RkHtNnGj" int2:invalidationBookmarkName="" int2:hashCode="uq7qI1ckIoODTB" int2:id="b8T8Rkze">
      <int2:state int2:value="Rejected" int2:type="style"/>
    </int2:bookmark>
    <int2:bookmark int2:bookmarkName="_Int_kTMSmbic" int2:invalidationBookmarkName="" int2:hashCode="gYCLhECOaG3OM1" int2:id="SUoWF74X">
      <int2:state int2:value="Rejected" int2:type="style"/>
    </int2:bookmark>
    <int2:bookmark int2:bookmarkName="_Int_yItKTFKq" int2:invalidationBookmarkName="" int2:hashCode="KH/R9eYBhxaRyz" int2:id="liPAZWA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4615F"/>
    <w:multiLevelType w:val="hybridMultilevel"/>
    <w:tmpl w:val="854C4254"/>
    <w:lvl w:ilvl="0" w:tplc="F49227D0">
      <w:start w:val="1"/>
      <w:numFmt w:val="bullet"/>
      <w:lvlText w:val="•"/>
      <w:lvlJc w:val="left"/>
      <w:pPr>
        <w:tabs>
          <w:tab w:val="num" w:pos="720"/>
        </w:tabs>
        <w:ind w:left="720" w:hanging="360"/>
      </w:pPr>
      <w:rPr>
        <w:rFonts w:ascii="Arial" w:hAnsi="Arial" w:hint="default"/>
      </w:rPr>
    </w:lvl>
    <w:lvl w:ilvl="1" w:tplc="CEECC24A" w:tentative="1">
      <w:start w:val="1"/>
      <w:numFmt w:val="bullet"/>
      <w:lvlText w:val="•"/>
      <w:lvlJc w:val="left"/>
      <w:pPr>
        <w:tabs>
          <w:tab w:val="num" w:pos="1440"/>
        </w:tabs>
        <w:ind w:left="1440" w:hanging="360"/>
      </w:pPr>
      <w:rPr>
        <w:rFonts w:ascii="Arial" w:hAnsi="Arial" w:hint="default"/>
      </w:rPr>
    </w:lvl>
    <w:lvl w:ilvl="2" w:tplc="1062D1E8" w:tentative="1">
      <w:start w:val="1"/>
      <w:numFmt w:val="bullet"/>
      <w:lvlText w:val="•"/>
      <w:lvlJc w:val="left"/>
      <w:pPr>
        <w:tabs>
          <w:tab w:val="num" w:pos="2160"/>
        </w:tabs>
        <w:ind w:left="2160" w:hanging="360"/>
      </w:pPr>
      <w:rPr>
        <w:rFonts w:ascii="Arial" w:hAnsi="Arial" w:hint="default"/>
      </w:rPr>
    </w:lvl>
    <w:lvl w:ilvl="3" w:tplc="5AA27FAA" w:tentative="1">
      <w:start w:val="1"/>
      <w:numFmt w:val="bullet"/>
      <w:lvlText w:val="•"/>
      <w:lvlJc w:val="left"/>
      <w:pPr>
        <w:tabs>
          <w:tab w:val="num" w:pos="2880"/>
        </w:tabs>
        <w:ind w:left="2880" w:hanging="360"/>
      </w:pPr>
      <w:rPr>
        <w:rFonts w:ascii="Arial" w:hAnsi="Arial" w:hint="default"/>
      </w:rPr>
    </w:lvl>
    <w:lvl w:ilvl="4" w:tplc="190069F8" w:tentative="1">
      <w:start w:val="1"/>
      <w:numFmt w:val="bullet"/>
      <w:lvlText w:val="•"/>
      <w:lvlJc w:val="left"/>
      <w:pPr>
        <w:tabs>
          <w:tab w:val="num" w:pos="3600"/>
        </w:tabs>
        <w:ind w:left="3600" w:hanging="360"/>
      </w:pPr>
      <w:rPr>
        <w:rFonts w:ascii="Arial" w:hAnsi="Arial" w:hint="default"/>
      </w:rPr>
    </w:lvl>
    <w:lvl w:ilvl="5" w:tplc="B98CD18E" w:tentative="1">
      <w:start w:val="1"/>
      <w:numFmt w:val="bullet"/>
      <w:lvlText w:val="•"/>
      <w:lvlJc w:val="left"/>
      <w:pPr>
        <w:tabs>
          <w:tab w:val="num" w:pos="4320"/>
        </w:tabs>
        <w:ind w:left="4320" w:hanging="360"/>
      </w:pPr>
      <w:rPr>
        <w:rFonts w:ascii="Arial" w:hAnsi="Arial" w:hint="default"/>
      </w:rPr>
    </w:lvl>
    <w:lvl w:ilvl="6" w:tplc="F49A4C3E" w:tentative="1">
      <w:start w:val="1"/>
      <w:numFmt w:val="bullet"/>
      <w:lvlText w:val="•"/>
      <w:lvlJc w:val="left"/>
      <w:pPr>
        <w:tabs>
          <w:tab w:val="num" w:pos="5040"/>
        </w:tabs>
        <w:ind w:left="5040" w:hanging="360"/>
      </w:pPr>
      <w:rPr>
        <w:rFonts w:ascii="Arial" w:hAnsi="Arial" w:hint="default"/>
      </w:rPr>
    </w:lvl>
    <w:lvl w:ilvl="7" w:tplc="560C833E" w:tentative="1">
      <w:start w:val="1"/>
      <w:numFmt w:val="bullet"/>
      <w:lvlText w:val="•"/>
      <w:lvlJc w:val="left"/>
      <w:pPr>
        <w:tabs>
          <w:tab w:val="num" w:pos="5760"/>
        </w:tabs>
        <w:ind w:left="5760" w:hanging="360"/>
      </w:pPr>
      <w:rPr>
        <w:rFonts w:ascii="Arial" w:hAnsi="Arial" w:hint="default"/>
      </w:rPr>
    </w:lvl>
    <w:lvl w:ilvl="8" w:tplc="67CA168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BD0D1A"/>
    <w:multiLevelType w:val="hybridMultilevel"/>
    <w:tmpl w:val="9530E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6868996">
    <w:abstractNumId w:val="0"/>
  </w:num>
  <w:num w:numId="2" w16cid:durableId="1917402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0"/>
    <w:rsid w:val="000354EF"/>
    <w:rsid w:val="0009240E"/>
    <w:rsid w:val="000B5434"/>
    <w:rsid w:val="00221A40"/>
    <w:rsid w:val="00294098"/>
    <w:rsid w:val="003B7E84"/>
    <w:rsid w:val="004951CF"/>
    <w:rsid w:val="004F4677"/>
    <w:rsid w:val="00532FEE"/>
    <w:rsid w:val="00553BAE"/>
    <w:rsid w:val="005705FF"/>
    <w:rsid w:val="005A4B2C"/>
    <w:rsid w:val="005B6D35"/>
    <w:rsid w:val="00673657"/>
    <w:rsid w:val="006B21BF"/>
    <w:rsid w:val="008E14B7"/>
    <w:rsid w:val="009055BB"/>
    <w:rsid w:val="00CE0313"/>
    <w:rsid w:val="00CE5004"/>
    <w:rsid w:val="00DE1622"/>
    <w:rsid w:val="00E83ABC"/>
    <w:rsid w:val="00EB722A"/>
    <w:rsid w:val="00F26A8C"/>
    <w:rsid w:val="00F51437"/>
    <w:rsid w:val="00F72F5A"/>
    <w:rsid w:val="00FA3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C51F"/>
  <w15:chartTrackingRefBased/>
  <w15:docId w15:val="{2BA95988-4730-4352-897A-529C99CB7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0"/>
    <w:rPr>
      <w:rFonts w:eastAsiaTheme="majorEastAsia" w:cstheme="majorBidi"/>
      <w:color w:val="272727" w:themeColor="text1" w:themeTint="D8"/>
    </w:rPr>
  </w:style>
  <w:style w:type="paragraph" w:styleId="Title">
    <w:name w:val="Title"/>
    <w:basedOn w:val="Normal"/>
    <w:next w:val="Normal"/>
    <w:link w:val="TitleChar"/>
    <w:uiPriority w:val="10"/>
    <w:qFormat/>
    <w:rsid w:val="00221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A40"/>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0"/>
    <w:rPr>
      <w:i/>
      <w:iCs/>
      <w:color w:val="404040" w:themeColor="text1" w:themeTint="BF"/>
    </w:rPr>
  </w:style>
  <w:style w:type="paragraph" w:styleId="ListParagraph">
    <w:name w:val="List Paragraph"/>
    <w:basedOn w:val="Normal"/>
    <w:uiPriority w:val="34"/>
    <w:qFormat/>
    <w:rsid w:val="00221A40"/>
    <w:pPr>
      <w:ind w:left="720"/>
      <w:contextualSpacing/>
    </w:pPr>
  </w:style>
  <w:style w:type="character" w:styleId="IntenseEmphasis">
    <w:name w:val="Intense Emphasis"/>
    <w:basedOn w:val="DefaultParagraphFont"/>
    <w:uiPriority w:val="21"/>
    <w:qFormat/>
    <w:rsid w:val="00221A40"/>
    <w:rPr>
      <w:i/>
      <w:iCs/>
      <w:color w:val="0F4761" w:themeColor="accent1" w:themeShade="BF"/>
    </w:rPr>
  </w:style>
  <w:style w:type="paragraph" w:styleId="IntenseQuote">
    <w:name w:val="Intense Quote"/>
    <w:basedOn w:val="Normal"/>
    <w:next w:val="Normal"/>
    <w:link w:val="IntenseQuoteChar"/>
    <w:uiPriority w:val="30"/>
    <w:qFormat/>
    <w:rsid w:val="00221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A40"/>
    <w:rPr>
      <w:i/>
      <w:iCs/>
      <w:color w:val="0F4761" w:themeColor="accent1" w:themeShade="BF"/>
    </w:rPr>
  </w:style>
  <w:style w:type="character" w:styleId="IntenseReference">
    <w:name w:val="Intense Reference"/>
    <w:basedOn w:val="DefaultParagraphFont"/>
    <w:uiPriority w:val="32"/>
    <w:qFormat/>
    <w:rsid w:val="00221A40"/>
    <w:rPr>
      <w:b/>
      <w:bCs/>
      <w:smallCaps/>
      <w:color w:val="0F4761" w:themeColor="accent1" w:themeShade="BF"/>
      <w:spacing w:val="5"/>
    </w:rPr>
  </w:style>
  <w:style w:type="paragraph" w:styleId="NormalWeb">
    <w:name w:val="Normal (Web)"/>
    <w:basedOn w:val="Normal"/>
    <w:uiPriority w:val="99"/>
    <w:semiHidden/>
    <w:unhideWhenUsed/>
    <w:rsid w:val="00F72F5A"/>
    <w:rPr>
      <w:rFonts w:ascii="Times New Roman" w:hAnsi="Times New Roman" w:cs="Times New Roman"/>
    </w:rPr>
  </w:style>
  <w:style w:type="paragraph" w:styleId="Header">
    <w:name w:val="header"/>
    <w:basedOn w:val="Normal"/>
    <w:link w:val="HeaderChar"/>
    <w:uiPriority w:val="99"/>
    <w:unhideWhenUsed/>
    <w:rsid w:val="000B5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434"/>
  </w:style>
  <w:style w:type="paragraph" w:styleId="Footer">
    <w:name w:val="footer"/>
    <w:basedOn w:val="Normal"/>
    <w:link w:val="FooterChar"/>
    <w:uiPriority w:val="99"/>
    <w:unhideWhenUsed/>
    <w:rsid w:val="000B5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434"/>
  </w:style>
  <w:style w:type="character" w:customStyle="1" w:styleId="apple-converted-space">
    <w:name w:val="apple-converted-space"/>
    <w:basedOn w:val="DefaultParagraphFont"/>
    <w:rsid w:val="00EB722A"/>
  </w:style>
  <w:style w:type="character" w:styleId="Hyperlink">
    <w:name w:val="Hyperlink"/>
    <w:basedOn w:val="DefaultParagraphFont"/>
    <w:uiPriority w:val="99"/>
    <w:semiHidden/>
    <w:unhideWhenUsed/>
    <w:rsid w:val="00EB72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ce.org.uk/guidance/ng97"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944e65952075d7df3d3904431287673b">
  <xsd:schema xmlns:xsd="http://www.w3.org/2001/XMLSchema" xmlns:xs="http://www.w3.org/2001/XMLSchema" xmlns:p="http://schemas.microsoft.com/office/2006/metadata/properties" xmlns:ns3="37a0acea-1511-41cc-bfdb-5619dd373231" targetNamespace="http://schemas.microsoft.com/office/2006/metadata/properties" ma:root="true" ma:fieldsID="c3570d031c103879c1a96ea1fa6f34f6"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2F82F-185E-4143-BCEE-BC3ED5390439}">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s>
</ds:datastoreItem>
</file>

<file path=customXml/itemProps2.xml><?xml version="1.0" encoding="utf-8"?>
<ds:datastoreItem xmlns:ds="http://schemas.openxmlformats.org/officeDocument/2006/customXml" ds:itemID="{2FEDD231-64F4-449D-8BEE-5B2F4A132C61}">
  <ds:schemaRefs>
    <ds:schemaRef ds:uri="http://schemas.microsoft.com/sharepoint/v3/contenttype/forms"/>
  </ds:schemaRefs>
</ds:datastoreItem>
</file>

<file path=customXml/itemProps3.xml><?xml version="1.0" encoding="utf-8"?>
<ds:datastoreItem xmlns:ds="http://schemas.openxmlformats.org/officeDocument/2006/customXml" ds:itemID="{23023A40-58CB-41F6-B3CA-187C5AD3727D}">
  <ds:schemaRefs>
    <ds:schemaRef ds:uri="http://schemas.microsoft.com/office/2006/metadata/properties"/>
    <ds:schemaRef ds:uri="http://www.w3.org/2000/xmlns/"/>
    <ds:schemaRef ds:uri="37a0acea-1511-41cc-bfdb-5619dd373231"/>
    <ds:schemaRef ds:uri="http://www.w3.org/2001/XMLSchema-instance"/>
  </ds:schemaRefs>
</ds:datastoreItem>
</file>

<file path=customXml/itemProps4.xml><?xml version="1.0" encoding="utf-8"?>
<ds:datastoreItem xmlns:ds="http://schemas.openxmlformats.org/officeDocument/2006/customXml" ds:itemID="{D8A0D86D-13B9-4770-898C-5EB9B147C5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1406</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Nilbela Quaresma Da Conceicao Diogo</dc:creator>
  <cp:keywords/>
  <dc:description/>
  <cp:lastModifiedBy>Nilsa Quaresma Santa Rosa (2222169)</cp:lastModifiedBy>
  <cp:revision>2</cp:revision>
  <dcterms:created xsi:type="dcterms:W3CDTF">2026-04-24T00:26:00Z</dcterms:created>
  <dcterms:modified xsi:type="dcterms:W3CDTF">2026-04-24T00:26:00Z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