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88D26" w14:textId="26111934" w:rsidR="00F42EED" w:rsidRPr="00F075B3" w:rsidRDefault="00F075B3" w:rsidP="005E751A">
      <w:pPr>
        <w:pStyle w:val="Title"/>
        <w:pBdr>
          <w:bottom w:val="single" w:sz="4" w:space="1" w:color="auto"/>
        </w:pBdr>
        <w:jc w:val="left"/>
        <w:rPr>
          <w:rFonts w:ascii="Arial" w:hAnsi="Arial" w:cs="Arial"/>
        </w:rPr>
      </w:pPr>
      <w:r w:rsidRPr="00F075B3">
        <w:rPr>
          <w:rFonts w:ascii="Arial" w:hAnsi="Arial" w:cs="Arial"/>
          <w:lang w:val="en-US" w:bidi="ar-SA"/>
        </w:rPr>
        <w:drawing>
          <wp:inline distT="0" distB="0" distL="0" distR="0" wp14:anchorId="46C40761" wp14:editId="695BDC51">
            <wp:extent cx="2202371" cy="792549"/>
            <wp:effectExtent l="19050" t="0" r="7429" b="0"/>
            <wp:docPr id="5" name="Picture 4" descr="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t.PNG"/>
                    <pic:cNvPicPr/>
                  </pic:nvPicPr>
                  <pic:blipFill>
                    <a:blip r:embed="rId5" cstate="print"/>
                    <a:stretch>
                      <a:fillRect/>
                    </a:stretch>
                  </pic:blipFill>
                  <pic:spPr>
                    <a:xfrm>
                      <a:off x="0" y="0"/>
                      <a:ext cx="2202371" cy="792549"/>
                    </a:xfrm>
                    <a:prstGeom prst="rect">
                      <a:avLst/>
                    </a:prstGeom>
                  </pic:spPr>
                </pic:pic>
              </a:graphicData>
            </a:graphic>
          </wp:inline>
        </w:drawing>
      </w:r>
    </w:p>
    <w:p w14:paraId="0DFBDDF9" w14:textId="77777777" w:rsidR="00F42EED" w:rsidRPr="00F075B3" w:rsidRDefault="00F42EED" w:rsidP="009B2ECF">
      <w:pPr>
        <w:pStyle w:val="Title"/>
        <w:pBdr>
          <w:bottom w:val="single" w:sz="4" w:space="1" w:color="auto"/>
        </w:pBdr>
        <w:rPr>
          <w:rFonts w:ascii="Arial" w:hAnsi="Arial" w:cs="Arial"/>
        </w:rPr>
      </w:pPr>
    </w:p>
    <w:p w14:paraId="127F53E7" w14:textId="0E56092C" w:rsidR="009B2ECF" w:rsidRPr="00F075B3" w:rsidRDefault="009B2ECF" w:rsidP="009B2ECF">
      <w:pPr>
        <w:pStyle w:val="Title"/>
        <w:pBdr>
          <w:bottom w:val="single" w:sz="4" w:space="1" w:color="auto"/>
        </w:pBdr>
        <w:rPr>
          <w:rFonts w:ascii="Arial" w:hAnsi="Arial" w:cs="Arial"/>
        </w:rPr>
      </w:pPr>
      <w:r w:rsidRPr="00F075B3">
        <w:rPr>
          <w:rFonts w:ascii="Arial" w:hAnsi="Arial" w:cs="Arial"/>
        </w:rPr>
        <w:t>MANAGING PEOPLE- A</w:t>
      </w:r>
      <w:r w:rsidR="001433E8">
        <w:rPr>
          <w:rFonts w:ascii="Arial" w:hAnsi="Arial" w:cs="Arial"/>
        </w:rPr>
        <w:t>ssesment</w:t>
      </w:r>
      <w:r w:rsidRPr="00F075B3">
        <w:rPr>
          <w:rFonts w:ascii="Arial" w:hAnsi="Arial" w:cs="Arial"/>
        </w:rPr>
        <w:t xml:space="preserve"> 2</w:t>
      </w:r>
    </w:p>
    <w:p w14:paraId="77CF90A2"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40B37717"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6F9E1FBF"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284D07F3"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03B251BE"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135CDECD"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53FF4E0C"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41CF5743"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022003EB"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2390A92A"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1314555C"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4CB9FD89"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3A55E189"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26F4EF0C"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5443F3F0"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5A90C1B9"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7AEA49B0"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4058F4C2"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6FD5EAEA"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6FC23C0E"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15BE2927"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3F70579B" w14:textId="77777777" w:rsidR="005E751A" w:rsidRDefault="005E751A" w:rsidP="005E751A">
      <w:pPr>
        <w:pStyle w:val="NormalWeb"/>
        <w:spacing w:before="0" w:beforeAutospacing="0" w:after="0" w:afterAutospacing="0" w:line="360" w:lineRule="auto"/>
        <w:jc w:val="both"/>
        <w:rPr>
          <w:rStyle w:val="Strong"/>
          <w:rFonts w:eastAsiaTheme="majorEastAsia"/>
          <w:color w:val="0E101A"/>
        </w:rPr>
      </w:pPr>
    </w:p>
    <w:p w14:paraId="29F233A5" w14:textId="53DDA209" w:rsidR="005E751A" w:rsidRDefault="005E751A" w:rsidP="005E751A">
      <w:pPr>
        <w:pStyle w:val="NormalWeb"/>
        <w:spacing w:before="0" w:beforeAutospacing="0" w:after="0" w:afterAutospacing="0" w:line="360" w:lineRule="auto"/>
        <w:jc w:val="both"/>
        <w:rPr>
          <w:rStyle w:val="Strong"/>
          <w:rFonts w:eastAsiaTheme="majorEastAsia"/>
          <w:b w:val="0"/>
          <w:bCs w:val="0"/>
          <w:color w:val="0E101A"/>
        </w:rPr>
      </w:pPr>
      <w:r>
        <w:rPr>
          <w:rStyle w:val="Strong"/>
          <w:rFonts w:eastAsiaTheme="majorEastAsia"/>
          <w:color w:val="0E101A"/>
        </w:rPr>
        <w:t>NAME: Alexandru Sebastian Melinte</w:t>
      </w:r>
    </w:p>
    <w:p w14:paraId="4BB407D3" w14:textId="77777777" w:rsidR="005E751A" w:rsidRDefault="005E751A" w:rsidP="005E751A">
      <w:pPr>
        <w:pStyle w:val="NormalWeb"/>
        <w:spacing w:before="0" w:beforeAutospacing="0" w:after="0" w:afterAutospacing="0" w:line="360" w:lineRule="auto"/>
        <w:jc w:val="both"/>
        <w:rPr>
          <w:rStyle w:val="Strong"/>
          <w:rFonts w:eastAsiaTheme="majorEastAsia"/>
          <w:b w:val="0"/>
          <w:bCs w:val="0"/>
          <w:color w:val="0E101A"/>
        </w:rPr>
      </w:pPr>
      <w:r>
        <w:rPr>
          <w:rStyle w:val="Strong"/>
          <w:rFonts w:eastAsiaTheme="majorEastAsia"/>
          <w:color w:val="0E101A"/>
        </w:rPr>
        <w:t>STUDENT ID: 1907706</w:t>
      </w:r>
    </w:p>
    <w:p w14:paraId="549CFD0C" w14:textId="77777777" w:rsidR="005E751A" w:rsidRDefault="005E751A" w:rsidP="005E751A">
      <w:pPr>
        <w:pStyle w:val="NormalWeb"/>
        <w:spacing w:before="0" w:beforeAutospacing="0" w:after="0" w:afterAutospacing="0" w:line="360" w:lineRule="auto"/>
        <w:jc w:val="both"/>
        <w:rPr>
          <w:rStyle w:val="Strong"/>
          <w:rFonts w:eastAsiaTheme="majorEastAsia"/>
          <w:b w:val="0"/>
          <w:bCs w:val="0"/>
          <w:color w:val="0E101A"/>
        </w:rPr>
      </w:pPr>
      <w:r>
        <w:rPr>
          <w:rStyle w:val="Strong"/>
          <w:rFonts w:eastAsiaTheme="majorEastAsia"/>
          <w:color w:val="0E101A"/>
        </w:rPr>
        <w:t xml:space="preserve">MODULE TITLE: </w:t>
      </w:r>
      <w:r>
        <w:rPr>
          <w:b/>
          <w:bCs/>
          <w:lang w:val="en-GB"/>
        </w:rPr>
        <w:t>Managing People (LCBB5004)</w:t>
      </w:r>
    </w:p>
    <w:p w14:paraId="25A49592" w14:textId="0D7E8403" w:rsidR="005E751A" w:rsidRDefault="005E751A" w:rsidP="005E751A">
      <w:pPr>
        <w:pStyle w:val="NormalWeb"/>
        <w:spacing w:before="0" w:beforeAutospacing="0" w:after="0" w:afterAutospacing="0" w:line="360" w:lineRule="auto"/>
        <w:jc w:val="both"/>
        <w:rPr>
          <w:rStyle w:val="Strong"/>
          <w:rFonts w:eastAsiaTheme="majorEastAsia"/>
          <w:b w:val="0"/>
          <w:bCs w:val="0"/>
          <w:color w:val="0E101A"/>
        </w:rPr>
      </w:pPr>
      <w:r>
        <w:rPr>
          <w:rStyle w:val="Strong"/>
          <w:rFonts w:eastAsiaTheme="majorEastAsia"/>
          <w:color w:val="0E101A"/>
        </w:rPr>
        <w:t xml:space="preserve">ASSIGNMENT TITLE:  </w:t>
      </w:r>
      <w:r>
        <w:rPr>
          <w:b/>
          <w:bCs/>
          <w:lang w:val="en-GB"/>
        </w:rPr>
        <w:t xml:space="preserve">Managing People </w:t>
      </w:r>
      <w:r>
        <w:rPr>
          <w:rFonts w:ascii="Arial" w:hAnsi="Arial" w:cs="Arial"/>
          <w:b/>
          <w:bCs/>
        </w:rPr>
        <w:t>- Assessment 2</w:t>
      </w:r>
    </w:p>
    <w:p w14:paraId="360ABE35" w14:textId="57F64BC0" w:rsidR="005E751A" w:rsidRDefault="005E751A" w:rsidP="005E751A">
      <w:pPr>
        <w:pStyle w:val="NormalWeb"/>
        <w:spacing w:before="0" w:beforeAutospacing="0" w:after="0" w:afterAutospacing="0" w:line="360" w:lineRule="auto"/>
        <w:jc w:val="both"/>
        <w:rPr>
          <w:rStyle w:val="markedcontent"/>
          <w:rFonts w:ascii="Arial" w:eastAsiaTheme="majorEastAsia" w:hAnsi="Arial" w:cs="Arial"/>
          <w:sz w:val="28"/>
          <w:szCs w:val="28"/>
        </w:rPr>
      </w:pPr>
      <w:r>
        <w:rPr>
          <w:rStyle w:val="Strong"/>
          <w:rFonts w:eastAsiaTheme="majorEastAsia"/>
          <w:color w:val="0E101A"/>
        </w:rPr>
        <w:t xml:space="preserve">MODULE LECTURER’S NAME: </w:t>
      </w:r>
      <w:r>
        <w:rPr>
          <w:rStyle w:val="markedcontent"/>
          <w:rFonts w:ascii="Arial" w:eastAsiaTheme="majorEastAsia" w:hAnsi="Arial" w:cs="Arial"/>
          <w:sz w:val="28"/>
          <w:szCs w:val="28"/>
        </w:rPr>
        <w:t xml:space="preserve">Dr Charles </w:t>
      </w:r>
      <w:proofErr w:type="spellStart"/>
      <w:r>
        <w:rPr>
          <w:rStyle w:val="markedcontent"/>
          <w:rFonts w:ascii="Arial" w:eastAsiaTheme="majorEastAsia" w:hAnsi="Arial" w:cs="Arial"/>
          <w:sz w:val="28"/>
          <w:szCs w:val="28"/>
        </w:rPr>
        <w:t>Oham</w:t>
      </w:r>
      <w:proofErr w:type="spellEnd"/>
    </w:p>
    <w:p w14:paraId="07155BBC" w14:textId="596CF1C5" w:rsidR="005E751A" w:rsidRDefault="005E751A" w:rsidP="005E751A">
      <w:pPr>
        <w:pStyle w:val="NormalWeb"/>
        <w:spacing w:before="0" w:beforeAutospacing="0" w:after="0" w:afterAutospacing="0" w:line="360" w:lineRule="auto"/>
        <w:jc w:val="both"/>
        <w:rPr>
          <w:rStyle w:val="markedcontent"/>
          <w:rFonts w:ascii="Arial" w:eastAsiaTheme="majorEastAsia" w:hAnsi="Arial" w:cs="Arial"/>
          <w:sz w:val="28"/>
          <w:szCs w:val="28"/>
        </w:rPr>
      </w:pPr>
    </w:p>
    <w:sdt>
      <w:sdtPr>
        <w:rPr>
          <w:rFonts w:ascii="Arial" w:eastAsiaTheme="minorHAnsi" w:hAnsi="Arial" w:cs="Arial"/>
          <w:b/>
          <w:bCs/>
          <w:noProof/>
          <w:color w:val="000000" w:themeColor="text1"/>
          <w:sz w:val="22"/>
          <w:szCs w:val="22"/>
          <w:lang w:val="en-GB" w:bidi="hi-IN"/>
        </w:rPr>
        <w:id w:val="-1881695818"/>
        <w:docPartObj>
          <w:docPartGallery w:val="Table of Contents"/>
          <w:docPartUnique/>
        </w:docPartObj>
      </w:sdtPr>
      <w:sdtEndPr>
        <w:rPr>
          <w:szCs w:val="20"/>
        </w:rPr>
      </w:sdtEndPr>
      <w:sdtContent>
        <w:p w14:paraId="7879DF5B" w14:textId="77777777" w:rsidR="007B05F6" w:rsidRPr="00F075B3" w:rsidRDefault="007B05F6" w:rsidP="005E751A">
          <w:pPr>
            <w:pStyle w:val="TOCHeading"/>
            <w:jc w:val="center"/>
            <w:rPr>
              <w:rFonts w:ascii="Arial" w:hAnsi="Arial" w:cs="Arial"/>
              <w:b/>
              <w:bCs/>
              <w:color w:val="000000" w:themeColor="text1"/>
              <w:sz w:val="22"/>
              <w:szCs w:val="22"/>
            </w:rPr>
          </w:pPr>
          <w:r w:rsidRPr="00F075B3">
            <w:rPr>
              <w:rFonts w:ascii="Arial" w:hAnsi="Arial" w:cs="Arial"/>
              <w:b/>
              <w:bCs/>
              <w:color w:val="000000" w:themeColor="text1"/>
              <w:sz w:val="22"/>
              <w:szCs w:val="22"/>
            </w:rPr>
            <w:t>Table of Contents</w:t>
          </w:r>
        </w:p>
        <w:p w14:paraId="767A971F" w14:textId="77777777" w:rsidR="00F075B3" w:rsidRPr="00F075B3" w:rsidRDefault="00B04301">
          <w:pPr>
            <w:pStyle w:val="TOC1"/>
            <w:tabs>
              <w:tab w:val="right" w:leader="dot" w:pos="8268"/>
            </w:tabs>
            <w:rPr>
              <w:rFonts w:ascii="Arial" w:eastAsiaTheme="minorEastAsia" w:hAnsi="Arial" w:cs="Arial"/>
              <w:color w:val="auto"/>
              <w:szCs w:val="22"/>
              <w:lang w:val="en-US" w:bidi="ar-SA"/>
            </w:rPr>
          </w:pPr>
          <w:r w:rsidRPr="00F075B3">
            <w:rPr>
              <w:rFonts w:ascii="Arial" w:hAnsi="Arial" w:cs="Arial"/>
              <w:szCs w:val="22"/>
            </w:rPr>
            <w:fldChar w:fldCharType="begin"/>
          </w:r>
          <w:r w:rsidR="007B05F6" w:rsidRPr="00F075B3">
            <w:rPr>
              <w:rFonts w:ascii="Arial" w:hAnsi="Arial" w:cs="Arial"/>
              <w:szCs w:val="22"/>
            </w:rPr>
            <w:instrText xml:space="preserve"> TOC \o "1-3" \h \z \u </w:instrText>
          </w:r>
          <w:r w:rsidRPr="00F075B3">
            <w:rPr>
              <w:rFonts w:ascii="Arial" w:hAnsi="Arial" w:cs="Arial"/>
              <w:szCs w:val="22"/>
            </w:rPr>
            <w:fldChar w:fldCharType="separate"/>
          </w:r>
          <w:hyperlink w:anchor="_Toc102088546" w:history="1">
            <w:r w:rsidR="00F075B3" w:rsidRPr="00F075B3">
              <w:rPr>
                <w:rStyle w:val="Hyperlink"/>
                <w:rFonts w:ascii="Arial" w:hAnsi="Arial" w:cs="Arial"/>
              </w:rPr>
              <w:t>Introduction</w:t>
            </w:r>
            <w:r w:rsidR="00F075B3" w:rsidRPr="00F075B3">
              <w:rPr>
                <w:rFonts w:ascii="Arial" w:hAnsi="Arial" w:cs="Arial"/>
                <w:webHidden/>
              </w:rPr>
              <w:tab/>
            </w:r>
            <w:r w:rsidR="00F075B3" w:rsidRPr="00F075B3">
              <w:rPr>
                <w:rFonts w:ascii="Arial" w:hAnsi="Arial" w:cs="Arial"/>
                <w:webHidden/>
              </w:rPr>
              <w:fldChar w:fldCharType="begin"/>
            </w:r>
            <w:r w:rsidR="00F075B3" w:rsidRPr="00F075B3">
              <w:rPr>
                <w:rFonts w:ascii="Arial" w:hAnsi="Arial" w:cs="Arial"/>
                <w:webHidden/>
              </w:rPr>
              <w:instrText xml:space="preserve"> PAGEREF _Toc102088546 \h </w:instrText>
            </w:r>
            <w:r w:rsidR="00F075B3" w:rsidRPr="00F075B3">
              <w:rPr>
                <w:rFonts w:ascii="Arial" w:hAnsi="Arial" w:cs="Arial"/>
                <w:webHidden/>
              </w:rPr>
            </w:r>
            <w:r w:rsidR="00F075B3" w:rsidRPr="00F075B3">
              <w:rPr>
                <w:rFonts w:ascii="Arial" w:hAnsi="Arial" w:cs="Arial"/>
                <w:webHidden/>
              </w:rPr>
              <w:fldChar w:fldCharType="separate"/>
            </w:r>
            <w:r w:rsidR="00F075B3" w:rsidRPr="00F075B3">
              <w:rPr>
                <w:rFonts w:ascii="Arial" w:hAnsi="Arial" w:cs="Arial"/>
                <w:webHidden/>
              </w:rPr>
              <w:t>3</w:t>
            </w:r>
            <w:r w:rsidR="00F075B3" w:rsidRPr="00F075B3">
              <w:rPr>
                <w:rFonts w:ascii="Arial" w:hAnsi="Arial" w:cs="Arial"/>
                <w:webHidden/>
              </w:rPr>
              <w:fldChar w:fldCharType="end"/>
            </w:r>
          </w:hyperlink>
        </w:p>
        <w:p w14:paraId="58048436" w14:textId="77777777" w:rsidR="00F075B3" w:rsidRPr="00F075B3" w:rsidRDefault="001433E8">
          <w:pPr>
            <w:pStyle w:val="TOC1"/>
            <w:tabs>
              <w:tab w:val="right" w:leader="dot" w:pos="8268"/>
            </w:tabs>
            <w:rPr>
              <w:rFonts w:ascii="Arial" w:eastAsiaTheme="minorEastAsia" w:hAnsi="Arial" w:cs="Arial"/>
              <w:color w:val="auto"/>
              <w:szCs w:val="22"/>
              <w:lang w:val="en-US" w:bidi="ar-SA"/>
            </w:rPr>
          </w:pPr>
          <w:hyperlink w:anchor="_Toc102088547" w:history="1">
            <w:r w:rsidR="00F075B3" w:rsidRPr="00F075B3">
              <w:rPr>
                <w:rStyle w:val="Hyperlink"/>
                <w:rFonts w:ascii="Arial" w:hAnsi="Arial" w:cs="Arial"/>
              </w:rPr>
              <w:t>Reviews the concept and drivers of employee engagement</w:t>
            </w:r>
            <w:r w:rsidR="00F075B3" w:rsidRPr="00F075B3">
              <w:rPr>
                <w:rFonts w:ascii="Arial" w:hAnsi="Arial" w:cs="Arial"/>
                <w:webHidden/>
              </w:rPr>
              <w:tab/>
            </w:r>
            <w:r w:rsidR="00F075B3" w:rsidRPr="00F075B3">
              <w:rPr>
                <w:rFonts w:ascii="Arial" w:hAnsi="Arial" w:cs="Arial"/>
                <w:webHidden/>
              </w:rPr>
              <w:fldChar w:fldCharType="begin"/>
            </w:r>
            <w:r w:rsidR="00F075B3" w:rsidRPr="00F075B3">
              <w:rPr>
                <w:rFonts w:ascii="Arial" w:hAnsi="Arial" w:cs="Arial"/>
                <w:webHidden/>
              </w:rPr>
              <w:instrText xml:space="preserve"> PAGEREF _Toc102088547 \h </w:instrText>
            </w:r>
            <w:r w:rsidR="00F075B3" w:rsidRPr="00F075B3">
              <w:rPr>
                <w:rFonts w:ascii="Arial" w:hAnsi="Arial" w:cs="Arial"/>
                <w:webHidden/>
              </w:rPr>
            </w:r>
            <w:r w:rsidR="00F075B3" w:rsidRPr="00F075B3">
              <w:rPr>
                <w:rFonts w:ascii="Arial" w:hAnsi="Arial" w:cs="Arial"/>
                <w:webHidden/>
              </w:rPr>
              <w:fldChar w:fldCharType="separate"/>
            </w:r>
            <w:r w:rsidR="00F075B3" w:rsidRPr="00F075B3">
              <w:rPr>
                <w:rFonts w:ascii="Arial" w:hAnsi="Arial" w:cs="Arial"/>
                <w:webHidden/>
              </w:rPr>
              <w:t>4</w:t>
            </w:r>
            <w:r w:rsidR="00F075B3" w:rsidRPr="00F075B3">
              <w:rPr>
                <w:rFonts w:ascii="Arial" w:hAnsi="Arial" w:cs="Arial"/>
                <w:webHidden/>
              </w:rPr>
              <w:fldChar w:fldCharType="end"/>
            </w:r>
          </w:hyperlink>
        </w:p>
        <w:p w14:paraId="4050E083" w14:textId="77777777" w:rsidR="00F075B3" w:rsidRPr="00F075B3" w:rsidRDefault="001433E8">
          <w:pPr>
            <w:pStyle w:val="TOC2"/>
            <w:tabs>
              <w:tab w:val="right" w:leader="dot" w:pos="8268"/>
            </w:tabs>
            <w:rPr>
              <w:rFonts w:ascii="Arial" w:eastAsiaTheme="minorEastAsia" w:hAnsi="Arial" w:cs="Arial"/>
              <w:color w:val="auto"/>
              <w:szCs w:val="22"/>
              <w:lang w:val="en-US" w:bidi="ar-SA"/>
            </w:rPr>
          </w:pPr>
          <w:hyperlink w:anchor="_Toc102088548" w:history="1">
            <w:r w:rsidR="00F075B3" w:rsidRPr="00F075B3">
              <w:rPr>
                <w:rStyle w:val="Hyperlink"/>
                <w:rFonts w:ascii="Arial" w:hAnsi="Arial" w:cs="Arial"/>
              </w:rPr>
              <w:t>Key Drivers for Employee Engagement</w:t>
            </w:r>
            <w:r w:rsidR="00F075B3" w:rsidRPr="00F075B3">
              <w:rPr>
                <w:rFonts w:ascii="Arial" w:hAnsi="Arial" w:cs="Arial"/>
                <w:webHidden/>
              </w:rPr>
              <w:tab/>
            </w:r>
            <w:r w:rsidR="00F075B3" w:rsidRPr="00F075B3">
              <w:rPr>
                <w:rFonts w:ascii="Arial" w:hAnsi="Arial" w:cs="Arial"/>
                <w:webHidden/>
              </w:rPr>
              <w:fldChar w:fldCharType="begin"/>
            </w:r>
            <w:r w:rsidR="00F075B3" w:rsidRPr="00F075B3">
              <w:rPr>
                <w:rFonts w:ascii="Arial" w:hAnsi="Arial" w:cs="Arial"/>
                <w:webHidden/>
              </w:rPr>
              <w:instrText xml:space="preserve"> PAGEREF _Toc102088548 \h </w:instrText>
            </w:r>
            <w:r w:rsidR="00F075B3" w:rsidRPr="00F075B3">
              <w:rPr>
                <w:rFonts w:ascii="Arial" w:hAnsi="Arial" w:cs="Arial"/>
                <w:webHidden/>
              </w:rPr>
            </w:r>
            <w:r w:rsidR="00F075B3" w:rsidRPr="00F075B3">
              <w:rPr>
                <w:rFonts w:ascii="Arial" w:hAnsi="Arial" w:cs="Arial"/>
                <w:webHidden/>
              </w:rPr>
              <w:fldChar w:fldCharType="separate"/>
            </w:r>
            <w:r w:rsidR="00F075B3" w:rsidRPr="00F075B3">
              <w:rPr>
                <w:rFonts w:ascii="Arial" w:hAnsi="Arial" w:cs="Arial"/>
                <w:webHidden/>
              </w:rPr>
              <w:t>4</w:t>
            </w:r>
            <w:r w:rsidR="00F075B3" w:rsidRPr="00F075B3">
              <w:rPr>
                <w:rFonts w:ascii="Arial" w:hAnsi="Arial" w:cs="Arial"/>
                <w:webHidden/>
              </w:rPr>
              <w:fldChar w:fldCharType="end"/>
            </w:r>
          </w:hyperlink>
        </w:p>
        <w:p w14:paraId="79C1D3B5" w14:textId="77777777" w:rsidR="00F075B3" w:rsidRPr="00F075B3" w:rsidRDefault="001433E8">
          <w:pPr>
            <w:pStyle w:val="TOC1"/>
            <w:tabs>
              <w:tab w:val="right" w:leader="dot" w:pos="8268"/>
            </w:tabs>
            <w:rPr>
              <w:rFonts w:ascii="Arial" w:eastAsiaTheme="minorEastAsia" w:hAnsi="Arial" w:cs="Arial"/>
              <w:color w:val="auto"/>
              <w:szCs w:val="22"/>
              <w:lang w:val="en-US" w:bidi="ar-SA"/>
            </w:rPr>
          </w:pPr>
          <w:hyperlink w:anchor="_Toc102088549" w:history="1">
            <w:r w:rsidR="00F075B3" w:rsidRPr="00F075B3">
              <w:rPr>
                <w:rStyle w:val="Hyperlink"/>
                <w:rFonts w:ascii="Arial" w:hAnsi="Arial" w:cs="Arial"/>
              </w:rPr>
              <w:t>Evaluates diagnostic tools to measure the engagement</w:t>
            </w:r>
            <w:r w:rsidR="00F075B3" w:rsidRPr="00F075B3">
              <w:rPr>
                <w:rFonts w:ascii="Arial" w:hAnsi="Arial" w:cs="Arial"/>
                <w:webHidden/>
              </w:rPr>
              <w:tab/>
            </w:r>
            <w:r w:rsidR="00F075B3" w:rsidRPr="00F075B3">
              <w:rPr>
                <w:rFonts w:ascii="Arial" w:hAnsi="Arial" w:cs="Arial"/>
                <w:webHidden/>
              </w:rPr>
              <w:fldChar w:fldCharType="begin"/>
            </w:r>
            <w:r w:rsidR="00F075B3" w:rsidRPr="00F075B3">
              <w:rPr>
                <w:rFonts w:ascii="Arial" w:hAnsi="Arial" w:cs="Arial"/>
                <w:webHidden/>
              </w:rPr>
              <w:instrText xml:space="preserve"> PAGEREF _Toc102088549 \h </w:instrText>
            </w:r>
            <w:r w:rsidR="00F075B3" w:rsidRPr="00F075B3">
              <w:rPr>
                <w:rFonts w:ascii="Arial" w:hAnsi="Arial" w:cs="Arial"/>
                <w:webHidden/>
              </w:rPr>
            </w:r>
            <w:r w:rsidR="00F075B3" w:rsidRPr="00F075B3">
              <w:rPr>
                <w:rFonts w:ascii="Arial" w:hAnsi="Arial" w:cs="Arial"/>
                <w:webHidden/>
              </w:rPr>
              <w:fldChar w:fldCharType="separate"/>
            </w:r>
            <w:r w:rsidR="00F075B3" w:rsidRPr="00F075B3">
              <w:rPr>
                <w:rFonts w:ascii="Arial" w:hAnsi="Arial" w:cs="Arial"/>
                <w:webHidden/>
              </w:rPr>
              <w:t>7</w:t>
            </w:r>
            <w:r w:rsidR="00F075B3" w:rsidRPr="00F075B3">
              <w:rPr>
                <w:rFonts w:ascii="Arial" w:hAnsi="Arial" w:cs="Arial"/>
                <w:webHidden/>
              </w:rPr>
              <w:fldChar w:fldCharType="end"/>
            </w:r>
          </w:hyperlink>
        </w:p>
        <w:p w14:paraId="1BE3C9F5" w14:textId="77777777" w:rsidR="00F075B3" w:rsidRPr="00F075B3" w:rsidRDefault="001433E8">
          <w:pPr>
            <w:pStyle w:val="TOC1"/>
            <w:tabs>
              <w:tab w:val="right" w:leader="dot" w:pos="8268"/>
            </w:tabs>
            <w:rPr>
              <w:rFonts w:ascii="Arial" w:eastAsiaTheme="minorEastAsia" w:hAnsi="Arial" w:cs="Arial"/>
              <w:color w:val="auto"/>
              <w:szCs w:val="22"/>
              <w:lang w:val="en-US" w:bidi="ar-SA"/>
            </w:rPr>
          </w:pPr>
          <w:hyperlink w:anchor="_Toc102088550" w:history="1">
            <w:r w:rsidR="00F075B3" w:rsidRPr="00F075B3">
              <w:rPr>
                <w:rStyle w:val="Hyperlink"/>
                <w:rFonts w:ascii="Arial" w:hAnsi="Arial" w:cs="Arial"/>
              </w:rPr>
              <w:t>Constructs an employee value proposition from the ideas and analysis previously covered, including strategies to raise levels of engagement</w:t>
            </w:r>
            <w:r w:rsidR="00F075B3" w:rsidRPr="00F075B3">
              <w:rPr>
                <w:rFonts w:ascii="Arial" w:hAnsi="Arial" w:cs="Arial"/>
                <w:webHidden/>
              </w:rPr>
              <w:tab/>
            </w:r>
            <w:r w:rsidR="00F075B3" w:rsidRPr="00F075B3">
              <w:rPr>
                <w:rFonts w:ascii="Arial" w:hAnsi="Arial" w:cs="Arial"/>
                <w:webHidden/>
              </w:rPr>
              <w:fldChar w:fldCharType="begin"/>
            </w:r>
            <w:r w:rsidR="00F075B3" w:rsidRPr="00F075B3">
              <w:rPr>
                <w:rFonts w:ascii="Arial" w:hAnsi="Arial" w:cs="Arial"/>
                <w:webHidden/>
              </w:rPr>
              <w:instrText xml:space="preserve"> PAGEREF _Toc102088550 \h </w:instrText>
            </w:r>
            <w:r w:rsidR="00F075B3" w:rsidRPr="00F075B3">
              <w:rPr>
                <w:rFonts w:ascii="Arial" w:hAnsi="Arial" w:cs="Arial"/>
                <w:webHidden/>
              </w:rPr>
            </w:r>
            <w:r w:rsidR="00F075B3" w:rsidRPr="00F075B3">
              <w:rPr>
                <w:rFonts w:ascii="Arial" w:hAnsi="Arial" w:cs="Arial"/>
                <w:webHidden/>
              </w:rPr>
              <w:fldChar w:fldCharType="separate"/>
            </w:r>
            <w:r w:rsidR="00F075B3" w:rsidRPr="00F075B3">
              <w:rPr>
                <w:rFonts w:ascii="Arial" w:hAnsi="Arial" w:cs="Arial"/>
                <w:webHidden/>
              </w:rPr>
              <w:t>8</w:t>
            </w:r>
            <w:r w:rsidR="00F075B3" w:rsidRPr="00F075B3">
              <w:rPr>
                <w:rFonts w:ascii="Arial" w:hAnsi="Arial" w:cs="Arial"/>
                <w:webHidden/>
              </w:rPr>
              <w:fldChar w:fldCharType="end"/>
            </w:r>
          </w:hyperlink>
        </w:p>
        <w:p w14:paraId="0CC77195" w14:textId="77777777" w:rsidR="00F075B3" w:rsidRPr="00F075B3" w:rsidRDefault="001433E8">
          <w:pPr>
            <w:pStyle w:val="TOC1"/>
            <w:tabs>
              <w:tab w:val="right" w:leader="dot" w:pos="8268"/>
            </w:tabs>
            <w:rPr>
              <w:rFonts w:ascii="Arial" w:eastAsiaTheme="minorEastAsia" w:hAnsi="Arial" w:cs="Arial"/>
              <w:color w:val="auto"/>
              <w:szCs w:val="22"/>
              <w:lang w:val="en-US" w:bidi="ar-SA"/>
            </w:rPr>
          </w:pPr>
          <w:hyperlink w:anchor="_Toc102088551" w:history="1">
            <w:r w:rsidR="00F075B3" w:rsidRPr="00F075B3">
              <w:rPr>
                <w:rStyle w:val="Hyperlink"/>
                <w:rFonts w:ascii="Arial" w:hAnsi="Arial" w:cs="Arial"/>
              </w:rPr>
              <w:t>Conclusion</w:t>
            </w:r>
            <w:r w:rsidR="00F075B3" w:rsidRPr="00F075B3">
              <w:rPr>
                <w:rFonts w:ascii="Arial" w:hAnsi="Arial" w:cs="Arial"/>
                <w:webHidden/>
              </w:rPr>
              <w:tab/>
            </w:r>
            <w:r w:rsidR="00F075B3" w:rsidRPr="00F075B3">
              <w:rPr>
                <w:rFonts w:ascii="Arial" w:hAnsi="Arial" w:cs="Arial"/>
                <w:webHidden/>
              </w:rPr>
              <w:fldChar w:fldCharType="begin"/>
            </w:r>
            <w:r w:rsidR="00F075B3" w:rsidRPr="00F075B3">
              <w:rPr>
                <w:rFonts w:ascii="Arial" w:hAnsi="Arial" w:cs="Arial"/>
                <w:webHidden/>
              </w:rPr>
              <w:instrText xml:space="preserve"> PAGEREF _Toc102088551 \h </w:instrText>
            </w:r>
            <w:r w:rsidR="00F075B3" w:rsidRPr="00F075B3">
              <w:rPr>
                <w:rFonts w:ascii="Arial" w:hAnsi="Arial" w:cs="Arial"/>
                <w:webHidden/>
              </w:rPr>
            </w:r>
            <w:r w:rsidR="00F075B3" w:rsidRPr="00F075B3">
              <w:rPr>
                <w:rFonts w:ascii="Arial" w:hAnsi="Arial" w:cs="Arial"/>
                <w:webHidden/>
              </w:rPr>
              <w:fldChar w:fldCharType="separate"/>
            </w:r>
            <w:r w:rsidR="00F075B3" w:rsidRPr="00F075B3">
              <w:rPr>
                <w:rFonts w:ascii="Arial" w:hAnsi="Arial" w:cs="Arial"/>
                <w:webHidden/>
              </w:rPr>
              <w:t>10</w:t>
            </w:r>
            <w:r w:rsidR="00F075B3" w:rsidRPr="00F075B3">
              <w:rPr>
                <w:rFonts w:ascii="Arial" w:hAnsi="Arial" w:cs="Arial"/>
                <w:webHidden/>
              </w:rPr>
              <w:fldChar w:fldCharType="end"/>
            </w:r>
          </w:hyperlink>
        </w:p>
        <w:p w14:paraId="5A5D0FBC" w14:textId="77777777" w:rsidR="00F075B3" w:rsidRPr="00F075B3" w:rsidRDefault="001433E8">
          <w:pPr>
            <w:pStyle w:val="TOC1"/>
            <w:tabs>
              <w:tab w:val="right" w:leader="dot" w:pos="8268"/>
            </w:tabs>
            <w:rPr>
              <w:rFonts w:ascii="Arial" w:eastAsiaTheme="minorEastAsia" w:hAnsi="Arial" w:cs="Arial"/>
              <w:color w:val="auto"/>
              <w:szCs w:val="22"/>
              <w:lang w:val="en-US" w:bidi="ar-SA"/>
            </w:rPr>
          </w:pPr>
          <w:hyperlink w:anchor="_Toc102088552" w:history="1">
            <w:r w:rsidR="00F075B3" w:rsidRPr="00F075B3">
              <w:rPr>
                <w:rStyle w:val="Hyperlink"/>
                <w:rFonts w:ascii="Arial" w:hAnsi="Arial" w:cs="Arial"/>
              </w:rPr>
              <w:t>References</w:t>
            </w:r>
            <w:r w:rsidR="00F075B3" w:rsidRPr="00F075B3">
              <w:rPr>
                <w:rFonts w:ascii="Arial" w:hAnsi="Arial" w:cs="Arial"/>
                <w:webHidden/>
              </w:rPr>
              <w:tab/>
            </w:r>
            <w:r w:rsidR="00F075B3" w:rsidRPr="00F075B3">
              <w:rPr>
                <w:rFonts w:ascii="Arial" w:hAnsi="Arial" w:cs="Arial"/>
                <w:webHidden/>
              </w:rPr>
              <w:fldChar w:fldCharType="begin"/>
            </w:r>
            <w:r w:rsidR="00F075B3" w:rsidRPr="00F075B3">
              <w:rPr>
                <w:rFonts w:ascii="Arial" w:hAnsi="Arial" w:cs="Arial"/>
                <w:webHidden/>
              </w:rPr>
              <w:instrText xml:space="preserve"> PAGEREF _Toc102088552 \h </w:instrText>
            </w:r>
            <w:r w:rsidR="00F075B3" w:rsidRPr="00F075B3">
              <w:rPr>
                <w:rFonts w:ascii="Arial" w:hAnsi="Arial" w:cs="Arial"/>
                <w:webHidden/>
              </w:rPr>
            </w:r>
            <w:r w:rsidR="00F075B3" w:rsidRPr="00F075B3">
              <w:rPr>
                <w:rFonts w:ascii="Arial" w:hAnsi="Arial" w:cs="Arial"/>
                <w:webHidden/>
              </w:rPr>
              <w:fldChar w:fldCharType="separate"/>
            </w:r>
            <w:r w:rsidR="00F075B3" w:rsidRPr="00F075B3">
              <w:rPr>
                <w:rFonts w:ascii="Arial" w:hAnsi="Arial" w:cs="Arial"/>
                <w:webHidden/>
              </w:rPr>
              <w:t>11</w:t>
            </w:r>
            <w:r w:rsidR="00F075B3" w:rsidRPr="00F075B3">
              <w:rPr>
                <w:rFonts w:ascii="Arial" w:hAnsi="Arial" w:cs="Arial"/>
                <w:webHidden/>
              </w:rPr>
              <w:fldChar w:fldCharType="end"/>
            </w:r>
          </w:hyperlink>
        </w:p>
        <w:p w14:paraId="3F317863" w14:textId="77777777" w:rsidR="009B2ECF" w:rsidRPr="00F075B3" w:rsidRDefault="00B04301" w:rsidP="009B2ECF">
          <w:pPr>
            <w:rPr>
              <w:rFonts w:ascii="Arial" w:hAnsi="Arial" w:cs="Arial"/>
            </w:rPr>
          </w:pPr>
          <w:r w:rsidRPr="00F075B3">
            <w:rPr>
              <w:rFonts w:ascii="Arial" w:hAnsi="Arial" w:cs="Arial"/>
              <w:b/>
              <w:bCs/>
              <w:szCs w:val="22"/>
            </w:rPr>
            <w:fldChar w:fldCharType="end"/>
          </w:r>
        </w:p>
      </w:sdtContent>
    </w:sdt>
    <w:p w14:paraId="67E446AE" w14:textId="77777777" w:rsidR="009B2ECF" w:rsidRPr="00F075B3" w:rsidRDefault="009B2ECF">
      <w:pPr>
        <w:spacing w:line="259" w:lineRule="auto"/>
        <w:jc w:val="left"/>
        <w:rPr>
          <w:rFonts w:ascii="Arial" w:hAnsi="Arial" w:cs="Arial"/>
        </w:rPr>
      </w:pPr>
      <w:r w:rsidRPr="00F075B3">
        <w:rPr>
          <w:rFonts w:ascii="Arial" w:hAnsi="Arial" w:cs="Arial"/>
        </w:rPr>
        <w:br w:type="page"/>
      </w:r>
    </w:p>
    <w:p w14:paraId="3B785D73" w14:textId="77777777" w:rsidR="00E04CBE" w:rsidRPr="00F075B3" w:rsidRDefault="009B2ECF" w:rsidP="009B2ECF">
      <w:pPr>
        <w:pStyle w:val="Heading1"/>
        <w:rPr>
          <w:rFonts w:ascii="Arial" w:hAnsi="Arial" w:cs="Arial"/>
        </w:rPr>
      </w:pPr>
      <w:bookmarkStart w:id="0" w:name="_Toc102088546"/>
      <w:r w:rsidRPr="00F075B3">
        <w:rPr>
          <w:rFonts w:ascii="Arial" w:hAnsi="Arial" w:cs="Arial"/>
        </w:rPr>
        <w:lastRenderedPageBreak/>
        <w:t>Introduction</w:t>
      </w:r>
      <w:bookmarkEnd w:id="0"/>
    </w:p>
    <w:p w14:paraId="13A5CF42" w14:textId="77777777" w:rsidR="00E04CBE" w:rsidRPr="00F075B3" w:rsidRDefault="00815A78" w:rsidP="005C6C84">
      <w:pPr>
        <w:rPr>
          <w:rFonts w:ascii="Arial" w:hAnsi="Arial" w:cs="Arial"/>
        </w:rPr>
      </w:pPr>
      <w:r w:rsidRPr="00F075B3">
        <w:rPr>
          <w:rFonts w:ascii="Arial" w:hAnsi="Arial" w:cs="Arial"/>
        </w:rPr>
        <w:t xml:space="preserve">In the contemporary business situation, employee management is an important approach as it assists the workers to perform at their best and accomplish the business goals within the required time. </w:t>
      </w:r>
      <w:r w:rsidRPr="00F075B3">
        <w:rPr>
          <w:rFonts w:ascii="Arial" w:hAnsi="Arial" w:cs="Arial"/>
          <w:b/>
          <w:bCs/>
          <w:i/>
          <w:iCs/>
        </w:rPr>
        <w:t>Managing people</w:t>
      </w:r>
      <w:r w:rsidRPr="00F075B3">
        <w:rPr>
          <w:rFonts w:ascii="Arial" w:hAnsi="Arial" w:cs="Arial"/>
        </w:rPr>
        <w:t xml:space="preserve"> in an organisation refers to the process of hiring, providing them with the right training, engaging and retaining employees to improve their talent and accelerating productivity (</w:t>
      </w:r>
      <w:r w:rsidR="005C6C84" w:rsidRPr="00F075B3">
        <w:rPr>
          <w:rFonts w:ascii="Arial" w:hAnsi="Arial" w:cs="Arial"/>
        </w:rPr>
        <w:t>Armstrong, 2020</w:t>
      </w:r>
      <w:r w:rsidRPr="00F075B3">
        <w:rPr>
          <w:rFonts w:ascii="Arial" w:hAnsi="Arial" w:cs="Arial"/>
        </w:rPr>
        <w:t xml:space="preserve">). Moreover, it is an important aspect because it can assist in providing </w:t>
      </w:r>
      <w:r w:rsidR="00DE43CD" w:rsidRPr="00F075B3">
        <w:rPr>
          <w:rFonts w:ascii="Arial" w:hAnsi="Arial" w:cs="Arial"/>
        </w:rPr>
        <w:t>a</w:t>
      </w:r>
      <w:r w:rsidRPr="00F075B3">
        <w:rPr>
          <w:rFonts w:ascii="Arial" w:hAnsi="Arial" w:cs="Arial"/>
        </w:rPr>
        <w:t xml:space="preserve"> good organisational environment, training and benefits that motivate employees to work attentively</w:t>
      </w:r>
      <w:r w:rsidR="00DE43CD" w:rsidRPr="00F075B3">
        <w:rPr>
          <w:rFonts w:ascii="Arial" w:hAnsi="Arial" w:cs="Arial"/>
        </w:rPr>
        <w:t>. The report will include information regarding employee engagement and several tools that can measure the rate of engagement that can help in constructing the relevant strategies.</w:t>
      </w:r>
      <w:r w:rsidR="00E04CBE" w:rsidRPr="00F075B3">
        <w:rPr>
          <w:rFonts w:ascii="Arial" w:hAnsi="Arial" w:cs="Arial"/>
        </w:rPr>
        <w:br w:type="page"/>
      </w:r>
    </w:p>
    <w:p w14:paraId="5B0CDF95" w14:textId="77777777" w:rsidR="00E04CBE" w:rsidRPr="00F075B3" w:rsidRDefault="00547FAD" w:rsidP="009B2ECF">
      <w:pPr>
        <w:pStyle w:val="Heading1"/>
        <w:rPr>
          <w:rFonts w:ascii="Arial" w:hAnsi="Arial" w:cs="Arial"/>
        </w:rPr>
      </w:pPr>
      <w:bookmarkStart w:id="1" w:name="_Toc102088547"/>
      <w:r>
        <w:rPr>
          <w:rFonts w:ascii="Arial" w:hAnsi="Arial" w:cs="Arial"/>
        </w:rPr>
        <w:lastRenderedPageBreak/>
        <w:t>Review</w:t>
      </w:r>
      <w:r w:rsidR="00E04CBE" w:rsidRPr="00F075B3">
        <w:rPr>
          <w:rFonts w:ascii="Arial" w:hAnsi="Arial" w:cs="Arial"/>
        </w:rPr>
        <w:t xml:space="preserve"> the concept and drivers of employee engagement</w:t>
      </w:r>
      <w:bookmarkEnd w:id="1"/>
    </w:p>
    <w:p w14:paraId="17EA3158" w14:textId="77777777" w:rsidR="00C61D0F" w:rsidRPr="00F075B3" w:rsidRDefault="002B0E33" w:rsidP="00923B0A">
      <w:pPr>
        <w:rPr>
          <w:rFonts w:ascii="Arial" w:hAnsi="Arial" w:cs="Arial"/>
        </w:rPr>
      </w:pPr>
      <w:r w:rsidRPr="00F075B3">
        <w:rPr>
          <w:rFonts w:ascii="Arial" w:hAnsi="Arial" w:cs="Arial"/>
        </w:rPr>
        <w:t xml:space="preserve">With the changing environment of business, the HR manager of an organisation is required to concentrate on engaging employees and enhancing their expertise, and knowledge to allow the corporation to grow. This can become assistance </w:t>
      </w:r>
      <w:r w:rsidR="008456C3" w:rsidRPr="00F075B3">
        <w:rPr>
          <w:rFonts w:ascii="Arial" w:hAnsi="Arial" w:cs="Arial"/>
        </w:rPr>
        <w:t>in</w:t>
      </w:r>
      <w:r w:rsidRPr="00F075B3">
        <w:rPr>
          <w:rFonts w:ascii="Arial" w:hAnsi="Arial" w:cs="Arial"/>
        </w:rPr>
        <w:t xml:space="preserve"> </w:t>
      </w:r>
      <w:r w:rsidR="008456C3" w:rsidRPr="00F075B3">
        <w:rPr>
          <w:rFonts w:ascii="Arial" w:hAnsi="Arial" w:cs="Arial"/>
        </w:rPr>
        <w:t xml:space="preserve">helping the company to gain a high competitive advantage in the market and maximise its productivity and revenue. </w:t>
      </w:r>
      <w:r w:rsidR="008456C3" w:rsidRPr="00F075B3">
        <w:rPr>
          <w:rFonts w:ascii="Arial" w:hAnsi="Arial" w:cs="Arial"/>
          <w:b/>
          <w:bCs/>
          <w:i/>
          <w:iCs/>
        </w:rPr>
        <w:t>Employee Engagement</w:t>
      </w:r>
      <w:r w:rsidR="008456C3" w:rsidRPr="00F075B3">
        <w:rPr>
          <w:rFonts w:ascii="Arial" w:hAnsi="Arial" w:cs="Arial"/>
        </w:rPr>
        <w:t xml:space="preserve"> is conceptualised as a concept of </w:t>
      </w:r>
      <w:r w:rsidR="008456C3" w:rsidRPr="00F075B3">
        <w:rPr>
          <w:rFonts w:ascii="Arial" w:hAnsi="Arial" w:cs="Arial"/>
          <w:b/>
          <w:bCs/>
        </w:rPr>
        <w:t>Human Resource Management</w:t>
      </w:r>
      <w:r w:rsidR="008456C3" w:rsidRPr="00F075B3">
        <w:rPr>
          <w:rFonts w:ascii="Arial" w:hAnsi="Arial" w:cs="Arial"/>
        </w:rPr>
        <w:t xml:space="preserve"> that emphasises the level of dedication and enthusiasm </w:t>
      </w:r>
      <w:r w:rsidR="005C6C84" w:rsidRPr="00F075B3">
        <w:rPr>
          <w:rFonts w:ascii="Arial" w:hAnsi="Arial" w:cs="Arial"/>
        </w:rPr>
        <w:t>toward</w:t>
      </w:r>
      <w:r w:rsidR="008456C3" w:rsidRPr="00F075B3">
        <w:rPr>
          <w:rFonts w:ascii="Arial" w:hAnsi="Arial" w:cs="Arial"/>
        </w:rPr>
        <w:t xml:space="preserve"> the work processes (</w:t>
      </w:r>
      <w:r w:rsidR="005C6C84" w:rsidRPr="00F075B3">
        <w:rPr>
          <w:rFonts w:ascii="Arial" w:hAnsi="Arial" w:cs="Arial"/>
        </w:rPr>
        <w:t>Kura and Alkashami, 2021</w:t>
      </w:r>
      <w:r w:rsidR="008456C3" w:rsidRPr="00F075B3">
        <w:rPr>
          <w:rFonts w:ascii="Arial" w:hAnsi="Arial" w:cs="Arial"/>
        </w:rPr>
        <w:t>). It has been depicted that employees that are highly engaged tend to be more productive and put an expensive effort to increase their performing ability for organisational growth.</w:t>
      </w:r>
      <w:r w:rsidR="00295B04" w:rsidRPr="00F075B3">
        <w:rPr>
          <w:rFonts w:ascii="Arial" w:hAnsi="Arial" w:cs="Arial"/>
        </w:rPr>
        <w:t xml:space="preserve"> Zara aimed to manufacture its clothes with 100% sustainable </w:t>
      </w:r>
      <w:r w:rsidR="00923B0A" w:rsidRPr="00F075B3">
        <w:rPr>
          <w:rFonts w:ascii="Arial" w:hAnsi="Arial" w:cs="Arial"/>
        </w:rPr>
        <w:t>fabrics by the year 2025, which also included other Inditex brands that are Massimo Dutti and Pull&amp;Bear (Conlon, 2019). This idea can be implemented properly by including an employee engagement process that oversees providing higher quality products or services, increasing customer satisfaction and level of profits.</w:t>
      </w:r>
      <w:r w:rsidR="007353CB" w:rsidRPr="00F075B3">
        <w:rPr>
          <w:rFonts w:ascii="Arial" w:hAnsi="Arial" w:cs="Arial"/>
        </w:rPr>
        <w:t xml:space="preserve"> Whereas, in order to enhance the process of employee engagement, managers and leaders are required to focus on some areas within the organisation. These organisational areas are conceptualised as the key drivers for employee engagemen</w:t>
      </w:r>
      <w:r w:rsidR="00C61D0F" w:rsidRPr="00F075B3">
        <w:rPr>
          <w:rFonts w:ascii="Arial" w:hAnsi="Arial" w:cs="Arial"/>
        </w:rPr>
        <w:t>t.</w:t>
      </w:r>
    </w:p>
    <w:p w14:paraId="0E73CB1F" w14:textId="77777777" w:rsidR="00C65B86" w:rsidRPr="00F075B3" w:rsidRDefault="00C65B86" w:rsidP="00C65B86">
      <w:pPr>
        <w:pStyle w:val="Heading2"/>
        <w:rPr>
          <w:rFonts w:ascii="Arial" w:hAnsi="Arial" w:cs="Arial"/>
        </w:rPr>
      </w:pPr>
      <w:bookmarkStart w:id="2" w:name="_Toc102088548"/>
      <w:r w:rsidRPr="00F075B3">
        <w:rPr>
          <w:rFonts w:ascii="Arial" w:hAnsi="Arial" w:cs="Arial"/>
        </w:rPr>
        <w:t>Key Drivers for Employee Engagement</w:t>
      </w:r>
      <w:bookmarkEnd w:id="2"/>
    </w:p>
    <w:p w14:paraId="0B44290D" w14:textId="77777777" w:rsidR="00FD1E3F" w:rsidRPr="00F075B3" w:rsidRDefault="00C61D0F" w:rsidP="00923B0A">
      <w:pPr>
        <w:rPr>
          <w:rFonts w:ascii="Arial" w:hAnsi="Arial" w:cs="Arial"/>
        </w:rPr>
      </w:pPr>
      <w:r w:rsidRPr="00F075B3">
        <w:rPr>
          <w:rFonts w:ascii="Arial" w:hAnsi="Arial" w:cs="Arial"/>
          <w:b/>
          <w:bCs/>
          <w:i/>
          <w:iCs/>
        </w:rPr>
        <w:t>Organisational culture</w:t>
      </w:r>
      <w:r w:rsidRPr="00F075B3">
        <w:rPr>
          <w:rFonts w:ascii="Arial" w:hAnsi="Arial" w:cs="Arial"/>
        </w:rPr>
        <w:t xml:space="preserve"> plays a vital role in influencing the process of employee engagement and assisting the company to accomplish its goals and acquire success. Employees that have a clear idea about the work, resources, as well as effort that the company requires from them, can encourage to operate actively and increase the chances of growth. An organisational culture can have an impact on the work processes of the firm which influences, profits, sales, employee morale and recruiting aspects. Whereas, </w:t>
      </w:r>
      <w:r w:rsidRPr="00F075B3">
        <w:rPr>
          <w:rFonts w:ascii="Arial" w:hAnsi="Arial" w:cs="Arial"/>
          <w:b/>
          <w:bCs/>
          <w:i/>
          <w:iCs/>
        </w:rPr>
        <w:t>Organisational Culture</w:t>
      </w:r>
      <w:r w:rsidRPr="00F075B3">
        <w:rPr>
          <w:rFonts w:ascii="Arial" w:hAnsi="Arial" w:cs="Arial"/>
        </w:rPr>
        <w:t xml:space="preserve"> is defined as the behaviour of the workforce within a firm </w:t>
      </w:r>
      <w:r w:rsidR="00B43A25" w:rsidRPr="00F075B3">
        <w:rPr>
          <w:rFonts w:ascii="Arial" w:hAnsi="Arial" w:cs="Arial"/>
        </w:rPr>
        <w:t>that includes, shared beliefs, employees’ perceptions, and understanding (</w:t>
      </w:r>
      <w:r w:rsidR="008E6D5B" w:rsidRPr="00F075B3">
        <w:rPr>
          <w:rFonts w:ascii="Arial" w:hAnsi="Arial" w:cs="Arial"/>
        </w:rPr>
        <w:t>Wagstaff and Burton-Wylie, 2018</w:t>
      </w:r>
      <w:r w:rsidR="00B43A25" w:rsidRPr="00F075B3">
        <w:rPr>
          <w:rFonts w:ascii="Arial" w:hAnsi="Arial" w:cs="Arial"/>
        </w:rPr>
        <w:t>). It is a necessary aspect as this sets an expectation of the team members’ behaviour and their functioning process that can guide leaders with the appropriate decision-making process that enhances the workflow.</w:t>
      </w:r>
    </w:p>
    <w:p w14:paraId="50E78175" w14:textId="77777777" w:rsidR="00977B05" w:rsidRPr="00F075B3" w:rsidRDefault="00B43A25" w:rsidP="00923B0A">
      <w:pPr>
        <w:rPr>
          <w:rFonts w:ascii="Arial" w:hAnsi="Arial" w:cs="Arial"/>
        </w:rPr>
      </w:pPr>
      <w:r w:rsidRPr="00F075B3">
        <w:rPr>
          <w:rFonts w:ascii="Arial" w:hAnsi="Arial" w:cs="Arial"/>
        </w:rPr>
        <w:t xml:space="preserve">Moreover, organisational culture can be identified by </w:t>
      </w:r>
      <w:r w:rsidRPr="00F075B3">
        <w:rPr>
          <w:rFonts w:ascii="Arial" w:hAnsi="Arial" w:cs="Arial"/>
          <w:b/>
          <w:bCs/>
          <w:i/>
          <w:iCs/>
        </w:rPr>
        <w:t>H</w:t>
      </w:r>
      <w:r w:rsidR="00512A8A" w:rsidRPr="00F075B3">
        <w:rPr>
          <w:rFonts w:ascii="Arial" w:hAnsi="Arial" w:cs="Arial"/>
          <w:b/>
          <w:bCs/>
          <w:i/>
          <w:iCs/>
        </w:rPr>
        <w:t>ofstede’s Cultural Dimensions Theory</w:t>
      </w:r>
      <w:r w:rsidR="00512A8A" w:rsidRPr="00F075B3">
        <w:rPr>
          <w:rFonts w:ascii="Arial" w:hAnsi="Arial" w:cs="Arial"/>
        </w:rPr>
        <w:t>, which provides an idea of the workforce behaviour in relation to employee engagement and their psychological attributes (</w:t>
      </w:r>
      <w:r w:rsidR="008E6D5B" w:rsidRPr="00F075B3">
        <w:rPr>
          <w:rFonts w:ascii="Arial" w:hAnsi="Arial" w:cs="Arial"/>
        </w:rPr>
        <w:t>Gallego-Álvarez and Pucheta-Martínez, 2021</w:t>
      </w:r>
      <w:r w:rsidR="00512A8A" w:rsidRPr="00F075B3">
        <w:rPr>
          <w:rFonts w:ascii="Arial" w:hAnsi="Arial" w:cs="Arial"/>
        </w:rPr>
        <w:t xml:space="preserve">). </w:t>
      </w:r>
      <w:r w:rsidR="00512A8A" w:rsidRPr="00F075B3">
        <w:rPr>
          <w:rFonts w:ascii="Arial" w:hAnsi="Arial" w:cs="Arial"/>
          <w:b/>
          <w:bCs/>
          <w:i/>
          <w:iCs/>
        </w:rPr>
        <w:t>Long Term Orientation</w:t>
      </w:r>
      <w:r w:rsidR="00512A8A" w:rsidRPr="00F075B3">
        <w:rPr>
          <w:rFonts w:ascii="Arial" w:hAnsi="Arial" w:cs="Arial"/>
        </w:rPr>
        <w:t xml:space="preserve"> in Hofstede’s Cultural Dimension </w:t>
      </w:r>
      <w:r w:rsidR="00512A8A" w:rsidRPr="00F075B3">
        <w:rPr>
          <w:rFonts w:ascii="Arial" w:hAnsi="Arial" w:cs="Arial"/>
        </w:rPr>
        <w:lastRenderedPageBreak/>
        <w:t xml:space="preserve">model provides an idea at which level people are ready to perform and gain success. </w:t>
      </w:r>
      <w:r w:rsidR="00FD1E3F" w:rsidRPr="00F075B3">
        <w:rPr>
          <w:rFonts w:ascii="Arial" w:hAnsi="Arial" w:cs="Arial"/>
        </w:rPr>
        <w:t>The score for Long Term Orientation in the United Kingdom is 51 (</w:t>
      </w:r>
      <w:r w:rsidR="00640134" w:rsidRPr="00F075B3">
        <w:rPr>
          <w:rFonts w:ascii="Arial" w:hAnsi="Arial" w:cs="Arial"/>
        </w:rPr>
        <w:t>hofstede-insights.com, 2022</w:t>
      </w:r>
      <w:r w:rsidR="00FD1E3F" w:rsidRPr="00F075B3">
        <w:rPr>
          <w:rFonts w:ascii="Arial" w:hAnsi="Arial" w:cs="Arial"/>
        </w:rPr>
        <w:t xml:space="preserve">). Hence, this indicates that Inditex will have to oversee the incorporation of Long Term benefits and work processes in order to engage employees effectively. Whereas, the </w:t>
      </w:r>
      <w:r w:rsidR="00FD1E3F" w:rsidRPr="00F075B3">
        <w:rPr>
          <w:rFonts w:ascii="Arial" w:hAnsi="Arial" w:cs="Arial"/>
          <w:b/>
          <w:bCs/>
          <w:i/>
          <w:iCs/>
        </w:rPr>
        <w:t>Uncertainty Avoidance</w:t>
      </w:r>
      <w:r w:rsidR="00FD1E3F" w:rsidRPr="00F075B3">
        <w:rPr>
          <w:rFonts w:ascii="Arial" w:hAnsi="Arial" w:cs="Arial"/>
        </w:rPr>
        <w:t xml:space="preserve"> score in the United Kingdom is about 35 (</w:t>
      </w:r>
      <w:r w:rsidR="00640134" w:rsidRPr="00F075B3">
        <w:rPr>
          <w:rFonts w:ascii="Arial" w:hAnsi="Arial" w:cs="Arial"/>
        </w:rPr>
        <w:t>hofstede-insights.com, 2022</w:t>
      </w:r>
      <w:r w:rsidR="00FD1E3F" w:rsidRPr="00F075B3">
        <w:rPr>
          <w:rFonts w:ascii="Arial" w:hAnsi="Arial" w:cs="Arial"/>
        </w:rPr>
        <w:t xml:space="preserve">). Due to this factor, Inditex faces a huge fall in its profit margin during the period of COVID-19 in 2020. </w:t>
      </w:r>
      <w:r w:rsidR="00977B05" w:rsidRPr="00F075B3">
        <w:rPr>
          <w:rFonts w:ascii="Arial" w:hAnsi="Arial" w:cs="Arial"/>
        </w:rPr>
        <w:t>Inditex reported that its profit in the year 2020, fell by 70%, which amounted to 92.54 million British Pounds (businessoffashion.com, 2021). Hence, this depicts that the managers and leaders of the company should focus on having several strategies, which avoid uncertainty such as COVID-19 in the future. This is crucial because this can have an adverse impact on employee engagement, which will influence the company’s sales and profits negatively.</w:t>
      </w:r>
    </w:p>
    <w:p w14:paraId="5C5E4603" w14:textId="77777777" w:rsidR="006E3399" w:rsidRPr="00F075B3" w:rsidRDefault="006E3399" w:rsidP="00923B0A">
      <w:pPr>
        <w:rPr>
          <w:rFonts w:ascii="Arial" w:hAnsi="Arial" w:cs="Arial"/>
        </w:rPr>
      </w:pPr>
    </w:p>
    <w:p w14:paraId="27B0B922" w14:textId="77777777" w:rsidR="006E3399" w:rsidRPr="00F075B3" w:rsidRDefault="006E3399" w:rsidP="006E3399">
      <w:pPr>
        <w:jc w:val="center"/>
        <w:rPr>
          <w:rFonts w:ascii="Arial" w:hAnsi="Arial" w:cs="Arial"/>
          <w:b/>
          <w:bCs/>
          <w:i/>
          <w:iCs/>
        </w:rPr>
      </w:pPr>
      <w:r w:rsidRPr="00F075B3">
        <w:rPr>
          <w:rFonts w:ascii="Arial" w:hAnsi="Arial" w:cs="Arial"/>
          <w:lang w:val="en-US" w:bidi="ar-SA"/>
        </w:rPr>
        <w:drawing>
          <wp:inline distT="0" distB="0" distL="0" distR="0" wp14:anchorId="53CE41EF" wp14:editId="2AC45693">
            <wp:extent cx="3924300" cy="2358399"/>
            <wp:effectExtent l="76200" t="76200" r="133350" b="137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4643" t="30498" r="25707" b="16452"/>
                    <a:stretch/>
                  </pic:blipFill>
                  <pic:spPr bwMode="auto">
                    <a:xfrm>
                      <a:off x="0" y="0"/>
                      <a:ext cx="3934264" cy="23643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1BB113D" w14:textId="77777777" w:rsidR="006E3399" w:rsidRPr="00F075B3" w:rsidRDefault="006E3399" w:rsidP="006E3399">
      <w:pPr>
        <w:jc w:val="center"/>
        <w:rPr>
          <w:rFonts w:ascii="Arial" w:hAnsi="Arial" w:cs="Arial"/>
          <w:b/>
          <w:bCs/>
        </w:rPr>
      </w:pPr>
      <w:r w:rsidRPr="00F075B3">
        <w:rPr>
          <w:rFonts w:ascii="Arial" w:hAnsi="Arial" w:cs="Arial"/>
          <w:b/>
          <w:bCs/>
        </w:rPr>
        <w:t xml:space="preserve">Figure No. 1: Hofstede’s Cultural Dimensions of </w:t>
      </w:r>
      <w:r w:rsidR="006C280C" w:rsidRPr="00F075B3">
        <w:rPr>
          <w:rFonts w:ascii="Arial" w:hAnsi="Arial" w:cs="Arial"/>
          <w:b/>
          <w:bCs/>
        </w:rPr>
        <w:t xml:space="preserve">the </w:t>
      </w:r>
      <w:r w:rsidRPr="00F075B3">
        <w:rPr>
          <w:rFonts w:ascii="Arial" w:hAnsi="Arial" w:cs="Arial"/>
          <w:b/>
          <w:bCs/>
        </w:rPr>
        <w:t>United Kingdom</w:t>
      </w:r>
    </w:p>
    <w:p w14:paraId="40911A5E" w14:textId="77777777" w:rsidR="006E3399" w:rsidRPr="00F075B3" w:rsidRDefault="006E3399" w:rsidP="006E3399">
      <w:pPr>
        <w:jc w:val="center"/>
        <w:rPr>
          <w:rFonts w:ascii="Arial" w:hAnsi="Arial" w:cs="Arial"/>
        </w:rPr>
      </w:pPr>
      <w:r w:rsidRPr="00F075B3">
        <w:rPr>
          <w:rFonts w:ascii="Arial" w:hAnsi="Arial" w:cs="Arial"/>
        </w:rPr>
        <w:t>(Source: hofstede-insights.com, 2022)</w:t>
      </w:r>
    </w:p>
    <w:p w14:paraId="19AD4D63" w14:textId="77777777" w:rsidR="005832C9" w:rsidRPr="00F075B3" w:rsidRDefault="005832C9" w:rsidP="00923B0A">
      <w:pPr>
        <w:rPr>
          <w:rFonts w:ascii="Arial" w:hAnsi="Arial" w:cs="Arial"/>
        </w:rPr>
      </w:pPr>
      <w:r w:rsidRPr="00F075B3">
        <w:rPr>
          <w:rFonts w:ascii="Arial" w:hAnsi="Arial" w:cs="Arial"/>
          <w:b/>
          <w:bCs/>
          <w:i/>
          <w:iCs/>
        </w:rPr>
        <w:t>Employee Motivation</w:t>
      </w:r>
      <w:r w:rsidRPr="00F075B3">
        <w:rPr>
          <w:rFonts w:ascii="Arial" w:hAnsi="Arial" w:cs="Arial"/>
        </w:rPr>
        <w:t xml:space="preserve"> can be considered one of the most important</w:t>
      </w:r>
      <w:r w:rsidR="000B3880" w:rsidRPr="00F075B3">
        <w:rPr>
          <w:rFonts w:ascii="Arial" w:hAnsi="Arial" w:cs="Arial"/>
        </w:rPr>
        <w:t xml:space="preserve"> drivers</w:t>
      </w:r>
      <w:r w:rsidRPr="00F075B3">
        <w:rPr>
          <w:rFonts w:ascii="Arial" w:hAnsi="Arial" w:cs="Arial"/>
        </w:rPr>
        <w:t xml:space="preserve"> </w:t>
      </w:r>
      <w:r w:rsidR="000B3880" w:rsidRPr="00F075B3">
        <w:rPr>
          <w:rFonts w:ascii="Arial" w:hAnsi="Arial" w:cs="Arial"/>
        </w:rPr>
        <w:t>of</w:t>
      </w:r>
      <w:r w:rsidRPr="00F075B3">
        <w:rPr>
          <w:rFonts w:ascii="Arial" w:hAnsi="Arial" w:cs="Arial"/>
        </w:rPr>
        <w:t xml:space="preserve"> employee engagement, as motivated employees can concentrate on accelerating the work processes. </w:t>
      </w:r>
      <w:r w:rsidR="000B3880" w:rsidRPr="00F075B3">
        <w:rPr>
          <w:rFonts w:ascii="Arial" w:hAnsi="Arial" w:cs="Arial"/>
        </w:rPr>
        <w:t xml:space="preserve">According to Shaaban (2018), motivating employees within the organisation can influence their engagement, which will help the company to grow and acquire success. Leaders and managers in the organisation are responsible for encouraging workers that can assist them to </w:t>
      </w:r>
      <w:r w:rsidR="00593DD1" w:rsidRPr="00F075B3">
        <w:rPr>
          <w:rFonts w:ascii="Arial" w:hAnsi="Arial" w:cs="Arial"/>
        </w:rPr>
        <w:t>engage</w:t>
      </w:r>
      <w:r w:rsidR="000B3880" w:rsidRPr="00F075B3">
        <w:rPr>
          <w:rFonts w:ascii="Arial" w:hAnsi="Arial" w:cs="Arial"/>
        </w:rPr>
        <w:t xml:space="preserve"> employees for enhanced work process.</w:t>
      </w:r>
      <w:r w:rsidR="00593DD1" w:rsidRPr="00F075B3">
        <w:rPr>
          <w:rFonts w:ascii="Arial" w:hAnsi="Arial" w:cs="Arial"/>
        </w:rPr>
        <w:t xml:space="preserve"> Employee motivation can be defined by </w:t>
      </w:r>
      <w:r w:rsidR="00593DD1" w:rsidRPr="00F075B3">
        <w:rPr>
          <w:rFonts w:ascii="Arial" w:hAnsi="Arial" w:cs="Arial"/>
          <w:b/>
          <w:bCs/>
          <w:i/>
          <w:iCs/>
        </w:rPr>
        <w:t>Maslow’s Hierarchy of Needs</w:t>
      </w:r>
      <w:r w:rsidR="00593DD1" w:rsidRPr="00F075B3">
        <w:rPr>
          <w:rFonts w:ascii="Arial" w:hAnsi="Arial" w:cs="Arial"/>
        </w:rPr>
        <w:t xml:space="preserve">, which indicates that people working in the organisation have five stages of needs </w:t>
      </w:r>
      <w:r w:rsidR="00593DD1" w:rsidRPr="00F075B3">
        <w:rPr>
          <w:rFonts w:ascii="Arial" w:hAnsi="Arial" w:cs="Arial"/>
        </w:rPr>
        <w:lastRenderedPageBreak/>
        <w:t>(</w:t>
      </w:r>
      <w:r w:rsidR="009D6054" w:rsidRPr="00F075B3">
        <w:rPr>
          <w:rFonts w:ascii="Arial" w:hAnsi="Arial" w:cs="Arial"/>
        </w:rPr>
        <w:t>Hopper, 2020</w:t>
      </w:r>
      <w:r w:rsidR="00593DD1" w:rsidRPr="00F075B3">
        <w:rPr>
          <w:rFonts w:ascii="Arial" w:hAnsi="Arial" w:cs="Arial"/>
        </w:rPr>
        <w:t>). In accordance with accomplishing these needs</w:t>
      </w:r>
      <w:r w:rsidR="00257571" w:rsidRPr="00F075B3">
        <w:rPr>
          <w:rFonts w:ascii="Arial" w:hAnsi="Arial" w:cs="Arial"/>
        </w:rPr>
        <w:t>,</w:t>
      </w:r>
      <w:r w:rsidR="00593DD1" w:rsidRPr="00F075B3">
        <w:rPr>
          <w:rFonts w:ascii="Arial" w:hAnsi="Arial" w:cs="Arial"/>
        </w:rPr>
        <w:t xml:space="preserve"> the employees functioning in the workplace get motivated and perform with an extensive approach </w:t>
      </w:r>
      <w:r w:rsidR="00257571" w:rsidRPr="00F075B3">
        <w:rPr>
          <w:rFonts w:ascii="Arial" w:hAnsi="Arial" w:cs="Arial"/>
        </w:rPr>
        <w:t>that also assists leaders to enhance the engagement process.</w:t>
      </w:r>
      <w:r w:rsidR="00933C0F" w:rsidRPr="00F075B3">
        <w:rPr>
          <w:rFonts w:ascii="Arial" w:hAnsi="Arial" w:cs="Arial"/>
        </w:rPr>
        <w:t xml:space="preserve"> </w:t>
      </w:r>
      <w:r w:rsidR="00933C0F" w:rsidRPr="00F075B3">
        <w:rPr>
          <w:rFonts w:ascii="Arial" w:hAnsi="Arial" w:cs="Arial"/>
          <w:b/>
          <w:bCs/>
          <w:i/>
          <w:iCs/>
        </w:rPr>
        <w:t>Physiological needs</w:t>
      </w:r>
      <w:r w:rsidR="00933C0F" w:rsidRPr="00F075B3">
        <w:rPr>
          <w:rFonts w:ascii="Arial" w:hAnsi="Arial" w:cs="Arial"/>
        </w:rPr>
        <w:t xml:space="preserve"> portray the basic needs of the workers that are necessary to achieve such as food, drink, air, shelter, and many more as it assists them to function properly. </w:t>
      </w:r>
      <w:r w:rsidR="00933C0F" w:rsidRPr="00F075B3">
        <w:rPr>
          <w:rFonts w:ascii="Arial" w:hAnsi="Arial" w:cs="Arial"/>
          <w:b/>
          <w:bCs/>
          <w:i/>
          <w:iCs/>
        </w:rPr>
        <w:t>Safety needs</w:t>
      </w:r>
      <w:r w:rsidR="00933C0F" w:rsidRPr="00F075B3">
        <w:rPr>
          <w:rFonts w:ascii="Arial" w:hAnsi="Arial" w:cs="Arial"/>
        </w:rPr>
        <w:t xml:space="preserve"> provide an idea that employees working in the organisation require a safe and secure environment to perform effectively, which increases the employee engagement factors.</w:t>
      </w:r>
      <w:r w:rsidR="00160544" w:rsidRPr="00F075B3">
        <w:rPr>
          <w:rFonts w:ascii="Arial" w:hAnsi="Arial" w:cs="Arial"/>
        </w:rPr>
        <w:t xml:space="preserve"> Inditex and its brands follow the COVID-19 policies incorporated by the government in its work to provide safety to its employees.</w:t>
      </w:r>
    </w:p>
    <w:p w14:paraId="287E7C26" w14:textId="77777777" w:rsidR="002F54F8" w:rsidRPr="00F075B3" w:rsidRDefault="00160544" w:rsidP="00923B0A">
      <w:pPr>
        <w:rPr>
          <w:rFonts w:ascii="Arial" w:hAnsi="Arial" w:cs="Arial"/>
        </w:rPr>
      </w:pPr>
      <w:r w:rsidRPr="00F075B3">
        <w:rPr>
          <w:rFonts w:ascii="Arial" w:hAnsi="Arial" w:cs="Arial"/>
        </w:rPr>
        <w:t xml:space="preserve">Moreover, </w:t>
      </w:r>
      <w:r w:rsidRPr="00F075B3">
        <w:rPr>
          <w:rFonts w:ascii="Arial" w:hAnsi="Arial" w:cs="Arial"/>
          <w:b/>
          <w:bCs/>
          <w:i/>
          <w:iCs/>
        </w:rPr>
        <w:t>Love and Belonging needs</w:t>
      </w:r>
      <w:r w:rsidRPr="00F075B3">
        <w:rPr>
          <w:rFonts w:ascii="Arial" w:hAnsi="Arial" w:cs="Arial"/>
        </w:rPr>
        <w:t xml:space="preserve"> </w:t>
      </w:r>
      <w:r w:rsidR="000F73D9" w:rsidRPr="00F075B3">
        <w:rPr>
          <w:rFonts w:ascii="Arial" w:hAnsi="Arial" w:cs="Arial"/>
        </w:rPr>
        <w:t>refer</w:t>
      </w:r>
      <w:r w:rsidRPr="00F075B3">
        <w:rPr>
          <w:rFonts w:ascii="Arial" w:hAnsi="Arial" w:cs="Arial"/>
        </w:rPr>
        <w:t xml:space="preserve"> to the third stage of Maslow’s Hierarchy that indicates the workforce requires to develop a feeling of acceptance to </w:t>
      </w:r>
      <w:r w:rsidR="000F73D9" w:rsidRPr="00F075B3">
        <w:rPr>
          <w:rFonts w:ascii="Arial" w:hAnsi="Arial" w:cs="Arial"/>
        </w:rPr>
        <w:t>function appropriately in the company. Inditex oversees includes diversity and equality that provides its workers with an inclusive environment and empowers them (</w:t>
      </w:r>
      <w:r w:rsidR="00F21515" w:rsidRPr="00F075B3">
        <w:rPr>
          <w:rFonts w:ascii="Arial" w:hAnsi="Arial" w:cs="Arial"/>
        </w:rPr>
        <w:t>inditex.com, 2022</w:t>
      </w:r>
      <w:r w:rsidR="000F73D9" w:rsidRPr="00F075B3">
        <w:rPr>
          <w:rFonts w:ascii="Arial" w:hAnsi="Arial" w:cs="Arial"/>
        </w:rPr>
        <w:t>). Whereas, after the COVID-19 pandemic, the company concentrated on enhancing diversity and inclusion in the workplace with the help of flexible working.</w:t>
      </w:r>
      <w:r w:rsidR="002F54F8" w:rsidRPr="00F075B3">
        <w:rPr>
          <w:rFonts w:ascii="Arial" w:hAnsi="Arial" w:cs="Arial"/>
        </w:rPr>
        <w:t xml:space="preserve"> </w:t>
      </w:r>
      <w:r w:rsidR="002F54F8" w:rsidRPr="00F075B3">
        <w:rPr>
          <w:rFonts w:ascii="Arial" w:hAnsi="Arial" w:cs="Arial"/>
          <w:b/>
          <w:bCs/>
          <w:i/>
          <w:iCs/>
        </w:rPr>
        <w:t>Esteem</w:t>
      </w:r>
      <w:r w:rsidR="002F54F8" w:rsidRPr="00F075B3">
        <w:rPr>
          <w:rFonts w:ascii="Arial" w:hAnsi="Arial" w:cs="Arial"/>
        </w:rPr>
        <w:t xml:space="preserve"> can be achieved by the employees within the firm by enhancing their knowledge and skills with the necessary training and development programs. Employee engagement can be escalated by the development of the workforce within the company to intensify their performance. Inditex provides its employees with a professional development program that oversees to accelerate their work processes and ability to perform in the workplace (inditex.com, 2022).</w:t>
      </w:r>
      <w:r w:rsidR="00F21515" w:rsidRPr="00F075B3">
        <w:rPr>
          <w:rFonts w:ascii="Arial" w:hAnsi="Arial" w:cs="Arial"/>
        </w:rPr>
        <w:t xml:space="preserve"> The training programmes provided by the company oversee to enhance the flexible working and fulfil about 50% of job vacancies within the company internally. </w:t>
      </w:r>
      <w:r w:rsidR="00F21515" w:rsidRPr="00F075B3">
        <w:rPr>
          <w:rFonts w:ascii="Arial" w:hAnsi="Arial" w:cs="Arial"/>
          <w:b/>
          <w:bCs/>
          <w:i/>
          <w:iCs/>
        </w:rPr>
        <w:t>Self-actualisation</w:t>
      </w:r>
      <w:r w:rsidR="00F21515" w:rsidRPr="00F075B3">
        <w:rPr>
          <w:rFonts w:ascii="Arial" w:hAnsi="Arial" w:cs="Arial"/>
        </w:rPr>
        <w:t xml:space="preserve"> is the last stage of the hierarchy of needs that can be fulfilled if the employees are performing in the enterprise with full potential </w:t>
      </w:r>
      <w:r w:rsidR="00C65B86" w:rsidRPr="00F075B3">
        <w:rPr>
          <w:rFonts w:ascii="Arial" w:hAnsi="Arial" w:cs="Arial"/>
        </w:rPr>
        <w:t>and have a creative approach towards the development of the organisation.</w:t>
      </w:r>
    </w:p>
    <w:p w14:paraId="176D8597" w14:textId="77777777" w:rsidR="006E3399" w:rsidRPr="00F075B3" w:rsidRDefault="006E3399" w:rsidP="006E3399">
      <w:pPr>
        <w:jc w:val="center"/>
        <w:rPr>
          <w:rFonts w:ascii="Arial" w:hAnsi="Arial" w:cs="Arial"/>
        </w:rPr>
      </w:pPr>
      <w:r w:rsidRPr="00F075B3">
        <w:rPr>
          <w:rFonts w:ascii="Arial" w:hAnsi="Arial" w:cs="Arial"/>
          <w:lang w:val="en-US" w:bidi="ar-SA"/>
        </w:rPr>
        <w:lastRenderedPageBreak/>
        <w:drawing>
          <wp:inline distT="0" distB="0" distL="0" distR="0" wp14:anchorId="493A1CB2" wp14:editId="556BA397">
            <wp:extent cx="5256530" cy="2559050"/>
            <wp:effectExtent l="76200" t="76200" r="134620" b="127000"/>
            <wp:docPr id="2" name="Picture 2"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Explain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13445"/>
                    <a:stretch/>
                  </pic:blipFill>
                  <pic:spPr bwMode="auto">
                    <a:xfrm>
                      <a:off x="0" y="0"/>
                      <a:ext cx="5256530" cy="2559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FAAA5C7" w14:textId="77777777" w:rsidR="006E3399" w:rsidRPr="00F075B3" w:rsidRDefault="006E3399" w:rsidP="006E3399">
      <w:pPr>
        <w:jc w:val="center"/>
        <w:rPr>
          <w:rFonts w:ascii="Arial" w:hAnsi="Arial" w:cs="Arial"/>
          <w:b/>
          <w:bCs/>
        </w:rPr>
      </w:pPr>
      <w:r w:rsidRPr="00F075B3">
        <w:rPr>
          <w:rFonts w:ascii="Arial" w:hAnsi="Arial" w:cs="Arial"/>
          <w:b/>
          <w:bCs/>
        </w:rPr>
        <w:t>Figure No. 2: Maslow’s Hierarchy of Needs</w:t>
      </w:r>
    </w:p>
    <w:p w14:paraId="30A6BEC7" w14:textId="77777777" w:rsidR="006E3399" w:rsidRPr="00F075B3" w:rsidRDefault="006E3399" w:rsidP="006E3399">
      <w:pPr>
        <w:jc w:val="center"/>
        <w:rPr>
          <w:rFonts w:ascii="Arial" w:hAnsi="Arial" w:cs="Arial"/>
        </w:rPr>
      </w:pPr>
      <w:r w:rsidRPr="00F075B3">
        <w:rPr>
          <w:rFonts w:ascii="Arial" w:hAnsi="Arial" w:cs="Arial"/>
        </w:rPr>
        <w:t>(Source: Inspired by Hopper, 2020)</w:t>
      </w:r>
    </w:p>
    <w:p w14:paraId="07F198F6" w14:textId="77777777" w:rsidR="00C212CC" w:rsidRPr="00F075B3" w:rsidRDefault="00012F71" w:rsidP="00923B0A">
      <w:pPr>
        <w:rPr>
          <w:rFonts w:ascii="Arial" w:hAnsi="Arial" w:cs="Arial"/>
        </w:rPr>
      </w:pPr>
      <w:r w:rsidRPr="00F075B3">
        <w:rPr>
          <w:rFonts w:ascii="Arial" w:hAnsi="Arial" w:cs="Arial"/>
        </w:rPr>
        <w:t xml:space="preserve">Hence, it can be conceptualised that these key drivers can be improved and enhanced by the implementation of </w:t>
      </w:r>
      <w:r w:rsidRPr="00F075B3">
        <w:rPr>
          <w:rFonts w:ascii="Arial" w:hAnsi="Arial" w:cs="Arial"/>
          <w:b/>
          <w:bCs/>
          <w:i/>
          <w:iCs/>
        </w:rPr>
        <w:t>William Kahn’s Employee Engagement Theory</w:t>
      </w:r>
      <w:r w:rsidRPr="00F075B3">
        <w:rPr>
          <w:rFonts w:ascii="Arial" w:hAnsi="Arial" w:cs="Arial"/>
        </w:rPr>
        <w:t xml:space="preserve">. This theory of employee engagement is defined by the process of harnessing the members of the firm with their work roles increases engagement </w:t>
      </w:r>
      <w:r w:rsidR="00F87F8F" w:rsidRPr="00F075B3">
        <w:rPr>
          <w:rFonts w:ascii="Arial" w:hAnsi="Arial" w:cs="Arial"/>
        </w:rPr>
        <w:t>during the process of performing the roles (</w:t>
      </w:r>
      <w:r w:rsidR="009D6054" w:rsidRPr="00F075B3">
        <w:rPr>
          <w:rFonts w:ascii="Arial" w:hAnsi="Arial" w:cs="Arial"/>
        </w:rPr>
        <w:t xml:space="preserve">AKOB </w:t>
      </w:r>
      <w:r w:rsidR="009D6054" w:rsidRPr="00F075B3">
        <w:rPr>
          <w:rFonts w:ascii="Arial" w:hAnsi="Arial" w:cs="Arial"/>
          <w:i/>
          <w:iCs/>
        </w:rPr>
        <w:t>et al</w:t>
      </w:r>
      <w:r w:rsidR="009D6054" w:rsidRPr="00F075B3">
        <w:rPr>
          <w:rFonts w:ascii="Arial" w:hAnsi="Arial" w:cs="Arial"/>
        </w:rPr>
        <w:t>., 2020</w:t>
      </w:r>
      <w:r w:rsidR="00F87F8F" w:rsidRPr="00F075B3">
        <w:rPr>
          <w:rFonts w:ascii="Arial" w:hAnsi="Arial" w:cs="Arial"/>
        </w:rPr>
        <w:t>).</w:t>
      </w:r>
    </w:p>
    <w:p w14:paraId="5A85BF7A" w14:textId="77777777" w:rsidR="00C212CC" w:rsidRPr="00F075B3" w:rsidRDefault="00C212CC" w:rsidP="00C212CC">
      <w:pPr>
        <w:jc w:val="center"/>
        <w:rPr>
          <w:rFonts w:ascii="Arial" w:hAnsi="Arial" w:cs="Arial"/>
        </w:rPr>
      </w:pPr>
      <w:r w:rsidRPr="00F075B3">
        <w:rPr>
          <w:rFonts w:ascii="Arial" w:hAnsi="Arial" w:cs="Arial"/>
          <w:lang w:val="en-US" w:bidi="ar-SA"/>
        </w:rPr>
        <w:drawing>
          <wp:inline distT="0" distB="0" distL="0" distR="0" wp14:anchorId="1D6FCA46" wp14:editId="64AFA0EA">
            <wp:extent cx="5256530" cy="2535555"/>
            <wp:effectExtent l="76200" t="76200" r="134620" b="131445"/>
            <wp:docPr id="3" name="Picture 3" descr="2. Kahn (1990) Model of Employee Eng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Kahn (1990) Model of Employee Engagement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56530" cy="2535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0F884E" w14:textId="77777777" w:rsidR="00C212CC" w:rsidRPr="00F075B3" w:rsidRDefault="00C212CC" w:rsidP="00C212CC">
      <w:pPr>
        <w:jc w:val="center"/>
        <w:rPr>
          <w:rFonts w:ascii="Arial" w:hAnsi="Arial" w:cs="Arial"/>
          <w:b/>
          <w:bCs/>
        </w:rPr>
      </w:pPr>
      <w:r w:rsidRPr="00F075B3">
        <w:rPr>
          <w:rFonts w:ascii="Arial" w:hAnsi="Arial" w:cs="Arial"/>
          <w:b/>
          <w:bCs/>
        </w:rPr>
        <w:t>Figure No. 3: William Kahn’s Employee Engagement Theory</w:t>
      </w:r>
    </w:p>
    <w:p w14:paraId="66ED0222" w14:textId="77777777" w:rsidR="00C212CC" w:rsidRPr="00F075B3" w:rsidRDefault="00C212CC" w:rsidP="00C212CC">
      <w:pPr>
        <w:jc w:val="center"/>
        <w:rPr>
          <w:rFonts w:ascii="Arial" w:hAnsi="Arial" w:cs="Arial"/>
        </w:rPr>
      </w:pPr>
      <w:r w:rsidRPr="00F075B3">
        <w:rPr>
          <w:rFonts w:ascii="Arial" w:hAnsi="Arial" w:cs="Arial"/>
        </w:rPr>
        <w:t xml:space="preserve">(Source: Inspired by AKOB </w:t>
      </w:r>
      <w:r w:rsidRPr="00F075B3">
        <w:rPr>
          <w:rFonts w:ascii="Arial" w:hAnsi="Arial" w:cs="Arial"/>
          <w:i/>
          <w:iCs/>
        </w:rPr>
        <w:t>et al</w:t>
      </w:r>
      <w:r w:rsidRPr="00F075B3">
        <w:rPr>
          <w:rFonts w:ascii="Arial" w:hAnsi="Arial" w:cs="Arial"/>
        </w:rPr>
        <w:t>., 2020)</w:t>
      </w:r>
    </w:p>
    <w:p w14:paraId="2D77BE79" w14:textId="77777777" w:rsidR="00E04CBE" w:rsidRPr="00F075B3" w:rsidRDefault="00F87F8F" w:rsidP="00923B0A">
      <w:pPr>
        <w:rPr>
          <w:rFonts w:ascii="Arial" w:hAnsi="Arial" w:cs="Arial"/>
        </w:rPr>
      </w:pPr>
      <w:r w:rsidRPr="00F075B3">
        <w:rPr>
          <w:rFonts w:ascii="Arial" w:hAnsi="Arial" w:cs="Arial"/>
        </w:rPr>
        <w:lastRenderedPageBreak/>
        <w:t xml:space="preserve">This is necessary as it focuses on strategising the relevant processes that create a better work culture for the workers, increase productivity, and reduce stress as well as staff turnover rate. It is a process that can be used during work from home culture, or flexible working time, it can make the workplace safe from COVID-19 with an effective engagement. Whereas, this includes three elements that are safety, meaningfulness, and </w:t>
      </w:r>
      <w:r w:rsidR="009D6054" w:rsidRPr="00F075B3">
        <w:rPr>
          <w:rFonts w:ascii="Arial" w:hAnsi="Arial" w:cs="Arial"/>
        </w:rPr>
        <w:t>availability. In order to escalate the concept of meaningfulness within the company Inditex has aimed to provide its customers with 100% sustainable fabric by the year 2025 (Conlon, 2019). Whereas, to accelerate the elements such as availability, and safety, Inditex has overseen to include the flexible working time to enhance diversity and inclusion and provides appropriate training programme.</w:t>
      </w:r>
    </w:p>
    <w:p w14:paraId="65D305EA" w14:textId="77777777" w:rsidR="00E04CBE" w:rsidRPr="00F075B3" w:rsidRDefault="00E04CBE" w:rsidP="009B2ECF">
      <w:pPr>
        <w:pStyle w:val="Heading1"/>
        <w:rPr>
          <w:rFonts w:ascii="Arial" w:hAnsi="Arial" w:cs="Arial"/>
        </w:rPr>
      </w:pPr>
      <w:bookmarkStart w:id="3" w:name="_Toc102088549"/>
      <w:r w:rsidRPr="00F075B3">
        <w:rPr>
          <w:rFonts w:ascii="Arial" w:hAnsi="Arial" w:cs="Arial"/>
        </w:rPr>
        <w:t xml:space="preserve">Evaluates diagnostic tools to measure </w:t>
      </w:r>
      <w:r w:rsidR="0077164D" w:rsidRPr="00F075B3">
        <w:rPr>
          <w:rFonts w:ascii="Arial" w:hAnsi="Arial" w:cs="Arial"/>
        </w:rPr>
        <w:t xml:space="preserve">the </w:t>
      </w:r>
      <w:r w:rsidRPr="00F075B3">
        <w:rPr>
          <w:rFonts w:ascii="Arial" w:hAnsi="Arial" w:cs="Arial"/>
        </w:rPr>
        <w:t>engagement</w:t>
      </w:r>
      <w:bookmarkEnd w:id="3"/>
    </w:p>
    <w:p w14:paraId="6B96D9AA" w14:textId="77777777" w:rsidR="00C073F8" w:rsidRPr="00F075B3" w:rsidRDefault="00C073F8" w:rsidP="00C073F8">
      <w:pPr>
        <w:rPr>
          <w:rFonts w:ascii="Arial" w:hAnsi="Arial" w:cs="Arial"/>
        </w:rPr>
      </w:pPr>
      <w:r w:rsidRPr="00F075B3">
        <w:rPr>
          <w:rFonts w:ascii="Arial" w:hAnsi="Arial" w:cs="Arial"/>
        </w:rPr>
        <w:t>Managing employees and engaging them is important for an HR manager of the organisation, whereas, measuring the rate of engagement within the organisation is necessary as well. It is because by measuring the engagement, the HR management in an enterprise will be able to incorporate the right strategies to increase productivity and performance ability. There are several tools for measuring Employee Engagement that can assist the leaders to effectively strategise the approaches to achieve the organisational goals and objectives.</w:t>
      </w:r>
      <w:r w:rsidR="00A35096" w:rsidRPr="00F075B3">
        <w:rPr>
          <w:rFonts w:ascii="Arial" w:hAnsi="Arial" w:cs="Arial"/>
        </w:rPr>
        <w:t xml:space="preserve"> After the COVID-19 pandemic, people have started using </w:t>
      </w:r>
      <w:r w:rsidR="00A35096" w:rsidRPr="00F075B3">
        <w:rPr>
          <w:rFonts w:ascii="Arial" w:hAnsi="Arial" w:cs="Arial"/>
          <w:b/>
          <w:bCs/>
          <w:i/>
          <w:iCs/>
        </w:rPr>
        <w:t>social media</w:t>
      </w:r>
      <w:r w:rsidR="00A35096" w:rsidRPr="00F075B3">
        <w:rPr>
          <w:rFonts w:ascii="Arial" w:hAnsi="Arial" w:cs="Arial"/>
        </w:rPr>
        <w:t xml:space="preserve"> more, which can be a beneficial tactical approach for corporations to measure employee engagement.</w:t>
      </w:r>
      <w:r w:rsidR="0097379D" w:rsidRPr="00F075B3">
        <w:rPr>
          <w:rFonts w:ascii="Arial" w:hAnsi="Arial" w:cs="Arial"/>
        </w:rPr>
        <w:t xml:space="preserve"> As of the year 2022, the number of active social media users in the United Kingdom is about 58 million, which includes about 84% of the total population of the UK (</w:t>
      </w:r>
      <w:r w:rsidR="002813BA" w:rsidRPr="00F075B3">
        <w:rPr>
          <w:rFonts w:ascii="Arial" w:hAnsi="Arial" w:cs="Arial"/>
        </w:rPr>
        <w:t>statista.com, 2022</w:t>
      </w:r>
      <w:r w:rsidR="0097379D" w:rsidRPr="00F075B3">
        <w:rPr>
          <w:rFonts w:ascii="Arial" w:hAnsi="Arial" w:cs="Arial"/>
        </w:rPr>
        <w:t xml:space="preserve">). Hence, Inditex can enhance </w:t>
      </w:r>
      <w:r w:rsidR="002813BA" w:rsidRPr="00F075B3">
        <w:rPr>
          <w:rFonts w:ascii="Arial" w:hAnsi="Arial" w:cs="Arial"/>
        </w:rPr>
        <w:t>its employee engagement process by implementing the use of social media in the workplace.</w:t>
      </w:r>
      <w:r w:rsidR="009C27D1" w:rsidRPr="00F075B3">
        <w:rPr>
          <w:rFonts w:ascii="Arial" w:hAnsi="Arial" w:cs="Arial"/>
        </w:rPr>
        <w:t xml:space="preserve"> The company can use online review websites to analyse employee engagement </w:t>
      </w:r>
      <w:r w:rsidR="008E6D5B" w:rsidRPr="00F075B3">
        <w:rPr>
          <w:rFonts w:ascii="Arial" w:hAnsi="Arial" w:cs="Arial"/>
        </w:rPr>
        <w:t>and increase productivity.</w:t>
      </w:r>
    </w:p>
    <w:p w14:paraId="15295209" w14:textId="77777777" w:rsidR="00E04CBE" w:rsidRPr="00F075B3" w:rsidRDefault="008F2A49" w:rsidP="00D5667F">
      <w:pPr>
        <w:rPr>
          <w:rFonts w:ascii="Arial" w:hAnsi="Arial" w:cs="Arial"/>
        </w:rPr>
      </w:pPr>
      <w:r w:rsidRPr="00F075B3">
        <w:rPr>
          <w:rFonts w:ascii="Arial" w:hAnsi="Arial" w:cs="Arial"/>
          <w:b/>
          <w:bCs/>
          <w:i/>
          <w:iCs/>
        </w:rPr>
        <w:t xml:space="preserve">Reward and recognition </w:t>
      </w:r>
      <w:r w:rsidR="007C6655" w:rsidRPr="00F075B3">
        <w:rPr>
          <w:rFonts w:ascii="Arial" w:hAnsi="Arial" w:cs="Arial"/>
          <w:b/>
          <w:bCs/>
          <w:i/>
          <w:iCs/>
        </w:rPr>
        <w:t>programs</w:t>
      </w:r>
      <w:r w:rsidR="007C6655" w:rsidRPr="00F075B3">
        <w:rPr>
          <w:rFonts w:ascii="Arial" w:hAnsi="Arial" w:cs="Arial"/>
        </w:rPr>
        <w:t xml:space="preserve"> can be used as a system to acknowledge the performance and efforts of the workforce towards the organisation and assist it to achieve its goals and objectives (</w:t>
      </w:r>
      <w:r w:rsidR="00811CE4" w:rsidRPr="00F075B3">
        <w:rPr>
          <w:rFonts w:ascii="Arial" w:hAnsi="Arial" w:cs="Arial"/>
        </w:rPr>
        <w:t>Empowerment, 2018</w:t>
      </w:r>
      <w:r w:rsidR="007C6655" w:rsidRPr="00F075B3">
        <w:rPr>
          <w:rFonts w:ascii="Arial" w:hAnsi="Arial" w:cs="Arial"/>
        </w:rPr>
        <w:t>). In order to increase employee engagement, their productivity Inditex should focus on providing its employees with the right rewards according to their efforts towards the company.</w:t>
      </w:r>
      <w:r w:rsidR="00227D95" w:rsidRPr="00F075B3">
        <w:rPr>
          <w:rFonts w:ascii="Arial" w:hAnsi="Arial" w:cs="Arial"/>
        </w:rPr>
        <w:t xml:space="preserve"> </w:t>
      </w:r>
      <w:r w:rsidR="00227D95" w:rsidRPr="00F075B3">
        <w:rPr>
          <w:rFonts w:ascii="Arial" w:hAnsi="Arial" w:cs="Arial"/>
          <w:b/>
          <w:bCs/>
          <w:i/>
          <w:iCs/>
        </w:rPr>
        <w:t>Exit and stay interviews</w:t>
      </w:r>
      <w:r w:rsidR="00227D95" w:rsidRPr="00F075B3">
        <w:rPr>
          <w:rFonts w:ascii="Arial" w:hAnsi="Arial" w:cs="Arial"/>
        </w:rPr>
        <w:t xml:space="preserve"> are regarded as one of the important processes to help the HR of an organisation to evaluate and determine the appropriate strategies and approaches that can increase employee engagement (</w:t>
      </w:r>
      <w:r w:rsidR="00811CE4" w:rsidRPr="00F075B3">
        <w:rPr>
          <w:rFonts w:ascii="Arial" w:hAnsi="Arial" w:cs="Arial"/>
        </w:rPr>
        <w:t xml:space="preserve">Houssein </w:t>
      </w:r>
      <w:r w:rsidR="00811CE4" w:rsidRPr="00F075B3">
        <w:rPr>
          <w:rFonts w:ascii="Arial" w:hAnsi="Arial" w:cs="Arial"/>
          <w:i/>
          <w:iCs/>
        </w:rPr>
        <w:t>et al.</w:t>
      </w:r>
      <w:r w:rsidR="00811CE4" w:rsidRPr="00F075B3">
        <w:rPr>
          <w:rFonts w:ascii="Arial" w:hAnsi="Arial" w:cs="Arial"/>
        </w:rPr>
        <w:t>, 2020</w:t>
      </w:r>
      <w:r w:rsidR="00227D95" w:rsidRPr="00F075B3">
        <w:rPr>
          <w:rFonts w:ascii="Arial" w:hAnsi="Arial" w:cs="Arial"/>
        </w:rPr>
        <w:t xml:space="preserve">). This includes several questions that the HR managers of the company ask their </w:t>
      </w:r>
      <w:r w:rsidR="00227D95" w:rsidRPr="00F075B3">
        <w:rPr>
          <w:rFonts w:ascii="Arial" w:hAnsi="Arial" w:cs="Arial"/>
        </w:rPr>
        <w:lastRenderedPageBreak/>
        <w:t xml:space="preserve">employees in order to investigate the working culture, environment and process of escalating the performance method in the company. In the year 2020, the workers in Zara reported that the company fired them after forming </w:t>
      </w:r>
      <w:r w:rsidR="000E49DB" w:rsidRPr="00F075B3">
        <w:rPr>
          <w:rFonts w:ascii="Arial" w:hAnsi="Arial" w:cs="Arial"/>
        </w:rPr>
        <w:t>a</w:t>
      </w:r>
      <w:r w:rsidR="00227D95" w:rsidRPr="00F075B3">
        <w:rPr>
          <w:rFonts w:ascii="Arial" w:hAnsi="Arial" w:cs="Arial"/>
        </w:rPr>
        <w:t xml:space="preserve"> Union within the </w:t>
      </w:r>
      <w:r w:rsidR="000E49DB" w:rsidRPr="00F075B3">
        <w:rPr>
          <w:rFonts w:ascii="Arial" w:hAnsi="Arial" w:cs="Arial"/>
        </w:rPr>
        <w:t>enterprise (Sainato, 2020). Zara would have avoided this process by conducting an Exit and stay interviews and providing its employees and analysing their work procedures. Moreover, this could have escalated the operating method of the employees and accelerated the employee engagement aspect within the workplace. It can be a process that can allow the company to experience a high-performance rate and productivity.</w:t>
      </w:r>
    </w:p>
    <w:p w14:paraId="6D3CDFBC" w14:textId="77777777" w:rsidR="00E04CBE" w:rsidRPr="00F075B3" w:rsidRDefault="00E04CBE" w:rsidP="009B2ECF">
      <w:pPr>
        <w:pStyle w:val="Heading1"/>
        <w:rPr>
          <w:rFonts w:ascii="Arial" w:hAnsi="Arial" w:cs="Arial"/>
        </w:rPr>
      </w:pPr>
      <w:bookmarkStart w:id="4" w:name="_Toc102088550"/>
      <w:r w:rsidRPr="00F075B3">
        <w:rPr>
          <w:rFonts w:ascii="Arial" w:hAnsi="Arial" w:cs="Arial"/>
        </w:rPr>
        <w:t>Constructs an employee value proposition from the ideas and analysis previously covered, including strategies to raise levels of engagement</w:t>
      </w:r>
      <w:bookmarkEnd w:id="4"/>
    </w:p>
    <w:p w14:paraId="53601F8A" w14:textId="77777777" w:rsidR="006A31A2" w:rsidRDefault="00A140DA" w:rsidP="00532AD2">
      <w:pPr>
        <w:rPr>
          <w:rFonts w:ascii="Arial" w:hAnsi="Arial" w:cs="Arial"/>
        </w:rPr>
      </w:pPr>
      <w:r w:rsidRPr="00F075B3">
        <w:rPr>
          <w:rFonts w:ascii="Arial" w:hAnsi="Arial" w:cs="Arial"/>
        </w:rPr>
        <w:t xml:space="preserve">In the modern business situation, providing employees with the right and effective benefits </w:t>
      </w:r>
      <w:r w:rsidR="003150FC" w:rsidRPr="00F075B3">
        <w:rPr>
          <w:rFonts w:ascii="Arial" w:hAnsi="Arial" w:cs="Arial"/>
        </w:rPr>
        <w:t xml:space="preserve">can help the firm to enhance its work operations and escalate its competitive advantage in the market. </w:t>
      </w:r>
      <w:r w:rsidR="003150FC" w:rsidRPr="00F075B3">
        <w:rPr>
          <w:rFonts w:ascii="Arial" w:hAnsi="Arial" w:cs="Arial"/>
          <w:b/>
          <w:bCs/>
          <w:i/>
          <w:iCs/>
        </w:rPr>
        <w:t>Employee Value Proposition</w:t>
      </w:r>
      <w:r w:rsidR="003150FC" w:rsidRPr="00F075B3">
        <w:rPr>
          <w:rFonts w:ascii="Arial" w:hAnsi="Arial" w:cs="Arial"/>
        </w:rPr>
        <w:t xml:space="preserve"> refers to the collection of benefits that the company provides to its workers for their capabilities, skills, knowledge, and experience (</w:t>
      </w:r>
      <w:r w:rsidR="00811CE4" w:rsidRPr="00F075B3">
        <w:rPr>
          <w:rFonts w:ascii="Arial" w:hAnsi="Arial" w:cs="Arial"/>
        </w:rPr>
        <w:t xml:space="preserve">Hussein </w:t>
      </w:r>
      <w:r w:rsidR="00811CE4" w:rsidRPr="00F075B3">
        <w:rPr>
          <w:rFonts w:ascii="Arial" w:hAnsi="Arial" w:cs="Arial"/>
          <w:i/>
          <w:iCs/>
        </w:rPr>
        <w:t>et al.</w:t>
      </w:r>
      <w:r w:rsidR="00811CE4" w:rsidRPr="00F075B3">
        <w:rPr>
          <w:rFonts w:ascii="Arial" w:hAnsi="Arial" w:cs="Arial"/>
        </w:rPr>
        <w:t>, 2022</w:t>
      </w:r>
      <w:r w:rsidR="003150FC" w:rsidRPr="00F075B3">
        <w:rPr>
          <w:rFonts w:ascii="Arial" w:hAnsi="Arial" w:cs="Arial"/>
        </w:rPr>
        <w:t>). This can define the essence of a firm and its uniqueness for increased productivity.</w:t>
      </w:r>
      <w:r w:rsidR="005854BF" w:rsidRPr="00F075B3">
        <w:rPr>
          <w:rFonts w:ascii="Arial" w:hAnsi="Arial" w:cs="Arial"/>
        </w:rPr>
        <w:t xml:space="preserve"> </w:t>
      </w:r>
      <w:r w:rsidR="006C280C" w:rsidRPr="00F075B3">
        <w:rPr>
          <w:rFonts w:ascii="Arial" w:hAnsi="Arial" w:cs="Arial"/>
        </w:rPr>
        <w:t>Organisations must attract</w:t>
      </w:r>
      <w:r w:rsidR="005854BF" w:rsidRPr="00F075B3">
        <w:rPr>
          <w:rFonts w:ascii="Arial" w:hAnsi="Arial" w:cs="Arial"/>
        </w:rPr>
        <w:t xml:space="preserve"> talents from a huge talent pool and retain the best talent within the workspace.</w:t>
      </w:r>
      <w:r w:rsidR="00D5667F" w:rsidRPr="00F075B3">
        <w:rPr>
          <w:rFonts w:ascii="Arial" w:hAnsi="Arial" w:cs="Arial"/>
        </w:rPr>
        <w:t xml:space="preserve"> Whereas, after the increase </w:t>
      </w:r>
      <w:r w:rsidR="00532AD2" w:rsidRPr="00F075B3">
        <w:rPr>
          <w:rFonts w:ascii="Arial" w:hAnsi="Arial" w:cs="Arial"/>
        </w:rPr>
        <w:t>in</w:t>
      </w:r>
      <w:r w:rsidR="00D5667F" w:rsidRPr="00F075B3">
        <w:rPr>
          <w:rFonts w:ascii="Arial" w:hAnsi="Arial" w:cs="Arial"/>
        </w:rPr>
        <w:t xml:space="preserve"> flexible working operations organisations have </w:t>
      </w:r>
      <w:r w:rsidR="00532AD2" w:rsidRPr="00F075B3">
        <w:rPr>
          <w:rFonts w:ascii="Arial" w:hAnsi="Arial" w:cs="Arial"/>
        </w:rPr>
        <w:t>experienced</w:t>
      </w:r>
      <w:r w:rsidR="00D5667F" w:rsidRPr="00F075B3">
        <w:rPr>
          <w:rFonts w:ascii="Arial" w:hAnsi="Arial" w:cs="Arial"/>
        </w:rPr>
        <w:t xml:space="preserve"> inequality in the workplace</w:t>
      </w:r>
      <w:r w:rsidR="00F71F3E" w:rsidRPr="00F075B3">
        <w:rPr>
          <w:rFonts w:ascii="Arial" w:hAnsi="Arial" w:cs="Arial"/>
        </w:rPr>
        <w:t>.</w:t>
      </w:r>
      <w:r w:rsidR="00532AD2" w:rsidRPr="00F075B3">
        <w:rPr>
          <w:rFonts w:ascii="Arial" w:hAnsi="Arial" w:cs="Arial"/>
        </w:rPr>
        <w:t xml:space="preserve"> </w:t>
      </w:r>
    </w:p>
    <w:p w14:paraId="29A6CEDF" w14:textId="77777777" w:rsidR="00D6499E" w:rsidRPr="00F075B3" w:rsidRDefault="00532AD2" w:rsidP="00532AD2">
      <w:pPr>
        <w:rPr>
          <w:rFonts w:ascii="Arial" w:hAnsi="Arial" w:cs="Arial"/>
        </w:rPr>
      </w:pPr>
      <w:r w:rsidRPr="00F075B3">
        <w:rPr>
          <w:rFonts w:ascii="Arial" w:hAnsi="Arial" w:cs="Arial"/>
        </w:rPr>
        <w:t xml:space="preserve">Human Resource Management are responsible for addressing this issue by constructing the </w:t>
      </w:r>
      <w:r w:rsidR="00663964" w:rsidRPr="00F075B3">
        <w:rPr>
          <w:rFonts w:ascii="Arial" w:hAnsi="Arial" w:cs="Arial"/>
        </w:rPr>
        <w:t xml:space="preserve">Employee Value Proposition and strategies to intensify the level of </w:t>
      </w:r>
      <w:r w:rsidR="008F026A" w:rsidRPr="00F075B3">
        <w:rPr>
          <w:rFonts w:ascii="Arial" w:hAnsi="Arial" w:cs="Arial"/>
        </w:rPr>
        <w:t>engagement.</w:t>
      </w:r>
      <w:r w:rsidR="001933A4" w:rsidRPr="00F075B3">
        <w:rPr>
          <w:rFonts w:ascii="Arial" w:hAnsi="Arial" w:cs="Arial"/>
        </w:rPr>
        <w:t xml:space="preserve"> With the increase in </w:t>
      </w:r>
      <w:r w:rsidR="001933A4" w:rsidRPr="00F075B3">
        <w:rPr>
          <w:rFonts w:ascii="Arial" w:hAnsi="Arial" w:cs="Arial"/>
          <w:b/>
          <w:bCs/>
          <w:i/>
          <w:iCs/>
        </w:rPr>
        <w:t>flexible working</w:t>
      </w:r>
      <w:r w:rsidR="001933A4" w:rsidRPr="00F075B3">
        <w:rPr>
          <w:rFonts w:ascii="Arial" w:hAnsi="Arial" w:cs="Arial"/>
        </w:rPr>
        <w:t xml:space="preserve">, </w:t>
      </w:r>
      <w:r w:rsidR="001933A4" w:rsidRPr="00F075B3">
        <w:rPr>
          <w:rFonts w:ascii="Arial" w:hAnsi="Arial" w:cs="Arial"/>
          <w:b/>
          <w:bCs/>
          <w:i/>
          <w:iCs/>
        </w:rPr>
        <w:t>communication issues</w:t>
      </w:r>
      <w:r w:rsidR="001933A4" w:rsidRPr="00F075B3">
        <w:rPr>
          <w:rFonts w:ascii="Arial" w:hAnsi="Arial" w:cs="Arial"/>
        </w:rPr>
        <w:t xml:space="preserve"> have emerged that increased the concerns for decreased employee engagement. Hence, a lack of communication among the team members can increase the chances of confusion, and conflicts (</w:t>
      </w:r>
      <w:r w:rsidR="00C110AF" w:rsidRPr="00F075B3">
        <w:rPr>
          <w:rFonts w:ascii="Arial" w:hAnsi="Arial" w:cs="Arial"/>
        </w:rPr>
        <w:t xml:space="preserve">Jongen </w:t>
      </w:r>
      <w:r w:rsidR="00C110AF" w:rsidRPr="00F075B3">
        <w:rPr>
          <w:rFonts w:ascii="Arial" w:hAnsi="Arial" w:cs="Arial"/>
          <w:i/>
        </w:rPr>
        <w:t>et al.</w:t>
      </w:r>
      <w:r w:rsidR="00C110AF" w:rsidRPr="00F075B3">
        <w:rPr>
          <w:rFonts w:ascii="Arial" w:hAnsi="Arial" w:cs="Arial"/>
        </w:rPr>
        <w:t>, 2018</w:t>
      </w:r>
      <w:r w:rsidR="001933A4" w:rsidRPr="00F075B3">
        <w:rPr>
          <w:rFonts w:ascii="Arial" w:hAnsi="Arial" w:cs="Arial"/>
        </w:rPr>
        <w:t>).</w:t>
      </w:r>
      <w:r w:rsidR="00D6499E" w:rsidRPr="00F075B3">
        <w:rPr>
          <w:rFonts w:ascii="Arial" w:hAnsi="Arial" w:cs="Arial"/>
        </w:rPr>
        <w:t xml:space="preserve"> In order to address the conflicts due to communication issues and cultural misunderstandings, Inditex uses the </w:t>
      </w:r>
      <w:r w:rsidR="00D6499E" w:rsidRPr="00F075B3">
        <w:rPr>
          <w:rFonts w:ascii="Arial" w:hAnsi="Arial" w:cs="Arial"/>
          <w:b/>
          <w:bCs/>
          <w:i/>
          <w:iCs/>
        </w:rPr>
        <w:t>Equality and Diversity policy</w:t>
      </w:r>
      <w:r w:rsidR="00D6499E" w:rsidRPr="00F075B3">
        <w:rPr>
          <w:rFonts w:ascii="Arial" w:hAnsi="Arial" w:cs="Arial"/>
        </w:rPr>
        <w:t xml:space="preserve">, which oversees to treat of every employee equally and provides them </w:t>
      </w:r>
      <w:r w:rsidR="00D6499E" w:rsidRPr="00F075B3">
        <w:rPr>
          <w:rFonts w:ascii="Arial" w:hAnsi="Arial" w:cs="Arial"/>
          <w:b/>
          <w:bCs/>
          <w:i/>
          <w:iCs/>
        </w:rPr>
        <w:t>training</w:t>
      </w:r>
      <w:r w:rsidR="00D6499E" w:rsidRPr="00F075B3">
        <w:rPr>
          <w:rFonts w:ascii="Arial" w:hAnsi="Arial" w:cs="Arial"/>
        </w:rPr>
        <w:t xml:space="preserve"> to intensify their knowledge about the work (</w:t>
      </w:r>
      <w:r w:rsidR="00C110AF" w:rsidRPr="00F075B3">
        <w:rPr>
          <w:rFonts w:ascii="Arial" w:hAnsi="Arial" w:cs="Arial"/>
        </w:rPr>
        <w:t>inditex.com, 2022</w:t>
      </w:r>
      <w:r w:rsidR="00D6499E" w:rsidRPr="00F075B3">
        <w:rPr>
          <w:rFonts w:ascii="Arial" w:hAnsi="Arial" w:cs="Arial"/>
        </w:rPr>
        <w:t>).</w:t>
      </w:r>
    </w:p>
    <w:p w14:paraId="7F5AFD66" w14:textId="77777777" w:rsidR="00E04CBE" w:rsidRPr="00F075B3" w:rsidRDefault="00D6499E" w:rsidP="00532AD2">
      <w:pPr>
        <w:rPr>
          <w:rFonts w:ascii="Arial" w:hAnsi="Arial" w:cs="Arial"/>
        </w:rPr>
      </w:pPr>
      <w:r w:rsidRPr="00F075B3">
        <w:rPr>
          <w:rFonts w:ascii="Arial" w:hAnsi="Arial" w:cs="Arial"/>
        </w:rPr>
        <w:t xml:space="preserve">Moreover, Inditex provides its employees and potential candidates with several benefits that fulfil the concept of the Employee Value Proposition, which includes </w:t>
      </w:r>
      <w:r w:rsidRPr="00F075B3">
        <w:rPr>
          <w:rFonts w:ascii="Arial" w:hAnsi="Arial" w:cs="Arial"/>
          <w:b/>
          <w:bCs/>
          <w:i/>
          <w:iCs/>
        </w:rPr>
        <w:t>taking proper care of the workforce and emphasising their welfare</w:t>
      </w:r>
      <w:r w:rsidRPr="00F075B3">
        <w:rPr>
          <w:rFonts w:ascii="Arial" w:hAnsi="Arial" w:cs="Arial"/>
        </w:rPr>
        <w:t>.</w:t>
      </w:r>
      <w:r w:rsidR="00C110AF" w:rsidRPr="00F075B3">
        <w:rPr>
          <w:rFonts w:ascii="Arial" w:hAnsi="Arial" w:cs="Arial"/>
        </w:rPr>
        <w:t xml:space="preserve"> Zara one of the brands of Inditex</w:t>
      </w:r>
      <w:r w:rsidRPr="00F075B3">
        <w:rPr>
          <w:rFonts w:ascii="Arial" w:hAnsi="Arial" w:cs="Arial"/>
        </w:rPr>
        <w:t xml:space="preserve"> provides Health &amp; wellness, insurance, family and parenting benefits, vacation and paid time off such as casual leaves and many more </w:t>
      </w:r>
      <w:r w:rsidRPr="00F075B3">
        <w:rPr>
          <w:rFonts w:ascii="Arial" w:hAnsi="Arial" w:cs="Arial"/>
        </w:rPr>
        <w:lastRenderedPageBreak/>
        <w:t>(</w:t>
      </w:r>
      <w:r w:rsidR="00C110AF" w:rsidRPr="00F075B3">
        <w:rPr>
          <w:rFonts w:ascii="Arial" w:hAnsi="Arial" w:cs="Arial"/>
        </w:rPr>
        <w:t>indeed.com, 2022</w:t>
      </w:r>
      <w:r w:rsidRPr="00F075B3">
        <w:rPr>
          <w:rFonts w:ascii="Arial" w:hAnsi="Arial" w:cs="Arial"/>
        </w:rPr>
        <w:t xml:space="preserve">). These approaches and strategies </w:t>
      </w:r>
      <w:r w:rsidR="00C110AF" w:rsidRPr="00F075B3">
        <w:rPr>
          <w:rFonts w:ascii="Arial" w:hAnsi="Arial" w:cs="Arial"/>
        </w:rPr>
        <w:t>are taken</w:t>
      </w:r>
      <w:r w:rsidRPr="00F075B3">
        <w:rPr>
          <w:rFonts w:ascii="Arial" w:hAnsi="Arial" w:cs="Arial"/>
        </w:rPr>
        <w:t xml:space="preserve"> by the Human Resource Management of </w:t>
      </w:r>
      <w:r w:rsidR="00C110AF" w:rsidRPr="00F075B3">
        <w:rPr>
          <w:rFonts w:ascii="Arial" w:hAnsi="Arial" w:cs="Arial"/>
        </w:rPr>
        <w:t>Inditex to raise the levels of employee engagement that help the company to escalate their profit generation method and oversee the customers’ satisfaction by providing them with high-quality products and services.</w:t>
      </w:r>
      <w:r w:rsidR="00E04CBE" w:rsidRPr="00F075B3">
        <w:rPr>
          <w:rFonts w:ascii="Arial" w:hAnsi="Arial" w:cs="Arial"/>
        </w:rPr>
        <w:br w:type="page"/>
      </w:r>
    </w:p>
    <w:p w14:paraId="60B841B1" w14:textId="77777777" w:rsidR="00E04CBE" w:rsidRPr="00F075B3" w:rsidRDefault="00E04CBE" w:rsidP="009B2ECF">
      <w:pPr>
        <w:pStyle w:val="Heading1"/>
        <w:rPr>
          <w:rFonts w:ascii="Arial" w:hAnsi="Arial" w:cs="Arial"/>
        </w:rPr>
      </w:pPr>
      <w:bookmarkStart w:id="5" w:name="_Toc102088551"/>
      <w:r w:rsidRPr="00F075B3">
        <w:rPr>
          <w:rFonts w:ascii="Arial" w:hAnsi="Arial" w:cs="Arial"/>
        </w:rPr>
        <w:lastRenderedPageBreak/>
        <w:t>Conclusion</w:t>
      </w:r>
      <w:bookmarkEnd w:id="5"/>
    </w:p>
    <w:p w14:paraId="17BD0516" w14:textId="77777777" w:rsidR="00E04CBE" w:rsidRPr="00F075B3" w:rsidRDefault="00640134" w:rsidP="00640134">
      <w:pPr>
        <w:rPr>
          <w:rFonts w:ascii="Arial" w:hAnsi="Arial" w:cs="Arial"/>
        </w:rPr>
      </w:pPr>
      <w:r w:rsidRPr="00F075B3">
        <w:rPr>
          <w:rFonts w:ascii="Arial" w:hAnsi="Arial" w:cs="Arial"/>
        </w:rPr>
        <w:t xml:space="preserve">The above report has summarised several information in relation to managing people and its effects on the employee engagement process within an organisation. Several concepts of employee engagement were discussed in the report to analyse the key drivers of it such as employee motivation, and organisational culture. Whereas, in order to analyse the effect of organisational culture Hofstede’s Cultural Dimensions Theory was undertaken in the report and William Kahn’s Employee Engagement theory was discussed as well. Moreover, several employee engagement measurement tools were evaluated in the report that provided an idea of increasing their productivity and intensifying organisational growth. Employee Value Proposition </w:t>
      </w:r>
      <w:r w:rsidR="007B05F6" w:rsidRPr="00F075B3">
        <w:rPr>
          <w:rFonts w:ascii="Arial" w:hAnsi="Arial" w:cs="Arial"/>
        </w:rPr>
        <w:t>was</w:t>
      </w:r>
      <w:r w:rsidRPr="00F075B3">
        <w:rPr>
          <w:rFonts w:ascii="Arial" w:hAnsi="Arial" w:cs="Arial"/>
        </w:rPr>
        <w:t xml:space="preserve"> </w:t>
      </w:r>
      <w:r w:rsidR="007B05F6" w:rsidRPr="00F075B3">
        <w:rPr>
          <w:rFonts w:ascii="Arial" w:hAnsi="Arial" w:cs="Arial"/>
        </w:rPr>
        <w:t>included in the report to strategise the methods of raising the level of engagement with the help of analysis of assessment 1.</w:t>
      </w:r>
      <w:r w:rsidR="00E04CBE" w:rsidRPr="00F075B3">
        <w:rPr>
          <w:rFonts w:ascii="Arial" w:hAnsi="Arial" w:cs="Arial"/>
        </w:rPr>
        <w:br w:type="page"/>
      </w:r>
    </w:p>
    <w:p w14:paraId="4978D20B" w14:textId="77777777" w:rsidR="004E32FF" w:rsidRPr="00F075B3" w:rsidRDefault="00E04CBE" w:rsidP="009B2ECF">
      <w:pPr>
        <w:pStyle w:val="Heading1"/>
        <w:rPr>
          <w:rFonts w:ascii="Arial" w:hAnsi="Arial" w:cs="Arial"/>
        </w:rPr>
      </w:pPr>
      <w:bookmarkStart w:id="6" w:name="_Toc102088552"/>
      <w:r w:rsidRPr="00F075B3">
        <w:rPr>
          <w:rFonts w:ascii="Arial" w:hAnsi="Arial" w:cs="Arial"/>
        </w:rPr>
        <w:lastRenderedPageBreak/>
        <w:t>References</w:t>
      </w:r>
      <w:bookmarkEnd w:id="6"/>
    </w:p>
    <w:p w14:paraId="3B1EBA8D" w14:textId="77777777" w:rsidR="007B05F6" w:rsidRPr="00F075B3" w:rsidRDefault="007B05F6" w:rsidP="009D6054">
      <w:pPr>
        <w:rPr>
          <w:rFonts w:ascii="Arial" w:hAnsi="Arial" w:cs="Arial"/>
          <w:szCs w:val="22"/>
        </w:rPr>
      </w:pPr>
      <w:r w:rsidRPr="00F075B3">
        <w:rPr>
          <w:rFonts w:ascii="Arial" w:hAnsi="Arial" w:cs="Arial"/>
          <w:szCs w:val="22"/>
          <w:shd w:val="clear" w:color="auto" w:fill="FFFFFF"/>
        </w:rPr>
        <w:t>AKOB, M., ARIANTY, R. and Putra, A.H.P.K., 2020. The mediating role of distribution Kahn's engagement: An empirical evidence of salesforce in Indonesia. </w:t>
      </w:r>
      <w:r w:rsidRPr="00F075B3">
        <w:rPr>
          <w:rFonts w:ascii="Arial" w:hAnsi="Arial" w:cs="Arial"/>
          <w:i/>
          <w:iCs/>
          <w:szCs w:val="22"/>
          <w:shd w:val="clear" w:color="auto" w:fill="FFFFFF"/>
        </w:rPr>
        <w:t>The Journal of Asian Finance, Economics and Business</w:t>
      </w:r>
      <w:r w:rsidRPr="00F075B3">
        <w:rPr>
          <w:rFonts w:ascii="Arial" w:hAnsi="Arial" w:cs="Arial"/>
          <w:szCs w:val="22"/>
          <w:shd w:val="clear" w:color="auto" w:fill="FFFFFF"/>
        </w:rPr>
        <w:t>, </w:t>
      </w:r>
      <w:r w:rsidRPr="00F075B3">
        <w:rPr>
          <w:rFonts w:ascii="Arial" w:hAnsi="Arial" w:cs="Arial"/>
          <w:i/>
          <w:iCs/>
          <w:szCs w:val="22"/>
          <w:shd w:val="clear" w:color="auto" w:fill="FFFFFF"/>
        </w:rPr>
        <w:t>7</w:t>
      </w:r>
      <w:r w:rsidRPr="00F075B3">
        <w:rPr>
          <w:rFonts w:ascii="Arial" w:hAnsi="Arial" w:cs="Arial"/>
          <w:szCs w:val="22"/>
          <w:shd w:val="clear" w:color="auto" w:fill="FFFFFF"/>
        </w:rPr>
        <w:t>(2), pp.249-260.</w:t>
      </w:r>
    </w:p>
    <w:p w14:paraId="24E782CC" w14:textId="77777777" w:rsidR="007B05F6" w:rsidRPr="00F075B3" w:rsidRDefault="007B05F6" w:rsidP="005C6C84">
      <w:pPr>
        <w:rPr>
          <w:rFonts w:ascii="Arial" w:hAnsi="Arial" w:cs="Arial"/>
          <w:szCs w:val="22"/>
        </w:rPr>
      </w:pPr>
      <w:r w:rsidRPr="00F075B3">
        <w:rPr>
          <w:rFonts w:ascii="Arial" w:hAnsi="Arial" w:cs="Arial"/>
          <w:szCs w:val="22"/>
          <w:shd w:val="clear" w:color="auto" w:fill="FFFFFF"/>
        </w:rPr>
        <w:t>Armstrong, M., 2020. </w:t>
      </w:r>
      <w:r w:rsidRPr="00F075B3">
        <w:rPr>
          <w:rFonts w:ascii="Arial" w:hAnsi="Arial" w:cs="Arial"/>
          <w:i/>
          <w:iCs/>
          <w:szCs w:val="22"/>
          <w:shd w:val="clear" w:color="auto" w:fill="FFFFFF"/>
        </w:rPr>
        <w:t>Armstrong's Handbook of Strategic Human Resource Management: Improve Business Performance Through Strategic People Management</w:t>
      </w:r>
      <w:r w:rsidRPr="00F075B3">
        <w:rPr>
          <w:rFonts w:ascii="Arial" w:hAnsi="Arial" w:cs="Arial"/>
          <w:szCs w:val="22"/>
          <w:shd w:val="clear" w:color="auto" w:fill="FFFFFF"/>
        </w:rPr>
        <w:t>. Kogan Page Publishers.</w:t>
      </w:r>
    </w:p>
    <w:p w14:paraId="6091A233" w14:textId="77777777" w:rsidR="007B05F6" w:rsidRPr="00F075B3" w:rsidRDefault="007B05F6" w:rsidP="0088695E">
      <w:pPr>
        <w:rPr>
          <w:rFonts w:ascii="Arial" w:hAnsi="Arial" w:cs="Arial"/>
          <w:szCs w:val="22"/>
        </w:rPr>
      </w:pPr>
      <w:r w:rsidRPr="00F075B3">
        <w:rPr>
          <w:rFonts w:ascii="Arial" w:hAnsi="Arial" w:cs="Arial"/>
          <w:szCs w:val="22"/>
        </w:rPr>
        <w:t xml:space="preserve">businessoffashion.com, 2021. </w:t>
      </w:r>
      <w:r w:rsidRPr="00F075B3">
        <w:rPr>
          <w:rFonts w:ascii="Arial" w:hAnsi="Arial" w:cs="Arial"/>
          <w:i/>
          <w:iCs/>
          <w:szCs w:val="22"/>
        </w:rPr>
        <w:t xml:space="preserve">Inditex’s Net Profit Falls 70% as Pandemic Keeps Many Shops Closed </w:t>
      </w:r>
      <w:r w:rsidRPr="00F075B3">
        <w:rPr>
          <w:rFonts w:ascii="Arial" w:hAnsi="Arial" w:cs="Arial"/>
          <w:szCs w:val="22"/>
        </w:rPr>
        <w:t>[Online] Available at: https://www.businessoffashion.com/news/retail/inditexs-net-profit-falls-70-as-pandemic-keeps-many-shops-closed/ [Accessed 28 April 2022]</w:t>
      </w:r>
    </w:p>
    <w:p w14:paraId="4E08736A" w14:textId="77777777" w:rsidR="007B05F6" w:rsidRPr="00F075B3" w:rsidRDefault="007B05F6" w:rsidP="000A219E">
      <w:pPr>
        <w:rPr>
          <w:rFonts w:ascii="Arial" w:hAnsi="Arial" w:cs="Arial"/>
          <w:szCs w:val="22"/>
        </w:rPr>
      </w:pPr>
      <w:r w:rsidRPr="00F075B3">
        <w:rPr>
          <w:rFonts w:ascii="Arial" w:hAnsi="Arial" w:cs="Arial"/>
          <w:szCs w:val="22"/>
        </w:rPr>
        <w:t xml:space="preserve">Conlon. S., 2019. </w:t>
      </w:r>
      <w:r w:rsidRPr="00F075B3">
        <w:rPr>
          <w:rFonts w:ascii="Arial" w:hAnsi="Arial" w:cs="Arial"/>
          <w:i/>
          <w:iCs/>
          <w:szCs w:val="22"/>
        </w:rPr>
        <w:t xml:space="preserve">Zara clothes to be made from 100% sustainable fabrics by 2025 </w:t>
      </w:r>
      <w:r w:rsidRPr="00F075B3">
        <w:rPr>
          <w:rFonts w:ascii="Arial" w:hAnsi="Arial" w:cs="Arial"/>
          <w:szCs w:val="22"/>
        </w:rPr>
        <w:t>[Online] Available at: https://www.theguardian.com/fashion/2019/jul/17/zara-collections-to-be-made-from-100-sustainable-fabrics [Accessed 28 April 2022]</w:t>
      </w:r>
    </w:p>
    <w:p w14:paraId="35409122" w14:textId="77777777" w:rsidR="007B05F6" w:rsidRPr="00F075B3" w:rsidRDefault="007B05F6" w:rsidP="00811CE4">
      <w:pPr>
        <w:rPr>
          <w:rFonts w:ascii="Arial" w:hAnsi="Arial" w:cs="Arial"/>
          <w:szCs w:val="22"/>
        </w:rPr>
      </w:pPr>
      <w:r w:rsidRPr="00F075B3">
        <w:rPr>
          <w:rFonts w:ascii="Arial" w:hAnsi="Arial" w:cs="Arial"/>
          <w:szCs w:val="22"/>
          <w:shd w:val="clear" w:color="auto" w:fill="FFFFFF"/>
        </w:rPr>
        <w:t>Empowerment, W.E., 2018. A review of literature on the associations among employee empowerment, work engagement and employee performance. </w:t>
      </w:r>
      <w:r w:rsidRPr="00F075B3">
        <w:rPr>
          <w:rFonts w:ascii="Arial" w:hAnsi="Arial" w:cs="Arial"/>
          <w:i/>
          <w:iCs/>
          <w:szCs w:val="22"/>
          <w:shd w:val="clear" w:color="auto" w:fill="FFFFFF"/>
        </w:rPr>
        <w:t>Modern Applied Science</w:t>
      </w:r>
      <w:r w:rsidRPr="00F075B3">
        <w:rPr>
          <w:rFonts w:ascii="Arial" w:hAnsi="Arial" w:cs="Arial"/>
          <w:szCs w:val="22"/>
          <w:shd w:val="clear" w:color="auto" w:fill="FFFFFF"/>
        </w:rPr>
        <w:t>, </w:t>
      </w:r>
      <w:r w:rsidRPr="00F075B3">
        <w:rPr>
          <w:rFonts w:ascii="Arial" w:hAnsi="Arial" w:cs="Arial"/>
          <w:i/>
          <w:iCs/>
          <w:szCs w:val="22"/>
          <w:shd w:val="clear" w:color="auto" w:fill="FFFFFF"/>
        </w:rPr>
        <w:t>12</w:t>
      </w:r>
      <w:r w:rsidRPr="00F075B3">
        <w:rPr>
          <w:rFonts w:ascii="Arial" w:hAnsi="Arial" w:cs="Arial"/>
          <w:szCs w:val="22"/>
          <w:shd w:val="clear" w:color="auto" w:fill="FFFFFF"/>
        </w:rPr>
        <w:t>(11), pp.313-329.</w:t>
      </w:r>
    </w:p>
    <w:p w14:paraId="090CA736" w14:textId="77777777" w:rsidR="007B05F6" w:rsidRPr="00F075B3" w:rsidRDefault="007B05F6" w:rsidP="00811CE4">
      <w:pPr>
        <w:rPr>
          <w:rFonts w:ascii="Arial" w:hAnsi="Arial" w:cs="Arial"/>
          <w:szCs w:val="22"/>
        </w:rPr>
      </w:pPr>
      <w:r w:rsidRPr="00F075B3">
        <w:rPr>
          <w:rFonts w:ascii="Arial" w:hAnsi="Arial" w:cs="Arial"/>
          <w:szCs w:val="22"/>
          <w:shd w:val="clear" w:color="auto" w:fill="FFFFFF"/>
        </w:rPr>
        <w:t>Gallego-Álvarez, I. and Pucheta-Martínez, M.C., 2021. Hofstede’s cultural dimensions and R&amp;D intensity as an innovation strategy: a view from different institutional contexts. </w:t>
      </w:r>
      <w:r w:rsidRPr="00F075B3">
        <w:rPr>
          <w:rFonts w:ascii="Arial" w:hAnsi="Arial" w:cs="Arial"/>
          <w:i/>
          <w:iCs/>
          <w:szCs w:val="22"/>
          <w:shd w:val="clear" w:color="auto" w:fill="FFFFFF"/>
        </w:rPr>
        <w:t>Eurasian Business Review</w:t>
      </w:r>
      <w:r w:rsidRPr="00F075B3">
        <w:rPr>
          <w:rFonts w:ascii="Arial" w:hAnsi="Arial" w:cs="Arial"/>
          <w:szCs w:val="22"/>
          <w:shd w:val="clear" w:color="auto" w:fill="FFFFFF"/>
        </w:rPr>
        <w:t>, </w:t>
      </w:r>
      <w:r w:rsidRPr="00F075B3">
        <w:rPr>
          <w:rFonts w:ascii="Arial" w:hAnsi="Arial" w:cs="Arial"/>
          <w:i/>
          <w:iCs/>
          <w:szCs w:val="22"/>
          <w:shd w:val="clear" w:color="auto" w:fill="FFFFFF"/>
        </w:rPr>
        <w:t>11</w:t>
      </w:r>
      <w:r w:rsidRPr="00F075B3">
        <w:rPr>
          <w:rFonts w:ascii="Arial" w:hAnsi="Arial" w:cs="Arial"/>
          <w:szCs w:val="22"/>
          <w:shd w:val="clear" w:color="auto" w:fill="FFFFFF"/>
        </w:rPr>
        <w:t>(2), pp.191-220.</w:t>
      </w:r>
    </w:p>
    <w:p w14:paraId="45777EA2" w14:textId="77777777" w:rsidR="007B05F6" w:rsidRPr="00F075B3" w:rsidRDefault="007B05F6" w:rsidP="00640134">
      <w:pPr>
        <w:rPr>
          <w:rFonts w:ascii="Arial" w:hAnsi="Arial" w:cs="Arial"/>
          <w:szCs w:val="22"/>
        </w:rPr>
      </w:pPr>
      <w:r w:rsidRPr="00F075B3">
        <w:rPr>
          <w:rFonts w:ascii="Arial" w:hAnsi="Arial" w:cs="Arial"/>
          <w:szCs w:val="22"/>
        </w:rPr>
        <w:t xml:space="preserve">hofstede-insights.com, 2022. </w:t>
      </w:r>
      <w:r w:rsidRPr="00F075B3">
        <w:rPr>
          <w:rFonts w:ascii="Arial" w:hAnsi="Arial" w:cs="Arial"/>
          <w:i/>
          <w:iCs/>
          <w:szCs w:val="22"/>
        </w:rPr>
        <w:t>COUNTRY COMPARISON TOOL</w:t>
      </w:r>
      <w:r w:rsidRPr="00F075B3">
        <w:rPr>
          <w:rFonts w:ascii="Arial" w:hAnsi="Arial" w:cs="Arial"/>
          <w:szCs w:val="22"/>
        </w:rPr>
        <w:t xml:space="preserve"> [Online] Available at: https://www.hofstede-insights.com/ [Accessed 28 April 2022]</w:t>
      </w:r>
    </w:p>
    <w:p w14:paraId="1441F9A7" w14:textId="77777777" w:rsidR="007B05F6" w:rsidRPr="00F075B3" w:rsidRDefault="007B05F6" w:rsidP="009D6054">
      <w:pPr>
        <w:rPr>
          <w:rFonts w:ascii="Arial" w:hAnsi="Arial" w:cs="Arial"/>
          <w:szCs w:val="22"/>
        </w:rPr>
      </w:pPr>
      <w:r w:rsidRPr="00F075B3">
        <w:rPr>
          <w:rFonts w:ascii="Arial" w:hAnsi="Arial" w:cs="Arial"/>
          <w:szCs w:val="22"/>
          <w:shd w:val="clear" w:color="auto" w:fill="FFFFFF"/>
        </w:rPr>
        <w:t>Hopper, E., 2020. Maslow's hierarchy of needs explained. </w:t>
      </w:r>
      <w:r w:rsidRPr="00F075B3">
        <w:rPr>
          <w:rFonts w:ascii="Arial" w:hAnsi="Arial" w:cs="Arial"/>
          <w:i/>
          <w:iCs/>
          <w:szCs w:val="22"/>
          <w:shd w:val="clear" w:color="auto" w:fill="FFFFFF"/>
        </w:rPr>
        <w:t>ThoughtCo, ThoughtCo</w:t>
      </w:r>
      <w:r w:rsidRPr="00F075B3">
        <w:rPr>
          <w:rFonts w:ascii="Arial" w:hAnsi="Arial" w:cs="Arial"/>
          <w:szCs w:val="22"/>
          <w:shd w:val="clear" w:color="auto" w:fill="FFFFFF"/>
        </w:rPr>
        <w:t>, </w:t>
      </w:r>
      <w:r w:rsidRPr="00F075B3">
        <w:rPr>
          <w:rFonts w:ascii="Arial" w:hAnsi="Arial" w:cs="Arial"/>
          <w:i/>
          <w:iCs/>
          <w:szCs w:val="22"/>
          <w:shd w:val="clear" w:color="auto" w:fill="FFFFFF"/>
        </w:rPr>
        <w:t>24</w:t>
      </w:r>
      <w:r w:rsidRPr="00F075B3">
        <w:rPr>
          <w:rFonts w:ascii="Arial" w:hAnsi="Arial" w:cs="Arial"/>
          <w:szCs w:val="22"/>
          <w:shd w:val="clear" w:color="auto" w:fill="FFFFFF"/>
        </w:rPr>
        <w:t>.</w:t>
      </w:r>
    </w:p>
    <w:p w14:paraId="42132541" w14:textId="77777777" w:rsidR="007B05F6" w:rsidRPr="00F075B3" w:rsidRDefault="007B05F6" w:rsidP="00811CE4">
      <w:pPr>
        <w:rPr>
          <w:rFonts w:ascii="Arial" w:hAnsi="Arial" w:cs="Arial"/>
          <w:szCs w:val="22"/>
        </w:rPr>
      </w:pPr>
      <w:r w:rsidRPr="00F075B3">
        <w:rPr>
          <w:rFonts w:ascii="Arial" w:hAnsi="Arial" w:cs="Arial"/>
          <w:szCs w:val="22"/>
          <w:shd w:val="clear" w:color="auto" w:fill="FFFFFF"/>
        </w:rPr>
        <w:t>Houssein, A.A., Singh, J.S.K. and Arumugam, T., 2020. Retention of Employees through Career Development, Employee Engagement and Work-life Balance: An Empirical Study among Employees in the Financial Sector in Djibouti, East Africa. </w:t>
      </w:r>
      <w:r w:rsidRPr="00F075B3">
        <w:rPr>
          <w:rFonts w:ascii="Arial" w:hAnsi="Arial" w:cs="Arial"/>
          <w:i/>
          <w:iCs/>
          <w:szCs w:val="22"/>
          <w:shd w:val="clear" w:color="auto" w:fill="FFFFFF"/>
        </w:rPr>
        <w:t>Global Business &amp; Management Research</w:t>
      </w:r>
      <w:r w:rsidRPr="00F075B3">
        <w:rPr>
          <w:rFonts w:ascii="Arial" w:hAnsi="Arial" w:cs="Arial"/>
          <w:szCs w:val="22"/>
          <w:shd w:val="clear" w:color="auto" w:fill="FFFFFF"/>
        </w:rPr>
        <w:t>, </w:t>
      </w:r>
      <w:r w:rsidRPr="00F075B3">
        <w:rPr>
          <w:rFonts w:ascii="Arial" w:hAnsi="Arial" w:cs="Arial"/>
          <w:i/>
          <w:iCs/>
          <w:szCs w:val="22"/>
          <w:shd w:val="clear" w:color="auto" w:fill="FFFFFF"/>
        </w:rPr>
        <w:t>12</w:t>
      </w:r>
      <w:r w:rsidRPr="00F075B3">
        <w:rPr>
          <w:rFonts w:ascii="Arial" w:hAnsi="Arial" w:cs="Arial"/>
          <w:szCs w:val="22"/>
          <w:shd w:val="clear" w:color="auto" w:fill="FFFFFF"/>
        </w:rPr>
        <w:t>(3).</w:t>
      </w:r>
    </w:p>
    <w:p w14:paraId="7389012E" w14:textId="77777777" w:rsidR="007B05F6" w:rsidRPr="00F075B3" w:rsidRDefault="007B05F6" w:rsidP="00811CE4">
      <w:pPr>
        <w:rPr>
          <w:rFonts w:ascii="Arial" w:hAnsi="Arial" w:cs="Arial"/>
          <w:szCs w:val="22"/>
        </w:rPr>
      </w:pPr>
      <w:r w:rsidRPr="00F075B3">
        <w:rPr>
          <w:rFonts w:ascii="Arial" w:hAnsi="Arial" w:cs="Arial"/>
          <w:szCs w:val="22"/>
          <w:shd w:val="clear" w:color="auto" w:fill="FFFFFF"/>
        </w:rPr>
        <w:t>Hussein, A.M., Al-Jubori, I.A.M. and Mahdi, A.A.K., 2022. The Mediating Role of Organizational Reputation in Promoting the impact of Employee Value Proposition on Organizational Commitment. </w:t>
      </w:r>
      <w:r w:rsidRPr="00F075B3">
        <w:rPr>
          <w:rFonts w:ascii="Arial" w:hAnsi="Arial" w:cs="Arial"/>
          <w:i/>
          <w:iCs/>
          <w:szCs w:val="22"/>
          <w:shd w:val="clear" w:color="auto" w:fill="FFFFFF"/>
        </w:rPr>
        <w:t>Webology</w:t>
      </w:r>
      <w:r w:rsidRPr="00F075B3">
        <w:rPr>
          <w:rFonts w:ascii="Arial" w:hAnsi="Arial" w:cs="Arial"/>
          <w:szCs w:val="22"/>
          <w:shd w:val="clear" w:color="auto" w:fill="FFFFFF"/>
        </w:rPr>
        <w:t>, </w:t>
      </w:r>
      <w:r w:rsidRPr="00F075B3">
        <w:rPr>
          <w:rFonts w:ascii="Arial" w:hAnsi="Arial" w:cs="Arial"/>
          <w:i/>
          <w:iCs/>
          <w:szCs w:val="22"/>
          <w:shd w:val="clear" w:color="auto" w:fill="FFFFFF"/>
        </w:rPr>
        <w:t>19</w:t>
      </w:r>
      <w:r w:rsidRPr="00F075B3">
        <w:rPr>
          <w:rFonts w:ascii="Arial" w:hAnsi="Arial" w:cs="Arial"/>
          <w:szCs w:val="22"/>
          <w:shd w:val="clear" w:color="auto" w:fill="FFFFFF"/>
        </w:rPr>
        <w:t>(1).</w:t>
      </w:r>
    </w:p>
    <w:p w14:paraId="69FF485B" w14:textId="77777777" w:rsidR="007B05F6" w:rsidRPr="00F075B3" w:rsidRDefault="007B05F6" w:rsidP="00811CE4">
      <w:pPr>
        <w:rPr>
          <w:rFonts w:ascii="Arial" w:hAnsi="Arial" w:cs="Arial"/>
          <w:szCs w:val="22"/>
        </w:rPr>
      </w:pPr>
      <w:r w:rsidRPr="00F075B3">
        <w:rPr>
          <w:rFonts w:ascii="Arial" w:hAnsi="Arial" w:cs="Arial"/>
          <w:szCs w:val="22"/>
        </w:rPr>
        <w:lastRenderedPageBreak/>
        <w:t xml:space="preserve">indeed.com, 2022. </w:t>
      </w:r>
      <w:r w:rsidRPr="00F075B3">
        <w:rPr>
          <w:rFonts w:ascii="Arial" w:hAnsi="Arial" w:cs="Arial"/>
          <w:i/>
          <w:iCs/>
          <w:szCs w:val="22"/>
        </w:rPr>
        <w:t>ZARA Employee Benefits</w:t>
      </w:r>
      <w:r w:rsidRPr="00F075B3">
        <w:rPr>
          <w:rFonts w:ascii="Arial" w:hAnsi="Arial" w:cs="Arial"/>
          <w:szCs w:val="22"/>
        </w:rPr>
        <w:t xml:space="preserve"> [Online] Available at: https://www.indeed.com/cmp/Zara/benefits [Accessed 28 April 2022]</w:t>
      </w:r>
    </w:p>
    <w:p w14:paraId="0187B4A3" w14:textId="77777777" w:rsidR="007B05F6" w:rsidRPr="00F075B3" w:rsidRDefault="007B05F6" w:rsidP="009D6054">
      <w:pPr>
        <w:rPr>
          <w:rFonts w:ascii="Arial" w:hAnsi="Arial" w:cs="Arial"/>
          <w:szCs w:val="22"/>
        </w:rPr>
      </w:pPr>
      <w:r w:rsidRPr="00F075B3">
        <w:rPr>
          <w:rFonts w:ascii="Arial" w:hAnsi="Arial" w:cs="Arial"/>
          <w:szCs w:val="22"/>
        </w:rPr>
        <w:t xml:space="preserve">inditex.com, 2022. </w:t>
      </w:r>
      <w:r w:rsidRPr="00F075B3">
        <w:rPr>
          <w:rFonts w:ascii="Arial" w:hAnsi="Arial" w:cs="Arial"/>
          <w:i/>
          <w:iCs/>
          <w:szCs w:val="22"/>
        </w:rPr>
        <w:t>EQUALITY AND DIVERSITY</w:t>
      </w:r>
      <w:r w:rsidRPr="00F075B3">
        <w:rPr>
          <w:rFonts w:ascii="Arial" w:hAnsi="Arial" w:cs="Arial"/>
          <w:szCs w:val="22"/>
        </w:rPr>
        <w:t xml:space="preserve"> [Online] Available at: https://www.inditex.com/our-commitment-to-people/our-employees/equality-diversity [Accessed 28 April 2022]</w:t>
      </w:r>
    </w:p>
    <w:p w14:paraId="4E298211" w14:textId="77777777" w:rsidR="007B05F6" w:rsidRPr="00F075B3" w:rsidRDefault="007B05F6" w:rsidP="009D6054">
      <w:pPr>
        <w:rPr>
          <w:rFonts w:ascii="Arial" w:hAnsi="Arial" w:cs="Arial"/>
          <w:szCs w:val="22"/>
        </w:rPr>
      </w:pPr>
      <w:r w:rsidRPr="00F075B3">
        <w:rPr>
          <w:rFonts w:ascii="Arial" w:hAnsi="Arial" w:cs="Arial"/>
          <w:szCs w:val="22"/>
        </w:rPr>
        <w:t xml:space="preserve">inditex.com, 2022. </w:t>
      </w:r>
      <w:r w:rsidRPr="00F075B3">
        <w:rPr>
          <w:rFonts w:ascii="Arial" w:hAnsi="Arial" w:cs="Arial"/>
          <w:i/>
          <w:iCs/>
          <w:szCs w:val="22"/>
        </w:rPr>
        <w:t>PROFESSIONAL DEVELOPMENT</w:t>
      </w:r>
      <w:r w:rsidRPr="00F075B3">
        <w:rPr>
          <w:rFonts w:ascii="Arial" w:hAnsi="Arial" w:cs="Arial"/>
          <w:szCs w:val="22"/>
        </w:rPr>
        <w:t xml:space="preserve"> [Online] Available at: https://www.inditex.com/our-commitment-to-people/our-employees/employee-development [Accessed 28 April 2022]</w:t>
      </w:r>
    </w:p>
    <w:p w14:paraId="296FB080" w14:textId="77777777" w:rsidR="007B05F6" w:rsidRPr="00F075B3" w:rsidRDefault="007B05F6" w:rsidP="00811CE4">
      <w:pPr>
        <w:rPr>
          <w:rFonts w:ascii="Arial" w:hAnsi="Arial" w:cs="Arial"/>
          <w:szCs w:val="22"/>
        </w:rPr>
      </w:pPr>
      <w:r w:rsidRPr="00F075B3">
        <w:rPr>
          <w:rFonts w:ascii="Arial" w:hAnsi="Arial" w:cs="Arial"/>
          <w:szCs w:val="22"/>
        </w:rPr>
        <w:t xml:space="preserve">Jongen, C., McCalman, J. and Bainbridge, R., 2018. Health workforce cultural competency interventions: a systematic scoping review. </w:t>
      </w:r>
      <w:r w:rsidRPr="00F075B3">
        <w:rPr>
          <w:rFonts w:ascii="Arial" w:hAnsi="Arial" w:cs="Arial"/>
          <w:i/>
          <w:szCs w:val="22"/>
        </w:rPr>
        <w:t xml:space="preserve">BMC health services research, </w:t>
      </w:r>
      <w:r w:rsidRPr="00F075B3">
        <w:rPr>
          <w:rFonts w:ascii="Arial" w:hAnsi="Arial" w:cs="Arial"/>
          <w:szCs w:val="22"/>
        </w:rPr>
        <w:t>18(1), pp.1-15.</w:t>
      </w:r>
    </w:p>
    <w:p w14:paraId="3CD2FA23" w14:textId="77777777" w:rsidR="007B05F6" w:rsidRPr="00F075B3" w:rsidRDefault="007B05F6" w:rsidP="005C6C84">
      <w:pPr>
        <w:rPr>
          <w:rFonts w:ascii="Arial" w:hAnsi="Arial" w:cs="Arial"/>
          <w:szCs w:val="22"/>
        </w:rPr>
      </w:pPr>
      <w:r w:rsidRPr="00F075B3">
        <w:rPr>
          <w:rFonts w:ascii="Arial" w:hAnsi="Arial" w:cs="Arial"/>
          <w:szCs w:val="22"/>
          <w:shd w:val="clear" w:color="auto" w:fill="FFFFFF"/>
        </w:rPr>
        <w:t>Kura, K.M. and Alkashami, M., 2021. Employee Voice, Employee Engagement and Business Performance: Understanding the links in a Mediated Model. </w:t>
      </w:r>
      <w:r w:rsidRPr="00F075B3">
        <w:rPr>
          <w:rFonts w:ascii="Arial" w:hAnsi="Arial" w:cs="Arial"/>
          <w:i/>
          <w:iCs/>
          <w:szCs w:val="22"/>
          <w:shd w:val="clear" w:color="auto" w:fill="FFFFFF"/>
        </w:rPr>
        <w:t>Annals of Contemporary Developments in Management &amp; HR (ACDMHR)</w:t>
      </w:r>
      <w:r w:rsidRPr="00F075B3">
        <w:rPr>
          <w:rFonts w:ascii="Arial" w:hAnsi="Arial" w:cs="Arial"/>
          <w:szCs w:val="22"/>
          <w:shd w:val="clear" w:color="auto" w:fill="FFFFFF"/>
        </w:rPr>
        <w:t>, </w:t>
      </w:r>
      <w:r w:rsidRPr="00F075B3">
        <w:rPr>
          <w:rFonts w:ascii="Arial" w:hAnsi="Arial" w:cs="Arial"/>
          <w:i/>
          <w:iCs/>
          <w:szCs w:val="22"/>
          <w:shd w:val="clear" w:color="auto" w:fill="FFFFFF"/>
        </w:rPr>
        <w:t>3</w:t>
      </w:r>
      <w:r w:rsidRPr="00F075B3">
        <w:rPr>
          <w:rFonts w:ascii="Arial" w:hAnsi="Arial" w:cs="Arial"/>
          <w:szCs w:val="22"/>
          <w:shd w:val="clear" w:color="auto" w:fill="FFFFFF"/>
        </w:rPr>
        <w:t>(3).</w:t>
      </w:r>
    </w:p>
    <w:p w14:paraId="04D2F02D" w14:textId="77777777" w:rsidR="007B05F6" w:rsidRPr="00F075B3" w:rsidRDefault="007B05F6" w:rsidP="00811CE4">
      <w:pPr>
        <w:rPr>
          <w:rFonts w:ascii="Arial" w:hAnsi="Arial" w:cs="Arial"/>
          <w:szCs w:val="22"/>
        </w:rPr>
      </w:pPr>
      <w:r w:rsidRPr="00F075B3">
        <w:rPr>
          <w:rFonts w:ascii="Arial" w:hAnsi="Arial" w:cs="Arial"/>
          <w:szCs w:val="22"/>
        </w:rPr>
        <w:t xml:space="preserve">Sainato. M., 2020. </w:t>
      </w:r>
      <w:r w:rsidRPr="00F075B3">
        <w:rPr>
          <w:rFonts w:ascii="Arial" w:hAnsi="Arial" w:cs="Arial"/>
          <w:i/>
          <w:iCs/>
          <w:szCs w:val="22"/>
        </w:rPr>
        <w:t>Zara and Primark factory workers say they were fired after forming union</w:t>
      </w:r>
      <w:r w:rsidRPr="00F075B3">
        <w:rPr>
          <w:rFonts w:ascii="Arial" w:hAnsi="Arial" w:cs="Arial"/>
          <w:szCs w:val="22"/>
        </w:rPr>
        <w:t xml:space="preserve"> [Online] Available at: https://www.theguardian.com/fashion/2020/jun/24/zara-primark-factory-workers-myanmar-fired-union [Accessed 28 April 2022]</w:t>
      </w:r>
    </w:p>
    <w:p w14:paraId="2B54B18F" w14:textId="77777777" w:rsidR="007B05F6" w:rsidRPr="00F075B3" w:rsidRDefault="007B05F6" w:rsidP="0088695E">
      <w:pPr>
        <w:rPr>
          <w:rFonts w:ascii="Arial" w:hAnsi="Arial" w:cs="Arial"/>
          <w:szCs w:val="22"/>
        </w:rPr>
      </w:pPr>
      <w:r w:rsidRPr="00F075B3">
        <w:rPr>
          <w:rFonts w:ascii="Arial" w:hAnsi="Arial" w:cs="Arial"/>
          <w:szCs w:val="22"/>
          <w:shd w:val="clear" w:color="auto" w:fill="FFFFFF"/>
        </w:rPr>
        <w:t>Shaaban, S., 2018. The impact of motivation on organisational citizenship behaviour (OCB): The mediation effect of employees’ engagement.</w:t>
      </w:r>
    </w:p>
    <w:p w14:paraId="6B2C922A" w14:textId="77777777" w:rsidR="007B05F6" w:rsidRPr="00F075B3" w:rsidRDefault="007B05F6" w:rsidP="00811CE4">
      <w:pPr>
        <w:rPr>
          <w:rFonts w:ascii="Arial" w:hAnsi="Arial" w:cs="Arial"/>
          <w:szCs w:val="22"/>
        </w:rPr>
      </w:pPr>
      <w:r w:rsidRPr="00F075B3">
        <w:rPr>
          <w:rFonts w:ascii="Arial" w:hAnsi="Arial" w:cs="Arial"/>
          <w:szCs w:val="22"/>
        </w:rPr>
        <w:t xml:space="preserve">statista.com, 2022. </w:t>
      </w:r>
      <w:r w:rsidRPr="00F075B3">
        <w:rPr>
          <w:rFonts w:ascii="Arial" w:hAnsi="Arial" w:cs="Arial"/>
          <w:i/>
          <w:iCs/>
          <w:szCs w:val="22"/>
        </w:rPr>
        <w:t xml:space="preserve">Active social media audience in the United Kingdom (UK) in February 2022 </w:t>
      </w:r>
      <w:r w:rsidRPr="00F075B3">
        <w:rPr>
          <w:rFonts w:ascii="Arial" w:hAnsi="Arial" w:cs="Arial"/>
          <w:szCs w:val="22"/>
        </w:rPr>
        <w:t>[Online] Available at: https://www.statista.com/statistics/507405/uk-active-social-media-and-mobile-social-media-users/ [Accessed 28 April 2022]</w:t>
      </w:r>
    </w:p>
    <w:p w14:paraId="27F03F95" w14:textId="77777777" w:rsidR="007B05F6" w:rsidRPr="00F075B3" w:rsidRDefault="007B05F6" w:rsidP="00811CE4">
      <w:pPr>
        <w:rPr>
          <w:rFonts w:ascii="Arial" w:hAnsi="Arial" w:cs="Arial"/>
          <w:szCs w:val="22"/>
        </w:rPr>
      </w:pPr>
      <w:r w:rsidRPr="00F075B3">
        <w:rPr>
          <w:rFonts w:ascii="Arial" w:hAnsi="Arial" w:cs="Arial"/>
          <w:szCs w:val="22"/>
          <w:shd w:val="clear" w:color="auto" w:fill="FFFFFF"/>
        </w:rPr>
        <w:t>Wagstaff, C.R. and Burton-Wylie, S., 2018. Organisational culture in sport: A conceptual, definitional and methodological review. </w:t>
      </w:r>
      <w:r w:rsidRPr="00F075B3">
        <w:rPr>
          <w:rFonts w:ascii="Arial" w:hAnsi="Arial" w:cs="Arial"/>
          <w:i/>
          <w:iCs/>
          <w:szCs w:val="22"/>
          <w:shd w:val="clear" w:color="auto" w:fill="FFFFFF"/>
        </w:rPr>
        <w:t>Sport &amp; Exercise Psychology Review</w:t>
      </w:r>
      <w:r w:rsidRPr="00F075B3">
        <w:rPr>
          <w:rFonts w:ascii="Arial" w:hAnsi="Arial" w:cs="Arial"/>
          <w:szCs w:val="22"/>
          <w:shd w:val="clear" w:color="auto" w:fill="FFFFFF"/>
        </w:rPr>
        <w:t>, </w:t>
      </w:r>
      <w:r w:rsidRPr="00F075B3">
        <w:rPr>
          <w:rFonts w:ascii="Arial" w:hAnsi="Arial" w:cs="Arial"/>
          <w:i/>
          <w:iCs/>
          <w:szCs w:val="22"/>
          <w:shd w:val="clear" w:color="auto" w:fill="FFFFFF"/>
        </w:rPr>
        <w:t>14</w:t>
      </w:r>
      <w:r w:rsidRPr="00F075B3">
        <w:rPr>
          <w:rFonts w:ascii="Arial" w:hAnsi="Arial" w:cs="Arial"/>
          <w:szCs w:val="22"/>
          <w:shd w:val="clear" w:color="auto" w:fill="FFFFFF"/>
        </w:rPr>
        <w:t>(2), pp.32-52.</w:t>
      </w:r>
    </w:p>
    <w:sectPr w:rsidR="007B05F6" w:rsidRPr="00F075B3" w:rsidSect="009B2ECF">
      <w:pgSz w:w="11906" w:h="16838"/>
      <w:pgMar w:top="1418" w:right="1814" w:bottom="1418" w:left="181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altName w:val="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UzNjc2MDMCQksLEyUdpeDU4uLM/DyQAsNaAEDX4jksAAAA"/>
  </w:docVars>
  <w:rsids>
    <w:rsidRoot w:val="009B2ECF"/>
    <w:rsid w:val="00012F71"/>
    <w:rsid w:val="000345D8"/>
    <w:rsid w:val="000A219E"/>
    <w:rsid w:val="000B3880"/>
    <w:rsid w:val="000E49DB"/>
    <w:rsid w:val="000F73D9"/>
    <w:rsid w:val="001433E8"/>
    <w:rsid w:val="00160544"/>
    <w:rsid w:val="001933A4"/>
    <w:rsid w:val="001A79B3"/>
    <w:rsid w:val="00227D95"/>
    <w:rsid w:val="00257571"/>
    <w:rsid w:val="002813BA"/>
    <w:rsid w:val="00295B04"/>
    <w:rsid w:val="002B0E33"/>
    <w:rsid w:val="002F54F8"/>
    <w:rsid w:val="003150FC"/>
    <w:rsid w:val="004E32FF"/>
    <w:rsid w:val="00512A8A"/>
    <w:rsid w:val="00532AD2"/>
    <w:rsid w:val="00547FAD"/>
    <w:rsid w:val="005832C9"/>
    <w:rsid w:val="005854BF"/>
    <w:rsid w:val="00593DD1"/>
    <w:rsid w:val="005C6C84"/>
    <w:rsid w:val="005E751A"/>
    <w:rsid w:val="00640134"/>
    <w:rsid w:val="00663964"/>
    <w:rsid w:val="006A31A2"/>
    <w:rsid w:val="006C280C"/>
    <w:rsid w:val="006E3399"/>
    <w:rsid w:val="007353CB"/>
    <w:rsid w:val="0077164D"/>
    <w:rsid w:val="007A31AC"/>
    <w:rsid w:val="007B05F6"/>
    <w:rsid w:val="007B6751"/>
    <w:rsid w:val="007C6655"/>
    <w:rsid w:val="00811CE4"/>
    <w:rsid w:val="00815A78"/>
    <w:rsid w:val="008456C3"/>
    <w:rsid w:val="0088695E"/>
    <w:rsid w:val="008E6D5B"/>
    <w:rsid w:val="008F026A"/>
    <w:rsid w:val="008F2A49"/>
    <w:rsid w:val="00923B0A"/>
    <w:rsid w:val="00933C0F"/>
    <w:rsid w:val="0097379D"/>
    <w:rsid w:val="00977B05"/>
    <w:rsid w:val="009B2ECF"/>
    <w:rsid w:val="009C27D1"/>
    <w:rsid w:val="009D6054"/>
    <w:rsid w:val="00A140DA"/>
    <w:rsid w:val="00A33C39"/>
    <w:rsid w:val="00A35096"/>
    <w:rsid w:val="00B04301"/>
    <w:rsid w:val="00B43A25"/>
    <w:rsid w:val="00C073F8"/>
    <w:rsid w:val="00C110AF"/>
    <w:rsid w:val="00C212CC"/>
    <w:rsid w:val="00C34957"/>
    <w:rsid w:val="00C61D0F"/>
    <w:rsid w:val="00C65B86"/>
    <w:rsid w:val="00D5667F"/>
    <w:rsid w:val="00D6499E"/>
    <w:rsid w:val="00DA483F"/>
    <w:rsid w:val="00DE43CD"/>
    <w:rsid w:val="00E04CBE"/>
    <w:rsid w:val="00F075B3"/>
    <w:rsid w:val="00F21515"/>
    <w:rsid w:val="00F42EED"/>
    <w:rsid w:val="00F52BB8"/>
    <w:rsid w:val="00F71F3E"/>
    <w:rsid w:val="00F87F8F"/>
    <w:rsid w:val="00FD1E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B8696"/>
  <w15:docId w15:val="{5BF8612A-BB77-4254-90D1-BD2BF98FB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ECF"/>
    <w:pPr>
      <w:spacing w:line="360" w:lineRule="auto"/>
      <w:jc w:val="both"/>
    </w:pPr>
    <w:rPr>
      <w:rFonts w:ascii="Times New Roman" w:hAnsi="Times New Roman"/>
      <w:noProof/>
      <w:color w:val="000000" w:themeColor="text1"/>
    </w:rPr>
  </w:style>
  <w:style w:type="paragraph" w:styleId="Heading1">
    <w:name w:val="heading 1"/>
    <w:basedOn w:val="Normal"/>
    <w:next w:val="Normal"/>
    <w:link w:val="Heading1Char"/>
    <w:uiPriority w:val="9"/>
    <w:qFormat/>
    <w:rsid w:val="009B2ECF"/>
    <w:pPr>
      <w:outlineLvl w:val="0"/>
    </w:pPr>
    <w:rPr>
      <w:b/>
    </w:rPr>
  </w:style>
  <w:style w:type="paragraph" w:styleId="Heading2">
    <w:name w:val="heading 2"/>
    <w:basedOn w:val="Heading1"/>
    <w:next w:val="Normal"/>
    <w:link w:val="Heading2Char"/>
    <w:uiPriority w:val="9"/>
    <w:unhideWhenUsed/>
    <w:qFormat/>
    <w:rsid w:val="009B2ECF"/>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ECF"/>
    <w:rPr>
      <w:rFonts w:ascii="Times New Roman" w:hAnsi="Times New Roman"/>
      <w:b/>
      <w:noProof/>
      <w:color w:val="000000" w:themeColor="text1"/>
    </w:rPr>
  </w:style>
  <w:style w:type="character" w:customStyle="1" w:styleId="Heading2Char">
    <w:name w:val="Heading 2 Char"/>
    <w:basedOn w:val="DefaultParagraphFont"/>
    <w:link w:val="Heading2"/>
    <w:uiPriority w:val="9"/>
    <w:rsid w:val="009B2ECF"/>
    <w:rPr>
      <w:rFonts w:ascii="Times New Roman" w:hAnsi="Times New Roman"/>
      <w:b/>
      <w:noProof/>
      <w:color w:val="000000" w:themeColor="text1"/>
    </w:rPr>
  </w:style>
  <w:style w:type="paragraph" w:styleId="Title">
    <w:name w:val="Title"/>
    <w:basedOn w:val="Normal"/>
    <w:next w:val="Normal"/>
    <w:link w:val="TitleChar"/>
    <w:uiPriority w:val="10"/>
    <w:qFormat/>
    <w:rsid w:val="009B2ECF"/>
    <w:pPr>
      <w:spacing w:after="0"/>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9B2ECF"/>
    <w:rPr>
      <w:rFonts w:ascii="Times New Roman" w:eastAsiaTheme="majorEastAsia" w:hAnsi="Times New Roman" w:cstheme="majorBidi"/>
      <w:b/>
      <w:noProof/>
      <w:color w:val="000000" w:themeColor="text1"/>
      <w:spacing w:val="-10"/>
      <w:kern w:val="28"/>
      <w:sz w:val="36"/>
      <w:szCs w:val="50"/>
    </w:rPr>
  </w:style>
  <w:style w:type="character" w:styleId="Hyperlink">
    <w:name w:val="Hyperlink"/>
    <w:basedOn w:val="DefaultParagraphFont"/>
    <w:uiPriority w:val="99"/>
    <w:unhideWhenUsed/>
    <w:rsid w:val="00923B0A"/>
    <w:rPr>
      <w:color w:val="0563C1" w:themeColor="hyperlink"/>
      <w:u w:val="single"/>
    </w:rPr>
  </w:style>
  <w:style w:type="character" w:customStyle="1" w:styleId="UnresolvedMention1">
    <w:name w:val="Unresolved Mention1"/>
    <w:basedOn w:val="DefaultParagraphFont"/>
    <w:uiPriority w:val="99"/>
    <w:semiHidden/>
    <w:unhideWhenUsed/>
    <w:rsid w:val="00923B0A"/>
    <w:rPr>
      <w:color w:val="605E5C"/>
      <w:shd w:val="clear" w:color="auto" w:fill="E1DFDD"/>
    </w:rPr>
  </w:style>
  <w:style w:type="paragraph" w:styleId="TOCHeading">
    <w:name w:val="TOC Heading"/>
    <w:basedOn w:val="Heading1"/>
    <w:next w:val="Normal"/>
    <w:uiPriority w:val="39"/>
    <w:unhideWhenUsed/>
    <w:qFormat/>
    <w:rsid w:val="007B05F6"/>
    <w:pPr>
      <w:keepNext/>
      <w:keepLines/>
      <w:spacing w:before="240" w:after="0" w:line="259" w:lineRule="auto"/>
      <w:jc w:val="left"/>
      <w:outlineLvl w:val="9"/>
    </w:pPr>
    <w:rPr>
      <w:rFonts w:asciiTheme="majorHAnsi" w:eastAsiaTheme="majorEastAsia" w:hAnsiTheme="majorHAnsi" w:cstheme="majorBidi"/>
      <w:b w:val="0"/>
      <w:noProof w:val="0"/>
      <w:color w:val="2F5496" w:themeColor="accent1" w:themeShade="BF"/>
      <w:sz w:val="32"/>
      <w:szCs w:val="32"/>
      <w:lang w:val="en-US" w:bidi="ar-SA"/>
    </w:rPr>
  </w:style>
  <w:style w:type="paragraph" w:styleId="TOC1">
    <w:name w:val="toc 1"/>
    <w:basedOn w:val="Normal"/>
    <w:next w:val="Normal"/>
    <w:autoRedefine/>
    <w:uiPriority w:val="39"/>
    <w:unhideWhenUsed/>
    <w:rsid w:val="007B05F6"/>
    <w:pPr>
      <w:spacing w:after="100"/>
    </w:pPr>
  </w:style>
  <w:style w:type="paragraph" w:styleId="TOC2">
    <w:name w:val="toc 2"/>
    <w:basedOn w:val="Normal"/>
    <w:next w:val="Normal"/>
    <w:autoRedefine/>
    <w:uiPriority w:val="39"/>
    <w:unhideWhenUsed/>
    <w:rsid w:val="007B05F6"/>
    <w:pPr>
      <w:spacing w:after="100"/>
      <w:ind w:left="220"/>
    </w:pPr>
  </w:style>
  <w:style w:type="paragraph" w:styleId="BalloonText">
    <w:name w:val="Balloon Text"/>
    <w:basedOn w:val="Normal"/>
    <w:link w:val="BalloonTextChar"/>
    <w:uiPriority w:val="99"/>
    <w:semiHidden/>
    <w:unhideWhenUsed/>
    <w:rsid w:val="00F075B3"/>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F075B3"/>
    <w:rPr>
      <w:rFonts w:ascii="Tahoma" w:hAnsi="Tahoma" w:cs="Mangal"/>
      <w:noProof/>
      <w:color w:val="000000" w:themeColor="text1"/>
      <w:sz w:val="16"/>
      <w:szCs w:val="14"/>
    </w:rPr>
  </w:style>
  <w:style w:type="paragraph" w:styleId="NormalWeb">
    <w:name w:val="Normal (Web)"/>
    <w:basedOn w:val="Normal"/>
    <w:uiPriority w:val="99"/>
    <w:semiHidden/>
    <w:unhideWhenUsed/>
    <w:rsid w:val="005E751A"/>
    <w:pPr>
      <w:spacing w:before="100" w:beforeAutospacing="1" w:after="100" w:afterAutospacing="1" w:line="240" w:lineRule="auto"/>
      <w:jc w:val="left"/>
    </w:pPr>
    <w:rPr>
      <w:rFonts w:eastAsia="Times New Roman" w:cs="Times New Roman"/>
      <w:noProof w:val="0"/>
      <w:color w:val="auto"/>
      <w:sz w:val="24"/>
      <w:szCs w:val="24"/>
      <w:lang w:val="en-US" w:bidi="ar-SA"/>
    </w:rPr>
  </w:style>
  <w:style w:type="character" w:customStyle="1" w:styleId="markedcontent">
    <w:name w:val="markedcontent"/>
    <w:basedOn w:val="DefaultParagraphFont"/>
    <w:rsid w:val="005E751A"/>
  </w:style>
  <w:style w:type="character" w:styleId="Strong">
    <w:name w:val="Strong"/>
    <w:basedOn w:val="DefaultParagraphFont"/>
    <w:uiPriority w:val="22"/>
    <w:qFormat/>
    <w:rsid w:val="005E75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072831">
      <w:bodyDiv w:val="1"/>
      <w:marLeft w:val="0"/>
      <w:marRight w:val="0"/>
      <w:marTop w:val="0"/>
      <w:marBottom w:val="0"/>
      <w:divBdr>
        <w:top w:val="none" w:sz="0" w:space="0" w:color="auto"/>
        <w:left w:val="none" w:sz="0" w:space="0" w:color="auto"/>
        <w:bottom w:val="none" w:sz="0" w:space="0" w:color="auto"/>
        <w:right w:val="none" w:sz="0" w:space="0" w:color="auto"/>
      </w:divBdr>
    </w:div>
    <w:div w:id="318195434">
      <w:bodyDiv w:val="1"/>
      <w:marLeft w:val="0"/>
      <w:marRight w:val="0"/>
      <w:marTop w:val="0"/>
      <w:marBottom w:val="0"/>
      <w:divBdr>
        <w:top w:val="none" w:sz="0" w:space="0" w:color="auto"/>
        <w:left w:val="none" w:sz="0" w:space="0" w:color="auto"/>
        <w:bottom w:val="none" w:sz="0" w:space="0" w:color="auto"/>
        <w:right w:val="none" w:sz="0" w:space="0" w:color="auto"/>
      </w:divBdr>
    </w:div>
    <w:div w:id="979305138">
      <w:bodyDiv w:val="1"/>
      <w:marLeft w:val="0"/>
      <w:marRight w:val="0"/>
      <w:marTop w:val="0"/>
      <w:marBottom w:val="0"/>
      <w:divBdr>
        <w:top w:val="none" w:sz="0" w:space="0" w:color="auto"/>
        <w:left w:val="none" w:sz="0" w:space="0" w:color="auto"/>
        <w:bottom w:val="none" w:sz="0" w:space="0" w:color="auto"/>
        <w:right w:val="none" w:sz="0" w:space="0" w:color="auto"/>
      </w:divBdr>
    </w:div>
    <w:div w:id="1510027747">
      <w:bodyDiv w:val="1"/>
      <w:marLeft w:val="0"/>
      <w:marRight w:val="0"/>
      <w:marTop w:val="0"/>
      <w:marBottom w:val="0"/>
      <w:divBdr>
        <w:top w:val="none" w:sz="0" w:space="0" w:color="auto"/>
        <w:left w:val="none" w:sz="0" w:space="0" w:color="auto"/>
        <w:bottom w:val="none" w:sz="0" w:space="0" w:color="auto"/>
        <w:right w:val="none" w:sz="0" w:space="0" w:color="auto"/>
      </w:divBdr>
    </w:div>
    <w:div w:id="1520192553">
      <w:bodyDiv w:val="1"/>
      <w:marLeft w:val="0"/>
      <w:marRight w:val="0"/>
      <w:marTop w:val="0"/>
      <w:marBottom w:val="0"/>
      <w:divBdr>
        <w:top w:val="none" w:sz="0" w:space="0" w:color="auto"/>
        <w:left w:val="none" w:sz="0" w:space="0" w:color="auto"/>
        <w:bottom w:val="none" w:sz="0" w:space="0" w:color="auto"/>
        <w:right w:val="none" w:sz="0" w:space="0" w:color="auto"/>
      </w:divBdr>
    </w:div>
    <w:div w:id="1622684920">
      <w:bodyDiv w:val="1"/>
      <w:marLeft w:val="0"/>
      <w:marRight w:val="0"/>
      <w:marTop w:val="0"/>
      <w:marBottom w:val="0"/>
      <w:divBdr>
        <w:top w:val="none" w:sz="0" w:space="0" w:color="auto"/>
        <w:left w:val="none" w:sz="0" w:space="0" w:color="auto"/>
        <w:bottom w:val="none" w:sz="0" w:space="0" w:color="auto"/>
        <w:right w:val="none" w:sz="0" w:space="0" w:color="auto"/>
      </w:divBdr>
    </w:div>
    <w:div w:id="1865174338">
      <w:bodyDiv w:val="1"/>
      <w:marLeft w:val="0"/>
      <w:marRight w:val="0"/>
      <w:marTop w:val="0"/>
      <w:marBottom w:val="0"/>
      <w:divBdr>
        <w:top w:val="none" w:sz="0" w:space="0" w:color="auto"/>
        <w:left w:val="none" w:sz="0" w:space="0" w:color="auto"/>
        <w:bottom w:val="none" w:sz="0" w:space="0" w:color="auto"/>
        <w:right w:val="none" w:sz="0" w:space="0" w:color="auto"/>
      </w:divBdr>
    </w:div>
    <w:div w:id="1988826828">
      <w:bodyDiv w:val="1"/>
      <w:marLeft w:val="0"/>
      <w:marRight w:val="0"/>
      <w:marTop w:val="0"/>
      <w:marBottom w:val="0"/>
      <w:divBdr>
        <w:top w:val="none" w:sz="0" w:space="0" w:color="auto"/>
        <w:left w:val="none" w:sz="0" w:space="0" w:color="auto"/>
        <w:bottom w:val="none" w:sz="0" w:space="0" w:color="auto"/>
        <w:right w:val="none" w:sz="0" w:space="0" w:color="auto"/>
      </w:divBdr>
      <w:divsChild>
        <w:div w:id="1966426837">
          <w:marLeft w:val="379"/>
          <w:marRight w:val="379"/>
          <w:marTop w:val="0"/>
          <w:marBottom w:val="0"/>
          <w:divBdr>
            <w:top w:val="none" w:sz="0" w:space="0" w:color="auto"/>
            <w:left w:val="none" w:sz="0" w:space="0" w:color="auto"/>
            <w:bottom w:val="none" w:sz="0" w:space="0" w:color="auto"/>
            <w:right w:val="none" w:sz="0" w:space="0" w:color="auto"/>
          </w:divBdr>
          <w:divsChild>
            <w:div w:id="101194647">
              <w:marLeft w:val="0"/>
              <w:marRight w:val="0"/>
              <w:marTop w:val="0"/>
              <w:marBottom w:val="0"/>
              <w:divBdr>
                <w:top w:val="none" w:sz="0" w:space="0" w:color="auto"/>
                <w:left w:val="none" w:sz="0" w:space="0" w:color="auto"/>
                <w:bottom w:val="none" w:sz="0" w:space="0" w:color="auto"/>
                <w:right w:val="none" w:sz="0" w:space="0" w:color="auto"/>
              </w:divBdr>
              <w:divsChild>
                <w:div w:id="153480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05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5A03D-8650-4DC8-A507-3AB7D4400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Pages>
  <Words>2830</Words>
  <Characters>16132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melinte</cp:lastModifiedBy>
  <cp:revision>5</cp:revision>
  <dcterms:created xsi:type="dcterms:W3CDTF">2022-04-27T19:10:00Z</dcterms:created>
  <dcterms:modified xsi:type="dcterms:W3CDTF">2022-05-01T11:15:00Z</dcterms:modified>
</cp:coreProperties>
</file>