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6DABADC">
      <w:pPr>
        <w:spacing w:line="480" w:lineRule="auto"/>
        <w:jc w:val="center"/>
        <w:rPr>
          <w:rFonts w:ascii="Arial" w:hAnsi="Arial" w:cs="Arial"/>
          <w:b/>
          <w:bCs/>
          <w:color w:val="auto"/>
          <w:sz w:val="24"/>
        </w:rPr>
      </w:pPr>
    </w:p>
    <w:p w14:paraId="458BC57C">
      <w:pPr>
        <w:spacing w:line="480" w:lineRule="auto"/>
        <w:jc w:val="center"/>
        <w:rPr>
          <w:rFonts w:ascii="Arial" w:hAnsi="Arial" w:cs="Arial"/>
          <w:b/>
          <w:bCs/>
          <w:color w:val="auto"/>
          <w:sz w:val="24"/>
        </w:rPr>
      </w:pPr>
    </w:p>
    <w:p w14:paraId="1AACFCD4">
      <w:pPr>
        <w:spacing w:line="480" w:lineRule="auto"/>
        <w:jc w:val="center"/>
        <w:rPr>
          <w:rFonts w:ascii="Arial" w:hAnsi="Arial" w:cs="Arial"/>
          <w:b/>
          <w:bCs/>
          <w:color w:val="auto"/>
          <w:sz w:val="24"/>
        </w:rPr>
      </w:pPr>
      <w:r>
        <w:rPr>
          <w:rFonts w:ascii="Arial" w:hAnsi="Arial" w:cs="Arial"/>
          <w:color w:val="auto"/>
        </w:rPr>
        <w:drawing>
          <wp:anchor distT="0" distB="0" distL="114300" distR="114300" simplePos="0" relativeHeight="251659264" behindDoc="0" locked="0" layoutInCell="1" allowOverlap="1">
            <wp:simplePos x="0" y="0"/>
            <wp:positionH relativeFrom="column">
              <wp:posOffset>1661160</wp:posOffset>
            </wp:positionH>
            <wp:positionV relativeFrom="paragraph">
              <wp:posOffset>34925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53F2A520">
      <w:pPr>
        <w:spacing w:line="480" w:lineRule="auto"/>
        <w:rPr>
          <w:rFonts w:ascii="Arial" w:hAnsi="Arial" w:cs="Arial"/>
          <w:b/>
          <w:bCs/>
          <w:color w:val="auto"/>
          <w:sz w:val="24"/>
        </w:rPr>
      </w:pPr>
    </w:p>
    <w:p w14:paraId="2539E4F0">
      <w:pPr>
        <w:spacing w:line="480" w:lineRule="auto"/>
        <w:jc w:val="center"/>
        <w:rPr>
          <w:rFonts w:ascii="Arial" w:hAnsi="Arial" w:cs="Arial"/>
          <w:b/>
          <w:bCs/>
          <w:color w:val="auto"/>
          <w:sz w:val="32"/>
          <w:szCs w:val="32"/>
        </w:rPr>
      </w:pPr>
      <w:r>
        <w:rPr>
          <w:rFonts w:ascii="Arial" w:hAnsi="Arial" w:cs="Arial"/>
          <w:b/>
          <w:bCs/>
          <w:color w:val="auto"/>
          <w:sz w:val="32"/>
          <w:szCs w:val="32"/>
        </w:rPr>
        <w:t>Global Ethics: BMBM6008</w:t>
      </w:r>
    </w:p>
    <w:p w14:paraId="5E337A38">
      <w:pPr>
        <w:spacing w:line="480" w:lineRule="auto"/>
        <w:jc w:val="center"/>
        <w:rPr>
          <w:rFonts w:ascii="Arial" w:hAnsi="Arial" w:cs="Arial"/>
          <w:b/>
          <w:bCs/>
          <w:color w:val="auto"/>
          <w:sz w:val="32"/>
          <w:szCs w:val="32"/>
        </w:rPr>
      </w:pPr>
    </w:p>
    <w:p w14:paraId="663008FF">
      <w:pPr>
        <w:spacing w:line="480" w:lineRule="auto"/>
        <w:jc w:val="center"/>
        <w:rPr>
          <w:rFonts w:ascii="Arial" w:hAnsi="Arial" w:cs="Arial"/>
          <w:b/>
          <w:bCs/>
          <w:color w:val="auto"/>
          <w:sz w:val="32"/>
          <w:szCs w:val="32"/>
        </w:rPr>
      </w:pPr>
    </w:p>
    <w:p w14:paraId="077C8AA7">
      <w:pPr>
        <w:spacing w:line="480" w:lineRule="auto"/>
        <w:jc w:val="center"/>
        <w:rPr>
          <w:rFonts w:ascii="Arial" w:hAnsi="Arial" w:cs="Arial"/>
          <w:b/>
          <w:bCs/>
          <w:color w:val="auto"/>
          <w:sz w:val="28"/>
          <w:szCs w:val="28"/>
        </w:rPr>
      </w:pPr>
      <w:r>
        <w:rPr>
          <w:rFonts w:ascii="Arial" w:hAnsi="Arial" w:cs="Arial"/>
          <w:b/>
          <w:bCs/>
          <w:color w:val="auto"/>
          <w:sz w:val="28"/>
          <w:szCs w:val="28"/>
        </w:rPr>
        <w:t>Analysis of Facebook Cambridge Analytica Scandal based on Cultura</w:t>
      </w:r>
      <w:r>
        <w:rPr>
          <w:rFonts w:hint="eastAsia" w:ascii="Arial" w:hAnsi="Arial" w:cs="Arial"/>
          <w:b/>
          <w:bCs/>
          <w:color w:val="auto"/>
          <w:sz w:val="28"/>
          <w:szCs w:val="28"/>
        </w:rPr>
        <w:t>l</w:t>
      </w:r>
      <w:r>
        <w:rPr>
          <w:rFonts w:ascii="Arial" w:hAnsi="Arial" w:cs="Arial"/>
          <w:b/>
          <w:bCs/>
          <w:color w:val="auto"/>
          <w:sz w:val="28"/>
          <w:szCs w:val="28"/>
        </w:rPr>
        <w:t xml:space="preserve"> Relativism and C</w:t>
      </w:r>
      <w:r>
        <w:rPr>
          <w:rFonts w:hint="eastAsia" w:ascii="Arial" w:hAnsi="Arial" w:cs="Arial"/>
          <w:b/>
          <w:bCs/>
          <w:color w:val="auto"/>
          <w:sz w:val="28"/>
          <w:szCs w:val="28"/>
        </w:rPr>
        <w:t>ar</w:t>
      </w:r>
      <w:r>
        <w:rPr>
          <w:rFonts w:ascii="Arial" w:hAnsi="Arial" w:cs="Arial"/>
          <w:b/>
          <w:bCs/>
          <w:color w:val="auto"/>
          <w:sz w:val="28"/>
          <w:szCs w:val="28"/>
        </w:rPr>
        <w:t>roll’s CSR Pyramid Model</w:t>
      </w:r>
      <w:r>
        <w:rPr>
          <w:rFonts w:hint="eastAsia" w:ascii="Arial" w:hAnsi="Arial" w:cs="Arial"/>
          <w:b/>
          <w:bCs/>
          <w:color w:val="auto"/>
          <w:sz w:val="28"/>
          <w:szCs w:val="28"/>
        </w:rPr>
        <w:t xml:space="preserve"> </w:t>
      </w:r>
      <w:r>
        <w:rPr>
          <w:rFonts w:ascii="Arial" w:hAnsi="Arial" w:cs="Arial"/>
          <w:b/>
          <w:bCs/>
          <w:color w:val="auto"/>
          <w:sz w:val="28"/>
          <w:szCs w:val="28"/>
        </w:rPr>
        <w:t xml:space="preserve"> </w:t>
      </w:r>
    </w:p>
    <w:p w14:paraId="02A62DD3">
      <w:pPr>
        <w:spacing w:line="480" w:lineRule="auto"/>
        <w:jc w:val="center"/>
        <w:rPr>
          <w:rFonts w:ascii="Arial" w:hAnsi="Arial" w:cs="Arial"/>
          <w:b/>
          <w:bCs/>
          <w:color w:val="auto"/>
          <w:sz w:val="24"/>
        </w:rPr>
      </w:pPr>
    </w:p>
    <w:p w14:paraId="3A538126">
      <w:pPr>
        <w:spacing w:after="120" w:line="240" w:lineRule="auto"/>
        <w:jc w:val="center"/>
        <w:rPr>
          <w:rFonts w:hint="default" w:ascii="Arial" w:hAnsi="Arial" w:cs="Arial" w:eastAsiaTheme="minorEastAsia"/>
          <w:b/>
          <w:bCs/>
          <w:color w:val="auto"/>
          <w:sz w:val="24"/>
          <w:highlight w:val="none"/>
          <w:lang w:val="en-US" w:eastAsia="zh-CN"/>
        </w:rPr>
      </w:pPr>
      <w:r>
        <w:rPr>
          <w:rFonts w:ascii="Arial" w:hAnsi="Arial" w:cs="Arial"/>
          <w:b/>
          <w:bCs/>
          <w:color w:val="auto"/>
          <w:sz w:val="24"/>
          <w:highlight w:val="none"/>
        </w:rPr>
        <w:t xml:space="preserve">Student </w:t>
      </w:r>
      <w:r>
        <w:rPr>
          <w:rFonts w:hint="eastAsia" w:ascii="Arial" w:hAnsi="Arial" w:cs="Arial"/>
          <w:b/>
          <w:bCs/>
          <w:color w:val="auto"/>
          <w:sz w:val="24"/>
          <w:highlight w:val="none"/>
        </w:rPr>
        <w:t>N</w:t>
      </w:r>
      <w:r>
        <w:rPr>
          <w:rFonts w:ascii="Arial" w:hAnsi="Arial" w:cs="Arial"/>
          <w:b/>
          <w:bCs/>
          <w:color w:val="auto"/>
          <w:sz w:val="24"/>
          <w:highlight w:val="none"/>
        </w:rPr>
        <w:t>ame:</w:t>
      </w:r>
      <w:r>
        <w:rPr>
          <w:rFonts w:hint="eastAsia" w:ascii="Arial" w:hAnsi="Arial" w:cs="Arial"/>
          <w:b/>
          <w:bCs/>
          <w:color w:val="auto"/>
          <w:sz w:val="24"/>
          <w:highlight w:val="none"/>
          <w:lang w:val="en-US" w:eastAsia="zh-CN"/>
        </w:rPr>
        <w:t xml:space="preserve"> Yuyang Chen</w:t>
      </w:r>
    </w:p>
    <w:p w14:paraId="5A7B25C9">
      <w:pPr>
        <w:spacing w:after="120" w:line="240" w:lineRule="auto"/>
        <w:jc w:val="center"/>
        <w:rPr>
          <w:rFonts w:hint="default" w:ascii="Arial" w:hAnsi="Arial" w:cs="Arial" w:eastAsiaTheme="minorEastAsia"/>
          <w:b/>
          <w:bCs/>
          <w:color w:val="auto"/>
          <w:sz w:val="24"/>
          <w:highlight w:val="none"/>
          <w:lang w:val="en-US" w:eastAsia="zh-CN"/>
        </w:rPr>
      </w:pPr>
      <w:r>
        <w:rPr>
          <w:rFonts w:ascii="Arial" w:hAnsi="Arial" w:cs="Arial"/>
          <w:b/>
          <w:bCs/>
          <w:color w:val="auto"/>
          <w:sz w:val="24"/>
          <w:highlight w:val="none"/>
        </w:rPr>
        <w:t xml:space="preserve">Student </w:t>
      </w:r>
      <w:r>
        <w:rPr>
          <w:rFonts w:hint="eastAsia" w:ascii="Arial" w:hAnsi="Arial" w:cs="Arial"/>
          <w:b/>
          <w:bCs/>
          <w:color w:val="auto"/>
          <w:sz w:val="24"/>
          <w:highlight w:val="none"/>
        </w:rPr>
        <w:t>N</w:t>
      </w:r>
      <w:r>
        <w:rPr>
          <w:rFonts w:ascii="Arial" w:hAnsi="Arial" w:cs="Arial"/>
          <w:b/>
          <w:bCs/>
          <w:color w:val="auto"/>
          <w:sz w:val="24"/>
          <w:highlight w:val="none"/>
        </w:rPr>
        <w:t xml:space="preserve">umber: </w:t>
      </w:r>
      <w:r>
        <w:rPr>
          <w:rFonts w:hint="eastAsia" w:ascii="Arial" w:hAnsi="Arial" w:cs="Arial"/>
          <w:b/>
          <w:bCs/>
          <w:color w:val="auto"/>
          <w:sz w:val="24"/>
          <w:highlight w:val="none"/>
          <w:lang w:val="en-US" w:eastAsia="zh-CN"/>
        </w:rPr>
        <w:t>2400262</w:t>
      </w:r>
    </w:p>
    <w:p w14:paraId="06030153">
      <w:pPr>
        <w:spacing w:after="120" w:line="240" w:lineRule="auto"/>
        <w:jc w:val="center"/>
        <w:rPr>
          <w:rFonts w:hint="default" w:ascii="Arial" w:hAnsi="Arial" w:cs="Arial" w:eastAsiaTheme="minorEastAsia"/>
          <w:b/>
          <w:bCs/>
          <w:color w:val="auto"/>
          <w:sz w:val="24"/>
          <w:lang w:val="en-US" w:eastAsia="zh-CN"/>
        </w:rPr>
        <w:sectPr>
          <w:pgSz w:w="11906" w:h="16838"/>
          <w:pgMar w:top="1440" w:right="1800" w:bottom="1440" w:left="1800" w:header="851" w:footer="992" w:gutter="0"/>
          <w:cols w:space="425" w:num="1"/>
          <w:docGrid w:type="lines" w:linePitch="312" w:charSpace="0"/>
        </w:sectPr>
      </w:pPr>
      <w:r>
        <w:rPr>
          <w:rFonts w:ascii="Arial" w:hAnsi="Arial" w:cs="Arial"/>
          <w:b/>
          <w:bCs/>
          <w:color w:val="auto"/>
          <w:sz w:val="24"/>
          <w:highlight w:val="none"/>
        </w:rPr>
        <w:t>Date:</w:t>
      </w:r>
      <w:r>
        <w:rPr>
          <w:rFonts w:hint="eastAsia" w:ascii="Arial" w:hAnsi="Arial" w:cs="Arial"/>
          <w:b/>
          <w:bCs/>
          <w:color w:val="auto"/>
          <w:sz w:val="24"/>
          <w:highlight w:val="none"/>
          <w:lang w:val="en-US" w:eastAsia="zh-CN"/>
        </w:rPr>
        <w:t>9/1/2025</w:t>
      </w:r>
    </w:p>
    <w:sdt>
      <w:sdtPr>
        <w:rPr>
          <w:rFonts w:asciiTheme="minorHAnsi" w:hAnsiTheme="minorHAnsi" w:eastAsiaTheme="minorEastAsia" w:cstheme="minorBidi"/>
          <w:b w:val="0"/>
          <w:bCs w:val="0"/>
          <w:color w:val="auto"/>
          <w:kern w:val="2"/>
          <w:sz w:val="22"/>
          <w:szCs w:val="24"/>
          <w:lang w:val="zh-CN"/>
          <w14:ligatures w14:val="standardContextual"/>
        </w:rPr>
        <w:id w:val="-1042827579"/>
        <w:docPartObj>
          <w:docPartGallery w:val="Table of Contents"/>
          <w:docPartUnique/>
        </w:docPartObj>
      </w:sdtPr>
      <w:sdtEndPr>
        <w:rPr>
          <w:rFonts w:ascii="Arial" w:hAnsi="Arial" w:cs="Arial" w:eastAsiaTheme="minorEastAsia"/>
          <w:b w:val="0"/>
          <w:bCs w:val="0"/>
          <w:color w:val="auto"/>
          <w:kern w:val="2"/>
          <w:sz w:val="24"/>
          <w:szCs w:val="24"/>
          <w:lang w:val="en-US"/>
          <w14:ligatures w14:val="standardContextual"/>
        </w:rPr>
      </w:sdtEndPr>
      <w:sdtContent>
        <w:p w14:paraId="6BA37CFD">
          <w:pPr>
            <w:pStyle w:val="47"/>
            <w:spacing w:line="480" w:lineRule="auto"/>
            <w:jc w:val="center"/>
            <w:rPr>
              <w:rFonts w:ascii="Arial" w:hAnsi="Arial" w:cs="Arial"/>
              <w:color w:val="auto"/>
              <w:sz w:val="24"/>
              <w:szCs w:val="24"/>
            </w:rPr>
          </w:pPr>
          <w:r>
            <w:rPr>
              <w:rFonts w:ascii="Arial" w:hAnsi="Arial" w:cs="Arial"/>
              <w:color w:val="auto"/>
              <w:sz w:val="24"/>
              <w:szCs w:val="24"/>
            </w:rPr>
            <w:t>CONTENTS</w:t>
          </w:r>
        </w:p>
        <w:p w14:paraId="168EFC8B">
          <w:pPr>
            <w:pStyle w:val="17"/>
            <w:tabs>
              <w:tab w:val="right" w:leader="dot" w:pos="8296"/>
            </w:tabs>
            <w:rPr>
              <w:rFonts w:ascii="Arial" w:hAnsi="Arial" w:cs="Arial" w:eastAsiaTheme="minorEastAsia"/>
              <w:b w:val="0"/>
              <w:bCs w:val="0"/>
              <w:color w:val="auto"/>
              <w:sz w:val="24"/>
              <w:szCs w:val="24"/>
            </w:rPr>
          </w:pP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TOC \o "1-3" \h \z \u</w:instrText>
          </w:r>
          <w:r>
            <w:rPr>
              <w:rFonts w:ascii="Arial" w:hAnsi="Arial" w:cs="Arial"/>
              <w:b w:val="0"/>
              <w:bCs w:val="0"/>
              <w:color w:val="auto"/>
              <w:sz w:val="24"/>
              <w:szCs w:val="24"/>
            </w:rPr>
            <w:fldChar w:fldCharType="separate"/>
          </w:r>
          <w:r>
            <w:rPr>
              <w:color w:val="auto"/>
            </w:rPr>
            <w:fldChar w:fldCharType="begin"/>
          </w:r>
          <w:r>
            <w:rPr>
              <w:color w:val="auto"/>
            </w:rPr>
            <w:instrText xml:space="preserve"> HYPERLINK \l "_Toc187179428" </w:instrText>
          </w:r>
          <w:r>
            <w:rPr>
              <w:color w:val="auto"/>
            </w:rPr>
            <w:fldChar w:fldCharType="separate"/>
          </w:r>
          <w:r>
            <w:rPr>
              <w:rStyle w:val="27"/>
              <w:rFonts w:ascii="Arial" w:hAnsi="Arial" w:cs="Arial"/>
              <w:b w:val="0"/>
              <w:bCs w:val="0"/>
              <w:color w:val="auto"/>
              <w:sz w:val="24"/>
              <w:szCs w:val="24"/>
            </w:rPr>
            <w:t>Executive Summary</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_Toc187179428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4</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5F5BAA33">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"_Toc187179429" </w:instrText>
          </w:r>
          <w:r>
            <w:rPr>
              <w:color w:val="auto"/>
            </w:rPr>
            <w:fldChar w:fldCharType="separate"/>
          </w:r>
          <w:r>
            <w:rPr>
              <w:rStyle w:val="27"/>
              <w:rFonts w:ascii="Arial" w:hAnsi="Arial" w:cs="Arial"/>
              <w:b w:val="0"/>
              <w:bCs w:val="0"/>
              <w:color w:val="auto"/>
              <w:sz w:val="24"/>
              <w:szCs w:val="24"/>
            </w:rPr>
            <w:t>1.</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Introduction</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_Toc187179429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5</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12EC0FAF">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"_Toc187179430" </w:instrText>
          </w:r>
          <w:r>
            <w:rPr>
              <w:color w:val="auto"/>
            </w:rPr>
            <w:fldChar w:fldCharType="separate"/>
          </w:r>
          <w:r>
            <w:rPr>
              <w:rStyle w:val="27"/>
              <w:rFonts w:ascii="Arial" w:hAnsi="Arial" w:cs="Arial"/>
              <w:color w:val="auto"/>
              <w:sz w:val="24"/>
              <w:szCs w:val="24"/>
            </w:rPr>
            <w:t>1.1 Background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_Toc187179430 \h </w:instrText>
          </w:r>
          <w:r>
            <w:rPr>
              <w:rFonts w:ascii="Arial" w:hAnsi="Arial" w:cs="Arial"/>
              <w:color w:val="auto"/>
              <w:sz w:val="24"/>
              <w:szCs w:val="24"/>
            </w:rPr>
            <w:fldChar w:fldCharType="separate"/>
          </w:r>
          <w:r>
            <w:rPr>
              <w:rFonts w:ascii="Arial" w:hAnsi="Arial" w:cs="Arial"/>
              <w:color w:val="auto"/>
              <w:sz w:val="24"/>
              <w:szCs w:val="24"/>
            </w:rPr>
            <w:t>5</w:t>
          </w:r>
          <w:r>
            <w:rPr>
              <w:rFonts w:ascii="Arial" w:hAnsi="Arial" w:cs="Arial"/>
              <w:color w:val="auto"/>
              <w:sz w:val="24"/>
              <w:szCs w:val="24"/>
            </w:rPr>
            <w:fldChar w:fldCharType="end"/>
          </w:r>
          <w:r>
            <w:rPr>
              <w:rFonts w:ascii="Arial" w:hAnsi="Arial" w:cs="Arial"/>
              <w:color w:val="auto"/>
              <w:sz w:val="24"/>
              <w:szCs w:val="24"/>
            </w:rPr>
            <w:fldChar w:fldCharType="end"/>
          </w:r>
        </w:p>
        <w:p w14:paraId="577A12E5">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"_Toc187179431" </w:instrText>
          </w:r>
          <w:r>
            <w:rPr>
              <w:color w:val="auto"/>
            </w:rPr>
            <w:fldChar w:fldCharType="separate"/>
          </w:r>
          <w:r>
            <w:rPr>
              <w:rStyle w:val="27"/>
              <w:rFonts w:ascii="Arial" w:hAnsi="Arial" w:cs="Arial"/>
              <w:color w:val="auto"/>
              <w:sz w:val="24"/>
              <w:szCs w:val="24"/>
            </w:rPr>
            <w:t>1.2 Method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_Toc187179431 \h </w:instrText>
          </w:r>
          <w:r>
            <w:rPr>
              <w:rFonts w:ascii="Arial" w:hAnsi="Arial" w:cs="Arial"/>
              <w:color w:val="auto"/>
              <w:sz w:val="24"/>
              <w:szCs w:val="24"/>
            </w:rPr>
            <w:fldChar w:fldCharType="separate"/>
          </w:r>
          <w:r>
            <w:rPr>
              <w:rFonts w:ascii="Arial" w:hAnsi="Arial" w:cs="Arial"/>
              <w:color w:val="auto"/>
              <w:sz w:val="24"/>
              <w:szCs w:val="24"/>
            </w:rPr>
            <w:t>5</w:t>
          </w:r>
          <w:r>
            <w:rPr>
              <w:rFonts w:ascii="Arial" w:hAnsi="Arial" w:cs="Arial"/>
              <w:color w:val="auto"/>
              <w:sz w:val="24"/>
              <w:szCs w:val="24"/>
            </w:rPr>
            <w:fldChar w:fldCharType="end"/>
          </w:r>
          <w:r>
            <w:rPr>
              <w:rFonts w:ascii="Arial" w:hAnsi="Arial" w:cs="Arial"/>
              <w:color w:val="auto"/>
              <w:sz w:val="24"/>
              <w:szCs w:val="24"/>
            </w:rPr>
            <w:fldChar w:fldCharType="end"/>
          </w:r>
        </w:p>
        <w:p w14:paraId="681450EC">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"_Toc187179432" </w:instrText>
          </w:r>
          <w:r>
            <w:rPr>
              <w:color w:val="auto"/>
            </w:rPr>
            <w:fldChar w:fldCharType="separate"/>
          </w:r>
          <w:r>
            <w:rPr>
              <w:rStyle w:val="27"/>
              <w:rFonts w:ascii="Arial" w:hAnsi="Arial" w:cs="Arial"/>
              <w:b w:val="0"/>
              <w:bCs w:val="0"/>
              <w:color w:val="auto"/>
              <w:sz w:val="24"/>
              <w:szCs w:val="24"/>
            </w:rPr>
            <w:t>2.</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Cultural relativism and Facebook</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_Toc187179432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6</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75DB1ED0">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"_Toc187179433" </w:instrText>
          </w:r>
          <w:r>
            <w:rPr>
              <w:color w:val="auto"/>
            </w:rPr>
            <w:fldChar w:fldCharType="separate"/>
          </w:r>
          <w:r>
            <w:rPr>
              <w:rStyle w:val="27"/>
              <w:rFonts w:ascii="Arial" w:hAnsi="Arial" w:cs="Arial"/>
              <w:color w:val="auto"/>
              <w:sz w:val="24"/>
              <w:szCs w:val="24"/>
            </w:rPr>
            <w:t>2.1 Cultural relativism</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_Toc187179433 \h </w:instrText>
          </w:r>
          <w:r>
            <w:rPr>
              <w:rFonts w:ascii="Arial" w:hAnsi="Arial" w:cs="Arial"/>
              <w:color w:val="auto"/>
              <w:sz w:val="24"/>
              <w:szCs w:val="24"/>
            </w:rPr>
            <w:fldChar w:fldCharType="separate"/>
          </w:r>
          <w:r>
            <w:rPr>
              <w:rFonts w:ascii="Arial" w:hAnsi="Arial" w:cs="Arial"/>
              <w:color w:val="auto"/>
              <w:sz w:val="24"/>
              <w:szCs w:val="24"/>
            </w:rPr>
            <w:t>6</w:t>
          </w:r>
          <w:r>
            <w:rPr>
              <w:rFonts w:ascii="Arial" w:hAnsi="Arial" w:cs="Arial"/>
              <w:color w:val="auto"/>
              <w:sz w:val="24"/>
              <w:szCs w:val="24"/>
            </w:rPr>
            <w:fldChar w:fldCharType="end"/>
          </w:r>
          <w:r>
            <w:rPr>
              <w:rFonts w:ascii="Arial" w:hAnsi="Arial" w:cs="Arial"/>
              <w:color w:val="auto"/>
              <w:sz w:val="24"/>
              <w:szCs w:val="24"/>
            </w:rPr>
            <w:fldChar w:fldCharType="end"/>
          </w:r>
        </w:p>
        <w:p w14:paraId="52A92E1D">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"_Toc187179434" </w:instrText>
          </w:r>
          <w:r>
            <w:rPr>
              <w:color w:val="auto"/>
            </w:rPr>
            <w:fldChar w:fldCharType="separate"/>
          </w:r>
          <w:r>
            <w:rPr>
              <w:rStyle w:val="27"/>
              <w:rFonts w:ascii="Arial" w:hAnsi="Arial" w:cs="Arial"/>
              <w:color w:val="auto"/>
              <w:sz w:val="24"/>
              <w:szCs w:val="24"/>
            </w:rPr>
            <w:t>2.2 Application of cultural relativism to Facebook</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_Toc187179434 \h </w:instrText>
          </w:r>
          <w:r>
            <w:rPr>
              <w:rFonts w:ascii="Arial" w:hAnsi="Arial" w:cs="Arial"/>
              <w:color w:val="auto"/>
              <w:sz w:val="24"/>
              <w:szCs w:val="24"/>
            </w:rPr>
            <w:fldChar w:fldCharType="separate"/>
          </w:r>
          <w:r>
            <w:rPr>
              <w:rFonts w:ascii="Arial" w:hAnsi="Arial" w:cs="Arial"/>
              <w:color w:val="auto"/>
              <w:sz w:val="24"/>
              <w:szCs w:val="24"/>
            </w:rPr>
            <w:t>6</w:t>
          </w:r>
          <w:r>
            <w:rPr>
              <w:rFonts w:ascii="Arial" w:hAnsi="Arial" w:cs="Arial"/>
              <w:color w:val="auto"/>
              <w:sz w:val="24"/>
              <w:szCs w:val="24"/>
            </w:rPr>
            <w:fldChar w:fldCharType="end"/>
          </w:r>
          <w:r>
            <w:rPr>
              <w:rFonts w:ascii="Arial" w:hAnsi="Arial" w:cs="Arial"/>
              <w:color w:val="auto"/>
              <w:sz w:val="24"/>
              <w:szCs w:val="24"/>
            </w:rPr>
            <w:fldChar w:fldCharType="end"/>
          </w:r>
        </w:p>
        <w:p w14:paraId="5E7A599D">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"_Toc187179435" </w:instrText>
          </w:r>
          <w:r>
            <w:rPr>
              <w:color w:val="auto"/>
            </w:rPr>
            <w:fldChar w:fldCharType="separate"/>
          </w:r>
          <w:r>
            <w:rPr>
              <w:rStyle w:val="27"/>
              <w:rFonts w:ascii="Arial" w:hAnsi="Arial" w:cs="Arial"/>
              <w:b w:val="0"/>
              <w:bCs w:val="0"/>
              <w:color w:val="auto"/>
              <w:sz w:val="24"/>
              <w:szCs w:val="24"/>
            </w:rPr>
            <w:t>3.</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Using the Carroll’s CSR pyramid to analyze Facebook managerial response</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_Toc187179435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10</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6C88CDD4">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"_Toc187179436" </w:instrText>
          </w:r>
          <w:r>
            <w:rPr>
              <w:color w:val="auto"/>
            </w:rPr>
            <w:fldChar w:fldCharType="separate"/>
          </w:r>
          <w:r>
            <w:rPr>
              <w:rStyle w:val="27"/>
              <w:rFonts w:ascii="Arial" w:hAnsi="Arial" w:cs="Arial"/>
              <w:color w:val="auto"/>
              <w:sz w:val="24"/>
              <w:szCs w:val="24"/>
            </w:rPr>
            <w:t>3.1 Carroll’s CSR Pyramid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_Toc187179436 \h </w:instrText>
          </w:r>
          <w:r>
            <w:rPr>
              <w:rFonts w:ascii="Arial" w:hAnsi="Arial" w:cs="Arial"/>
              <w:color w:val="auto"/>
              <w:sz w:val="24"/>
              <w:szCs w:val="24"/>
            </w:rPr>
            <w:fldChar w:fldCharType="separate"/>
          </w:r>
          <w:r>
            <w:rPr>
              <w:rFonts w:ascii="Arial" w:hAnsi="Arial" w:cs="Arial"/>
              <w:color w:val="auto"/>
              <w:sz w:val="24"/>
              <w:szCs w:val="24"/>
            </w:rPr>
            <w:t>10</w:t>
          </w:r>
          <w:r>
            <w:rPr>
              <w:rFonts w:ascii="Arial" w:hAnsi="Arial" w:cs="Arial"/>
              <w:color w:val="auto"/>
              <w:sz w:val="24"/>
              <w:szCs w:val="24"/>
            </w:rPr>
            <w:fldChar w:fldCharType="end"/>
          </w:r>
          <w:r>
            <w:rPr>
              <w:rFonts w:ascii="Arial" w:hAnsi="Arial" w:cs="Arial"/>
              <w:color w:val="auto"/>
              <w:sz w:val="24"/>
              <w:szCs w:val="24"/>
            </w:rPr>
            <w:fldChar w:fldCharType="end"/>
          </w:r>
        </w:p>
        <w:p w14:paraId="3DEA3FF3">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"_Toc187179437" </w:instrText>
          </w:r>
          <w:r>
            <w:rPr>
              <w:color w:val="auto"/>
            </w:rPr>
            <w:fldChar w:fldCharType="separate"/>
          </w:r>
          <w:r>
            <w:rPr>
              <w:rStyle w:val="27"/>
              <w:rFonts w:ascii="Arial" w:hAnsi="Arial" w:cs="Arial"/>
              <w:color w:val="auto"/>
              <w:sz w:val="24"/>
              <w:szCs w:val="24"/>
            </w:rPr>
            <w:t>3.2 Application of Carroll CSR Pyramid to Facebook</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_Toc187179437 \h </w:instrText>
          </w:r>
          <w:r>
            <w:rPr>
              <w:rFonts w:ascii="Arial" w:hAnsi="Arial" w:cs="Arial"/>
              <w:color w:val="auto"/>
              <w:sz w:val="24"/>
              <w:szCs w:val="24"/>
            </w:rPr>
            <w:fldChar w:fldCharType="separate"/>
          </w:r>
          <w:r>
            <w:rPr>
              <w:rFonts w:ascii="Arial" w:hAnsi="Arial" w:cs="Arial"/>
              <w:color w:val="auto"/>
              <w:sz w:val="24"/>
              <w:szCs w:val="24"/>
            </w:rPr>
            <w:t>10</w:t>
          </w:r>
          <w:r>
            <w:rPr>
              <w:rFonts w:ascii="Arial" w:hAnsi="Arial" w:cs="Arial"/>
              <w:color w:val="auto"/>
              <w:sz w:val="24"/>
              <w:szCs w:val="24"/>
            </w:rPr>
            <w:fldChar w:fldCharType="end"/>
          </w:r>
          <w:r>
            <w:rPr>
              <w:rFonts w:ascii="Arial" w:hAnsi="Arial" w:cs="Arial"/>
              <w:color w:val="auto"/>
              <w:sz w:val="24"/>
              <w:szCs w:val="24"/>
            </w:rPr>
            <w:fldChar w:fldCharType="end"/>
          </w:r>
        </w:p>
        <w:p w14:paraId="509548B9">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"_Toc187179438" </w:instrText>
          </w:r>
          <w:r>
            <w:rPr>
              <w:color w:val="auto"/>
            </w:rPr>
            <w:fldChar w:fldCharType="separate"/>
          </w:r>
          <w:r>
            <w:rPr>
              <w:rStyle w:val="27"/>
              <w:rFonts w:ascii="Arial" w:hAnsi="Arial" w:cs="Arial"/>
              <w:b w:val="0"/>
              <w:bCs w:val="0"/>
              <w:color w:val="auto"/>
              <w:sz w:val="24"/>
              <w:szCs w:val="24"/>
            </w:rPr>
            <w:t>4.</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Recommendations and conclusion</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_Toc187179438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14</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54A5CEEA">
          <w:pPr>
            <w:pStyle w:val="17"/>
            <w:tabs>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"_Toc187179439" </w:instrText>
          </w:r>
          <w:r>
            <w:rPr>
              <w:color w:val="auto"/>
            </w:rPr>
            <w:fldChar w:fldCharType="separate"/>
          </w:r>
          <w:r>
            <w:rPr>
              <w:rStyle w:val="27"/>
              <w:rFonts w:ascii="Arial" w:hAnsi="Arial" w:cs="Arial"/>
              <w:b w:val="0"/>
              <w:bCs w:val="0"/>
              <w:color w:val="auto"/>
              <w:sz w:val="24"/>
              <w:szCs w:val="24"/>
            </w:rPr>
            <w:t>Reference</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_Toc187179439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17</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12329CC7">
          <w:pPr>
            <w:spacing w:line="480" w:lineRule="auto"/>
            <w:rPr>
              <w:rFonts w:ascii="Arial" w:hAnsi="Arial" w:cs="Arial"/>
              <w:color w:val="auto"/>
              <w:sz w:val="24"/>
            </w:rPr>
          </w:pPr>
          <w:r>
            <w:rPr>
              <w:rFonts w:ascii="Arial" w:hAnsi="Arial" w:cs="Arial"/>
              <w:color w:val="auto"/>
              <w:sz w:val="24"/>
            </w:rPr>
            <w:fldChar w:fldCharType="end"/>
          </w:r>
        </w:p>
      </w:sdtContent>
    </w:sdt>
    <w:p w14:paraId="21C4D656">
      <w:pPr>
        <w:spacing w:line="480" w:lineRule="auto"/>
        <w:jc w:val="center"/>
        <w:rPr>
          <w:rFonts w:ascii="Arial" w:hAnsi="Arial" w:cs="Arial"/>
          <w:b/>
          <w:bCs/>
          <w:color w:val="auto"/>
          <w:sz w:val="24"/>
        </w:rPr>
        <w:sectPr>
          <w:pgSz w:w="11906" w:h="16838"/>
          <w:pgMar w:top="1440" w:right="1800" w:bottom="1440" w:left="1800" w:header="851" w:footer="992" w:gutter="0"/>
          <w:cols w:space="425" w:num="1"/>
          <w:docGrid w:type="lines" w:linePitch="312" w:charSpace="0"/>
        </w:sectPr>
      </w:pPr>
    </w:p>
    <w:p w14:paraId="2A28FDBF">
      <w:pPr>
        <w:pStyle w:val="2"/>
        <w:spacing w:before="0" w:after="0" w:line="480" w:lineRule="auto"/>
        <w:rPr>
          <w:rFonts w:ascii="Arial" w:hAnsi="Arial" w:cs="Arial"/>
          <w:b/>
          <w:bCs/>
          <w:color w:val="auto"/>
          <w:sz w:val="24"/>
          <w:szCs w:val="24"/>
        </w:rPr>
      </w:pPr>
      <w:bookmarkStart w:id="0" w:name="_Toc187179428"/>
      <w:r>
        <w:rPr>
          <w:rFonts w:ascii="Arial" w:hAnsi="Arial" w:cs="Arial"/>
          <w:b/>
          <w:bCs/>
          <w:color w:val="auto"/>
          <w:sz w:val="24"/>
          <w:szCs w:val="24"/>
        </w:rPr>
        <w:t>Executive Summary</w:t>
      </w:r>
      <w:bookmarkEnd w:id="0"/>
    </w:p>
    <w:p w14:paraId="62C80A84">
      <w:pPr>
        <w:spacing w:line="480" w:lineRule="auto"/>
        <w:jc w:val="both"/>
        <w:rPr>
          <w:rFonts w:ascii="Arial" w:hAnsi="Arial" w:cs="Arial"/>
          <w:color w:val="auto"/>
          <w:sz w:val="24"/>
        </w:rPr>
      </w:pPr>
      <w:r>
        <w:rPr>
          <w:rFonts w:ascii="Arial" w:hAnsi="Arial" w:cs="Arial"/>
          <w:color w:val="auto"/>
          <w:sz w:val="24"/>
        </w:rPr>
        <w:t xml:space="preserve">This report provides an analysis and assessment of Facebook's data leak Cambridge Analytica scandal. The Cambridge Analytica scandal is the the consultancy used an app called "This Is Your Digital Life" to collect Facebook user data to use it for political purposes advertising without users' informed consent. Facebook was fined £500,000 in the UK and $5 billion in the US. </w:t>
      </w:r>
    </w:p>
    <w:p w14:paraId="26A48FF0">
      <w:pPr>
        <w:spacing w:line="480" w:lineRule="auto"/>
        <w:jc w:val="both"/>
        <w:rPr>
          <w:rFonts w:ascii="Arial" w:hAnsi="Arial" w:cs="Arial"/>
          <w:color w:val="auto"/>
          <w:sz w:val="24"/>
        </w:rPr>
      </w:pPr>
      <w:r>
        <w:rPr>
          <w:rFonts w:ascii="Arial" w:hAnsi="Arial" w:cs="Arial"/>
          <w:color w:val="auto"/>
          <w:sz w:val="24"/>
        </w:rPr>
        <w:t xml:space="preserve">This report will use a cultural relativist framework and Carroll's CSR pyramid model to analyze the responses in the UK and US, as well as those of Facebook's management. </w:t>
      </w:r>
    </w:p>
    <w:p w14:paraId="5E019ECE">
      <w:pPr>
        <w:spacing w:line="480" w:lineRule="auto"/>
        <w:jc w:val="both"/>
        <w:rPr>
          <w:rFonts w:ascii="Arial" w:hAnsi="Arial" w:cs="Arial"/>
          <w:color w:val="auto"/>
          <w:sz w:val="24"/>
        </w:rPr>
      </w:pPr>
      <w:r>
        <w:rPr>
          <w:rFonts w:ascii="Arial" w:hAnsi="Arial" w:cs="Arial"/>
          <w:color w:val="auto"/>
          <w:sz w:val="24"/>
        </w:rPr>
        <w:t xml:space="preserve">The report finds that because of cultural and political differences between the UK and the US, the regulation of data protection in the two countries is different. The UK has robust data protection laws, while the US has looser laws. From a CSR perspective, Facebook's management is positive in terms of economic responsibility, but negative in terms of legal responsibility, ethical responsibility and philanthropic responsibility. </w:t>
      </w:r>
    </w:p>
    <w:p w14:paraId="5B2A3E40">
      <w:pPr>
        <w:spacing w:line="480" w:lineRule="auto"/>
        <w:jc w:val="both"/>
        <w:rPr>
          <w:rFonts w:ascii="Arial" w:hAnsi="Arial" w:cs="Arial"/>
          <w:color w:val="auto"/>
          <w:sz w:val="24"/>
        </w:rPr>
      </w:pPr>
      <w:r>
        <w:rPr>
          <w:rFonts w:ascii="Arial" w:hAnsi="Arial" w:cs="Arial"/>
          <w:color w:val="auto"/>
          <w:sz w:val="24"/>
        </w:rPr>
        <w:t>Therefore, Facebook needs to make some improvements to improve its management. Suggestions discussed include obtaining informed consent from users, enhancing encryption, establishing high data protection standards, publishing better transparency reports and increasing philanthropic support for data security and protection.</w:t>
      </w:r>
    </w:p>
    <w:p w14:paraId="489E007B">
      <w:pPr>
        <w:spacing w:line="480" w:lineRule="auto"/>
        <w:rPr>
          <w:rFonts w:ascii="Arial" w:hAnsi="Arial" w:cs="Arial"/>
          <w:color w:val="auto"/>
          <w:sz w:val="24"/>
        </w:rPr>
      </w:pPr>
    </w:p>
    <w:p w14:paraId="6AC04D93">
      <w:pPr>
        <w:pStyle w:val="2"/>
        <w:numPr>
          <w:ilvl w:val="0"/>
          <w:numId w:val="1"/>
        </w:numPr>
        <w:spacing w:before="0" w:after="0" w:line="480" w:lineRule="auto"/>
        <w:rPr>
          <w:rFonts w:ascii="Arial" w:hAnsi="Arial" w:cs="Arial"/>
          <w:b/>
          <w:bCs/>
          <w:color w:val="auto"/>
          <w:sz w:val="24"/>
          <w:szCs w:val="24"/>
        </w:rPr>
      </w:pPr>
      <w:bookmarkStart w:id="1" w:name="_Toc187179429"/>
      <w:r>
        <w:rPr>
          <w:rFonts w:ascii="Arial" w:hAnsi="Arial" w:cs="Arial"/>
          <w:b/>
          <w:bCs/>
          <w:color w:val="auto"/>
          <w:sz w:val="24"/>
          <w:szCs w:val="24"/>
        </w:rPr>
        <w:t>Introduction</w:t>
      </w:r>
      <w:bookmarkEnd w:id="1"/>
    </w:p>
    <w:p w14:paraId="4E5FB2AF">
      <w:pPr>
        <w:pStyle w:val="3"/>
        <w:spacing w:before="0" w:after="0" w:line="480" w:lineRule="auto"/>
        <w:rPr>
          <w:rFonts w:ascii="Arial" w:hAnsi="Arial" w:cs="Arial"/>
          <w:b/>
          <w:bCs/>
          <w:color w:val="auto"/>
          <w:sz w:val="24"/>
          <w:szCs w:val="24"/>
        </w:rPr>
      </w:pPr>
      <w:bookmarkStart w:id="2" w:name="_Toc187179430"/>
      <w:r>
        <w:rPr>
          <w:rFonts w:ascii="Arial" w:hAnsi="Arial" w:cs="Arial"/>
          <w:b/>
          <w:bCs/>
          <w:color w:val="auto"/>
          <w:sz w:val="24"/>
          <w:szCs w:val="24"/>
        </w:rPr>
        <w:t>1.1 Background</w:t>
      </w:r>
      <w:bookmarkEnd w:id="2"/>
      <w:r>
        <w:rPr>
          <w:rFonts w:ascii="Arial" w:hAnsi="Arial" w:cs="Arial"/>
          <w:b/>
          <w:bCs/>
          <w:color w:val="auto"/>
          <w:sz w:val="24"/>
          <w:szCs w:val="24"/>
        </w:rPr>
        <w:t xml:space="preserve"> </w:t>
      </w:r>
    </w:p>
    <w:p w14:paraId="1C8CE9AA">
      <w:pPr>
        <w:spacing w:line="480" w:lineRule="auto"/>
        <w:jc w:val="both"/>
        <w:rPr>
          <w:rFonts w:ascii="Arial" w:hAnsi="Arial" w:cs="Arial"/>
          <w:color w:val="auto"/>
          <w:sz w:val="24"/>
        </w:rPr>
      </w:pPr>
      <w:r>
        <w:rPr>
          <w:rFonts w:ascii="Arial" w:hAnsi="Arial" w:cs="Arial"/>
          <w:color w:val="auto"/>
          <w:sz w:val="24"/>
        </w:rPr>
        <w:t>Globalization has changed the world and increased the interconnectedness of economies, and some countries and economies have prospered and developed as a result (</w:t>
      </w:r>
      <w:r>
        <w:rPr>
          <w:rFonts w:ascii="Arial" w:hAnsi="Arial" w:cs="Arial"/>
          <w:color w:val="auto"/>
          <w:kern w:val="0"/>
          <w:sz w:val="24"/>
        </w:rPr>
        <w:t>Vdovichena et al., 2022)</w:t>
      </w:r>
      <w:r>
        <w:rPr>
          <w:rFonts w:ascii="Arial" w:hAnsi="Arial" w:cs="Arial"/>
          <w:color w:val="auto"/>
          <w:sz w:val="24"/>
        </w:rPr>
        <w:t>. In addition to factors such as international economic integration, globalization is also driven by the digital revolution, in which social media plays an integral role (</w:t>
      </w:r>
      <w:r>
        <w:rPr>
          <w:rFonts w:ascii="Arial" w:hAnsi="Arial" w:cs="Arial"/>
          <w:color w:val="auto"/>
          <w:kern w:val="0"/>
          <w:sz w:val="24"/>
        </w:rPr>
        <w:t>Imamov and Semenikhina</w:t>
      </w:r>
      <w:r>
        <w:rPr>
          <w:rFonts w:ascii="Arial" w:hAnsi="Arial" w:cs="Arial"/>
          <w:color w:val="auto"/>
          <w:sz w:val="24"/>
        </w:rPr>
        <w:t>, 2021). Social media has changed the way businesses operate, allowing them to reach a wider range of customers across time and space, changing the customer service landscape (</w:t>
      </w:r>
      <w:r>
        <w:rPr>
          <w:rFonts w:ascii="Arial" w:hAnsi="Arial" w:cs="Arial"/>
          <w:color w:val="auto"/>
          <w:kern w:val="0"/>
          <w:sz w:val="24"/>
        </w:rPr>
        <w:t>Garrido-Moreno et al., 2020)</w:t>
      </w:r>
      <w:r>
        <w:rPr>
          <w:rFonts w:ascii="Arial" w:hAnsi="Arial" w:cs="Arial"/>
          <w:color w:val="auto"/>
          <w:sz w:val="24"/>
        </w:rPr>
        <w:t>.</w:t>
      </w:r>
    </w:p>
    <w:p w14:paraId="0E45295B">
      <w:pPr>
        <w:spacing w:line="480" w:lineRule="auto"/>
        <w:jc w:val="both"/>
        <w:rPr>
          <w:rFonts w:ascii="Arial" w:hAnsi="Arial" w:cs="Arial"/>
          <w:color w:val="auto"/>
          <w:sz w:val="24"/>
        </w:rPr>
      </w:pPr>
      <w:r>
        <w:rPr>
          <w:rFonts w:ascii="Arial" w:hAnsi="Arial" w:cs="Arial"/>
          <w:color w:val="auto"/>
          <w:sz w:val="24"/>
        </w:rPr>
        <w:t>However, social media such as Facebook are frequently accused of violating personal privacy and leaking user data. Facebook has suffered repeated data breaches and privacy violations, such as the disclosure of the personal data of 533 million Facebook users in an online forum in 2021, the theft of data from more than 300 million Facebook accounts by a hacker group in 2019, and the Cambridge Analytica scandal in 2018. N</w:t>
      </w:r>
      <w:r>
        <w:rPr>
          <w:rFonts w:hint="eastAsia" w:ascii="Arial" w:hAnsi="Arial" w:cs="Arial"/>
          <w:color w:val="auto"/>
          <w:sz w:val="24"/>
        </w:rPr>
        <w:t>ver</w:t>
      </w:r>
      <w:r>
        <w:rPr>
          <w:rFonts w:ascii="Arial" w:hAnsi="Arial" w:cs="Arial"/>
          <w:color w:val="auto"/>
          <w:sz w:val="24"/>
        </w:rPr>
        <w:t xml:space="preserve">theless, the response to the Facebook data breach in the United States and the United Kingdom is not the same as the </w:t>
      </w:r>
      <w:r>
        <w:rPr>
          <w:rFonts w:hint="eastAsia" w:ascii="Arial" w:hAnsi="Arial" w:cs="Arial"/>
          <w:color w:val="auto"/>
          <w:sz w:val="24"/>
        </w:rPr>
        <w:t>p</w:t>
      </w:r>
      <w:r>
        <w:rPr>
          <w:rFonts w:ascii="Arial" w:hAnsi="Arial" w:cs="Arial"/>
          <w:color w:val="auto"/>
          <w:sz w:val="24"/>
        </w:rPr>
        <w:t>unishment.</w:t>
      </w:r>
    </w:p>
    <w:p w14:paraId="024C78F5">
      <w:pPr>
        <w:pStyle w:val="3"/>
        <w:spacing w:before="0" w:after="0" w:line="480" w:lineRule="auto"/>
        <w:rPr>
          <w:rFonts w:ascii="Arial" w:hAnsi="Arial" w:cs="Arial"/>
          <w:b/>
          <w:bCs/>
          <w:color w:val="auto"/>
          <w:sz w:val="24"/>
          <w:szCs w:val="24"/>
        </w:rPr>
      </w:pPr>
      <w:bookmarkStart w:id="3" w:name="_Toc187179431"/>
      <w:r>
        <w:rPr>
          <w:rFonts w:ascii="Arial" w:hAnsi="Arial" w:cs="Arial"/>
          <w:b/>
          <w:bCs/>
          <w:color w:val="auto"/>
          <w:sz w:val="24"/>
          <w:szCs w:val="24"/>
        </w:rPr>
        <w:t>1.2 Method</w:t>
      </w:r>
      <w:bookmarkEnd w:id="3"/>
    </w:p>
    <w:p w14:paraId="6CB6926C">
      <w:pPr>
        <w:spacing w:line="480" w:lineRule="auto"/>
        <w:jc w:val="both"/>
        <w:rPr>
          <w:rFonts w:ascii="Arial" w:hAnsi="Arial" w:cs="Arial"/>
          <w:color w:val="auto"/>
          <w:sz w:val="24"/>
        </w:rPr>
      </w:pPr>
      <w:r>
        <w:rPr>
          <w:rFonts w:ascii="Arial" w:hAnsi="Arial" w:cs="Arial"/>
          <w:color w:val="auto"/>
          <w:sz w:val="24"/>
        </w:rPr>
        <w:t>This article will analyze how Facebook used or abused business ethics when providing services to the UK and the United States in the case of Cambridge Analytica Scandal through the lens of cultural relativism framework and Carroll's CSR pyramid, and compare the ethical differences between the two countries.</w:t>
      </w:r>
    </w:p>
    <w:p w14:paraId="43B64506">
      <w:pPr>
        <w:pStyle w:val="2"/>
        <w:numPr>
          <w:ilvl w:val="0"/>
          <w:numId w:val="1"/>
        </w:numPr>
        <w:spacing w:before="0" w:after="0" w:line="480" w:lineRule="auto"/>
        <w:rPr>
          <w:rFonts w:ascii="Arial" w:hAnsi="Arial" w:cs="Arial"/>
          <w:b/>
          <w:bCs/>
          <w:color w:val="auto"/>
          <w:sz w:val="24"/>
          <w:szCs w:val="24"/>
        </w:rPr>
      </w:pPr>
      <w:bookmarkStart w:id="4" w:name="_Toc187179432"/>
      <w:r>
        <w:rPr>
          <w:rFonts w:ascii="Arial" w:hAnsi="Arial" w:cs="Arial"/>
          <w:b/>
          <w:bCs/>
          <w:color w:val="auto"/>
          <w:sz w:val="24"/>
          <w:szCs w:val="24"/>
        </w:rPr>
        <w:t>Cultural relativism and Facebook</w:t>
      </w:r>
      <w:bookmarkEnd w:id="4"/>
    </w:p>
    <w:p w14:paraId="3A379091">
      <w:pPr>
        <w:pStyle w:val="3"/>
        <w:spacing w:before="0" w:after="0" w:line="480" w:lineRule="auto"/>
        <w:rPr>
          <w:rFonts w:ascii="Arial" w:hAnsi="Arial" w:cs="Arial"/>
          <w:b/>
          <w:bCs/>
          <w:color w:val="auto"/>
          <w:sz w:val="24"/>
          <w:szCs w:val="24"/>
        </w:rPr>
      </w:pPr>
      <w:bookmarkStart w:id="5" w:name="_Toc187179433"/>
      <w:r>
        <w:rPr>
          <w:rFonts w:ascii="Arial" w:hAnsi="Arial" w:cs="Arial"/>
          <w:b/>
          <w:bCs/>
          <w:color w:val="auto"/>
          <w:sz w:val="24"/>
          <w:szCs w:val="24"/>
        </w:rPr>
        <w:t>2.1 Cultural relativism</w:t>
      </w:r>
      <w:bookmarkEnd w:id="5"/>
    </w:p>
    <w:p w14:paraId="23940078">
      <w:pPr>
        <w:spacing w:line="480" w:lineRule="auto"/>
        <w:jc w:val="both"/>
        <w:rPr>
          <w:rFonts w:ascii="Arial" w:hAnsi="Arial" w:cs="Arial"/>
          <w:color w:val="auto"/>
          <w:sz w:val="24"/>
        </w:rPr>
      </w:pPr>
      <w:r>
        <w:rPr>
          <w:rFonts w:ascii="Arial" w:hAnsi="Arial" w:cs="Arial"/>
          <w:color w:val="auto"/>
          <w:sz w:val="24"/>
        </w:rPr>
        <w:t xml:space="preserve">There is no exact concept of </w:t>
      </w:r>
      <w:bookmarkStart w:id="6" w:name="OLE_LINK2"/>
      <w:r>
        <w:rPr>
          <w:rFonts w:ascii="Arial" w:hAnsi="Arial" w:cs="Arial"/>
          <w:color w:val="auto"/>
          <w:sz w:val="24"/>
        </w:rPr>
        <w:t>cultural relativism, and the unifying consensus is that the ethics, morals, values, beliefs, and behaviors of a country, nation, or group need to be understood in the context of the culture in which they arise</w:t>
      </w:r>
      <w:bookmarkEnd w:id="6"/>
      <w:r>
        <w:rPr>
          <w:rFonts w:hint="eastAsia" w:ascii="Arial" w:hAnsi="Arial" w:cs="Arial"/>
          <w:color w:val="auto"/>
          <w:sz w:val="24"/>
        </w:rPr>
        <w:t xml:space="preserve"> </w:t>
      </w:r>
      <w:r>
        <w:rPr>
          <w:rFonts w:ascii="Arial" w:hAnsi="Arial" w:cs="Arial"/>
          <w:color w:val="auto"/>
          <w:sz w:val="24"/>
        </w:rPr>
        <w:t>(B</w:t>
      </w:r>
      <w:r>
        <w:rPr>
          <w:rFonts w:hint="eastAsia" w:ascii="Arial" w:hAnsi="Arial" w:cs="Arial"/>
          <w:color w:val="auto"/>
          <w:sz w:val="24"/>
        </w:rPr>
        <w:t>r</w:t>
      </w:r>
      <w:r>
        <w:rPr>
          <w:rFonts w:ascii="Arial" w:hAnsi="Arial" w:cs="Arial"/>
          <w:color w:val="auto"/>
          <w:sz w:val="24"/>
        </w:rPr>
        <w:t>own, 2008)</w:t>
      </w:r>
      <w:r>
        <w:rPr>
          <w:rFonts w:hint="eastAsia" w:ascii="Arial" w:hAnsi="Arial" w:cs="Arial"/>
          <w:color w:val="auto"/>
          <w:sz w:val="24"/>
        </w:rPr>
        <w:t>.</w:t>
      </w:r>
      <w:r>
        <w:rPr>
          <w:rFonts w:ascii="Arial" w:hAnsi="Arial" w:cs="Arial"/>
          <w:color w:val="auto"/>
          <w:sz w:val="24"/>
        </w:rPr>
        <w:t xml:space="preserve"> In other words, there is no single standard by which to judge whether a particular cultural norm is correct. Ibitoye (2021) is an advocate of cultural relativism, arguing that </w:t>
      </w:r>
      <w:bookmarkStart w:id="7" w:name="OLE_LINK3"/>
      <w:r>
        <w:rPr>
          <w:rFonts w:ascii="Arial" w:hAnsi="Arial" w:cs="Arial"/>
          <w:color w:val="auto"/>
          <w:sz w:val="24"/>
        </w:rPr>
        <w:t>the values, beliefs, and norms of one culture should not be judged through the lens of another</w:t>
      </w:r>
      <w:bookmarkEnd w:id="7"/>
      <w:r>
        <w:rPr>
          <w:rFonts w:ascii="Arial" w:hAnsi="Arial" w:cs="Arial"/>
          <w:color w:val="auto"/>
          <w:sz w:val="24"/>
        </w:rPr>
        <w:t>.</w:t>
      </w:r>
    </w:p>
    <w:p w14:paraId="4043023F">
      <w:pPr>
        <w:pStyle w:val="3"/>
        <w:spacing w:before="0" w:after="0" w:line="480" w:lineRule="auto"/>
        <w:rPr>
          <w:rFonts w:ascii="Arial" w:hAnsi="Arial" w:cs="Arial"/>
          <w:color w:val="auto"/>
          <w:sz w:val="24"/>
        </w:rPr>
      </w:pPr>
      <w:bookmarkStart w:id="8" w:name="_Toc187179434"/>
      <w:r>
        <w:rPr>
          <w:rFonts w:ascii="Arial" w:hAnsi="Arial" w:cs="Arial"/>
          <w:b/>
          <w:bCs/>
          <w:color w:val="auto"/>
          <w:sz w:val="24"/>
          <w:szCs w:val="24"/>
        </w:rPr>
        <w:t xml:space="preserve">2.2 Application </w:t>
      </w:r>
      <w:r>
        <w:rPr>
          <w:rFonts w:hint="eastAsia" w:ascii="Arial" w:hAnsi="Arial" w:cs="Arial"/>
          <w:b/>
          <w:bCs/>
          <w:color w:val="auto"/>
          <w:sz w:val="24"/>
          <w:szCs w:val="24"/>
        </w:rPr>
        <w:t>of</w:t>
      </w:r>
      <w:r>
        <w:rPr>
          <w:rFonts w:ascii="Arial" w:hAnsi="Arial" w:cs="Arial"/>
          <w:b/>
          <w:bCs/>
          <w:color w:val="auto"/>
          <w:sz w:val="24"/>
          <w:szCs w:val="24"/>
        </w:rPr>
        <w:t xml:space="preserve"> cultural relativism to Facebook</w:t>
      </w:r>
      <w:bookmarkEnd w:id="8"/>
      <w:r>
        <w:rPr>
          <w:rFonts w:ascii="Arial" w:hAnsi="Arial" w:cs="Arial"/>
          <w:color w:val="auto"/>
          <w:sz w:val="24"/>
        </w:rPr>
        <w:t xml:space="preserve"> </w:t>
      </w:r>
    </w:p>
    <w:p w14:paraId="47D7A8D9">
      <w:pPr>
        <w:spacing w:line="480" w:lineRule="auto"/>
        <w:jc w:val="both"/>
        <w:rPr>
          <w:rFonts w:ascii="Arial" w:hAnsi="Arial" w:cs="Arial"/>
          <w:color w:val="auto"/>
          <w:sz w:val="24"/>
        </w:rPr>
      </w:pPr>
      <w:r>
        <w:rPr>
          <w:rFonts w:ascii="Arial" w:hAnsi="Arial" w:cs="Arial"/>
          <w:color w:val="auto"/>
          <w:sz w:val="24"/>
        </w:rPr>
        <w:t xml:space="preserve">Facebook's most notorious data breach </w:t>
      </w:r>
      <w:r>
        <w:rPr>
          <w:rFonts w:hint="eastAsia" w:ascii="Arial" w:hAnsi="Arial" w:cs="Arial"/>
          <w:color w:val="auto"/>
          <w:sz w:val="24"/>
        </w:rPr>
        <w:t>is</w:t>
      </w:r>
      <w:r>
        <w:rPr>
          <w:rFonts w:ascii="Arial" w:hAnsi="Arial" w:cs="Arial"/>
          <w:color w:val="auto"/>
          <w:sz w:val="24"/>
        </w:rPr>
        <w:t xml:space="preserve"> the Cambridge Analytica scandal that the consulting firm used an app called "This Is Your Digital Life" to collect user data to use it for political advertising without users' informed consent (</w:t>
      </w:r>
      <w:r>
        <w:rPr>
          <w:rFonts w:ascii="Arial" w:hAnsi="Arial" w:cs="Arial"/>
          <w:color w:val="auto"/>
          <w:kern w:val="0"/>
          <w:sz w:val="24"/>
        </w:rPr>
        <w:t>González-Pizarro et al., 2022)</w:t>
      </w:r>
      <w:r>
        <w:rPr>
          <w:rFonts w:ascii="Arial" w:hAnsi="Arial" w:cs="Arial"/>
          <w:color w:val="auto"/>
          <w:sz w:val="24"/>
        </w:rPr>
        <w:t>. Although Facebook is fined in both countries, the managerial responses to Facebook in the UK and the US are different. This chapter will analyze the reasons from cultural perspective and political perspective.</w:t>
      </w:r>
    </w:p>
    <w:p w14:paraId="17FF22B7">
      <w:pPr>
        <w:spacing w:line="480" w:lineRule="auto"/>
        <w:jc w:val="both"/>
        <w:rPr>
          <w:rFonts w:ascii="Arial" w:hAnsi="Arial" w:cs="Arial"/>
          <w:b/>
          <w:bCs/>
          <w:color w:val="auto"/>
          <w:sz w:val="24"/>
        </w:rPr>
      </w:pPr>
      <w:r>
        <w:rPr>
          <w:rFonts w:ascii="Arial" w:hAnsi="Arial" w:cs="Arial"/>
          <w:b/>
          <w:bCs/>
          <w:color w:val="auto"/>
          <w:sz w:val="24"/>
        </w:rPr>
        <w:t>Cultural difference</w:t>
      </w:r>
    </w:p>
    <w:p w14:paraId="1EC65ADC">
      <w:pPr>
        <w:spacing w:line="480" w:lineRule="auto"/>
        <w:jc w:val="both"/>
        <w:rPr>
          <w:rFonts w:ascii="Arial" w:hAnsi="Arial" w:cs="Arial"/>
          <w:color w:val="auto"/>
          <w:sz w:val="24"/>
        </w:rPr>
      </w:pPr>
      <w:r>
        <w:rPr>
          <w:rFonts w:ascii="Arial" w:hAnsi="Arial" w:cs="Arial"/>
          <w:color w:val="auto"/>
          <w:sz w:val="24"/>
        </w:rPr>
        <w:t>According to the survey, 38.4</w:t>
      </w:r>
      <w:r>
        <w:rPr>
          <w:rFonts w:hint="eastAsia" w:ascii="Arial" w:hAnsi="Arial" w:cs="Arial"/>
          <w:color w:val="auto"/>
          <w:sz w:val="24"/>
        </w:rPr>
        <w:t>%</w:t>
      </w:r>
      <w:r>
        <w:rPr>
          <w:rFonts w:ascii="Arial" w:hAnsi="Arial" w:cs="Arial"/>
          <w:color w:val="auto"/>
          <w:sz w:val="24"/>
        </w:rPr>
        <w:t xml:space="preserve"> of Brit</w:t>
      </w:r>
      <w:r>
        <w:rPr>
          <w:rFonts w:hint="eastAsia" w:ascii="Arial" w:hAnsi="Arial" w:cs="Arial"/>
          <w:color w:val="auto"/>
          <w:sz w:val="24"/>
        </w:rPr>
        <w:t>ish</w:t>
      </w:r>
      <w:r>
        <w:rPr>
          <w:rFonts w:ascii="Arial" w:hAnsi="Arial" w:cs="Arial"/>
          <w:color w:val="auto"/>
          <w:sz w:val="24"/>
        </w:rPr>
        <w:t xml:space="preserve"> are concerned about how companies might use their online data (Statista, 2024), compared to 67% of Americans (Mcclain et al., 2023). In addition, 71 % of Americans are concerned about how their data is used by the government, up from 64 % in 2019 (Mcclain et al., 2023). Part of the reason for the gap is that people in the two countries have different levels of trust in business and government (Mansoor, 2021). British apparently have more trust in the government, which has tightened regulations in the wake of the Cambridge Analytica scandal. For example, in addition to enforcing fines, the ICO is putting El don Insurance Services and the UK's official Remain campaign under greater scrutiny, as well as re-auditing the University of Cambridge's Psychometrics Centre (Neudert, 2023). More importantly, the ICO is expected to introduce a stricter code of conduct to restrict the use of personal information by political campaigns. However, the United States does not follow up with more </w:t>
      </w:r>
      <w:bookmarkStart w:id="9" w:name="OLE_LINK6"/>
      <w:r>
        <w:rPr>
          <w:rFonts w:ascii="Arial" w:hAnsi="Arial" w:cs="Arial"/>
          <w:color w:val="auto"/>
          <w:sz w:val="24"/>
        </w:rPr>
        <w:t>stringent review and regulatory practices</w:t>
      </w:r>
      <w:bookmarkEnd w:id="9"/>
      <w:r>
        <w:rPr>
          <w:rFonts w:ascii="Arial" w:hAnsi="Arial" w:cs="Arial"/>
          <w:color w:val="auto"/>
          <w:sz w:val="24"/>
        </w:rPr>
        <w:t xml:space="preserve">. Because the FTC has limited statutory authority and is constrained by the First Amendment, it is unlikely to investigate the collection of user-specific data at the root of the Cambridge </w:t>
      </w:r>
      <w:r>
        <w:rPr>
          <w:rFonts w:hint="eastAsia" w:ascii="Arial" w:hAnsi="Arial" w:cs="Arial"/>
          <w:color w:val="auto"/>
          <w:sz w:val="24"/>
        </w:rPr>
        <w:t>ana</w:t>
      </w:r>
      <w:r>
        <w:rPr>
          <w:rFonts w:ascii="Arial" w:hAnsi="Arial" w:cs="Arial"/>
          <w:color w:val="auto"/>
          <w:sz w:val="24"/>
        </w:rPr>
        <w:t xml:space="preserve">lytical scandal. The move by the U.S. government underscores the importance of Facebook in political elections. This is actually the fundamental factor that undermines public trust. </w:t>
      </w:r>
    </w:p>
    <w:p w14:paraId="5878B994">
      <w:pPr>
        <w:spacing w:line="480" w:lineRule="auto"/>
        <w:jc w:val="center"/>
        <w:rPr>
          <w:rFonts w:ascii="Arial" w:hAnsi="Arial" w:cs="Arial"/>
          <w:color w:val="auto"/>
          <w:sz w:val="24"/>
        </w:rPr>
      </w:pPr>
      <w:r>
        <w:rPr>
          <w:rFonts w:ascii="Arial" w:hAnsi="Arial" w:cs="Arial"/>
          <w:color w:val="auto"/>
          <w:sz w:val="24"/>
        </w:rPr>
        <w:drawing>
          <wp:inline distT="0" distB="0" distL="0" distR="0">
            <wp:extent cx="3388360" cy="2190115"/>
            <wp:effectExtent l="0" t="0" r="2540" b="635"/>
            <wp:docPr id="5151645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64508" name="图片 1"/>
                    <pic:cNvPicPr>
                      <a:picLocks noChangeAspect="1"/>
                    </pic:cNvPicPr>
                  </pic:nvPicPr>
                  <pic:blipFill>
                    <a:blip r:embed="rId8"/>
                    <a:stretch>
                      <a:fillRect/>
                    </a:stretch>
                  </pic:blipFill>
                  <pic:spPr>
                    <a:xfrm>
                      <a:off x="0" y="0"/>
                      <a:ext cx="3498908" cy="2261618"/>
                    </a:xfrm>
                    <a:prstGeom prst="rect">
                      <a:avLst/>
                    </a:prstGeom>
                  </pic:spPr>
                </pic:pic>
              </a:graphicData>
            </a:graphic>
          </wp:inline>
        </w:drawing>
      </w:r>
    </w:p>
    <w:p w14:paraId="60D28CC8">
      <w:pPr>
        <w:spacing w:line="480" w:lineRule="auto"/>
        <w:jc w:val="center"/>
        <w:rPr>
          <w:rFonts w:ascii="Arial" w:hAnsi="Arial" w:cs="Arial"/>
          <w:color w:val="auto"/>
          <w:sz w:val="24"/>
        </w:rPr>
      </w:pPr>
      <w:r>
        <w:rPr>
          <w:rFonts w:ascii="Arial" w:hAnsi="Arial" w:cs="Arial"/>
          <w:color w:val="auto"/>
          <w:sz w:val="24"/>
        </w:rPr>
        <w:t>F</w:t>
      </w:r>
      <w:r>
        <w:rPr>
          <w:rFonts w:hint="eastAsia" w:ascii="Arial" w:hAnsi="Arial" w:cs="Arial"/>
          <w:color w:val="auto"/>
          <w:sz w:val="24"/>
        </w:rPr>
        <w:t>igure</w:t>
      </w:r>
      <w:r>
        <w:rPr>
          <w:rFonts w:ascii="Arial" w:hAnsi="Arial" w:cs="Arial"/>
          <w:color w:val="auto"/>
          <w:sz w:val="24"/>
        </w:rPr>
        <w:t xml:space="preserve"> 1. Attitude Toward Data Privacy in the </w:t>
      </w:r>
      <w:r>
        <w:rPr>
          <w:rFonts w:hint="eastAsia" w:ascii="Arial" w:hAnsi="Arial" w:cs="Arial"/>
          <w:color w:val="auto"/>
          <w:sz w:val="24"/>
        </w:rPr>
        <w:t>USA</w:t>
      </w:r>
    </w:p>
    <w:p w14:paraId="6D6ED708">
      <w:pPr>
        <w:spacing w:line="480" w:lineRule="auto"/>
        <w:jc w:val="center"/>
        <w:rPr>
          <w:rFonts w:ascii="Arial" w:hAnsi="Arial" w:cs="Arial"/>
          <w:color w:val="auto"/>
          <w:sz w:val="24"/>
        </w:rPr>
      </w:pPr>
      <w:r>
        <w:rPr>
          <w:rFonts w:ascii="Arial" w:hAnsi="Arial" w:cs="Arial"/>
          <w:color w:val="auto"/>
          <w:sz w:val="24"/>
        </w:rPr>
        <w:t>(Source: Pew Research Center, 2023)</w:t>
      </w:r>
    </w:p>
    <w:p w14:paraId="116EDCE5">
      <w:pPr>
        <w:spacing w:line="480" w:lineRule="auto"/>
        <w:jc w:val="both"/>
        <w:rPr>
          <w:rFonts w:ascii="Arial" w:hAnsi="Arial" w:cs="Arial"/>
          <w:color w:val="auto"/>
          <w:sz w:val="24"/>
        </w:rPr>
      </w:pPr>
      <w:r>
        <w:rPr>
          <w:rFonts w:ascii="Arial" w:hAnsi="Arial" w:cs="Arial"/>
          <w:color w:val="auto"/>
          <w:sz w:val="24"/>
        </w:rPr>
        <w:t>C</w:t>
      </w:r>
      <w:r>
        <w:rPr>
          <w:rFonts w:hint="eastAsia" w:ascii="Arial" w:hAnsi="Arial" w:cs="Arial"/>
          <w:color w:val="auto"/>
          <w:sz w:val="24"/>
        </w:rPr>
        <w:t>uturally</w:t>
      </w:r>
      <w:r>
        <w:rPr>
          <w:rFonts w:ascii="Arial" w:hAnsi="Arial" w:cs="Arial"/>
          <w:color w:val="auto"/>
          <w:sz w:val="24"/>
        </w:rPr>
        <w:t xml:space="preserve">, </w:t>
      </w:r>
      <w:r>
        <w:rPr>
          <w:rFonts w:hint="eastAsia" w:ascii="Arial" w:hAnsi="Arial" w:cs="Arial"/>
          <w:color w:val="auto"/>
          <w:sz w:val="24"/>
        </w:rPr>
        <w:t>the</w:t>
      </w:r>
      <w:r>
        <w:rPr>
          <w:rFonts w:ascii="Arial" w:hAnsi="Arial" w:cs="Arial"/>
          <w:color w:val="auto"/>
          <w:sz w:val="24"/>
        </w:rPr>
        <w:t xml:space="preserve"> UK and the United States place different values on personal privacy. The United Kingdom lists personal privacy as a fundamental right, while the United States is concerned about the commodification of personal data because the United States has spread disinformation to online audiences at the cost of privacy, such as the Russian elections (Vagle, 2024).</w:t>
      </w:r>
    </w:p>
    <w:p w14:paraId="7D31745D">
      <w:pPr>
        <w:spacing w:line="480" w:lineRule="auto"/>
        <w:jc w:val="both"/>
        <w:rPr>
          <w:rFonts w:ascii="Arial" w:hAnsi="Arial" w:cs="Arial"/>
          <w:b/>
          <w:bCs/>
          <w:color w:val="auto"/>
          <w:sz w:val="24"/>
        </w:rPr>
      </w:pPr>
      <w:r>
        <w:rPr>
          <w:rFonts w:ascii="Arial" w:hAnsi="Arial" w:cs="Arial"/>
          <w:b/>
          <w:bCs/>
          <w:color w:val="auto"/>
          <w:sz w:val="24"/>
        </w:rPr>
        <w:t>Political difference</w:t>
      </w:r>
    </w:p>
    <w:p w14:paraId="3326BD5E">
      <w:pPr>
        <w:spacing w:line="480" w:lineRule="auto"/>
        <w:jc w:val="both"/>
        <w:rPr>
          <w:rFonts w:ascii="Arial" w:hAnsi="Arial" w:cs="Arial"/>
          <w:color w:val="auto"/>
          <w:sz w:val="24"/>
        </w:rPr>
      </w:pPr>
      <w:r>
        <w:rPr>
          <w:rFonts w:ascii="Arial" w:hAnsi="Arial" w:cs="Arial"/>
          <w:color w:val="auto"/>
          <w:sz w:val="24"/>
        </w:rPr>
        <w:t xml:space="preserve">The UK </w:t>
      </w:r>
      <w:r>
        <w:rPr>
          <w:rFonts w:hint="eastAsia" w:ascii="Arial" w:hAnsi="Arial" w:cs="Arial"/>
          <w:color w:val="auto"/>
          <w:sz w:val="24"/>
        </w:rPr>
        <w:t>and</w:t>
      </w:r>
      <w:r>
        <w:rPr>
          <w:rFonts w:ascii="Arial" w:hAnsi="Arial" w:cs="Arial"/>
          <w:color w:val="auto"/>
          <w:sz w:val="24"/>
        </w:rPr>
        <w:t xml:space="preserve"> the US are discrepant in privacy rules.</w:t>
      </w:r>
      <w:r>
        <w:rPr>
          <w:rFonts w:hint="eastAsia" w:ascii="Arial" w:hAnsi="Arial" w:cs="Arial"/>
          <w:color w:val="auto"/>
          <w:sz w:val="24"/>
        </w:rPr>
        <w:t xml:space="preserve"> </w:t>
      </w:r>
      <w:r>
        <w:rPr>
          <w:rFonts w:ascii="Arial" w:hAnsi="Arial" w:cs="Arial"/>
          <w:color w:val="auto"/>
          <w:sz w:val="24"/>
        </w:rPr>
        <w:t>The UK has incorporated the General Data Protection Regulation (GDPR) into its laws, for example by stipulating that in the event of a data breach, the controlling body needs to notify the victim within 72 hours (Intersoft Consulting, 2024). Therefore, after Facebook exposed the Cambridge Analytica scandal, the UK's Information Commissioner's Office (ICO) fined the company up to £500,000 (Hern and Pegg, 2018).</w:t>
      </w:r>
    </w:p>
    <w:p w14:paraId="08861EAF">
      <w:pPr>
        <w:spacing w:line="480" w:lineRule="auto"/>
        <w:jc w:val="both"/>
        <w:rPr>
          <w:rFonts w:ascii="Arial" w:hAnsi="Arial" w:cs="Arial"/>
          <w:color w:val="auto"/>
          <w:sz w:val="24"/>
        </w:rPr>
      </w:pPr>
      <w:r>
        <w:rPr>
          <w:rFonts w:ascii="Arial" w:hAnsi="Arial" w:cs="Arial"/>
          <w:color w:val="auto"/>
          <w:sz w:val="24"/>
        </w:rPr>
        <w:t>The United States does not have a federal data protection law, and only 20 states, including California and Virginia etc., have comprehensive data privacy laws. F</w:t>
      </w:r>
      <w:r>
        <w:rPr>
          <w:rFonts w:hint="eastAsia" w:ascii="Arial" w:hAnsi="Arial" w:cs="Arial"/>
          <w:color w:val="auto"/>
          <w:sz w:val="24"/>
        </w:rPr>
        <w:t>igure</w:t>
      </w:r>
      <w:r>
        <w:rPr>
          <w:rFonts w:ascii="Arial" w:hAnsi="Arial" w:cs="Arial"/>
          <w:color w:val="auto"/>
          <w:sz w:val="24"/>
        </w:rPr>
        <w:t xml:space="preserve"> 2 (Bloomberg Law, 2024) shows that privacy legislation in the United States is patchy and is not standardized.</w:t>
      </w:r>
      <w:r>
        <w:rPr>
          <w:rFonts w:hint="eastAsia" w:ascii="Arial" w:hAnsi="Arial" w:cs="Arial"/>
          <w:color w:val="auto"/>
          <w:sz w:val="24"/>
        </w:rPr>
        <w:t xml:space="preserve"> H</w:t>
      </w:r>
      <w:r>
        <w:rPr>
          <w:rFonts w:ascii="Arial" w:hAnsi="Arial" w:cs="Arial"/>
          <w:color w:val="auto"/>
          <w:sz w:val="24"/>
        </w:rPr>
        <w:t xml:space="preserve">ence, although the United States made the decision to impose a 5 billion fine, many people were still not satisfied with the United States' approach. Because compared to Facebook's annual revenue, a $5 billion fine is a piece of cake. </w:t>
      </w:r>
    </w:p>
    <w:p w14:paraId="54964B02">
      <w:pPr>
        <w:spacing w:line="480" w:lineRule="auto"/>
        <w:jc w:val="center"/>
        <w:rPr>
          <w:rFonts w:ascii="Arial" w:hAnsi="Arial" w:cs="Arial"/>
          <w:color w:val="auto"/>
          <w:sz w:val="24"/>
        </w:rPr>
      </w:pPr>
      <w:r>
        <w:rPr>
          <w:rFonts w:ascii="Arial" w:hAnsi="Arial" w:cs="Arial"/>
          <w:color w:val="auto"/>
          <w:sz w:val="24"/>
        </w:rPr>
        <w:drawing>
          <wp:inline distT="0" distB="0" distL="0" distR="0">
            <wp:extent cx="3255010" cy="2030730"/>
            <wp:effectExtent l="0" t="0" r="2540" b="7620"/>
            <wp:docPr id="16004230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23030" name="图片 1"/>
                    <pic:cNvPicPr>
                      <a:picLocks noChangeAspect="1"/>
                    </pic:cNvPicPr>
                  </pic:nvPicPr>
                  <pic:blipFill>
                    <a:blip r:embed="rId9"/>
                    <a:stretch>
                      <a:fillRect/>
                    </a:stretch>
                  </pic:blipFill>
                  <pic:spPr>
                    <a:xfrm>
                      <a:off x="0" y="0"/>
                      <a:ext cx="3312830" cy="2066831"/>
                    </a:xfrm>
                    <a:prstGeom prst="rect">
                      <a:avLst/>
                    </a:prstGeom>
                  </pic:spPr>
                </pic:pic>
              </a:graphicData>
            </a:graphic>
          </wp:inline>
        </w:drawing>
      </w:r>
    </w:p>
    <w:p w14:paraId="4846BAA2">
      <w:pPr>
        <w:spacing w:line="480" w:lineRule="auto"/>
        <w:jc w:val="center"/>
        <w:rPr>
          <w:rFonts w:ascii="Arial" w:hAnsi="Arial" w:cs="Arial"/>
          <w:color w:val="auto"/>
          <w:sz w:val="24"/>
        </w:rPr>
      </w:pPr>
      <w:r>
        <w:rPr>
          <w:rFonts w:ascii="Arial" w:hAnsi="Arial" w:cs="Arial"/>
          <w:color w:val="auto"/>
          <w:sz w:val="24"/>
        </w:rPr>
        <w:t>Figure 2. Map of State Privacy L</w:t>
      </w:r>
      <w:r>
        <w:rPr>
          <w:rFonts w:hint="eastAsia" w:ascii="Arial" w:hAnsi="Arial" w:cs="Arial"/>
          <w:color w:val="auto"/>
          <w:sz w:val="24"/>
        </w:rPr>
        <w:t>aws</w:t>
      </w:r>
      <w:r>
        <w:rPr>
          <w:rFonts w:ascii="Arial" w:hAnsi="Arial" w:cs="Arial"/>
          <w:color w:val="auto"/>
          <w:sz w:val="24"/>
        </w:rPr>
        <w:t xml:space="preserve"> </w:t>
      </w:r>
    </w:p>
    <w:p w14:paraId="6E951787">
      <w:pPr>
        <w:spacing w:line="480" w:lineRule="auto"/>
        <w:jc w:val="center"/>
        <w:rPr>
          <w:rFonts w:ascii="Arial" w:hAnsi="Arial" w:cs="Arial"/>
          <w:color w:val="auto"/>
          <w:sz w:val="24"/>
        </w:rPr>
      </w:pPr>
      <w:r>
        <w:rPr>
          <w:rFonts w:ascii="Arial" w:hAnsi="Arial" w:cs="Arial"/>
          <w:color w:val="auto"/>
          <w:sz w:val="24"/>
        </w:rPr>
        <w:t xml:space="preserve">(Source: </w:t>
      </w:r>
      <w:bookmarkStart w:id="10" w:name="OLE_LINK5"/>
      <w:r>
        <w:rPr>
          <w:rFonts w:ascii="Arial" w:hAnsi="Arial" w:cs="Arial"/>
          <w:color w:val="auto"/>
          <w:sz w:val="24"/>
        </w:rPr>
        <w:t>Bloomberg Law, 2024</w:t>
      </w:r>
      <w:bookmarkEnd w:id="10"/>
      <w:r>
        <w:rPr>
          <w:rFonts w:ascii="Arial" w:hAnsi="Arial" w:cs="Arial"/>
          <w:color w:val="auto"/>
          <w:sz w:val="24"/>
        </w:rPr>
        <w:t>)</w:t>
      </w:r>
    </w:p>
    <w:p w14:paraId="47040647">
      <w:pPr>
        <w:spacing w:line="480" w:lineRule="auto"/>
        <w:jc w:val="both"/>
        <w:rPr>
          <w:rFonts w:ascii="Arial" w:hAnsi="Arial" w:cs="Arial"/>
          <w:color w:val="auto"/>
          <w:sz w:val="24"/>
        </w:rPr>
      </w:pPr>
      <w:r>
        <w:rPr>
          <w:rFonts w:ascii="Arial" w:hAnsi="Arial" w:cs="Arial"/>
          <w:color w:val="auto"/>
          <w:sz w:val="24"/>
        </w:rPr>
        <w:t xml:space="preserve">Politically, </w:t>
      </w:r>
      <w:r>
        <w:rPr>
          <w:rFonts w:hint="eastAsia" w:ascii="Arial" w:hAnsi="Arial" w:cs="Arial"/>
          <w:color w:val="auto"/>
          <w:sz w:val="24"/>
        </w:rPr>
        <w:t>f</w:t>
      </w:r>
      <w:r>
        <w:rPr>
          <w:rFonts w:ascii="Arial" w:hAnsi="Arial" w:cs="Arial"/>
          <w:color w:val="auto"/>
          <w:sz w:val="24"/>
        </w:rPr>
        <w:t xml:space="preserve">rom the perspective of cultural relativism, the British government's regulation of social media is more centralized and stricter to protect citizens' privacy rights. </w:t>
      </w:r>
      <w:bookmarkStart w:id="11" w:name="OLE_LINK7"/>
      <w:r>
        <w:rPr>
          <w:rFonts w:ascii="Arial" w:hAnsi="Arial" w:cs="Arial"/>
          <w:color w:val="auto"/>
          <w:sz w:val="24"/>
        </w:rPr>
        <w:t>The United States, on the other hand, operates in a fragmented and light-touch regulatory environment</w:t>
      </w:r>
      <w:bookmarkEnd w:id="11"/>
      <w:r>
        <w:rPr>
          <w:rFonts w:ascii="Arial" w:hAnsi="Arial" w:cs="Arial"/>
          <w:color w:val="auto"/>
          <w:sz w:val="24"/>
        </w:rPr>
        <w:t xml:space="preserve"> (Castro et al., 2022). In many previous data breaches, U.S. regulators and Facebook have only reached settlements without imposing harsh penalties. In 2011, for example, Facebook entered into a consent decree with the Federal Trade Commission that explicitly required it to obtain permission before accessing user data (Vladeck, 2018). But, as a result, Facebook is still in violation of the law.</w:t>
      </w:r>
    </w:p>
    <w:p w14:paraId="11BCE112">
      <w:pPr>
        <w:pStyle w:val="2"/>
        <w:numPr>
          <w:ilvl w:val="0"/>
          <w:numId w:val="1"/>
        </w:numPr>
        <w:spacing w:before="0" w:after="0" w:line="480" w:lineRule="auto"/>
        <w:rPr>
          <w:rFonts w:ascii="Arial" w:hAnsi="Arial" w:cs="Arial"/>
          <w:b/>
          <w:bCs/>
          <w:color w:val="auto"/>
          <w:sz w:val="24"/>
          <w:szCs w:val="24"/>
        </w:rPr>
      </w:pPr>
      <w:bookmarkStart w:id="12" w:name="_Toc187179435"/>
      <w:r>
        <w:rPr>
          <w:rFonts w:ascii="Arial" w:hAnsi="Arial" w:cs="Arial"/>
          <w:b/>
          <w:bCs/>
          <w:color w:val="auto"/>
          <w:sz w:val="24"/>
          <w:szCs w:val="24"/>
        </w:rPr>
        <w:t>Using the Carroll’s CSR pyramid to analyze Facebook managerial response</w:t>
      </w:r>
      <w:bookmarkEnd w:id="12"/>
    </w:p>
    <w:p w14:paraId="391EB0A3">
      <w:pPr>
        <w:pStyle w:val="3"/>
        <w:spacing w:before="0" w:after="0" w:line="480" w:lineRule="auto"/>
        <w:rPr>
          <w:rFonts w:ascii="Arial" w:hAnsi="Arial" w:cs="Arial"/>
          <w:b/>
          <w:bCs/>
          <w:color w:val="auto"/>
          <w:sz w:val="24"/>
          <w:szCs w:val="24"/>
        </w:rPr>
      </w:pPr>
      <w:bookmarkStart w:id="13" w:name="_Toc187179436"/>
      <w:r>
        <w:rPr>
          <w:rFonts w:ascii="Arial" w:hAnsi="Arial" w:cs="Arial"/>
          <w:b/>
          <w:bCs/>
          <w:color w:val="auto"/>
          <w:sz w:val="24"/>
          <w:szCs w:val="24"/>
        </w:rPr>
        <w:t>3.1 Carroll’s CSR Pyramid</w:t>
      </w:r>
      <w:bookmarkEnd w:id="13"/>
    </w:p>
    <w:p w14:paraId="30DA702D">
      <w:pPr>
        <w:spacing w:line="480" w:lineRule="auto"/>
        <w:jc w:val="both"/>
        <w:rPr>
          <w:rFonts w:ascii="Arial" w:hAnsi="Arial" w:cs="Arial"/>
          <w:color w:val="auto"/>
          <w:sz w:val="24"/>
        </w:rPr>
      </w:pPr>
      <w:r>
        <w:rPr>
          <w:rFonts w:ascii="Arial" w:hAnsi="Arial" w:cs="Arial"/>
          <w:color w:val="auto"/>
          <w:sz w:val="24"/>
        </w:rPr>
        <w:t>The definition of corporate social responsibility (CSR) is that companies need to consider not only their economic benefits, but also the impact on society, employees and other stakeholders (Barauskaite and Streimikiene, 2021). This definition reflects that companies should play an active role in the community and consider the environmental and social impacts of their business practices.</w:t>
      </w:r>
      <w:r>
        <w:rPr>
          <w:rFonts w:hint="eastAsia" w:ascii="Arial" w:hAnsi="Arial" w:cs="Arial"/>
          <w:color w:val="auto"/>
          <w:sz w:val="24"/>
        </w:rPr>
        <w:t xml:space="preserve"> </w:t>
      </w:r>
      <w:r>
        <w:rPr>
          <w:rFonts w:ascii="Arial" w:hAnsi="Arial" w:cs="Arial"/>
          <w:color w:val="auto"/>
          <w:sz w:val="24"/>
        </w:rPr>
        <w:t xml:space="preserve">Carroll's CSR pyramid model consists of four key components: economic, legal, ethical, and </w:t>
      </w:r>
      <w:bookmarkStart w:id="14" w:name="OLE_LINK10"/>
      <w:r>
        <w:rPr>
          <w:rFonts w:ascii="Arial" w:hAnsi="Arial" w:cs="Arial"/>
          <w:color w:val="auto"/>
          <w:sz w:val="24"/>
        </w:rPr>
        <w:t xml:space="preserve">philanthropic </w:t>
      </w:r>
      <w:bookmarkEnd w:id="14"/>
      <w:r>
        <w:rPr>
          <w:rFonts w:ascii="Arial" w:hAnsi="Arial" w:cs="Arial"/>
          <w:color w:val="auto"/>
          <w:sz w:val="24"/>
        </w:rPr>
        <w:t xml:space="preserve">responsibility. </w:t>
      </w:r>
      <w:bookmarkStart w:id="15" w:name="OLE_LINK11"/>
      <w:r>
        <w:rPr>
          <w:rFonts w:ascii="Arial" w:hAnsi="Arial" w:cs="Arial"/>
          <w:color w:val="auto"/>
          <w:sz w:val="24"/>
        </w:rPr>
        <w:t>Carroll's definition of these four parts is that to be socially responsible, a business must meet the economic, legal, moral, and charitable expectations placed on it by society at a specific point in time (</w:t>
      </w:r>
      <w:r>
        <w:rPr>
          <w:rFonts w:ascii="Arial" w:hAnsi="Arial" w:cs="Arial"/>
          <w:color w:val="auto"/>
          <w:kern w:val="0"/>
          <w:sz w:val="24"/>
        </w:rPr>
        <w:t>Martens and Kleinfeld, 2022)</w:t>
      </w:r>
      <w:r>
        <w:rPr>
          <w:rFonts w:ascii="Arial" w:hAnsi="Arial" w:cs="Arial"/>
          <w:color w:val="auto"/>
          <w:sz w:val="24"/>
        </w:rPr>
        <w:t>.</w:t>
      </w:r>
      <w:bookmarkEnd w:id="15"/>
      <w:r>
        <w:rPr>
          <w:rFonts w:ascii="Arial" w:hAnsi="Arial" w:cs="Arial"/>
          <w:color w:val="auto"/>
          <w:sz w:val="24"/>
        </w:rPr>
        <w:t xml:space="preserve"> Economic responsibility is the lowest level that an enterprise needs to reach and the basis for its survival, while philanthropic responsibility is the highest level of the pyramid. </w:t>
      </w:r>
    </w:p>
    <w:p w14:paraId="61E6D9EE">
      <w:pPr>
        <w:pStyle w:val="3"/>
        <w:spacing w:before="0" w:after="0" w:line="480" w:lineRule="auto"/>
        <w:rPr>
          <w:rFonts w:ascii="Arial" w:hAnsi="Arial" w:cs="Arial"/>
          <w:b/>
          <w:bCs/>
          <w:color w:val="auto"/>
          <w:sz w:val="24"/>
          <w:szCs w:val="24"/>
        </w:rPr>
      </w:pPr>
      <w:bookmarkStart w:id="16" w:name="_Toc187179437"/>
      <w:r>
        <w:rPr>
          <w:rFonts w:ascii="Arial" w:hAnsi="Arial" w:cs="Arial"/>
          <w:b/>
          <w:bCs/>
          <w:color w:val="auto"/>
          <w:sz w:val="24"/>
          <w:szCs w:val="24"/>
        </w:rPr>
        <w:t xml:space="preserve">3.2 Application of Carroll CSR Pyramid </w:t>
      </w:r>
      <w:r>
        <w:rPr>
          <w:rFonts w:hint="eastAsia" w:ascii="Arial" w:hAnsi="Arial" w:cs="Arial"/>
          <w:b/>
          <w:bCs/>
          <w:color w:val="auto"/>
          <w:sz w:val="24"/>
          <w:szCs w:val="24"/>
        </w:rPr>
        <w:t>to</w:t>
      </w:r>
      <w:r>
        <w:rPr>
          <w:rFonts w:ascii="Arial" w:hAnsi="Arial" w:cs="Arial"/>
          <w:b/>
          <w:bCs/>
          <w:color w:val="auto"/>
          <w:sz w:val="24"/>
          <w:szCs w:val="24"/>
        </w:rPr>
        <w:t xml:space="preserve"> Facebook</w:t>
      </w:r>
      <w:bookmarkEnd w:id="16"/>
    </w:p>
    <w:p w14:paraId="4EC61414">
      <w:pPr>
        <w:spacing w:line="480" w:lineRule="auto"/>
        <w:jc w:val="both"/>
        <w:rPr>
          <w:rFonts w:ascii="Arial" w:hAnsi="Arial" w:cs="Arial"/>
          <w:color w:val="auto"/>
          <w:sz w:val="24"/>
        </w:rPr>
      </w:pPr>
      <w:r>
        <w:rPr>
          <w:rFonts w:ascii="Arial" w:hAnsi="Arial" w:cs="Arial"/>
          <w:color w:val="auto"/>
          <w:sz w:val="24"/>
        </w:rPr>
        <w:t>This chapter will use the Carroll CSR Pyramid model to analyze what level of manag</w:t>
      </w:r>
      <w:r>
        <w:rPr>
          <w:rFonts w:hint="eastAsia" w:ascii="Arial" w:hAnsi="Arial" w:cs="Arial"/>
          <w:color w:val="auto"/>
          <w:sz w:val="24"/>
        </w:rPr>
        <w:t>erial</w:t>
      </w:r>
      <w:r>
        <w:rPr>
          <w:rFonts w:ascii="Arial" w:hAnsi="Arial" w:cs="Arial"/>
          <w:color w:val="auto"/>
          <w:sz w:val="24"/>
        </w:rPr>
        <w:t xml:space="preserve"> response Facebook has reached.</w:t>
      </w:r>
    </w:p>
    <w:p w14:paraId="7E46D765">
      <w:pPr>
        <w:spacing w:line="480" w:lineRule="auto"/>
        <w:jc w:val="both"/>
        <w:rPr>
          <w:rFonts w:ascii="Arial" w:hAnsi="Arial" w:cs="Arial"/>
          <w:b/>
          <w:bCs/>
          <w:color w:val="auto"/>
          <w:sz w:val="24"/>
        </w:rPr>
      </w:pPr>
      <w:r>
        <w:rPr>
          <w:rFonts w:ascii="Arial" w:hAnsi="Arial" w:cs="Arial"/>
          <w:b/>
          <w:bCs/>
          <w:color w:val="auto"/>
          <w:sz w:val="24"/>
        </w:rPr>
        <w:t>Economic responsibility</w:t>
      </w:r>
    </w:p>
    <w:p w14:paraId="6CE5C976">
      <w:pPr>
        <w:spacing w:line="480" w:lineRule="auto"/>
        <w:jc w:val="both"/>
        <w:rPr>
          <w:rFonts w:ascii="Arial" w:hAnsi="Arial" w:cs="Arial"/>
          <w:color w:val="auto"/>
          <w:sz w:val="24"/>
        </w:rPr>
      </w:pPr>
      <w:bookmarkStart w:id="17" w:name="OLE_LINK12"/>
      <w:r>
        <w:rPr>
          <w:rFonts w:ascii="Arial" w:hAnsi="Arial" w:cs="Arial"/>
          <w:color w:val="auto"/>
          <w:sz w:val="24"/>
        </w:rPr>
        <w:t>Carroll believes that the economic responsibility of the business takes precedence over other responsibilities</w:t>
      </w:r>
      <w:bookmarkEnd w:id="17"/>
      <w:r>
        <w:rPr>
          <w:rFonts w:ascii="Arial" w:hAnsi="Arial" w:cs="Arial"/>
          <w:color w:val="auto"/>
          <w:sz w:val="24"/>
        </w:rPr>
        <w:t>, because shareholders need to get returns, employees need wages, etc., which are based on economic basis</w:t>
      </w:r>
      <w:r>
        <w:rPr>
          <w:rFonts w:hint="eastAsia" w:ascii="Arial" w:hAnsi="Arial" w:cs="Arial"/>
          <w:color w:val="auto"/>
          <w:sz w:val="24"/>
        </w:rPr>
        <w:t xml:space="preserve"> </w:t>
      </w:r>
      <w:r>
        <w:rPr>
          <w:rFonts w:ascii="Arial" w:hAnsi="Arial" w:cs="Arial"/>
          <w:color w:val="auto"/>
          <w:sz w:val="24"/>
        </w:rPr>
        <w:t>(Kusyk, 2021)</w:t>
      </w:r>
      <w:r>
        <w:rPr>
          <w:rFonts w:hint="eastAsia" w:ascii="Arial" w:hAnsi="Arial" w:cs="Arial"/>
          <w:color w:val="auto"/>
          <w:sz w:val="24"/>
        </w:rPr>
        <w:t>.</w:t>
      </w:r>
      <w:r>
        <w:rPr>
          <w:rFonts w:ascii="Arial" w:hAnsi="Arial" w:cs="Arial"/>
          <w:color w:val="auto"/>
          <w:sz w:val="24"/>
        </w:rPr>
        <w:t xml:space="preserve"> Even after the Cambridge Analytica scandal broke in 2018, Facebook's revenue rose to $16.91 billion in the fourth quarter of 2018 (S</w:t>
      </w:r>
      <w:r>
        <w:rPr>
          <w:rFonts w:hint="eastAsia" w:ascii="Arial" w:hAnsi="Arial" w:cs="Arial"/>
          <w:color w:val="auto"/>
          <w:sz w:val="24"/>
        </w:rPr>
        <w:t>a</w:t>
      </w:r>
      <w:r>
        <w:rPr>
          <w:rFonts w:ascii="Arial" w:hAnsi="Arial" w:cs="Arial"/>
          <w:color w:val="auto"/>
          <w:sz w:val="24"/>
        </w:rPr>
        <w:t xml:space="preserve">linas, 2019). This figure is enough to show that Facebook's operations are profitable enough to meet its financial obligations. What’s more, Facebook accounted for 59.4% of the 2019/2020 election cycle, about $796.8 million, and $619 million in 2023 (eMarketer, 2020). Because existing transparency rules are weak, many advertisers' spending may not be accounted for. That's why Facebook </w:t>
      </w:r>
      <w:bookmarkStart w:id="18" w:name="OLE_LINK15"/>
      <w:r>
        <w:rPr>
          <w:rFonts w:ascii="Arial" w:hAnsi="Arial" w:cs="Arial"/>
          <w:color w:val="auto"/>
          <w:sz w:val="24"/>
        </w:rPr>
        <w:t>CEO Mark Zuckerberg won't fact-check political ads in 2019</w:t>
      </w:r>
      <w:bookmarkEnd w:id="18"/>
      <w:r>
        <w:rPr>
          <w:rFonts w:ascii="Arial" w:hAnsi="Arial" w:cs="Arial"/>
          <w:color w:val="auto"/>
          <w:sz w:val="24"/>
        </w:rPr>
        <w:t xml:space="preserve"> (Ivanova, 2019). That would diminish Facebook's role as a money-making vehicle for political advertising.</w:t>
      </w:r>
    </w:p>
    <w:p w14:paraId="1BC45952">
      <w:pPr>
        <w:spacing w:line="480" w:lineRule="auto"/>
        <w:jc w:val="center"/>
        <w:rPr>
          <w:rFonts w:ascii="Arial" w:hAnsi="Arial" w:cs="Arial"/>
          <w:color w:val="auto"/>
          <w:sz w:val="24"/>
        </w:rPr>
      </w:pPr>
      <w:r>
        <w:rPr>
          <w:rFonts w:ascii="Arial" w:hAnsi="Arial" w:cs="Arial"/>
          <w:color w:val="auto"/>
          <w:sz w:val="24"/>
        </w:rPr>
        <w:drawing>
          <wp:inline distT="0" distB="0" distL="0" distR="0">
            <wp:extent cx="3179445" cy="1807210"/>
            <wp:effectExtent l="0" t="0" r="1905" b="2540"/>
            <wp:docPr id="18321083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08361" name="图片 1"/>
                    <pic:cNvPicPr>
                      <a:picLocks noChangeAspect="1"/>
                    </pic:cNvPicPr>
                  </pic:nvPicPr>
                  <pic:blipFill>
                    <a:blip r:embed="rId10"/>
                    <a:stretch>
                      <a:fillRect/>
                    </a:stretch>
                  </pic:blipFill>
                  <pic:spPr>
                    <a:xfrm>
                      <a:off x="0" y="0"/>
                      <a:ext cx="3210979" cy="1825335"/>
                    </a:xfrm>
                    <a:prstGeom prst="rect">
                      <a:avLst/>
                    </a:prstGeom>
                  </pic:spPr>
                </pic:pic>
              </a:graphicData>
            </a:graphic>
          </wp:inline>
        </w:drawing>
      </w:r>
    </w:p>
    <w:p w14:paraId="16CF690A">
      <w:pPr>
        <w:spacing w:line="480" w:lineRule="auto"/>
        <w:jc w:val="center"/>
        <w:rPr>
          <w:rFonts w:ascii="Arial" w:hAnsi="Arial" w:cs="Arial"/>
          <w:color w:val="auto"/>
          <w:sz w:val="24"/>
        </w:rPr>
      </w:pPr>
      <w:r>
        <w:rPr>
          <w:rFonts w:ascii="Arial" w:hAnsi="Arial" w:cs="Arial"/>
          <w:color w:val="auto"/>
          <w:sz w:val="24"/>
        </w:rPr>
        <w:t>Figure 3. US Digital Political Ad Revenue Share by Company 2019/2020</w:t>
      </w:r>
    </w:p>
    <w:p w14:paraId="4D211682">
      <w:pPr>
        <w:spacing w:line="480" w:lineRule="auto"/>
        <w:jc w:val="center"/>
        <w:rPr>
          <w:rFonts w:ascii="Arial" w:hAnsi="Arial" w:cs="Arial"/>
          <w:color w:val="auto"/>
          <w:sz w:val="24"/>
        </w:rPr>
      </w:pPr>
      <w:r>
        <w:rPr>
          <w:rFonts w:ascii="Arial" w:hAnsi="Arial" w:cs="Arial"/>
          <w:color w:val="auto"/>
          <w:sz w:val="24"/>
        </w:rPr>
        <w:t xml:space="preserve">(Source: </w:t>
      </w:r>
      <w:bookmarkStart w:id="19" w:name="OLE_LINK14"/>
      <w:r>
        <w:rPr>
          <w:rFonts w:ascii="Arial" w:hAnsi="Arial" w:cs="Arial"/>
          <w:color w:val="auto"/>
          <w:sz w:val="24"/>
        </w:rPr>
        <w:t>eMarketer</w:t>
      </w:r>
      <w:bookmarkEnd w:id="19"/>
      <w:r>
        <w:rPr>
          <w:rFonts w:ascii="Arial" w:hAnsi="Arial" w:cs="Arial"/>
          <w:color w:val="auto"/>
          <w:sz w:val="24"/>
        </w:rPr>
        <w:t>, 2020)</w:t>
      </w:r>
    </w:p>
    <w:p w14:paraId="130D89CC">
      <w:pPr>
        <w:spacing w:line="480" w:lineRule="auto"/>
        <w:rPr>
          <w:rFonts w:ascii="Arial" w:hAnsi="Arial" w:cs="Arial"/>
          <w:color w:val="auto"/>
          <w:sz w:val="24"/>
        </w:rPr>
      </w:pPr>
      <w:r>
        <w:rPr>
          <w:rFonts w:ascii="Arial" w:hAnsi="Arial" w:cs="Arial"/>
          <w:color w:val="auto"/>
          <w:sz w:val="24"/>
        </w:rPr>
        <w:t>However, economic responsibility does not mean that ethical considerations do not need to be included in business decisions. Facebook compromises the privacy of its customers in order to gain higher revenue from political ads, which violate</w:t>
      </w:r>
      <w:r>
        <w:rPr>
          <w:rFonts w:hint="eastAsia" w:ascii="Arial" w:hAnsi="Arial" w:cs="Arial"/>
          <w:color w:val="auto"/>
          <w:sz w:val="24"/>
        </w:rPr>
        <w:t>s</w:t>
      </w:r>
      <w:r>
        <w:rPr>
          <w:rFonts w:ascii="Arial" w:hAnsi="Arial" w:cs="Arial"/>
          <w:color w:val="auto"/>
          <w:sz w:val="24"/>
        </w:rPr>
        <w:t xml:space="preserve"> business ethics.</w:t>
      </w:r>
    </w:p>
    <w:p w14:paraId="2AEDDAFC">
      <w:pPr>
        <w:spacing w:line="480" w:lineRule="auto"/>
        <w:jc w:val="both"/>
        <w:rPr>
          <w:rFonts w:ascii="Arial" w:hAnsi="Arial" w:cs="Arial"/>
          <w:color w:val="auto"/>
          <w:sz w:val="24"/>
        </w:rPr>
      </w:pPr>
      <w:r>
        <w:rPr>
          <w:rFonts w:ascii="Arial" w:hAnsi="Arial" w:cs="Arial"/>
          <w:b/>
          <w:bCs/>
          <w:color w:val="auto"/>
          <w:sz w:val="24"/>
        </w:rPr>
        <w:t>Legal responsibility</w:t>
      </w:r>
    </w:p>
    <w:p w14:paraId="34EB132A">
      <w:pPr>
        <w:spacing w:line="480" w:lineRule="auto"/>
        <w:jc w:val="both"/>
        <w:rPr>
          <w:rFonts w:ascii="Arial" w:hAnsi="Arial" w:cs="Arial"/>
          <w:color w:val="auto"/>
          <w:sz w:val="24"/>
        </w:rPr>
      </w:pPr>
      <w:bookmarkStart w:id="20" w:name="OLE_LINK17"/>
      <w:r>
        <w:rPr>
          <w:rFonts w:ascii="Arial" w:hAnsi="Arial" w:cs="Arial"/>
          <w:color w:val="auto"/>
          <w:sz w:val="24"/>
        </w:rPr>
        <w:t xml:space="preserve">Legal responsibility requires companies to comply with laws, regulations and practices at the local, national and international levels </w:t>
      </w:r>
      <w:bookmarkEnd w:id="20"/>
      <w:r>
        <w:rPr>
          <w:rFonts w:ascii="Arial" w:hAnsi="Arial" w:cs="Arial"/>
          <w:color w:val="auto"/>
          <w:sz w:val="24"/>
        </w:rPr>
        <w:t>in any region where they operate (</w:t>
      </w:r>
      <w:r>
        <w:rPr>
          <w:rFonts w:ascii="Arial" w:hAnsi="Arial" w:cs="Arial"/>
          <w:color w:val="auto"/>
          <w:kern w:val="0"/>
          <w:sz w:val="24"/>
        </w:rPr>
        <w:t>Radavoi, 2022)</w:t>
      </w:r>
      <w:r>
        <w:rPr>
          <w:rFonts w:ascii="Arial" w:hAnsi="Arial" w:cs="Arial"/>
          <w:color w:val="auto"/>
          <w:sz w:val="24"/>
        </w:rPr>
        <w:t>. These laws and regulations ensure that businesses operate fairly and legally. Facebook's Cambridge Analytica scandal clearly broke both the UK and US laws and regulations. Facebook has been publishing transparency reports every two years since 2013 to protect users' privacy, security and access to information online (Meta, 2020). However, Facebook does not report the information leaks in detail. Some of this is legal content, and it only deals with reported content that violates local laws. If it does not violate community standards, it only restricts the availability of that content in the restricted country (Meta, 2024a).</w:t>
      </w:r>
      <w:r>
        <w:rPr>
          <w:rFonts w:hint="eastAsia" w:ascii="Arial" w:hAnsi="Arial" w:cs="Arial"/>
          <w:color w:val="auto"/>
          <w:sz w:val="24"/>
        </w:rPr>
        <w:t xml:space="preserve"> </w:t>
      </w:r>
      <w:r>
        <w:rPr>
          <w:rFonts w:ascii="Arial" w:hAnsi="Arial" w:cs="Arial"/>
          <w:color w:val="auto"/>
          <w:sz w:val="24"/>
        </w:rPr>
        <w:t xml:space="preserve">In the wake of the Cambridge Analytica scandal, Facebook also should share data with third parties and inform users how that data is used. </w:t>
      </w:r>
    </w:p>
    <w:p w14:paraId="40475F09">
      <w:pPr>
        <w:spacing w:line="480" w:lineRule="auto"/>
        <w:jc w:val="both"/>
        <w:rPr>
          <w:rFonts w:ascii="Arial" w:hAnsi="Arial" w:cs="Arial"/>
          <w:color w:val="auto"/>
          <w:sz w:val="24"/>
        </w:rPr>
      </w:pPr>
      <w:r>
        <w:rPr>
          <w:rFonts w:ascii="Arial" w:hAnsi="Arial" w:cs="Arial"/>
          <w:b/>
          <w:bCs/>
          <w:color w:val="auto"/>
          <w:sz w:val="24"/>
        </w:rPr>
        <w:t>Ethical responsibility</w:t>
      </w:r>
      <w:r>
        <w:rPr>
          <w:rFonts w:ascii="Arial" w:hAnsi="Arial" w:cs="Arial"/>
          <w:color w:val="auto"/>
          <w:sz w:val="24"/>
        </w:rPr>
        <w:t xml:space="preserve"> </w:t>
      </w:r>
    </w:p>
    <w:p w14:paraId="4BF4510F">
      <w:pPr>
        <w:spacing w:line="480" w:lineRule="auto"/>
        <w:jc w:val="both"/>
        <w:rPr>
          <w:rFonts w:ascii="Arial" w:hAnsi="Arial" w:cs="Arial"/>
          <w:color w:val="auto"/>
          <w:sz w:val="24"/>
        </w:rPr>
      </w:pPr>
      <w:r>
        <w:rPr>
          <w:rFonts w:ascii="Arial" w:hAnsi="Arial" w:cs="Arial"/>
          <w:color w:val="auto"/>
          <w:sz w:val="24"/>
        </w:rPr>
        <w:t>E</w:t>
      </w:r>
      <w:r>
        <w:rPr>
          <w:rFonts w:hint="eastAsia" w:ascii="Arial" w:hAnsi="Arial" w:cs="Arial"/>
          <w:color w:val="auto"/>
          <w:sz w:val="24"/>
        </w:rPr>
        <w:t>thical</w:t>
      </w:r>
      <w:r>
        <w:rPr>
          <w:rFonts w:ascii="Arial" w:hAnsi="Arial" w:cs="Arial"/>
          <w:color w:val="auto"/>
          <w:sz w:val="24"/>
        </w:rPr>
        <w:t xml:space="preserve"> responsibility mainly refers to business ethics. Although there are laws that govern business, often </w:t>
      </w:r>
      <w:bookmarkStart w:id="21" w:name="OLE_LINK20"/>
      <w:r>
        <w:rPr>
          <w:rFonts w:ascii="Arial" w:hAnsi="Arial" w:cs="Arial"/>
          <w:color w:val="auto"/>
          <w:sz w:val="24"/>
        </w:rPr>
        <w:t>the law is based on moral principles</w:t>
      </w:r>
      <w:bookmarkEnd w:id="21"/>
      <w:r>
        <w:rPr>
          <w:rFonts w:ascii="Arial" w:hAnsi="Arial" w:cs="Arial"/>
          <w:color w:val="auto"/>
          <w:sz w:val="24"/>
        </w:rPr>
        <w:t>, and may even lag behind them (Andriukaitiene, 2023). Like sustainability, it predates legislation, so even when it is not codified in law, companies should practice ethical principles to ensure sustainability. While the Cambridge Analytica scandal involved the collection of user data through third-party app, Facebook is ethically and legally obligated to monitor third-party apps to prevent data leakage. After the incident broke out, Facebook management did not immediately respond to reassure users, but kept quiet for nearly five days before announcing that it was changing the way it shared data with third-party apps (Wong, 2018). In addition, Facebook management characterized the incident as a breach of user trust rather than a major data security incident. From this, it can be seen that Facebook is not bearing its ethical responsibility, and even shirking its responsibility.</w:t>
      </w:r>
    </w:p>
    <w:p w14:paraId="7284175D">
      <w:pPr>
        <w:spacing w:line="480" w:lineRule="auto"/>
        <w:jc w:val="both"/>
        <w:rPr>
          <w:rFonts w:ascii="Arial" w:hAnsi="Arial" w:cs="Arial"/>
          <w:color w:val="auto"/>
          <w:sz w:val="24"/>
        </w:rPr>
      </w:pPr>
      <w:r>
        <w:rPr>
          <w:rFonts w:ascii="Arial" w:hAnsi="Arial" w:cs="Arial"/>
          <w:b/>
          <w:bCs/>
          <w:color w:val="auto"/>
          <w:sz w:val="24"/>
        </w:rPr>
        <w:t>Philanthropic responsibility</w:t>
      </w:r>
    </w:p>
    <w:p w14:paraId="21C4A373">
      <w:pPr>
        <w:spacing w:line="480" w:lineRule="auto"/>
        <w:jc w:val="both"/>
        <w:rPr>
          <w:rFonts w:ascii="Arial" w:hAnsi="Arial" w:cs="Arial"/>
          <w:color w:val="auto"/>
          <w:sz w:val="24"/>
        </w:rPr>
      </w:pPr>
      <w:bookmarkStart w:id="22" w:name="OLE_LINK23"/>
      <w:r>
        <w:rPr>
          <w:rFonts w:ascii="Arial" w:hAnsi="Arial" w:cs="Arial"/>
          <w:color w:val="auto"/>
          <w:sz w:val="24"/>
        </w:rPr>
        <w:t>P</w:t>
      </w:r>
      <w:r>
        <w:rPr>
          <w:rFonts w:hint="eastAsia" w:ascii="Arial" w:hAnsi="Arial" w:cs="Arial"/>
          <w:color w:val="auto"/>
          <w:sz w:val="24"/>
        </w:rPr>
        <w:t>hil</w:t>
      </w:r>
      <w:r>
        <w:rPr>
          <w:rFonts w:ascii="Arial" w:hAnsi="Arial" w:cs="Arial"/>
          <w:color w:val="auto"/>
          <w:sz w:val="24"/>
        </w:rPr>
        <w:t>anthropic responsibility is a voluntary action that goes beyond the expectations of society</w:t>
      </w:r>
      <w:bookmarkEnd w:id="22"/>
      <w:r>
        <w:rPr>
          <w:rFonts w:ascii="Arial" w:hAnsi="Arial" w:cs="Arial"/>
          <w:color w:val="auto"/>
          <w:sz w:val="24"/>
        </w:rPr>
        <w:t>, such as donating to charities, sponsoring community events, etc., through which a business can contribute to the well-being of society and enhance its reputation (</w:t>
      </w:r>
      <w:r>
        <w:rPr>
          <w:rFonts w:ascii="Arial" w:hAnsi="Arial" w:cs="Arial"/>
          <w:color w:val="auto"/>
          <w:kern w:val="0"/>
          <w:sz w:val="24"/>
        </w:rPr>
        <w:t>Camilleri and Carroll, 2024)</w:t>
      </w:r>
      <w:r>
        <w:rPr>
          <w:rFonts w:ascii="Arial" w:hAnsi="Arial" w:cs="Arial"/>
          <w:color w:val="auto"/>
          <w:sz w:val="24"/>
        </w:rPr>
        <w:t>. Facebook has created a Community Fund to help communities around the world increase their resilience and social cohesion. After the Cambridge Analytica scandal, Facebook launched several pilot programs in 2019, such as donating to small community nonprofits in the United States and providing matching funds to community foundations to expand their funding base (Facebook, 2020). However, Facebook does not provide charitable funding for some data security projects. Facebook's more charitable projects are around Digital literacy programs, such as Media Wise and Get Digital, which help people learn how to stay safe online and protect their personal information, among other skills (</w:t>
      </w:r>
      <w:bookmarkStart w:id="23" w:name="OLE_LINK27"/>
      <w:r>
        <w:rPr>
          <w:rFonts w:ascii="Arial" w:hAnsi="Arial" w:cs="Arial"/>
          <w:color w:val="auto"/>
          <w:sz w:val="24"/>
        </w:rPr>
        <w:t>UNESCO IITE, 2020</w:t>
      </w:r>
      <w:bookmarkEnd w:id="23"/>
      <w:r>
        <w:rPr>
          <w:rFonts w:ascii="Arial" w:hAnsi="Arial" w:cs="Arial"/>
          <w:color w:val="auto"/>
          <w:sz w:val="24"/>
        </w:rPr>
        <w:t>).</w:t>
      </w:r>
    </w:p>
    <w:p w14:paraId="0E140B65">
      <w:pPr>
        <w:pStyle w:val="2"/>
        <w:numPr>
          <w:ilvl w:val="0"/>
          <w:numId w:val="1"/>
        </w:numPr>
        <w:spacing w:before="0" w:after="0" w:line="480" w:lineRule="auto"/>
        <w:rPr>
          <w:rFonts w:ascii="Arial" w:hAnsi="Arial" w:cs="Arial"/>
          <w:b/>
          <w:bCs/>
          <w:color w:val="auto"/>
          <w:sz w:val="24"/>
          <w:szCs w:val="24"/>
        </w:rPr>
      </w:pPr>
      <w:bookmarkStart w:id="24" w:name="_Toc187179438"/>
      <w:r>
        <w:rPr>
          <w:rFonts w:ascii="Arial" w:hAnsi="Arial" w:cs="Arial"/>
          <w:b/>
          <w:bCs/>
          <w:color w:val="auto"/>
          <w:sz w:val="24"/>
          <w:szCs w:val="24"/>
        </w:rPr>
        <w:t>Recommendations and conclusion</w:t>
      </w:r>
      <w:bookmarkEnd w:id="24"/>
    </w:p>
    <w:p w14:paraId="6D035A4F">
      <w:pPr>
        <w:spacing w:line="480" w:lineRule="auto"/>
        <w:jc w:val="both"/>
        <w:rPr>
          <w:rFonts w:ascii="Arial" w:hAnsi="Arial" w:cs="Arial"/>
          <w:color w:val="auto"/>
          <w:sz w:val="24"/>
        </w:rPr>
      </w:pPr>
      <w:r>
        <w:rPr>
          <w:rFonts w:ascii="Arial" w:hAnsi="Arial" w:cs="Arial"/>
          <w:color w:val="auto"/>
          <w:sz w:val="24"/>
        </w:rPr>
        <w:t>In light of the above analysis, here are a few suggestions to improve Facebook's approach to personal privacy and user data security to ensure that it can operate successfully in the UK, the US and other countries, so as to avoid business ethics violations.</w:t>
      </w:r>
    </w:p>
    <w:p w14:paraId="4CFBABC0">
      <w:pPr>
        <w:spacing w:line="480" w:lineRule="auto"/>
        <w:jc w:val="both"/>
        <w:rPr>
          <w:rFonts w:ascii="Arial" w:hAnsi="Arial" w:cs="Arial"/>
          <w:b/>
          <w:bCs/>
          <w:color w:val="auto"/>
          <w:sz w:val="24"/>
        </w:rPr>
      </w:pPr>
      <w:r>
        <w:rPr>
          <w:rFonts w:ascii="Arial" w:hAnsi="Arial" w:cs="Arial"/>
          <w:b/>
          <w:bCs/>
          <w:color w:val="auto"/>
          <w:sz w:val="24"/>
        </w:rPr>
        <w:t>Obtain informed consent from user</w:t>
      </w:r>
      <w:r>
        <w:rPr>
          <w:rFonts w:hint="eastAsia" w:ascii="Arial" w:hAnsi="Arial" w:cs="Arial"/>
          <w:b/>
          <w:bCs/>
          <w:color w:val="auto"/>
          <w:sz w:val="24"/>
        </w:rPr>
        <w:t>s</w:t>
      </w:r>
    </w:p>
    <w:p w14:paraId="679AB2A4">
      <w:pPr>
        <w:spacing w:line="480" w:lineRule="auto"/>
        <w:jc w:val="both"/>
        <w:rPr>
          <w:rFonts w:ascii="Arial" w:hAnsi="Arial" w:cs="Arial"/>
          <w:color w:val="auto"/>
          <w:sz w:val="24"/>
        </w:rPr>
      </w:pPr>
      <w:r>
        <w:rPr>
          <w:rFonts w:ascii="Arial" w:hAnsi="Arial" w:cs="Arial"/>
          <w:color w:val="auto"/>
          <w:sz w:val="24"/>
        </w:rPr>
        <w:t>Facebook should collect as little data as possible about users, especially third-party programs that can only obtain basic information such as user name and gender. For some sensitive information, like ID number, location information acquisition, mobile phone number, the acquisition of such information must be agreed by the user. It is also fundamental to regaining the trust of customers in countries such as the UK.</w:t>
      </w:r>
    </w:p>
    <w:p w14:paraId="5069246E">
      <w:pPr>
        <w:spacing w:line="480" w:lineRule="auto"/>
        <w:jc w:val="both"/>
        <w:rPr>
          <w:rFonts w:ascii="Arial" w:hAnsi="Arial" w:cs="Arial"/>
          <w:b/>
          <w:bCs/>
          <w:color w:val="auto"/>
          <w:sz w:val="24"/>
        </w:rPr>
      </w:pPr>
      <w:bookmarkStart w:id="25" w:name="OLE_LINK28"/>
      <w:r>
        <w:rPr>
          <w:rFonts w:ascii="Arial" w:hAnsi="Arial" w:cs="Arial"/>
          <w:b/>
          <w:bCs/>
          <w:color w:val="auto"/>
          <w:sz w:val="24"/>
        </w:rPr>
        <w:t>Enhanced encryption</w:t>
      </w:r>
    </w:p>
    <w:bookmarkEnd w:id="25"/>
    <w:p w14:paraId="29EC3895">
      <w:pPr>
        <w:spacing w:line="480" w:lineRule="auto"/>
        <w:jc w:val="both"/>
        <w:rPr>
          <w:rFonts w:ascii="Arial" w:hAnsi="Arial" w:cs="Arial"/>
          <w:color w:val="auto"/>
          <w:sz w:val="24"/>
        </w:rPr>
      </w:pPr>
      <w:r>
        <w:rPr>
          <w:rFonts w:ascii="Arial" w:hAnsi="Arial" w:cs="Arial"/>
          <w:color w:val="auto"/>
          <w:sz w:val="24"/>
        </w:rPr>
        <w:t>Meta announced in 2024 that it would roll out end-to-end encryption on Messenger by the end of the year</w:t>
      </w:r>
      <w:r>
        <w:rPr>
          <w:rFonts w:hint="eastAsia" w:ascii="Arial" w:hAnsi="Arial" w:cs="Arial"/>
          <w:color w:val="auto"/>
          <w:sz w:val="24"/>
        </w:rPr>
        <w:t xml:space="preserve"> </w:t>
      </w:r>
      <w:r>
        <w:rPr>
          <w:rFonts w:ascii="Arial" w:hAnsi="Arial" w:cs="Arial"/>
          <w:color w:val="auto"/>
          <w:sz w:val="24"/>
        </w:rPr>
        <w:t>(Meta, 2024b) and the same technology should be applied to Facebook, as well as other cutting-edge encryption technologies, such as static double encryption, to better protect user data privacy. In addition, for changing passwords, remote login, access to third-party applications, etc., Facebook should also conduct multiple authentication such as password and face recognition, which is also an effective measure to protect user data.</w:t>
      </w:r>
    </w:p>
    <w:p w14:paraId="47A2FEBF">
      <w:pPr>
        <w:spacing w:line="480" w:lineRule="auto"/>
        <w:jc w:val="both"/>
        <w:rPr>
          <w:rFonts w:ascii="Arial" w:hAnsi="Arial" w:cs="Arial"/>
          <w:b/>
          <w:bCs/>
          <w:color w:val="auto"/>
          <w:sz w:val="24"/>
        </w:rPr>
      </w:pPr>
      <w:r>
        <w:rPr>
          <w:rFonts w:ascii="Arial" w:hAnsi="Arial" w:cs="Arial"/>
          <w:b/>
          <w:bCs/>
          <w:color w:val="auto"/>
          <w:sz w:val="24"/>
        </w:rPr>
        <w:t>Establish high data protection standards</w:t>
      </w:r>
    </w:p>
    <w:p w14:paraId="282B0ABC">
      <w:pPr>
        <w:spacing w:line="480" w:lineRule="auto"/>
        <w:jc w:val="both"/>
        <w:rPr>
          <w:rFonts w:ascii="Arial" w:hAnsi="Arial" w:cs="Arial"/>
          <w:color w:val="auto"/>
          <w:sz w:val="24"/>
        </w:rPr>
      </w:pPr>
      <w:r>
        <w:rPr>
          <w:rFonts w:ascii="Arial" w:hAnsi="Arial" w:cs="Arial"/>
          <w:color w:val="auto"/>
          <w:sz w:val="24"/>
        </w:rPr>
        <w:t>According to the strict standards in several countries around the world, such as the United Kingdom and Canada, Facebook can set higher standards on this basis. This can not only meet the needs of Facebook's operations in various countries, but also ensure the security of user data more effectively.</w:t>
      </w:r>
    </w:p>
    <w:p w14:paraId="010DC7AC">
      <w:pPr>
        <w:spacing w:line="480" w:lineRule="auto"/>
        <w:jc w:val="both"/>
        <w:rPr>
          <w:rFonts w:ascii="Arial" w:hAnsi="Arial" w:cs="Arial"/>
          <w:b/>
          <w:bCs/>
          <w:color w:val="auto"/>
          <w:sz w:val="24"/>
        </w:rPr>
      </w:pPr>
      <w:r>
        <w:rPr>
          <w:rFonts w:ascii="Arial" w:hAnsi="Arial" w:cs="Arial"/>
          <w:b/>
          <w:bCs/>
          <w:color w:val="auto"/>
          <w:sz w:val="24"/>
        </w:rPr>
        <w:t>Publish better transparency reports</w:t>
      </w:r>
    </w:p>
    <w:p w14:paraId="27611A5E">
      <w:pPr>
        <w:spacing w:line="480" w:lineRule="auto"/>
        <w:jc w:val="both"/>
        <w:rPr>
          <w:rFonts w:ascii="Arial" w:hAnsi="Arial" w:cs="Arial"/>
          <w:color w:val="auto"/>
          <w:sz w:val="24"/>
        </w:rPr>
      </w:pPr>
      <w:r>
        <w:rPr>
          <w:rFonts w:ascii="Arial" w:hAnsi="Arial" w:cs="Arial"/>
          <w:color w:val="auto"/>
          <w:sz w:val="24"/>
        </w:rPr>
        <w:t xml:space="preserve">Facebook's transparency report adds more information, such as which organizations, institutions or businesses access the data and what they </w:t>
      </w:r>
      <w:r>
        <w:rPr>
          <w:rFonts w:hint="eastAsia" w:ascii="Arial" w:hAnsi="Arial" w:cs="Arial"/>
          <w:color w:val="auto"/>
          <w:sz w:val="24"/>
        </w:rPr>
        <w:t>do</w:t>
      </w:r>
      <w:r>
        <w:rPr>
          <w:rFonts w:ascii="Arial" w:hAnsi="Arial" w:cs="Arial"/>
          <w:color w:val="auto"/>
          <w:sz w:val="24"/>
        </w:rPr>
        <w:t xml:space="preserve"> with it, which apps ha</w:t>
      </w:r>
      <w:r>
        <w:rPr>
          <w:rFonts w:hint="eastAsia" w:ascii="Arial" w:hAnsi="Arial" w:cs="Arial"/>
          <w:color w:val="auto"/>
          <w:sz w:val="24"/>
        </w:rPr>
        <w:t>ve</w:t>
      </w:r>
      <w:r>
        <w:rPr>
          <w:rFonts w:ascii="Arial" w:hAnsi="Arial" w:cs="Arial"/>
          <w:color w:val="auto"/>
          <w:sz w:val="24"/>
        </w:rPr>
        <w:t xml:space="preserve"> stolen user data and what actions Facebook take, as well as Facebook's annual review of its own and third-party apps, which should be entirely disclosed in the report.</w:t>
      </w:r>
    </w:p>
    <w:p w14:paraId="4A28F224">
      <w:pPr>
        <w:spacing w:line="480" w:lineRule="auto"/>
        <w:jc w:val="both"/>
        <w:rPr>
          <w:rFonts w:ascii="Arial" w:hAnsi="Arial" w:cs="Arial"/>
          <w:b/>
          <w:bCs/>
          <w:color w:val="auto"/>
          <w:sz w:val="24"/>
        </w:rPr>
      </w:pPr>
      <w:r>
        <w:rPr>
          <w:rFonts w:ascii="Arial" w:hAnsi="Arial" w:cs="Arial"/>
          <w:b/>
          <w:bCs/>
          <w:color w:val="auto"/>
          <w:sz w:val="24"/>
        </w:rPr>
        <w:t>Increase philanthropic support for data security and protection</w:t>
      </w:r>
    </w:p>
    <w:p w14:paraId="42A4DF6D">
      <w:pPr>
        <w:spacing w:line="480" w:lineRule="auto"/>
        <w:jc w:val="both"/>
        <w:rPr>
          <w:rFonts w:ascii="Arial" w:hAnsi="Arial" w:cs="Arial"/>
          <w:color w:val="auto"/>
          <w:sz w:val="24"/>
        </w:rPr>
      </w:pPr>
      <w:r>
        <w:rPr>
          <w:rFonts w:ascii="Arial" w:hAnsi="Arial" w:cs="Arial"/>
          <w:color w:val="auto"/>
          <w:sz w:val="24"/>
        </w:rPr>
        <w:t>Facebook can fund research on data security and protection, and it can partner with organizations and groups to advance personal privacy and data protection around the world. This not only ensures that the company is protected from the threat of data leakage, but also can better assume corporate social responsibility, so as to enhance the corporate image in the eyes of users.</w:t>
      </w:r>
    </w:p>
    <w:p w14:paraId="10943C7D">
      <w:pPr>
        <w:spacing w:line="480" w:lineRule="auto"/>
        <w:jc w:val="both"/>
        <w:rPr>
          <w:rFonts w:ascii="Arial" w:hAnsi="Arial" w:cs="Arial"/>
          <w:color w:val="auto"/>
          <w:sz w:val="24"/>
        </w:rPr>
      </w:pPr>
      <w:r>
        <w:rPr>
          <w:rFonts w:ascii="Arial" w:hAnsi="Arial" w:cs="Arial"/>
          <w:color w:val="auto"/>
          <w:sz w:val="24"/>
        </w:rPr>
        <w:t xml:space="preserve">In short, social media, especially large platforms like Facebook, play an important role in the world economy, politics and culture. However, personal privacy and leakage of user data have become challenges for Facebook. Facebook users have expressed concern over several data breaches and misuse incidents, whether active or passive. Because of cultural differences between the United Kingdom and the United States, the two countries' responses to the Facebook data leak have not been the same. The United Kingdom respects the right to personal privacy and enshrines it in the law to implement stricter regulation, while the United States has a looser and </w:t>
      </w:r>
      <w:r>
        <w:rPr>
          <w:rFonts w:hint="eastAsia" w:ascii="Arial" w:hAnsi="Arial" w:cs="Arial"/>
          <w:color w:val="auto"/>
          <w:sz w:val="24"/>
        </w:rPr>
        <w:t>uncon</w:t>
      </w:r>
      <w:r>
        <w:rPr>
          <w:rFonts w:ascii="Arial" w:hAnsi="Arial" w:cs="Arial"/>
          <w:color w:val="auto"/>
          <w:sz w:val="24"/>
        </w:rPr>
        <w:t>solidated regulation, and the federal data protection law does not have a unified standard. Moreover, the United States commoditizes user data for political and other purposes. From the perspective of corporate social responsibility, Facebook has taken economic responsibility well and created huge profits for shareholders every year. However, Facebook has breached its legal and ethical responsibilities. Even though it has done some charitable activities, it has done very little charitable work on data protection.</w:t>
      </w:r>
    </w:p>
    <w:p w14:paraId="5119A0CD">
      <w:pPr>
        <w:spacing w:line="480" w:lineRule="auto"/>
        <w:jc w:val="both"/>
        <w:rPr>
          <w:rFonts w:ascii="Arial" w:hAnsi="Arial" w:cs="Arial"/>
          <w:color w:val="auto"/>
          <w:sz w:val="24"/>
        </w:rPr>
      </w:pPr>
    </w:p>
    <w:p w14:paraId="00F8C1F5">
      <w:pPr>
        <w:spacing w:line="480" w:lineRule="auto"/>
        <w:jc w:val="both"/>
        <w:rPr>
          <w:rFonts w:ascii="Arial" w:hAnsi="Arial" w:cs="Arial"/>
          <w:color w:val="auto"/>
          <w:sz w:val="24"/>
        </w:rPr>
      </w:pPr>
    </w:p>
    <w:p w14:paraId="6247C004">
      <w:pPr>
        <w:spacing w:line="480" w:lineRule="auto"/>
        <w:jc w:val="both"/>
        <w:rPr>
          <w:rFonts w:ascii="Arial" w:hAnsi="Arial" w:cs="Arial"/>
          <w:color w:val="auto"/>
          <w:sz w:val="24"/>
        </w:rPr>
      </w:pPr>
    </w:p>
    <w:p w14:paraId="2E17609F">
      <w:pPr>
        <w:spacing w:line="480" w:lineRule="auto"/>
        <w:jc w:val="both"/>
        <w:rPr>
          <w:rFonts w:ascii="Arial" w:hAnsi="Arial" w:cs="Arial"/>
          <w:color w:val="auto"/>
          <w:sz w:val="24"/>
        </w:rPr>
      </w:pPr>
    </w:p>
    <w:p w14:paraId="29E14D5F">
      <w:pPr>
        <w:spacing w:line="480" w:lineRule="auto"/>
        <w:jc w:val="both"/>
        <w:rPr>
          <w:rFonts w:ascii="Arial" w:hAnsi="Arial" w:cs="Arial"/>
          <w:color w:val="auto"/>
          <w:sz w:val="24"/>
        </w:rPr>
      </w:pPr>
    </w:p>
    <w:p w14:paraId="0A0530BF">
      <w:pPr>
        <w:pStyle w:val="2"/>
        <w:spacing w:before="0" w:after="0" w:line="480" w:lineRule="auto"/>
        <w:rPr>
          <w:rFonts w:ascii="Arial" w:hAnsi="Arial" w:cs="Arial"/>
          <w:b/>
          <w:bCs/>
          <w:color w:val="auto"/>
          <w:sz w:val="24"/>
          <w:szCs w:val="24"/>
        </w:rPr>
      </w:pPr>
      <w:bookmarkStart w:id="38" w:name="_GoBack"/>
      <w:bookmarkStart w:id="26" w:name="_Toc187179439"/>
      <w:r>
        <w:rPr>
          <w:rFonts w:ascii="Arial" w:hAnsi="Arial" w:cs="Arial"/>
          <w:b/>
          <w:bCs/>
          <w:color w:val="auto"/>
          <w:sz w:val="24"/>
          <w:szCs w:val="24"/>
        </w:rPr>
        <w:t>Reference</w:t>
      </w:r>
      <w:bookmarkEnd w:id="26"/>
    </w:p>
    <w:p w14:paraId="10D884FD">
      <w:pPr>
        <w:spacing w:after="0" w:line="480" w:lineRule="auto"/>
        <w:ind w:left="480" w:hanging="480" w:hangingChars="200"/>
        <w:jc w:val="both"/>
        <w:rPr>
          <w:rFonts w:ascii="Arial" w:hAnsi="Arial" w:cs="Arial"/>
          <w:color w:val="auto"/>
          <w:sz w:val="24"/>
        </w:rPr>
      </w:pPr>
      <w:bookmarkStart w:id="27" w:name="OLE_LINK21"/>
      <w:bookmarkStart w:id="28" w:name="OLE_LINK9"/>
      <w:bookmarkStart w:id="29" w:name="OLE_LINK1"/>
      <w:r>
        <w:rPr>
          <w:rFonts w:ascii="Arial" w:hAnsi="Arial" w:cs="Arial"/>
          <w:color w:val="auto"/>
          <w:sz w:val="24"/>
        </w:rPr>
        <w:t>Andriukaitiene</w:t>
      </w:r>
      <w:bookmarkEnd w:id="27"/>
      <w:r>
        <w:rPr>
          <w:rFonts w:ascii="Arial" w:hAnsi="Arial" w:cs="Arial"/>
          <w:color w:val="auto"/>
          <w:sz w:val="24"/>
        </w:rPr>
        <w:t xml:space="preserve">, R., 2023. </w:t>
      </w:r>
      <w:r>
        <w:rPr>
          <w:rFonts w:ascii="Arial" w:hAnsi="Arial" w:cs="Arial"/>
          <w:i/>
          <w:iCs/>
          <w:color w:val="auto"/>
          <w:sz w:val="24"/>
        </w:rPr>
        <w:t>Corporate social responsibility: new approaches to the application of the Carroll CSR pyramid.</w:t>
      </w:r>
    </w:p>
    <w:p w14:paraId="2739F60B">
      <w:pPr>
        <w:spacing w:after="0" w:line="480" w:lineRule="auto"/>
        <w:ind w:left="480" w:hanging="480" w:hangingChars="200"/>
        <w:jc w:val="both"/>
        <w:rPr>
          <w:rFonts w:ascii="Arial" w:hAnsi="Arial" w:cs="Arial"/>
          <w:color w:val="auto"/>
          <w:sz w:val="24"/>
        </w:rPr>
      </w:pPr>
      <w:r>
        <w:rPr>
          <w:rFonts w:ascii="Arial" w:hAnsi="Arial" w:cs="Arial"/>
          <w:color w:val="auto"/>
          <w:sz w:val="24"/>
        </w:rPr>
        <w:t>Barauskaite, G. and Streimikiene</w:t>
      </w:r>
      <w:bookmarkEnd w:id="28"/>
      <w:r>
        <w:rPr>
          <w:rFonts w:ascii="Arial" w:hAnsi="Arial" w:cs="Arial"/>
          <w:color w:val="auto"/>
          <w:sz w:val="24"/>
        </w:rPr>
        <w:t xml:space="preserve">, D., 2021. Corporate social responsibility and financial performance of companies: The puzzle of concepts, definitions and assessment methods. </w:t>
      </w:r>
      <w:r>
        <w:rPr>
          <w:rFonts w:ascii="Arial" w:hAnsi="Arial" w:cs="Arial"/>
          <w:i/>
          <w:iCs/>
          <w:color w:val="auto"/>
          <w:sz w:val="24"/>
        </w:rPr>
        <w:t xml:space="preserve">Corporate Social Responsibility and Environmental Management, </w:t>
      </w:r>
      <w:r>
        <w:rPr>
          <w:rFonts w:ascii="Arial" w:hAnsi="Arial" w:cs="Arial"/>
          <w:color w:val="auto"/>
          <w:sz w:val="24"/>
        </w:rPr>
        <w:t>28(1), pp.278-287.</w:t>
      </w:r>
    </w:p>
    <w:p w14:paraId="1B454F58">
      <w:pPr>
        <w:spacing w:after="0" w:line="480" w:lineRule="auto"/>
        <w:ind w:left="480" w:hanging="480" w:hangingChars="200"/>
        <w:jc w:val="both"/>
        <w:rPr>
          <w:rFonts w:ascii="Arial" w:hAnsi="Arial" w:cs="Arial"/>
          <w:color w:val="auto"/>
          <w:kern w:val="0"/>
          <w:sz w:val="24"/>
        </w:rPr>
      </w:pPr>
      <w:r>
        <w:rPr>
          <w:rFonts w:ascii="Arial" w:hAnsi="Arial" w:cs="Arial"/>
          <w:color w:val="auto"/>
          <w:sz w:val="24"/>
        </w:rPr>
        <w:t xml:space="preserve">Bloomberg Law, 2024. </w:t>
      </w:r>
      <w:r>
        <w:rPr>
          <w:rFonts w:ascii="Arial" w:hAnsi="Arial" w:cs="Arial"/>
          <w:i/>
          <w:iCs/>
          <w:color w:val="auto"/>
          <w:sz w:val="24"/>
        </w:rPr>
        <w:t>Which States Have Consumer Data Privacy Laws?.</w:t>
      </w:r>
      <w:r>
        <w:rPr>
          <w:rFonts w:ascii="Arial" w:hAnsi="Arial" w:cs="Arial"/>
          <w:color w:val="auto"/>
          <w:sz w:val="24"/>
        </w:rPr>
        <w:t xml:space="preserve"> Available at: </w:t>
      </w:r>
      <w:r>
        <w:rPr>
          <w:color w:val="auto"/>
        </w:rPr>
        <w:fldChar w:fldCharType="begin"/>
      </w:r>
      <w:r>
        <w:rPr>
          <w:color w:val="auto"/>
        </w:rPr>
        <w:instrText xml:space="preserve"> HYPERLINK "https://pro.bloomberglaw.com/insights/privacy/state-privacy-legislation-tracker/" \l "map-of-state-privacy-laws" </w:instrText>
      </w:r>
      <w:r>
        <w:rPr>
          <w:color w:val="auto"/>
        </w:rPr>
        <w:fldChar w:fldCharType="separate"/>
      </w:r>
      <w:r>
        <w:rPr>
          <w:rStyle w:val="27"/>
          <w:rFonts w:ascii="Arial" w:hAnsi="Arial" w:cs="Arial"/>
          <w:color w:val="auto"/>
          <w:sz w:val="24"/>
        </w:rPr>
        <w:t>https://pro.bloomberglaw.com/insights/privacy/state-privacy-legislation-tracker/#map-of-state-privacy-laws</w:t>
      </w:r>
      <w:r>
        <w:rPr>
          <w:rStyle w:val="27"/>
          <w:rFonts w:ascii="Arial" w:hAnsi="Arial" w:cs="Arial"/>
          <w:color w:val="auto"/>
          <w:sz w:val="24"/>
        </w:rPr>
        <w:fldChar w:fldCharType="end"/>
      </w:r>
      <w:r>
        <w:rPr>
          <w:rFonts w:ascii="Arial" w:hAnsi="Arial" w:cs="Arial"/>
          <w:color w:val="auto"/>
          <w:sz w:val="24"/>
        </w:rPr>
        <w:t xml:space="preserve"> </w:t>
      </w:r>
      <w:r>
        <w:rPr>
          <w:rFonts w:ascii="Arial" w:hAnsi="Arial" w:cs="Arial"/>
          <w:color w:val="auto"/>
          <w:kern w:val="0"/>
          <w:sz w:val="24"/>
        </w:rPr>
        <w:t>Accessed 6 January 2025.</w:t>
      </w:r>
    </w:p>
    <w:p w14:paraId="3154922E">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Brown, M.F., 2008. Cultural Relativism 2.0. </w:t>
      </w:r>
      <w:r>
        <w:rPr>
          <w:rFonts w:ascii="Arial" w:hAnsi="Arial" w:cs="Arial"/>
          <w:i/>
          <w:iCs/>
          <w:color w:val="auto"/>
          <w:kern w:val="0"/>
          <w:sz w:val="24"/>
        </w:rPr>
        <w:t>Current Anthropology</w:t>
      </w:r>
      <w:r>
        <w:rPr>
          <w:rFonts w:ascii="Arial" w:hAnsi="Arial" w:cs="Arial"/>
          <w:color w:val="auto"/>
          <w:kern w:val="0"/>
          <w:sz w:val="24"/>
        </w:rPr>
        <w:t>, 49(3), pp.363-383.</w:t>
      </w:r>
    </w:p>
    <w:p w14:paraId="1C6238F4">
      <w:pPr>
        <w:spacing w:after="0" w:line="480" w:lineRule="auto"/>
        <w:ind w:left="480" w:hanging="480" w:hangingChars="200"/>
        <w:jc w:val="both"/>
        <w:rPr>
          <w:rFonts w:ascii="Arial" w:hAnsi="Arial" w:cs="Arial"/>
          <w:color w:val="auto"/>
          <w:kern w:val="0"/>
          <w:sz w:val="24"/>
        </w:rPr>
      </w:pPr>
      <w:bookmarkStart w:id="30" w:name="OLE_LINK24"/>
      <w:r>
        <w:rPr>
          <w:rFonts w:ascii="Arial" w:hAnsi="Arial" w:cs="Arial"/>
          <w:color w:val="auto"/>
          <w:kern w:val="0"/>
          <w:sz w:val="24"/>
        </w:rPr>
        <w:t>Camilleri, M.A. and Carroll</w:t>
      </w:r>
      <w:bookmarkEnd w:id="30"/>
      <w:r>
        <w:rPr>
          <w:rFonts w:ascii="Arial" w:hAnsi="Arial" w:cs="Arial"/>
          <w:color w:val="auto"/>
          <w:kern w:val="0"/>
          <w:sz w:val="24"/>
        </w:rPr>
        <w:t>, A.B., 2024. Corporate Social Responsibility. </w:t>
      </w:r>
      <w:r>
        <w:rPr>
          <w:rFonts w:ascii="Arial" w:hAnsi="Arial" w:cs="Arial"/>
          <w:i/>
          <w:iCs/>
          <w:color w:val="auto"/>
          <w:kern w:val="0"/>
          <w:sz w:val="24"/>
        </w:rPr>
        <w:t>Reference Module in Social Sciences. Elsevier. https://doi. org/10.1016/B978-0-443-13701-3.00473-4</w:t>
      </w:r>
      <w:r>
        <w:rPr>
          <w:rFonts w:ascii="Arial" w:hAnsi="Arial" w:cs="Arial"/>
          <w:color w:val="auto"/>
          <w:kern w:val="0"/>
          <w:sz w:val="24"/>
        </w:rPr>
        <w:t>.</w:t>
      </w:r>
    </w:p>
    <w:p w14:paraId="0C1CD78A">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Castro, D., Dascoli, L. and Diebold, G., 2022. The looming cost of a patchwork of state privacy laws. </w:t>
      </w:r>
      <w:r>
        <w:rPr>
          <w:rFonts w:ascii="Arial" w:hAnsi="Arial" w:cs="Arial"/>
          <w:i/>
          <w:iCs/>
          <w:color w:val="auto"/>
          <w:kern w:val="0"/>
          <w:sz w:val="24"/>
        </w:rPr>
        <w:t>Information Technology and Innovation Foundation</w:t>
      </w:r>
      <w:r>
        <w:rPr>
          <w:rFonts w:ascii="Arial" w:hAnsi="Arial" w:cs="Arial"/>
          <w:color w:val="auto"/>
          <w:kern w:val="0"/>
          <w:sz w:val="24"/>
        </w:rPr>
        <w:t>.</w:t>
      </w:r>
    </w:p>
    <w:p w14:paraId="61D47838">
      <w:pPr>
        <w:spacing w:after="0" w:line="480" w:lineRule="auto"/>
        <w:ind w:left="480" w:hanging="480" w:hangingChars="200"/>
        <w:jc w:val="both"/>
        <w:rPr>
          <w:rFonts w:ascii="Arial" w:hAnsi="Arial" w:cs="Arial"/>
          <w:color w:val="auto"/>
          <w:kern w:val="0"/>
          <w:sz w:val="24"/>
        </w:rPr>
      </w:pPr>
      <w:r>
        <w:rPr>
          <w:rFonts w:ascii="Arial" w:hAnsi="Arial" w:cs="Arial"/>
          <w:color w:val="auto"/>
          <w:sz w:val="24"/>
        </w:rPr>
        <w:t xml:space="preserve">eMarketer, 2020. </w:t>
      </w:r>
      <w:r>
        <w:rPr>
          <w:rFonts w:ascii="Arial" w:hAnsi="Arial" w:cs="Arial"/>
          <w:i/>
          <w:iCs/>
          <w:color w:val="auto"/>
          <w:sz w:val="24"/>
        </w:rPr>
        <w:t>Facebook Dominates 2019/2020 Political Ad Spending.</w:t>
      </w:r>
      <w:r>
        <w:rPr>
          <w:rFonts w:ascii="Arial" w:hAnsi="Arial" w:cs="Arial"/>
          <w:color w:val="auto"/>
          <w:sz w:val="24"/>
        </w:rPr>
        <w:t xml:space="preserve"> </w:t>
      </w:r>
      <w:bookmarkStart w:id="31" w:name="OLE_LINK25"/>
      <w:r>
        <w:rPr>
          <w:rFonts w:ascii="Arial" w:hAnsi="Arial" w:cs="Arial"/>
          <w:color w:val="auto"/>
          <w:kern w:val="0"/>
          <w:sz w:val="24"/>
        </w:rPr>
        <w:t>Available at:</w:t>
      </w:r>
      <w:bookmarkEnd w:id="31"/>
      <w:r>
        <w:rPr>
          <w:rFonts w:ascii="Arial" w:hAnsi="Arial" w:cs="Arial"/>
          <w:color w:val="auto"/>
          <w:kern w:val="0"/>
          <w:sz w:val="24"/>
        </w:rPr>
        <w:t xml:space="preserve"> </w:t>
      </w:r>
      <w:r>
        <w:rPr>
          <w:color w:val="auto"/>
        </w:rPr>
        <w:fldChar w:fldCharType="begin"/>
      </w:r>
      <w:r>
        <w:rPr>
          <w:color w:val="auto"/>
        </w:rPr>
        <w:instrText xml:space="preserve"> HYPERLINK "https://www.emarketer.com/content/facebook-dominates-2019-2020-political-ad-spending" </w:instrText>
      </w:r>
      <w:r>
        <w:rPr>
          <w:color w:val="auto"/>
        </w:rPr>
        <w:fldChar w:fldCharType="separate"/>
      </w:r>
      <w:r>
        <w:rPr>
          <w:rStyle w:val="27"/>
          <w:rFonts w:hint="eastAsia" w:ascii="Arial" w:hAnsi="Arial" w:cs="Arial"/>
          <w:color w:val="auto"/>
          <w:kern w:val="0"/>
          <w:sz w:val="24"/>
        </w:rPr>
        <w:t>https://www.emarketer.com/content/facebook-dominates-2019-2020-political-ad-spending</w:t>
      </w:r>
      <w:r>
        <w:rPr>
          <w:rStyle w:val="27"/>
          <w:rFonts w:hint="eastAsia" w:ascii="Arial" w:hAnsi="Arial" w:cs="Arial"/>
          <w:color w:val="auto"/>
          <w:kern w:val="0"/>
          <w:sz w:val="24"/>
        </w:rPr>
        <w:fldChar w:fldCharType="end"/>
      </w:r>
      <w:r>
        <w:rPr>
          <w:rFonts w:ascii="Arial" w:hAnsi="Arial" w:cs="Arial"/>
          <w:color w:val="auto"/>
          <w:kern w:val="0"/>
          <w:sz w:val="24"/>
        </w:rPr>
        <w:t xml:space="preserve"> </w:t>
      </w:r>
      <w:r>
        <w:rPr>
          <w:rFonts w:ascii="Arial" w:hAnsi="Arial" w:cs="Arial"/>
          <w:color w:val="auto"/>
          <w:sz w:val="24"/>
        </w:rPr>
        <w:t>Accessed 6 J</w:t>
      </w:r>
      <w:r>
        <w:rPr>
          <w:rFonts w:hint="eastAsia" w:ascii="Arial" w:hAnsi="Arial" w:cs="Arial"/>
          <w:color w:val="auto"/>
          <w:sz w:val="24"/>
        </w:rPr>
        <w:t>a</w:t>
      </w:r>
      <w:r>
        <w:rPr>
          <w:rFonts w:ascii="Arial" w:hAnsi="Arial" w:cs="Arial"/>
          <w:color w:val="auto"/>
          <w:sz w:val="24"/>
        </w:rPr>
        <w:t>nuary 2025.</w:t>
      </w:r>
    </w:p>
    <w:p w14:paraId="060AAF59">
      <w:pPr>
        <w:spacing w:after="0" w:line="480" w:lineRule="auto"/>
        <w:ind w:left="480" w:hanging="480" w:hangingChars="200"/>
        <w:jc w:val="both"/>
        <w:rPr>
          <w:rFonts w:ascii="Arial" w:hAnsi="Arial" w:cs="Arial"/>
          <w:color w:val="auto"/>
          <w:sz w:val="24"/>
        </w:rPr>
      </w:pPr>
      <w:r>
        <w:rPr>
          <w:rFonts w:ascii="Arial" w:hAnsi="Arial" w:cs="Arial"/>
          <w:color w:val="auto"/>
          <w:sz w:val="24"/>
        </w:rPr>
        <w:t>Facebook, 2020.</w:t>
      </w:r>
      <w:r>
        <w:rPr>
          <w:rFonts w:ascii="Arial" w:hAnsi="Arial" w:cs="Arial"/>
          <w:b/>
          <w:bCs/>
          <w:color w:val="auto"/>
          <w:sz w:val="24"/>
        </w:rPr>
        <w:t xml:space="preserve"> </w:t>
      </w:r>
      <w:r>
        <w:rPr>
          <w:rFonts w:ascii="Arial" w:hAnsi="Arial" w:cs="Arial"/>
          <w:i/>
          <w:iCs/>
          <w:color w:val="auto"/>
          <w:sz w:val="24"/>
        </w:rPr>
        <w:t>Facebook Community Fund.</w:t>
      </w:r>
      <w:r>
        <w:rPr>
          <w:rFonts w:ascii="Arial" w:hAnsi="Arial" w:cs="Arial"/>
          <w:color w:val="auto"/>
          <w:sz w:val="24"/>
        </w:rPr>
        <w:t xml:space="preserve"> Available at: </w:t>
      </w:r>
      <w:r>
        <w:rPr>
          <w:color w:val="auto"/>
        </w:rPr>
        <w:fldChar w:fldCharType="begin"/>
      </w:r>
      <w:r>
        <w:rPr>
          <w:color w:val="auto"/>
        </w:rPr>
        <w:instrText xml:space="preserve"> HYPERLINK "https://www.facebook.com/community/fund/" </w:instrText>
      </w:r>
      <w:r>
        <w:rPr>
          <w:color w:val="auto"/>
        </w:rPr>
        <w:fldChar w:fldCharType="separate"/>
      </w:r>
      <w:r>
        <w:rPr>
          <w:rStyle w:val="27"/>
          <w:rFonts w:ascii="Arial" w:hAnsi="Arial" w:cs="Arial"/>
          <w:color w:val="auto"/>
          <w:sz w:val="24"/>
        </w:rPr>
        <w:t>https://www.facebook.com/community/fund/</w:t>
      </w:r>
      <w:r>
        <w:rPr>
          <w:rStyle w:val="27"/>
          <w:rFonts w:ascii="Arial" w:hAnsi="Arial" w:cs="Arial"/>
          <w:color w:val="auto"/>
          <w:sz w:val="24"/>
        </w:rPr>
        <w:fldChar w:fldCharType="end"/>
      </w:r>
      <w:r>
        <w:rPr>
          <w:rFonts w:ascii="Arial" w:hAnsi="Arial" w:cs="Arial"/>
          <w:color w:val="auto"/>
          <w:sz w:val="24"/>
        </w:rPr>
        <w:t xml:space="preserve"> Accessed 6 J</w:t>
      </w:r>
      <w:r>
        <w:rPr>
          <w:rFonts w:hint="eastAsia" w:ascii="Arial" w:hAnsi="Arial" w:cs="Arial"/>
          <w:color w:val="auto"/>
          <w:sz w:val="24"/>
        </w:rPr>
        <w:t>a</w:t>
      </w:r>
      <w:r>
        <w:rPr>
          <w:rFonts w:ascii="Arial" w:hAnsi="Arial" w:cs="Arial"/>
          <w:color w:val="auto"/>
          <w:sz w:val="24"/>
        </w:rPr>
        <w:t xml:space="preserve">nuary 2025. </w:t>
      </w:r>
    </w:p>
    <w:p w14:paraId="317D7135">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Garrido-Moreno</w:t>
      </w:r>
      <w:bookmarkEnd w:id="29"/>
      <w:r>
        <w:rPr>
          <w:rFonts w:ascii="Arial" w:hAnsi="Arial" w:cs="Arial"/>
          <w:color w:val="auto"/>
          <w:kern w:val="0"/>
          <w:sz w:val="24"/>
        </w:rPr>
        <w:t xml:space="preserve">, A., García-Morales, V., King, S. and Lockett, N., 2020. Social Media use and value creation in the digital landscape: a dynamic-capabilities perspective. </w:t>
      </w:r>
      <w:r>
        <w:rPr>
          <w:rFonts w:ascii="Arial" w:hAnsi="Arial" w:cs="Arial"/>
          <w:i/>
          <w:iCs/>
          <w:color w:val="auto"/>
          <w:kern w:val="0"/>
          <w:sz w:val="24"/>
        </w:rPr>
        <w:t>Journal of Service Management,</w:t>
      </w:r>
      <w:r>
        <w:rPr>
          <w:rFonts w:ascii="Arial" w:hAnsi="Arial" w:cs="Arial"/>
          <w:color w:val="auto"/>
          <w:kern w:val="0"/>
          <w:sz w:val="24"/>
        </w:rPr>
        <w:t xml:space="preserve"> 31(3), pp.313-343.</w:t>
      </w:r>
    </w:p>
    <w:p w14:paraId="1C63A669">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González-Pizarro, F., Figueroa, A., López, C. and Aragon, C., 2022. Regional differences in information privacy concerns After the Facebook-Cambridge Analytica data scandal. </w:t>
      </w:r>
      <w:r>
        <w:rPr>
          <w:rFonts w:ascii="Arial" w:hAnsi="Arial" w:cs="Arial"/>
          <w:i/>
          <w:iCs/>
          <w:color w:val="auto"/>
          <w:kern w:val="0"/>
          <w:sz w:val="24"/>
        </w:rPr>
        <w:t>Computer Supported Cooperative Work (CSCW),</w:t>
      </w:r>
      <w:r>
        <w:rPr>
          <w:rFonts w:ascii="Arial" w:hAnsi="Arial" w:cs="Arial"/>
          <w:color w:val="auto"/>
          <w:kern w:val="0"/>
          <w:sz w:val="24"/>
        </w:rPr>
        <w:t xml:space="preserve"> 31(1), pp.33-77.</w:t>
      </w:r>
    </w:p>
    <w:p w14:paraId="469682AC">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Hern, A. and Pegg, D., 2018. </w:t>
      </w:r>
      <w:r>
        <w:rPr>
          <w:rFonts w:ascii="Arial" w:hAnsi="Arial" w:cs="Arial"/>
          <w:i/>
          <w:iCs/>
          <w:color w:val="auto"/>
          <w:kern w:val="0"/>
          <w:sz w:val="24"/>
        </w:rPr>
        <w:t>Facebook fined for data breaches in Cambridge Analytica scandal.</w:t>
      </w:r>
      <w:r>
        <w:rPr>
          <w:rFonts w:ascii="Arial" w:hAnsi="Arial" w:cs="Arial"/>
          <w:color w:val="auto"/>
          <w:kern w:val="0"/>
          <w:sz w:val="24"/>
        </w:rPr>
        <w:t xml:space="preserve"> The Guardian. Available at: </w:t>
      </w:r>
      <w:r>
        <w:rPr>
          <w:color w:val="auto"/>
        </w:rPr>
        <w:fldChar w:fldCharType="begin"/>
      </w:r>
      <w:r>
        <w:rPr>
          <w:color w:val="auto"/>
        </w:rPr>
        <w:instrText xml:space="preserve"> HYPERLINK "https://www.theguardian.com/technology/2018/jul/11/facebook-fined-for-data-breaches-in-cambridge-analytica-scandal" </w:instrText>
      </w:r>
      <w:r>
        <w:rPr>
          <w:color w:val="auto"/>
        </w:rPr>
        <w:fldChar w:fldCharType="separate"/>
      </w:r>
      <w:r>
        <w:rPr>
          <w:rStyle w:val="27"/>
          <w:rFonts w:ascii="Arial" w:hAnsi="Arial" w:cs="Arial"/>
          <w:color w:val="auto"/>
          <w:kern w:val="0"/>
          <w:sz w:val="24"/>
        </w:rPr>
        <w:t>https://www.theguardian.com/technology/2018/jul/11/facebook-fined-for-data-breaches-in-cambridge-analytica-scandal</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25C3B24E">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Ibitoye, T.R., 2021. Beholding Female Genital Incision through the Lens of Cultural Relativism: The Need to Strike a Balance. </w:t>
      </w:r>
      <w:r>
        <w:rPr>
          <w:rFonts w:ascii="Arial" w:hAnsi="Arial" w:cs="Arial"/>
          <w:i/>
          <w:iCs/>
          <w:color w:val="auto"/>
          <w:kern w:val="0"/>
          <w:sz w:val="24"/>
        </w:rPr>
        <w:t>Jimma UJL</w:t>
      </w:r>
      <w:r>
        <w:rPr>
          <w:rFonts w:ascii="Arial" w:hAnsi="Arial" w:cs="Arial"/>
          <w:color w:val="auto"/>
          <w:kern w:val="0"/>
          <w:sz w:val="24"/>
        </w:rPr>
        <w:t>, 13, p.66.</w:t>
      </w:r>
    </w:p>
    <w:p w14:paraId="13B88F28">
      <w:pPr>
        <w:spacing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Intersoft Consulting, 2024. </w:t>
      </w:r>
      <w:r>
        <w:rPr>
          <w:rFonts w:ascii="Arial" w:hAnsi="Arial" w:cs="Arial"/>
          <w:i/>
          <w:iCs/>
          <w:color w:val="auto"/>
          <w:kern w:val="0"/>
          <w:sz w:val="24"/>
        </w:rPr>
        <w:t xml:space="preserve">Art. 34 GDPR Communication of a personal data breach to the data subject. </w:t>
      </w:r>
      <w:r>
        <w:rPr>
          <w:rFonts w:ascii="Arial" w:hAnsi="Arial" w:cs="Arial"/>
          <w:color w:val="auto"/>
          <w:kern w:val="0"/>
          <w:sz w:val="24"/>
        </w:rPr>
        <w:t xml:space="preserve">Available at: </w:t>
      </w:r>
      <w:r>
        <w:rPr>
          <w:color w:val="auto"/>
        </w:rPr>
        <w:fldChar w:fldCharType="begin"/>
      </w:r>
      <w:r>
        <w:rPr>
          <w:color w:val="auto"/>
        </w:rPr>
        <w:instrText xml:space="preserve"> HYPERLINK "https://gdpr-info.eu/art-34-gdpr/" </w:instrText>
      </w:r>
      <w:r>
        <w:rPr>
          <w:color w:val="auto"/>
        </w:rPr>
        <w:fldChar w:fldCharType="separate"/>
      </w:r>
      <w:r>
        <w:rPr>
          <w:rStyle w:val="27"/>
          <w:rFonts w:ascii="Arial" w:hAnsi="Arial" w:cs="Arial"/>
          <w:color w:val="auto"/>
          <w:kern w:val="0"/>
          <w:sz w:val="24"/>
        </w:rPr>
        <w:t>https://gdpr-info.eu/art-34-gdpr/</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2" w:name="OLE_LINK4"/>
      <w:bookmarkStart w:id="33" w:name="OLE_LINK16"/>
      <w:r>
        <w:rPr>
          <w:rFonts w:ascii="Arial" w:hAnsi="Arial" w:cs="Arial"/>
          <w:color w:val="auto"/>
          <w:kern w:val="0"/>
          <w:sz w:val="24"/>
        </w:rPr>
        <w:t>Accessed 6 January 2025.</w:t>
      </w:r>
      <w:bookmarkEnd w:id="32"/>
      <w:r>
        <w:rPr>
          <w:rFonts w:ascii="Arial" w:hAnsi="Arial" w:cs="Arial"/>
          <w:color w:val="auto"/>
          <w:kern w:val="0"/>
          <w:sz w:val="24"/>
        </w:rPr>
        <w:t xml:space="preserve"> </w:t>
      </w:r>
      <w:bookmarkEnd w:id="33"/>
    </w:p>
    <w:p w14:paraId="396653D1">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Imamov, M. and Semenikhina, N., 2021. The impact of the digital revolution on the global economy.</w:t>
      </w:r>
      <w:r>
        <w:rPr>
          <w:rFonts w:ascii="Arial" w:hAnsi="Arial" w:cs="Arial"/>
          <w:i/>
          <w:iCs/>
          <w:color w:val="auto"/>
          <w:kern w:val="0"/>
          <w:sz w:val="24"/>
        </w:rPr>
        <w:t xml:space="preserve"> Linguistics and Culture Review,</w:t>
      </w:r>
      <w:r>
        <w:rPr>
          <w:rFonts w:ascii="Arial" w:hAnsi="Arial" w:cs="Arial"/>
          <w:color w:val="auto"/>
          <w:kern w:val="0"/>
          <w:sz w:val="24"/>
        </w:rPr>
        <w:t xml:space="preserve"> pp.968-987.</w:t>
      </w:r>
    </w:p>
    <w:p w14:paraId="33C08AD9">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Ivanova, I., 2019. </w:t>
      </w:r>
      <w:r>
        <w:rPr>
          <w:rFonts w:ascii="Arial" w:hAnsi="Arial" w:cs="Arial"/>
          <w:i/>
          <w:iCs/>
          <w:color w:val="auto"/>
          <w:kern w:val="0"/>
          <w:sz w:val="24"/>
        </w:rPr>
        <w:t xml:space="preserve">Facebook expects to sell over $400 million of political ads next year. </w:t>
      </w:r>
      <w:r>
        <w:rPr>
          <w:rFonts w:ascii="Arial" w:hAnsi="Arial" w:cs="Arial"/>
          <w:color w:val="auto"/>
          <w:kern w:val="0"/>
          <w:sz w:val="24"/>
        </w:rPr>
        <w:t xml:space="preserve">CBS News. Available at: </w:t>
      </w:r>
      <w:r>
        <w:rPr>
          <w:color w:val="auto"/>
        </w:rPr>
        <w:fldChar w:fldCharType="begin"/>
      </w:r>
      <w:r>
        <w:rPr>
          <w:color w:val="auto"/>
        </w:rPr>
        <w:instrText xml:space="preserve"> HYPERLINK "https://www.cbsnews.com/news/facebook-earnings-call-political-ads-to-bring-in-350-million-this-year/" </w:instrText>
      </w:r>
      <w:r>
        <w:rPr>
          <w:color w:val="auto"/>
        </w:rPr>
        <w:fldChar w:fldCharType="separate"/>
      </w:r>
      <w:r>
        <w:rPr>
          <w:rStyle w:val="27"/>
          <w:rFonts w:ascii="Arial" w:hAnsi="Arial" w:cs="Arial"/>
          <w:color w:val="auto"/>
          <w:kern w:val="0"/>
          <w:sz w:val="24"/>
        </w:rPr>
        <w:t>https://www.cbsnews.com/news/facebook-earnings-call-political-ads-to-bring-in-350-million-this-year/</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46C4C5F3">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Kusyk, S., 2021. Carroll’s CSR pyramid: An empirical investigation of SME CSR orientation. </w:t>
      </w:r>
      <w:r>
        <w:rPr>
          <w:rFonts w:ascii="Arial" w:hAnsi="Arial" w:cs="Arial"/>
          <w:i/>
          <w:iCs/>
          <w:color w:val="auto"/>
          <w:kern w:val="0"/>
          <w:sz w:val="24"/>
        </w:rPr>
        <w:t>Journal of Leadership, Accountability and Ethics</w:t>
      </w:r>
      <w:r>
        <w:rPr>
          <w:rFonts w:ascii="Arial" w:hAnsi="Arial" w:cs="Arial"/>
          <w:color w:val="auto"/>
          <w:kern w:val="0"/>
          <w:sz w:val="24"/>
        </w:rPr>
        <w:t>, </w:t>
      </w:r>
      <w:r>
        <w:rPr>
          <w:rFonts w:ascii="Arial" w:hAnsi="Arial" w:cs="Arial"/>
          <w:i/>
          <w:iCs/>
          <w:color w:val="auto"/>
          <w:kern w:val="0"/>
          <w:sz w:val="24"/>
        </w:rPr>
        <w:t>18</w:t>
      </w:r>
      <w:r>
        <w:rPr>
          <w:rFonts w:ascii="Arial" w:hAnsi="Arial" w:cs="Arial"/>
          <w:color w:val="auto"/>
          <w:kern w:val="0"/>
          <w:sz w:val="24"/>
        </w:rPr>
        <w:t>(4).</w:t>
      </w:r>
    </w:p>
    <w:p w14:paraId="40C4CBAB">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Mansoor, M., 2021. Citizens' trust in government as a function of good governance and government agency's provision of quality information on social media during COVID-19. </w:t>
      </w:r>
      <w:r>
        <w:rPr>
          <w:rFonts w:ascii="Arial" w:hAnsi="Arial" w:cs="Arial"/>
          <w:i/>
          <w:iCs/>
          <w:color w:val="auto"/>
          <w:kern w:val="0"/>
          <w:sz w:val="24"/>
        </w:rPr>
        <w:t>Government information quarterly,</w:t>
      </w:r>
      <w:r>
        <w:rPr>
          <w:rFonts w:ascii="Arial" w:hAnsi="Arial" w:cs="Arial"/>
          <w:color w:val="auto"/>
          <w:kern w:val="0"/>
          <w:sz w:val="24"/>
        </w:rPr>
        <w:t xml:space="preserve"> 38(4), p.101597.</w:t>
      </w:r>
    </w:p>
    <w:p w14:paraId="094129BE">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Martens, A. and Kleinfeld, A., 2022. CSR Pyramid. I</w:t>
      </w:r>
      <w:r>
        <w:rPr>
          <w:rFonts w:ascii="Arial" w:hAnsi="Arial" w:cs="Arial"/>
          <w:i/>
          <w:iCs/>
          <w:color w:val="auto"/>
          <w:kern w:val="0"/>
          <w:sz w:val="24"/>
        </w:rPr>
        <w:t xml:space="preserve">n Encyclopedia of Sustainable Management </w:t>
      </w:r>
      <w:r>
        <w:rPr>
          <w:rFonts w:ascii="Arial" w:hAnsi="Arial" w:cs="Arial"/>
          <w:color w:val="auto"/>
          <w:kern w:val="0"/>
          <w:sz w:val="24"/>
        </w:rPr>
        <w:t>(pp. 1-8). Cham: Springer International Publishing.</w:t>
      </w:r>
    </w:p>
    <w:p w14:paraId="306250EA">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Mcclain, C., Faverio, M., Anderson, M. and Park, E., 2023. </w:t>
      </w:r>
      <w:r>
        <w:rPr>
          <w:rFonts w:ascii="Arial" w:hAnsi="Arial" w:cs="Arial"/>
          <w:i/>
          <w:iCs/>
          <w:color w:val="auto"/>
          <w:kern w:val="0"/>
          <w:sz w:val="24"/>
        </w:rPr>
        <w:t>How Americans View Data Privacy.</w:t>
      </w:r>
      <w:r>
        <w:rPr>
          <w:rFonts w:ascii="Arial" w:hAnsi="Arial" w:cs="Arial"/>
          <w:color w:val="auto"/>
          <w:kern w:val="0"/>
          <w:sz w:val="24"/>
        </w:rPr>
        <w:t xml:space="preserve"> Available at: </w:t>
      </w:r>
      <w:r>
        <w:rPr>
          <w:color w:val="auto"/>
        </w:rPr>
        <w:fldChar w:fldCharType="begin"/>
      </w:r>
      <w:r>
        <w:rPr>
          <w:color w:val="auto"/>
        </w:rPr>
        <w:instrText xml:space="preserve"> HYPERLINK "https://www.pewresearch.org/internet/2023/10/18/how-americans-view-data-privacy/" </w:instrText>
      </w:r>
      <w:r>
        <w:rPr>
          <w:color w:val="auto"/>
        </w:rPr>
        <w:fldChar w:fldCharType="separate"/>
      </w:r>
      <w:r>
        <w:rPr>
          <w:rStyle w:val="27"/>
          <w:rFonts w:ascii="Arial" w:hAnsi="Arial" w:cs="Arial"/>
          <w:color w:val="auto"/>
          <w:kern w:val="0"/>
          <w:sz w:val="24"/>
        </w:rPr>
        <w:t>https://www.pewresearch.org/internet/2023/10/18/how-americans-view-data-privacy/</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4" w:name="OLE_LINK19"/>
      <w:r>
        <w:rPr>
          <w:rFonts w:ascii="Arial" w:hAnsi="Arial" w:cs="Arial"/>
          <w:color w:val="auto"/>
          <w:kern w:val="0"/>
          <w:sz w:val="24"/>
        </w:rPr>
        <w:t>Accessed 6 January 2025.</w:t>
      </w:r>
      <w:bookmarkEnd w:id="34"/>
    </w:p>
    <w:p w14:paraId="4E3D4792">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Meta, 2022. </w:t>
      </w:r>
      <w:r>
        <w:rPr>
          <w:rFonts w:ascii="Arial" w:hAnsi="Arial" w:cs="Arial"/>
          <w:i/>
          <w:iCs/>
          <w:color w:val="auto"/>
          <w:kern w:val="0"/>
          <w:sz w:val="24"/>
        </w:rPr>
        <w:t>Our Continuing Commitment to Transparency.</w:t>
      </w:r>
      <w:r>
        <w:rPr>
          <w:rFonts w:ascii="Arial" w:hAnsi="Arial" w:cs="Arial"/>
          <w:color w:val="auto"/>
          <w:kern w:val="0"/>
          <w:sz w:val="24"/>
        </w:rPr>
        <w:t xml:space="preserve"> Available at: </w:t>
      </w:r>
      <w:r>
        <w:rPr>
          <w:color w:val="auto"/>
        </w:rPr>
        <w:fldChar w:fldCharType="begin"/>
      </w:r>
      <w:r>
        <w:rPr>
          <w:color w:val="auto"/>
        </w:rPr>
        <w:instrText xml:space="preserve"> HYPERLINK "https://about.fb.com/news/2020/11/biannual-transparency-report/" </w:instrText>
      </w:r>
      <w:r>
        <w:rPr>
          <w:color w:val="auto"/>
        </w:rPr>
        <w:fldChar w:fldCharType="separate"/>
      </w:r>
      <w:r>
        <w:rPr>
          <w:rStyle w:val="27"/>
          <w:rFonts w:ascii="Arial" w:hAnsi="Arial" w:cs="Arial"/>
          <w:color w:val="auto"/>
          <w:kern w:val="0"/>
          <w:sz w:val="24"/>
        </w:rPr>
        <w:t>https://about.fb.com/news/2020/11/biannual-transparency-report/</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593F92B8">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Meta, 2024a. </w:t>
      </w:r>
      <w:r>
        <w:rPr>
          <w:rFonts w:ascii="Arial" w:hAnsi="Arial" w:cs="Arial"/>
          <w:i/>
          <w:iCs/>
          <w:color w:val="auto"/>
          <w:kern w:val="0"/>
          <w:sz w:val="24"/>
        </w:rPr>
        <w:t xml:space="preserve">Content Restrictions Based on Local Law. </w:t>
      </w:r>
      <w:r>
        <w:rPr>
          <w:rFonts w:ascii="Arial" w:hAnsi="Arial" w:cs="Arial"/>
          <w:color w:val="auto"/>
          <w:kern w:val="0"/>
          <w:sz w:val="24"/>
        </w:rPr>
        <w:t xml:space="preserve">Available at: </w:t>
      </w:r>
      <w:r>
        <w:rPr>
          <w:color w:val="auto"/>
        </w:rPr>
        <w:fldChar w:fldCharType="begin"/>
      </w:r>
      <w:r>
        <w:rPr>
          <w:color w:val="auto"/>
        </w:rPr>
        <w:instrText xml:space="preserve"> HYPERLINK "https://transparency.meta.com/reports/content-restrictions/" </w:instrText>
      </w:r>
      <w:r>
        <w:rPr>
          <w:color w:val="auto"/>
        </w:rPr>
        <w:fldChar w:fldCharType="separate"/>
      </w:r>
      <w:r>
        <w:rPr>
          <w:rStyle w:val="27"/>
          <w:rFonts w:ascii="Arial" w:hAnsi="Arial" w:cs="Arial"/>
          <w:color w:val="auto"/>
          <w:kern w:val="0"/>
          <w:sz w:val="24"/>
        </w:rPr>
        <w:t>https://transparency.meta.com/reports/content-restrictions/</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7A56D257">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Meta, 2024b. </w:t>
      </w:r>
      <w:r>
        <w:rPr>
          <w:rFonts w:ascii="Arial" w:hAnsi="Arial" w:cs="Arial"/>
          <w:i/>
          <w:iCs/>
          <w:color w:val="auto"/>
          <w:kern w:val="0"/>
          <w:sz w:val="24"/>
        </w:rPr>
        <w:t>End-to-End Encryption on Messenger Explained.</w:t>
      </w:r>
      <w:r>
        <w:rPr>
          <w:rFonts w:ascii="Arial" w:hAnsi="Arial" w:cs="Arial"/>
          <w:color w:val="auto"/>
          <w:kern w:val="0"/>
          <w:sz w:val="24"/>
        </w:rPr>
        <w:t xml:space="preserve"> Available at: </w:t>
      </w:r>
      <w:r>
        <w:rPr>
          <w:color w:val="auto"/>
        </w:rPr>
        <w:fldChar w:fldCharType="begin"/>
      </w:r>
      <w:r>
        <w:rPr>
          <w:color w:val="auto"/>
        </w:rPr>
        <w:instrText xml:space="preserve"> HYPERLINK "https://about.fb.com/news/2024/03/end-to-end-encryption-on-messenger-explained/" </w:instrText>
      </w:r>
      <w:r>
        <w:rPr>
          <w:color w:val="auto"/>
        </w:rPr>
        <w:fldChar w:fldCharType="separate"/>
      </w:r>
      <w:r>
        <w:rPr>
          <w:rStyle w:val="27"/>
          <w:rFonts w:ascii="Arial" w:hAnsi="Arial" w:cs="Arial"/>
          <w:color w:val="auto"/>
          <w:kern w:val="0"/>
          <w:sz w:val="24"/>
        </w:rPr>
        <w:t>https://about.fb.com/news/2024/03/end-to-end-encryption-on-messenger-explained/</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34CB8AD1">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Neudert, L.M., 2023. Regulatory capacity capture: The United Kingdom’s online safety regime. </w:t>
      </w:r>
      <w:r>
        <w:rPr>
          <w:rFonts w:ascii="Arial" w:hAnsi="Arial" w:cs="Arial"/>
          <w:i/>
          <w:iCs/>
          <w:color w:val="auto"/>
          <w:kern w:val="0"/>
          <w:sz w:val="24"/>
        </w:rPr>
        <w:t>Internet Policy Review,</w:t>
      </w:r>
      <w:r>
        <w:rPr>
          <w:rFonts w:ascii="Arial" w:hAnsi="Arial" w:cs="Arial"/>
          <w:color w:val="auto"/>
          <w:kern w:val="0"/>
          <w:sz w:val="24"/>
        </w:rPr>
        <w:t xml:space="preserve"> 12(4).</w:t>
      </w:r>
    </w:p>
    <w:p w14:paraId="6F3F76F6">
      <w:pPr>
        <w:spacing w:after="0" w:line="480" w:lineRule="auto"/>
        <w:ind w:left="480" w:hanging="480" w:hangingChars="200"/>
        <w:jc w:val="both"/>
        <w:rPr>
          <w:rFonts w:ascii="Arial" w:hAnsi="Arial" w:cs="Arial"/>
          <w:color w:val="auto"/>
          <w:kern w:val="0"/>
          <w:sz w:val="24"/>
        </w:rPr>
      </w:pPr>
      <w:bookmarkStart w:id="35" w:name="OLE_LINK18"/>
      <w:r>
        <w:rPr>
          <w:rFonts w:ascii="Arial" w:hAnsi="Arial" w:cs="Arial"/>
          <w:color w:val="auto"/>
          <w:kern w:val="0"/>
          <w:sz w:val="24"/>
        </w:rPr>
        <w:t>Radavoi,</w:t>
      </w:r>
      <w:bookmarkEnd w:id="35"/>
      <w:r>
        <w:rPr>
          <w:rFonts w:ascii="Arial" w:hAnsi="Arial" w:cs="Arial"/>
          <w:color w:val="auto"/>
          <w:kern w:val="0"/>
          <w:sz w:val="24"/>
        </w:rPr>
        <w:t xml:space="preserve"> C.N., 2022. Law-Guided CSR: Ten Commandments for the 21st Century. </w:t>
      </w:r>
      <w:r>
        <w:rPr>
          <w:rFonts w:ascii="Arial" w:hAnsi="Arial" w:cs="Arial"/>
          <w:i/>
          <w:iCs/>
          <w:color w:val="auto"/>
          <w:kern w:val="0"/>
          <w:sz w:val="24"/>
        </w:rPr>
        <w:t>Loy. U. Chi. J. Reg. Compl.</w:t>
      </w:r>
      <w:r>
        <w:rPr>
          <w:rFonts w:ascii="Arial" w:hAnsi="Arial" w:cs="Arial"/>
          <w:color w:val="auto"/>
          <w:kern w:val="0"/>
          <w:sz w:val="24"/>
        </w:rPr>
        <w:t>, </w:t>
      </w:r>
      <w:r>
        <w:rPr>
          <w:rFonts w:ascii="Arial" w:hAnsi="Arial" w:cs="Arial"/>
          <w:i/>
          <w:iCs/>
          <w:color w:val="auto"/>
          <w:kern w:val="0"/>
          <w:sz w:val="24"/>
        </w:rPr>
        <w:t>9</w:t>
      </w:r>
      <w:r>
        <w:rPr>
          <w:rFonts w:ascii="Arial" w:hAnsi="Arial" w:cs="Arial"/>
          <w:color w:val="auto"/>
          <w:kern w:val="0"/>
          <w:sz w:val="24"/>
        </w:rPr>
        <w:t>, p.36.</w:t>
      </w:r>
    </w:p>
    <w:p w14:paraId="603100F7">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Salinas, S., 2019. </w:t>
      </w:r>
      <w:r>
        <w:rPr>
          <w:rFonts w:ascii="Arial" w:hAnsi="Arial" w:cs="Arial"/>
          <w:i/>
          <w:iCs/>
          <w:color w:val="auto"/>
          <w:kern w:val="0"/>
          <w:sz w:val="24"/>
        </w:rPr>
        <w:t>Facebook soars after it crushes earnings, posts record profit.</w:t>
      </w:r>
      <w:r>
        <w:rPr>
          <w:rFonts w:ascii="Arial" w:hAnsi="Arial" w:cs="Arial"/>
          <w:color w:val="auto"/>
          <w:kern w:val="0"/>
          <w:sz w:val="24"/>
        </w:rPr>
        <w:t xml:space="preserve"> CNBC. Available at: </w:t>
      </w:r>
      <w:r>
        <w:rPr>
          <w:color w:val="auto"/>
        </w:rPr>
        <w:fldChar w:fldCharType="begin"/>
      </w:r>
      <w:r>
        <w:rPr>
          <w:color w:val="auto"/>
        </w:rPr>
        <w:instrText xml:space="preserve"> HYPERLINK "https://www.cnbc.com/2019/01/30/facebook-earnings-q4-2018.html" </w:instrText>
      </w:r>
      <w:r>
        <w:rPr>
          <w:color w:val="auto"/>
        </w:rPr>
        <w:fldChar w:fldCharType="separate"/>
      </w:r>
      <w:r>
        <w:rPr>
          <w:rStyle w:val="27"/>
          <w:rFonts w:ascii="Arial" w:hAnsi="Arial" w:cs="Arial"/>
          <w:color w:val="auto"/>
          <w:kern w:val="0"/>
          <w:sz w:val="24"/>
        </w:rPr>
        <w:t>https://www.cnbc.com/2019/01/30/facebook-earnings-q4-2018.html</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31A3F4C4">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Statista, 2024. </w:t>
      </w:r>
      <w:r>
        <w:rPr>
          <w:rFonts w:ascii="Arial" w:hAnsi="Arial" w:cs="Arial"/>
          <w:i/>
          <w:iCs/>
          <w:color w:val="auto"/>
          <w:kern w:val="0"/>
          <w:sz w:val="24"/>
        </w:rPr>
        <w:t>Attitudes and actions of online users in the United Kingdom (UK) regarding online privacy as of 3rd quarter 2023.</w:t>
      </w:r>
      <w:r>
        <w:rPr>
          <w:rFonts w:ascii="Arial" w:hAnsi="Arial" w:cs="Arial"/>
          <w:color w:val="auto"/>
          <w:kern w:val="0"/>
          <w:sz w:val="24"/>
        </w:rPr>
        <w:t xml:space="preserve"> Available at: </w:t>
      </w:r>
      <w:r>
        <w:rPr>
          <w:color w:val="auto"/>
        </w:rPr>
        <w:fldChar w:fldCharType="begin"/>
      </w:r>
      <w:r>
        <w:rPr>
          <w:color w:val="auto"/>
        </w:rPr>
        <w:instrText xml:space="preserve"> HYPERLINK "https://www.statista.com/statistics/1386118/online-adults-attitudes-data-privacy-uk/" </w:instrText>
      </w:r>
      <w:r>
        <w:rPr>
          <w:color w:val="auto"/>
        </w:rPr>
        <w:fldChar w:fldCharType="separate"/>
      </w:r>
      <w:r>
        <w:rPr>
          <w:rStyle w:val="27"/>
          <w:rFonts w:ascii="Arial" w:hAnsi="Arial" w:cs="Arial"/>
          <w:color w:val="auto"/>
          <w:kern w:val="0"/>
          <w:sz w:val="24"/>
        </w:rPr>
        <w:t>https://www.statista.com/statistics/1386118/online-adults-attitudes-data-privacy-uk/</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6" w:name="OLE_LINK13"/>
      <w:r>
        <w:rPr>
          <w:rFonts w:ascii="Arial" w:hAnsi="Arial" w:cs="Arial"/>
          <w:color w:val="auto"/>
          <w:kern w:val="0"/>
          <w:sz w:val="24"/>
        </w:rPr>
        <w:t>Accessed 6 January 2025.</w:t>
      </w:r>
      <w:bookmarkEnd w:id="36"/>
    </w:p>
    <w:p w14:paraId="3FBDB7A9">
      <w:pPr>
        <w:tabs>
          <w:tab w:val="left" w:pos="3282"/>
        </w:tabs>
        <w:spacing w:after="0" w:line="480" w:lineRule="auto"/>
        <w:ind w:left="480" w:hanging="480" w:hangingChars="200"/>
        <w:jc w:val="both"/>
        <w:rPr>
          <w:rFonts w:ascii="Arial" w:hAnsi="Arial" w:cs="Arial"/>
          <w:color w:val="auto"/>
          <w:sz w:val="24"/>
        </w:rPr>
      </w:pPr>
      <w:r>
        <w:rPr>
          <w:rFonts w:ascii="Arial" w:hAnsi="Arial" w:cs="Arial"/>
          <w:color w:val="auto"/>
          <w:sz w:val="24"/>
        </w:rPr>
        <w:t xml:space="preserve">UNESCO IITE, 2020. </w:t>
      </w:r>
      <w:r>
        <w:rPr>
          <w:rFonts w:ascii="Arial" w:hAnsi="Arial" w:cs="Arial"/>
          <w:i/>
          <w:iCs/>
          <w:color w:val="auto"/>
          <w:sz w:val="24"/>
        </w:rPr>
        <w:t>Facebook in cooperation with UNESCO IITE, ISTE and other partners launched a digital literacy program, Get Digital.</w:t>
      </w:r>
      <w:r>
        <w:rPr>
          <w:rFonts w:ascii="Arial" w:hAnsi="Arial" w:cs="Arial"/>
          <w:color w:val="auto"/>
          <w:sz w:val="24"/>
        </w:rPr>
        <w:t xml:space="preserve"> </w:t>
      </w:r>
      <w:r>
        <w:rPr>
          <w:rFonts w:ascii="Arial" w:hAnsi="Arial" w:cs="Arial"/>
          <w:color w:val="auto"/>
          <w:kern w:val="0"/>
          <w:sz w:val="24"/>
        </w:rPr>
        <w:t xml:space="preserve">Available at: </w:t>
      </w:r>
      <w:r>
        <w:rPr>
          <w:color w:val="auto"/>
        </w:rPr>
        <w:fldChar w:fldCharType="begin"/>
      </w:r>
      <w:r>
        <w:rPr>
          <w:color w:val="auto"/>
        </w:rPr>
        <w:instrText xml:space="preserve"> HYPERLINK "https://iite.unesco.org/news/facebook-in-cooperation-with-unesco-iite-iste-and-other-partners-launched-a-digital-literacy-program-get-digital/" </w:instrText>
      </w:r>
      <w:r>
        <w:rPr>
          <w:color w:val="auto"/>
        </w:rPr>
        <w:fldChar w:fldCharType="separate"/>
      </w:r>
      <w:r>
        <w:rPr>
          <w:rStyle w:val="27"/>
          <w:rFonts w:ascii="Arial" w:hAnsi="Arial" w:cs="Arial"/>
          <w:color w:val="auto"/>
          <w:kern w:val="0"/>
          <w:sz w:val="24"/>
        </w:rPr>
        <w:t>https://iite.unesco.org/news/facebook-in-cooperation-with-unesco-iite-iste-and-other-partners-launched-a-digital-literacy-program-get-digital/</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525CD2F5">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Vagle, J.L., 2024. Privacy's Commodification and the Limits of Antitrust. </w:t>
      </w:r>
      <w:r>
        <w:rPr>
          <w:rFonts w:ascii="Arial" w:hAnsi="Arial" w:cs="Arial"/>
          <w:i/>
          <w:iCs/>
          <w:color w:val="auto"/>
          <w:kern w:val="0"/>
          <w:sz w:val="24"/>
        </w:rPr>
        <w:t xml:space="preserve">Ark. L. Rev., </w:t>
      </w:r>
      <w:r>
        <w:rPr>
          <w:rFonts w:ascii="Arial" w:hAnsi="Arial" w:cs="Arial"/>
          <w:color w:val="auto"/>
          <w:kern w:val="0"/>
          <w:sz w:val="24"/>
        </w:rPr>
        <w:t>77, p.51.</w:t>
      </w:r>
    </w:p>
    <w:p w14:paraId="6F0D0E7C">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Vdovichena, O., Tkachuk, S., Zhuzhukina, N. and Lukianykhina, O., 2022. The use of information in the world economy: globalization trends. </w:t>
      </w:r>
      <w:r>
        <w:rPr>
          <w:rFonts w:ascii="Arial" w:hAnsi="Arial" w:cs="Arial"/>
          <w:i/>
          <w:iCs/>
          <w:color w:val="auto"/>
          <w:kern w:val="0"/>
          <w:sz w:val="24"/>
        </w:rPr>
        <w:t>Futurity Economics&amp;Law</w:t>
      </w:r>
      <w:r>
        <w:rPr>
          <w:rFonts w:ascii="Arial" w:hAnsi="Arial" w:cs="Arial"/>
          <w:color w:val="auto"/>
          <w:kern w:val="0"/>
          <w:sz w:val="24"/>
        </w:rPr>
        <w:t>, </w:t>
      </w:r>
      <w:r>
        <w:rPr>
          <w:rFonts w:ascii="Arial" w:hAnsi="Arial" w:cs="Arial"/>
          <w:i/>
          <w:iCs/>
          <w:color w:val="auto"/>
          <w:kern w:val="0"/>
          <w:sz w:val="24"/>
        </w:rPr>
        <w:t>2</w:t>
      </w:r>
      <w:r>
        <w:rPr>
          <w:rFonts w:ascii="Arial" w:hAnsi="Arial" w:cs="Arial"/>
          <w:color w:val="auto"/>
          <w:kern w:val="0"/>
          <w:sz w:val="24"/>
        </w:rPr>
        <w:t>(4), pp.4-18.</w:t>
      </w:r>
    </w:p>
    <w:p w14:paraId="32BD2980">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Vladeck, D., 2018. </w:t>
      </w:r>
      <w:r>
        <w:rPr>
          <w:rFonts w:ascii="Arial" w:hAnsi="Arial" w:cs="Arial"/>
          <w:i/>
          <w:iCs/>
          <w:color w:val="auto"/>
          <w:kern w:val="0"/>
          <w:sz w:val="24"/>
        </w:rPr>
        <w:t xml:space="preserve">Facebook, Cambridge Analytica, and the Regulator’s Dilemma: Clueless or Venal?. </w:t>
      </w:r>
      <w:r>
        <w:rPr>
          <w:rFonts w:ascii="Arial" w:hAnsi="Arial" w:cs="Arial"/>
          <w:color w:val="auto"/>
          <w:kern w:val="0"/>
          <w:sz w:val="24"/>
        </w:rPr>
        <w:t>H</w:t>
      </w:r>
      <w:r>
        <w:rPr>
          <w:rFonts w:hint="eastAsia" w:ascii="Arial" w:hAnsi="Arial" w:cs="Arial"/>
          <w:color w:val="auto"/>
          <w:kern w:val="0"/>
          <w:sz w:val="24"/>
        </w:rPr>
        <w:t>a</w:t>
      </w:r>
      <w:r>
        <w:rPr>
          <w:rFonts w:ascii="Arial" w:hAnsi="Arial" w:cs="Arial"/>
          <w:color w:val="auto"/>
          <w:kern w:val="0"/>
          <w:sz w:val="24"/>
        </w:rPr>
        <w:t xml:space="preserve">rvard Business Review. Available at: </w:t>
      </w:r>
      <w:r>
        <w:rPr>
          <w:color w:val="auto"/>
        </w:rPr>
        <w:fldChar w:fldCharType="begin"/>
      </w:r>
      <w:r>
        <w:rPr>
          <w:color w:val="auto"/>
        </w:rPr>
        <w:instrText xml:space="preserve"> HYPERLINK "https://harvardlawreview.org/blog/2018/04/facebook-cambridge-analytica-and-the-regulators-dilemma-clueless-or-venal/" </w:instrText>
      </w:r>
      <w:r>
        <w:rPr>
          <w:color w:val="auto"/>
        </w:rPr>
        <w:fldChar w:fldCharType="separate"/>
      </w:r>
      <w:r>
        <w:rPr>
          <w:rStyle w:val="27"/>
          <w:rFonts w:ascii="Arial" w:hAnsi="Arial" w:cs="Arial"/>
          <w:color w:val="auto"/>
          <w:kern w:val="0"/>
          <w:sz w:val="24"/>
        </w:rPr>
        <w:t>https://harvardlawreview.org/blog/2018/04/facebook-cambridge-analytica-and-the-regulators-dilemma-clueless-or-venal/</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7" w:name="OLE_LINK22"/>
      <w:r>
        <w:rPr>
          <w:rFonts w:ascii="Arial" w:hAnsi="Arial" w:cs="Arial"/>
          <w:color w:val="auto"/>
          <w:kern w:val="0"/>
          <w:sz w:val="24"/>
        </w:rPr>
        <w:t>Accessed 6 January 2025.</w:t>
      </w:r>
      <w:bookmarkEnd w:id="37"/>
    </w:p>
    <w:p w14:paraId="451EE4DC">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Wong, J.C., 2018. </w:t>
      </w:r>
      <w:r>
        <w:rPr>
          <w:rFonts w:ascii="Arial" w:hAnsi="Arial" w:cs="Arial"/>
          <w:i/>
          <w:iCs/>
          <w:color w:val="auto"/>
          <w:kern w:val="0"/>
          <w:sz w:val="24"/>
        </w:rPr>
        <w:t>Mark Zuckerberg apologises for Facebook's 'mistakes' over Cambridge Analytica.</w:t>
      </w:r>
      <w:r>
        <w:rPr>
          <w:rFonts w:ascii="Arial" w:hAnsi="Arial" w:cs="Arial"/>
          <w:color w:val="auto"/>
          <w:kern w:val="0"/>
          <w:sz w:val="24"/>
        </w:rPr>
        <w:t xml:space="preserve"> Available at: </w:t>
      </w:r>
      <w:r>
        <w:rPr>
          <w:color w:val="auto"/>
        </w:rPr>
        <w:fldChar w:fldCharType="begin"/>
      </w:r>
      <w:r>
        <w:rPr>
          <w:color w:val="auto"/>
        </w:rPr>
        <w:instrText xml:space="preserve"> HYPERLINK "https://www.theguardian.com/technology/2018/mar/21/mark-zuckerberg-response-facebook-cambridge-analytica" </w:instrText>
      </w:r>
      <w:r>
        <w:rPr>
          <w:color w:val="auto"/>
        </w:rPr>
        <w:fldChar w:fldCharType="separate"/>
      </w:r>
      <w:r>
        <w:rPr>
          <w:rStyle w:val="27"/>
          <w:rFonts w:ascii="Arial" w:hAnsi="Arial" w:cs="Arial"/>
          <w:color w:val="auto"/>
          <w:kern w:val="0"/>
          <w:sz w:val="24"/>
        </w:rPr>
        <w:t>https://www.theguardian.com/technology/2018/mar/21/mark-zuckerberg-response-facebook-cambridge-analytica</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bookmarkEnd w:id="38"/>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695893"/>
    <w:multiLevelType w:val="multilevel"/>
    <w:tmpl w:val="4E695893"/>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BC0"/>
    <w:rsid w:val="00013228"/>
    <w:rsid w:val="00015FBF"/>
    <w:rsid w:val="000305E1"/>
    <w:rsid w:val="000E7BD5"/>
    <w:rsid w:val="001839B6"/>
    <w:rsid w:val="00187409"/>
    <w:rsid w:val="00192026"/>
    <w:rsid w:val="0019208F"/>
    <w:rsid w:val="001D5879"/>
    <w:rsid w:val="001E2A96"/>
    <w:rsid w:val="00206932"/>
    <w:rsid w:val="00216603"/>
    <w:rsid w:val="00223E6A"/>
    <w:rsid w:val="002377C2"/>
    <w:rsid w:val="00250B6F"/>
    <w:rsid w:val="00257227"/>
    <w:rsid w:val="00262E96"/>
    <w:rsid w:val="002815CF"/>
    <w:rsid w:val="00291952"/>
    <w:rsid w:val="002924B4"/>
    <w:rsid w:val="00296417"/>
    <w:rsid w:val="002C7998"/>
    <w:rsid w:val="002F2108"/>
    <w:rsid w:val="00300001"/>
    <w:rsid w:val="00317607"/>
    <w:rsid w:val="00396DEF"/>
    <w:rsid w:val="003A3F9E"/>
    <w:rsid w:val="003B6F46"/>
    <w:rsid w:val="003F1283"/>
    <w:rsid w:val="003F18C5"/>
    <w:rsid w:val="003F2D40"/>
    <w:rsid w:val="00446697"/>
    <w:rsid w:val="00447CD9"/>
    <w:rsid w:val="00480565"/>
    <w:rsid w:val="0050465E"/>
    <w:rsid w:val="00507EE2"/>
    <w:rsid w:val="00523655"/>
    <w:rsid w:val="00546453"/>
    <w:rsid w:val="00552186"/>
    <w:rsid w:val="0055250F"/>
    <w:rsid w:val="005530A5"/>
    <w:rsid w:val="00560188"/>
    <w:rsid w:val="00573547"/>
    <w:rsid w:val="00584DF3"/>
    <w:rsid w:val="00594E0B"/>
    <w:rsid w:val="005C2CBC"/>
    <w:rsid w:val="005E0054"/>
    <w:rsid w:val="005F3A0D"/>
    <w:rsid w:val="00607A82"/>
    <w:rsid w:val="006210D0"/>
    <w:rsid w:val="00657878"/>
    <w:rsid w:val="00672C37"/>
    <w:rsid w:val="00675D28"/>
    <w:rsid w:val="0068704E"/>
    <w:rsid w:val="00690854"/>
    <w:rsid w:val="006B377B"/>
    <w:rsid w:val="006D252F"/>
    <w:rsid w:val="006D4053"/>
    <w:rsid w:val="007353D3"/>
    <w:rsid w:val="00744AAB"/>
    <w:rsid w:val="00746AAE"/>
    <w:rsid w:val="0079423A"/>
    <w:rsid w:val="00794255"/>
    <w:rsid w:val="007A7000"/>
    <w:rsid w:val="007C4244"/>
    <w:rsid w:val="007C50D9"/>
    <w:rsid w:val="007F2018"/>
    <w:rsid w:val="007F35B3"/>
    <w:rsid w:val="007F4A71"/>
    <w:rsid w:val="007F71E2"/>
    <w:rsid w:val="007F7870"/>
    <w:rsid w:val="00865267"/>
    <w:rsid w:val="00873174"/>
    <w:rsid w:val="0088643F"/>
    <w:rsid w:val="008A333A"/>
    <w:rsid w:val="008B45F8"/>
    <w:rsid w:val="008D50FE"/>
    <w:rsid w:val="0091745A"/>
    <w:rsid w:val="009333E6"/>
    <w:rsid w:val="00936A94"/>
    <w:rsid w:val="0093774E"/>
    <w:rsid w:val="00956714"/>
    <w:rsid w:val="00983E1A"/>
    <w:rsid w:val="009E062C"/>
    <w:rsid w:val="009E5928"/>
    <w:rsid w:val="00A0026D"/>
    <w:rsid w:val="00A020B8"/>
    <w:rsid w:val="00A73903"/>
    <w:rsid w:val="00A80C5C"/>
    <w:rsid w:val="00A842A7"/>
    <w:rsid w:val="00AC4858"/>
    <w:rsid w:val="00AE1619"/>
    <w:rsid w:val="00B17030"/>
    <w:rsid w:val="00B276FD"/>
    <w:rsid w:val="00B436BB"/>
    <w:rsid w:val="00B46981"/>
    <w:rsid w:val="00B52085"/>
    <w:rsid w:val="00B56D64"/>
    <w:rsid w:val="00B7362A"/>
    <w:rsid w:val="00B7553E"/>
    <w:rsid w:val="00B76AF6"/>
    <w:rsid w:val="00B96A6B"/>
    <w:rsid w:val="00BD6F97"/>
    <w:rsid w:val="00BE6194"/>
    <w:rsid w:val="00C80A5B"/>
    <w:rsid w:val="00C85BD0"/>
    <w:rsid w:val="00C93947"/>
    <w:rsid w:val="00C96CA5"/>
    <w:rsid w:val="00CA6A6F"/>
    <w:rsid w:val="00CB455B"/>
    <w:rsid w:val="00CC0EA1"/>
    <w:rsid w:val="00CE5A13"/>
    <w:rsid w:val="00CF2708"/>
    <w:rsid w:val="00D010C2"/>
    <w:rsid w:val="00D05CB8"/>
    <w:rsid w:val="00D158FC"/>
    <w:rsid w:val="00D17D11"/>
    <w:rsid w:val="00D2207D"/>
    <w:rsid w:val="00D22CE4"/>
    <w:rsid w:val="00D308EC"/>
    <w:rsid w:val="00D3211F"/>
    <w:rsid w:val="00D479E0"/>
    <w:rsid w:val="00D5401A"/>
    <w:rsid w:val="00D7667C"/>
    <w:rsid w:val="00D921B1"/>
    <w:rsid w:val="00DE2BC0"/>
    <w:rsid w:val="00DF491B"/>
    <w:rsid w:val="00E228E5"/>
    <w:rsid w:val="00E46B3B"/>
    <w:rsid w:val="00E5584D"/>
    <w:rsid w:val="00E701D1"/>
    <w:rsid w:val="00E75EFE"/>
    <w:rsid w:val="00E766DF"/>
    <w:rsid w:val="00E807B7"/>
    <w:rsid w:val="00E96142"/>
    <w:rsid w:val="00EC798D"/>
    <w:rsid w:val="00EF04E3"/>
    <w:rsid w:val="00EF0592"/>
    <w:rsid w:val="00F1548C"/>
    <w:rsid w:val="00F35D71"/>
    <w:rsid w:val="00F56048"/>
    <w:rsid w:val="00F641BD"/>
    <w:rsid w:val="00F755C5"/>
    <w:rsid w:val="00FC6DA4"/>
    <w:rsid w:val="00FD34D3"/>
    <w:rsid w:val="00FD3BC2"/>
    <w:rsid w:val="00FF74B5"/>
    <w:rsid w:val="1B8C4689"/>
    <w:rsid w:val="32A37E25"/>
    <w:rsid w:val="4A7B6F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link w:val="28"/>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29"/>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30"/>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31"/>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32"/>
    <w:semiHidden/>
    <w:unhideWhenUsed/>
    <w:qFormat/>
    <w:uiPriority w:val="9"/>
    <w:pPr>
      <w:keepNext/>
      <w:keepLines/>
      <w:spacing w:before="80" w:after="40"/>
      <w:outlineLvl w:val="4"/>
    </w:pPr>
    <w:rPr>
      <w:rFonts w:cstheme="majorBidi"/>
      <w:color w:val="104862" w:themeColor="accent1" w:themeShade="BF"/>
      <w:sz w:val="24"/>
    </w:rPr>
  </w:style>
  <w:style w:type="paragraph" w:styleId="7">
    <w:name w:val="heading 6"/>
    <w:basedOn w:val="1"/>
    <w:next w:val="1"/>
    <w:link w:val="33"/>
    <w:semiHidden/>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34"/>
    <w:semiHidden/>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5"/>
    <w:semiHidden/>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6"/>
    <w:semiHidden/>
    <w:unhideWhenUsed/>
    <w:qFormat/>
    <w:uiPriority w:val="9"/>
    <w:pPr>
      <w:keepNext/>
      <w:keepLines/>
      <w:spacing w:after="0"/>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25">
    <w:name w:val="Default Paragraph Font"/>
    <w:semiHidden/>
    <w:unhideWhenUsed/>
    <w:uiPriority w:val="1"/>
  </w:style>
  <w:style w:type="table" w:default="1" w:styleId="24">
    <w:name w:val="Normal Table"/>
    <w:semiHidden/>
    <w:unhideWhenUsed/>
    <w:qFormat/>
    <w:uiPriority w:val="99"/>
    <w:tblPr>
      <w:tblCellMar>
        <w:top w:w="0" w:type="dxa"/>
        <w:left w:w="108" w:type="dxa"/>
        <w:bottom w:w="0" w:type="dxa"/>
        <w:right w:w="108" w:type="dxa"/>
      </w:tblCellMar>
    </w:tblPr>
  </w:style>
  <w:style w:type="paragraph" w:styleId="11">
    <w:name w:val="toc 7"/>
    <w:basedOn w:val="1"/>
    <w:next w:val="1"/>
    <w:autoRedefine/>
    <w:semiHidden/>
    <w:unhideWhenUsed/>
    <w:uiPriority w:val="39"/>
    <w:pPr>
      <w:spacing w:after="0"/>
      <w:ind w:left="1320"/>
    </w:pPr>
    <w:rPr>
      <w:rFonts w:eastAsiaTheme="minorHAnsi"/>
      <w:sz w:val="20"/>
      <w:szCs w:val="20"/>
    </w:rPr>
  </w:style>
  <w:style w:type="paragraph" w:styleId="12">
    <w:name w:val="toc 5"/>
    <w:basedOn w:val="1"/>
    <w:next w:val="1"/>
    <w:autoRedefine/>
    <w:semiHidden/>
    <w:unhideWhenUsed/>
    <w:uiPriority w:val="39"/>
    <w:pPr>
      <w:spacing w:after="0"/>
      <w:ind w:left="880"/>
    </w:pPr>
    <w:rPr>
      <w:rFonts w:eastAsiaTheme="minorHAnsi"/>
      <w:sz w:val="20"/>
      <w:szCs w:val="20"/>
    </w:rPr>
  </w:style>
  <w:style w:type="paragraph" w:styleId="13">
    <w:name w:val="toc 3"/>
    <w:basedOn w:val="1"/>
    <w:next w:val="1"/>
    <w:autoRedefine/>
    <w:unhideWhenUsed/>
    <w:uiPriority w:val="39"/>
    <w:pPr>
      <w:spacing w:after="0"/>
      <w:ind w:left="440"/>
    </w:pPr>
    <w:rPr>
      <w:rFonts w:eastAsiaTheme="minorHAnsi"/>
      <w:sz w:val="20"/>
      <w:szCs w:val="20"/>
    </w:rPr>
  </w:style>
  <w:style w:type="paragraph" w:styleId="14">
    <w:name w:val="toc 8"/>
    <w:basedOn w:val="1"/>
    <w:next w:val="1"/>
    <w:autoRedefine/>
    <w:semiHidden/>
    <w:unhideWhenUsed/>
    <w:uiPriority w:val="39"/>
    <w:pPr>
      <w:spacing w:after="0"/>
      <w:ind w:left="1540"/>
    </w:pPr>
    <w:rPr>
      <w:rFonts w:eastAsiaTheme="minorHAnsi"/>
      <w:sz w:val="20"/>
      <w:szCs w:val="20"/>
    </w:rPr>
  </w:style>
  <w:style w:type="paragraph" w:styleId="15">
    <w:name w:val="footer"/>
    <w:basedOn w:val="1"/>
    <w:link w:val="49"/>
    <w:unhideWhenUsed/>
    <w:uiPriority w:val="99"/>
    <w:pPr>
      <w:tabs>
        <w:tab w:val="center" w:pos="4153"/>
        <w:tab w:val="right" w:pos="8306"/>
      </w:tabs>
      <w:snapToGrid w:val="0"/>
      <w:spacing w:line="240" w:lineRule="auto"/>
    </w:pPr>
    <w:rPr>
      <w:sz w:val="18"/>
      <w:szCs w:val="18"/>
    </w:rPr>
  </w:style>
  <w:style w:type="paragraph" w:styleId="16">
    <w:name w:val="header"/>
    <w:basedOn w:val="1"/>
    <w:link w:val="48"/>
    <w:unhideWhenUsed/>
    <w:uiPriority w:val="99"/>
    <w:pPr>
      <w:tabs>
        <w:tab w:val="center" w:pos="4153"/>
        <w:tab w:val="right" w:pos="8306"/>
      </w:tabs>
      <w:snapToGrid w:val="0"/>
      <w:spacing w:line="240" w:lineRule="auto"/>
      <w:jc w:val="center"/>
    </w:pPr>
    <w:rPr>
      <w:sz w:val="18"/>
      <w:szCs w:val="18"/>
    </w:rPr>
  </w:style>
  <w:style w:type="paragraph" w:styleId="17">
    <w:name w:val="toc 1"/>
    <w:basedOn w:val="1"/>
    <w:next w:val="1"/>
    <w:autoRedefine/>
    <w:unhideWhenUsed/>
    <w:uiPriority w:val="39"/>
    <w:pPr>
      <w:spacing w:before="240" w:after="120"/>
    </w:pPr>
    <w:rPr>
      <w:rFonts w:eastAsiaTheme="minorHAnsi"/>
      <w:b/>
      <w:bCs/>
      <w:sz w:val="20"/>
      <w:szCs w:val="20"/>
    </w:rPr>
  </w:style>
  <w:style w:type="paragraph" w:styleId="18">
    <w:name w:val="toc 4"/>
    <w:basedOn w:val="1"/>
    <w:next w:val="1"/>
    <w:autoRedefine/>
    <w:semiHidden/>
    <w:unhideWhenUsed/>
    <w:uiPriority w:val="39"/>
    <w:pPr>
      <w:spacing w:after="0"/>
      <w:ind w:left="660"/>
    </w:pPr>
    <w:rPr>
      <w:rFonts w:eastAsiaTheme="minorHAnsi"/>
      <w:sz w:val="20"/>
      <w:szCs w:val="20"/>
    </w:rPr>
  </w:style>
  <w:style w:type="paragraph" w:styleId="19">
    <w:name w:val="Subtitle"/>
    <w:basedOn w:val="1"/>
    <w:next w:val="1"/>
    <w:link w:val="38"/>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0">
    <w:name w:val="toc 6"/>
    <w:basedOn w:val="1"/>
    <w:next w:val="1"/>
    <w:autoRedefine/>
    <w:semiHidden/>
    <w:unhideWhenUsed/>
    <w:uiPriority w:val="39"/>
    <w:pPr>
      <w:spacing w:after="0"/>
      <w:ind w:left="1100"/>
    </w:pPr>
    <w:rPr>
      <w:rFonts w:eastAsiaTheme="minorHAnsi"/>
      <w:sz w:val="20"/>
      <w:szCs w:val="20"/>
    </w:rPr>
  </w:style>
  <w:style w:type="paragraph" w:styleId="21">
    <w:name w:val="toc 2"/>
    <w:basedOn w:val="1"/>
    <w:next w:val="1"/>
    <w:autoRedefine/>
    <w:unhideWhenUsed/>
    <w:uiPriority w:val="39"/>
    <w:pPr>
      <w:spacing w:before="120" w:after="0"/>
      <w:ind w:left="220"/>
    </w:pPr>
    <w:rPr>
      <w:rFonts w:eastAsiaTheme="minorHAnsi"/>
      <w:i/>
      <w:iCs/>
      <w:sz w:val="20"/>
      <w:szCs w:val="20"/>
    </w:rPr>
  </w:style>
  <w:style w:type="paragraph" w:styleId="22">
    <w:name w:val="toc 9"/>
    <w:basedOn w:val="1"/>
    <w:next w:val="1"/>
    <w:autoRedefine/>
    <w:semiHidden/>
    <w:unhideWhenUsed/>
    <w:uiPriority w:val="39"/>
    <w:pPr>
      <w:spacing w:after="0"/>
      <w:ind w:left="1760"/>
    </w:pPr>
    <w:rPr>
      <w:rFonts w:eastAsiaTheme="minorHAnsi"/>
      <w:sz w:val="20"/>
      <w:szCs w:val="20"/>
    </w:rPr>
  </w:style>
  <w:style w:type="paragraph" w:styleId="23">
    <w:name w:val="Title"/>
    <w:basedOn w:val="1"/>
    <w:next w:val="1"/>
    <w:link w:val="37"/>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character" w:styleId="26">
    <w:name w:val="FollowedHyperlink"/>
    <w:basedOn w:val="25"/>
    <w:semiHidden/>
    <w:unhideWhenUsed/>
    <w:uiPriority w:val="99"/>
    <w:rPr>
      <w:color w:val="96607D" w:themeColor="followedHyperlink"/>
      <w:u w:val="single"/>
      <w14:textFill>
        <w14:solidFill>
          <w14:schemeClr w14:val="folHlink"/>
        </w14:solidFill>
      </w14:textFill>
    </w:rPr>
  </w:style>
  <w:style w:type="character" w:styleId="27">
    <w:name w:val="Hyperlink"/>
    <w:basedOn w:val="25"/>
    <w:unhideWhenUsed/>
    <w:uiPriority w:val="99"/>
    <w:rPr>
      <w:color w:val="467886" w:themeColor="hyperlink"/>
      <w:u w:val="single"/>
      <w14:textFill>
        <w14:solidFill>
          <w14:schemeClr w14:val="hlink"/>
        </w14:solidFill>
      </w14:textFill>
    </w:rPr>
  </w:style>
  <w:style w:type="character" w:customStyle="1" w:styleId="28">
    <w:name w:val="标题 1 字符"/>
    <w:basedOn w:val="25"/>
    <w:link w:val="2"/>
    <w:uiPriority w:val="9"/>
    <w:rPr>
      <w:rFonts w:asciiTheme="majorHAnsi" w:hAnsiTheme="majorHAnsi" w:eastAsiaTheme="majorEastAsia" w:cstheme="majorBidi"/>
      <w:color w:val="104862" w:themeColor="accent1" w:themeShade="BF"/>
      <w:sz w:val="48"/>
      <w:szCs w:val="48"/>
    </w:rPr>
  </w:style>
  <w:style w:type="character" w:customStyle="1" w:styleId="29">
    <w:name w:val="标题 2 字符"/>
    <w:basedOn w:val="25"/>
    <w:link w:val="3"/>
    <w:qFormat/>
    <w:uiPriority w:val="9"/>
    <w:rPr>
      <w:rFonts w:asciiTheme="majorHAnsi" w:hAnsiTheme="majorHAnsi" w:eastAsiaTheme="majorEastAsia" w:cstheme="majorBidi"/>
      <w:color w:val="104862" w:themeColor="accent1" w:themeShade="BF"/>
      <w:sz w:val="40"/>
      <w:szCs w:val="40"/>
    </w:rPr>
  </w:style>
  <w:style w:type="character" w:customStyle="1" w:styleId="30">
    <w:name w:val="标题 3 字符"/>
    <w:basedOn w:val="25"/>
    <w:link w:val="4"/>
    <w:semiHidden/>
    <w:qFormat/>
    <w:uiPriority w:val="9"/>
    <w:rPr>
      <w:rFonts w:asciiTheme="majorHAnsi" w:hAnsiTheme="majorHAnsi" w:eastAsiaTheme="majorEastAsia" w:cstheme="majorBidi"/>
      <w:color w:val="104862" w:themeColor="accent1" w:themeShade="BF"/>
      <w:sz w:val="32"/>
      <w:szCs w:val="32"/>
    </w:rPr>
  </w:style>
  <w:style w:type="character" w:customStyle="1" w:styleId="31">
    <w:name w:val="标题 4 字符"/>
    <w:basedOn w:val="25"/>
    <w:link w:val="5"/>
    <w:semiHidden/>
    <w:qFormat/>
    <w:uiPriority w:val="9"/>
    <w:rPr>
      <w:rFonts w:cstheme="majorBidi"/>
      <w:color w:val="104862" w:themeColor="accent1" w:themeShade="BF"/>
      <w:sz w:val="28"/>
      <w:szCs w:val="28"/>
    </w:rPr>
  </w:style>
  <w:style w:type="character" w:customStyle="1" w:styleId="32">
    <w:name w:val="标题 5 字符"/>
    <w:basedOn w:val="25"/>
    <w:link w:val="6"/>
    <w:semiHidden/>
    <w:uiPriority w:val="9"/>
    <w:rPr>
      <w:rFonts w:cstheme="majorBidi"/>
      <w:color w:val="104862" w:themeColor="accent1" w:themeShade="BF"/>
      <w:sz w:val="24"/>
    </w:rPr>
  </w:style>
  <w:style w:type="character" w:customStyle="1" w:styleId="33">
    <w:name w:val="标题 6 字符"/>
    <w:basedOn w:val="25"/>
    <w:link w:val="7"/>
    <w:semiHidden/>
    <w:uiPriority w:val="9"/>
    <w:rPr>
      <w:rFonts w:cstheme="majorBidi"/>
      <w:b/>
      <w:bCs/>
      <w:color w:val="104862" w:themeColor="accent1" w:themeShade="BF"/>
    </w:rPr>
  </w:style>
  <w:style w:type="character" w:customStyle="1" w:styleId="34">
    <w:name w:val="标题 7 字符"/>
    <w:basedOn w:val="25"/>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35">
    <w:name w:val="标题 8 字符"/>
    <w:basedOn w:val="25"/>
    <w:link w:val="9"/>
    <w:semiHidden/>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36">
    <w:name w:val="标题 9 字符"/>
    <w:basedOn w:val="25"/>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7">
    <w:name w:val="标题 字符"/>
    <w:basedOn w:val="25"/>
    <w:link w:val="23"/>
    <w:uiPriority w:val="10"/>
    <w:rPr>
      <w:rFonts w:asciiTheme="majorHAnsi" w:hAnsiTheme="majorHAnsi" w:eastAsiaTheme="majorEastAsia" w:cstheme="majorBidi"/>
      <w:spacing w:val="-10"/>
      <w:kern w:val="28"/>
      <w:sz w:val="56"/>
      <w:szCs w:val="56"/>
    </w:rPr>
  </w:style>
  <w:style w:type="character" w:customStyle="1" w:styleId="38">
    <w:name w:val="副标题 字符"/>
    <w:basedOn w:val="25"/>
    <w:link w:val="19"/>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9">
    <w:name w:val="Quote"/>
    <w:basedOn w:val="1"/>
    <w:next w:val="1"/>
    <w:link w:val="4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0">
    <w:name w:val="引用 字符"/>
    <w:basedOn w:val="25"/>
    <w:link w:val="39"/>
    <w:uiPriority w:val="29"/>
    <w:rPr>
      <w:i/>
      <w:iCs/>
      <w:color w:val="404040" w:themeColor="text1" w:themeTint="BF"/>
      <w14:textFill>
        <w14:solidFill>
          <w14:schemeClr w14:val="tx1">
            <w14:lumMod w14:val="75000"/>
            <w14:lumOff w14:val="25000"/>
          </w14:schemeClr>
        </w14:solidFill>
      </w14:textFill>
    </w:rPr>
  </w:style>
  <w:style w:type="paragraph" w:styleId="41">
    <w:name w:val="List Paragraph"/>
    <w:basedOn w:val="1"/>
    <w:qFormat/>
    <w:uiPriority w:val="34"/>
    <w:pPr>
      <w:ind w:left="720"/>
      <w:contextualSpacing/>
    </w:pPr>
  </w:style>
  <w:style w:type="character" w:customStyle="1" w:styleId="42">
    <w:name w:val="Intense Emphasis"/>
    <w:basedOn w:val="25"/>
    <w:qFormat/>
    <w:uiPriority w:val="21"/>
    <w:rPr>
      <w:i/>
      <w:iCs/>
      <w:color w:val="104862" w:themeColor="accent1" w:themeShade="BF"/>
    </w:rPr>
  </w:style>
  <w:style w:type="paragraph" w:styleId="43">
    <w:name w:val="Intense Quote"/>
    <w:basedOn w:val="1"/>
    <w:next w:val="1"/>
    <w:link w:val="4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4">
    <w:name w:val="明显引用 字符"/>
    <w:basedOn w:val="25"/>
    <w:link w:val="43"/>
    <w:uiPriority w:val="30"/>
    <w:rPr>
      <w:i/>
      <w:iCs/>
      <w:color w:val="104862" w:themeColor="accent1" w:themeShade="BF"/>
    </w:rPr>
  </w:style>
  <w:style w:type="character" w:customStyle="1" w:styleId="45">
    <w:name w:val="Intense Reference"/>
    <w:basedOn w:val="25"/>
    <w:qFormat/>
    <w:uiPriority w:val="32"/>
    <w:rPr>
      <w:b/>
      <w:bCs/>
      <w:smallCaps/>
      <w:color w:val="104862" w:themeColor="accent1" w:themeShade="BF"/>
      <w:spacing w:val="5"/>
    </w:rPr>
  </w:style>
  <w:style w:type="character" w:customStyle="1" w:styleId="46">
    <w:name w:val="Unresolved Mention"/>
    <w:basedOn w:val="25"/>
    <w:semiHidden/>
    <w:unhideWhenUsed/>
    <w:uiPriority w:val="99"/>
    <w:rPr>
      <w:color w:val="605E5C"/>
      <w:shd w:val="clear" w:color="auto" w:fill="E1DFDD"/>
    </w:rPr>
  </w:style>
  <w:style w:type="paragraph" w:customStyle="1" w:styleId="47">
    <w:name w:val="TOC Heading"/>
    <w:basedOn w:val="2"/>
    <w:next w:val="1"/>
    <w:unhideWhenUsed/>
    <w:qFormat/>
    <w:uiPriority w:val="39"/>
    <w:pPr>
      <w:widowControl/>
      <w:spacing w:after="0" w:line="276" w:lineRule="auto"/>
      <w:outlineLvl w:val="9"/>
    </w:pPr>
    <w:rPr>
      <w:b/>
      <w:bCs/>
      <w:kern w:val="0"/>
      <w:sz w:val="28"/>
      <w:szCs w:val="28"/>
      <w14:ligatures w14:val="none"/>
    </w:rPr>
  </w:style>
  <w:style w:type="character" w:customStyle="1" w:styleId="48">
    <w:name w:val="页眉 字符"/>
    <w:basedOn w:val="25"/>
    <w:link w:val="16"/>
    <w:uiPriority w:val="99"/>
    <w:rPr>
      <w:sz w:val="18"/>
      <w:szCs w:val="18"/>
    </w:rPr>
  </w:style>
  <w:style w:type="character" w:customStyle="1" w:styleId="49">
    <w:name w:val="页脚 字符"/>
    <w:basedOn w:val="25"/>
    <w:link w:val="15"/>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712CD-2262-5848-8A53-1503ACC405A4}">
  <ds:schemaRefs/>
</ds:datastoreItem>
</file>

<file path=docProps/app.xml><?xml version="1.0" encoding="utf-8"?>
<Properties xmlns="http://schemas.openxmlformats.org/officeDocument/2006/extended-properties" xmlns:vt="http://schemas.openxmlformats.org/officeDocument/2006/docPropsVTypes">
  <Template>Normal.dotm</Template>
  <Pages>20</Pages>
  <Words>3279</Words>
  <Characters>19873</Characters>
  <Lines>180</Lines>
  <Paragraphs>50</Paragraphs>
  <TotalTime>419</TotalTime>
  <ScaleCrop>false</ScaleCrop>
  <LinksUpToDate>false</LinksUpToDate>
  <CharactersWithSpaces>23093</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2025-01-05T20:32:00Z</dcterms:created>
  <dc:creator>Administrator</dc:creator>
  <cp:lastModifiedBy>WPS_1479666331</cp:lastModifiedBy>
  <dcterms:modified xsi:type="dcterms:W3CDTF">2025-01-09T06:30:33Z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eyJoZGlkIjoiYWUyNWI0NmU2MGY0Zjk0YTRlNTZjY2I5ZjY1ZWRlYzkiLCJ1c2VySWQiOiIxNDc5NjY2MzMxIn0=</vt:lpwstr>
  </property>
  <property fmtid="{D5CDD505-2E9C-101B-9397-08002B2CF9AE}" pid="3" name="KSOProductBuildVer">
    <vt:lpwstr>2052-12.1.0.19770</vt:lpwstr>
  </property>
  <property fmtid="{D5CDD505-2E9C-101B-9397-08002B2CF9AE}" pid="4" name="ICV">
    <vt:lpwstr>32EBA497F18E46558607BE18C878E90F_12</vt:lpwstr>
  </property>
</Properties>
</file>