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CBB7D" w14:textId="77777777" w:rsidR="00BC57D3" w:rsidRDefault="00BC57D3" w:rsidP="00BC57D3">
      <w:pPr>
        <w:pStyle w:val="NormalWeb"/>
        <w:spacing w:before="0" w:beforeAutospacing="0" w:after="0" w:afterAutospacing="0"/>
        <w:jc w:val="center"/>
        <w:rPr>
          <w:rStyle w:val="Strong"/>
          <w:color w:val="0E101A"/>
        </w:rPr>
      </w:pPr>
    </w:p>
    <w:p w14:paraId="74AE4195" w14:textId="77777777" w:rsidR="00BC57D3" w:rsidRDefault="00BC57D3" w:rsidP="00BC57D3">
      <w:r>
        <w:t>MARIAN COSMIN VILAIA</w:t>
      </w:r>
    </w:p>
    <w:p w14:paraId="5C16F959" w14:textId="77777777" w:rsidR="00BC57D3" w:rsidRDefault="00BC57D3" w:rsidP="00BC57D3">
      <w:r>
        <w:t>STUDENT NUMBER 2113634</w:t>
      </w:r>
    </w:p>
    <w:p w14:paraId="7868ADDC" w14:textId="77777777" w:rsidR="00BC57D3" w:rsidRDefault="00BC57D3" w:rsidP="00BC57D3">
      <w:r>
        <w:t>LCBB4002-BIRM</w:t>
      </w:r>
    </w:p>
    <w:p w14:paraId="62E2CBA7" w14:textId="77777777" w:rsidR="00BC57D3" w:rsidRDefault="00BC57D3" w:rsidP="00BC57D3">
      <w:r>
        <w:t>LECTURER DALE CLARKE</w:t>
      </w:r>
    </w:p>
    <w:p w14:paraId="31ABB3E4" w14:textId="77777777" w:rsidR="00BC57D3" w:rsidRDefault="00BC57D3" w:rsidP="00BC57D3">
      <w:r>
        <w:t>COMMUNITY ENGAGEMENT</w:t>
      </w:r>
    </w:p>
    <w:p w14:paraId="2320ECB9" w14:textId="7460204A" w:rsidR="00BC57D3" w:rsidRDefault="00BC57D3" w:rsidP="00BC57D3">
      <w:r>
        <w:t>Assignment 2</w:t>
      </w:r>
    </w:p>
    <w:p w14:paraId="544240EE" w14:textId="77777777" w:rsidR="00BC57D3" w:rsidRDefault="00BC57D3" w:rsidP="00BC57D3">
      <w:pPr>
        <w:pStyle w:val="NormalWeb"/>
        <w:spacing w:before="0" w:beforeAutospacing="0" w:after="0" w:afterAutospacing="0"/>
        <w:jc w:val="center"/>
        <w:rPr>
          <w:rStyle w:val="Strong"/>
          <w:color w:val="0E101A"/>
        </w:rPr>
      </w:pPr>
    </w:p>
    <w:p w14:paraId="02691A92" w14:textId="77777777" w:rsidR="00BC57D3" w:rsidRDefault="00BC57D3" w:rsidP="00BC57D3">
      <w:pPr>
        <w:pStyle w:val="NormalWeb"/>
        <w:spacing w:before="0" w:beforeAutospacing="0" w:after="0" w:afterAutospacing="0"/>
        <w:jc w:val="center"/>
        <w:rPr>
          <w:rStyle w:val="Strong"/>
          <w:color w:val="0E101A"/>
        </w:rPr>
      </w:pPr>
    </w:p>
    <w:p w14:paraId="78604A27" w14:textId="77777777" w:rsidR="00BC57D3" w:rsidRDefault="00BC57D3" w:rsidP="00BC57D3">
      <w:pPr>
        <w:pStyle w:val="NormalWeb"/>
        <w:spacing w:before="0" w:beforeAutospacing="0" w:after="0" w:afterAutospacing="0"/>
        <w:jc w:val="center"/>
        <w:rPr>
          <w:rStyle w:val="Strong"/>
          <w:color w:val="0E101A"/>
        </w:rPr>
      </w:pPr>
    </w:p>
    <w:p w14:paraId="0ECC4E6A" w14:textId="77777777" w:rsidR="00BC57D3" w:rsidRDefault="00BC57D3" w:rsidP="00BC57D3">
      <w:pPr>
        <w:pStyle w:val="NormalWeb"/>
        <w:spacing w:before="0" w:beforeAutospacing="0" w:after="0" w:afterAutospacing="0"/>
        <w:jc w:val="center"/>
        <w:rPr>
          <w:rStyle w:val="Strong"/>
          <w:color w:val="0E101A"/>
        </w:rPr>
      </w:pPr>
    </w:p>
    <w:p w14:paraId="5AAEBD54" w14:textId="77777777" w:rsidR="00BC57D3" w:rsidRDefault="00BC57D3" w:rsidP="00BC57D3">
      <w:pPr>
        <w:pStyle w:val="NormalWeb"/>
        <w:spacing w:before="0" w:beforeAutospacing="0" w:after="0" w:afterAutospacing="0"/>
        <w:jc w:val="center"/>
        <w:rPr>
          <w:rStyle w:val="Strong"/>
          <w:color w:val="0E101A"/>
        </w:rPr>
      </w:pPr>
    </w:p>
    <w:p w14:paraId="718E2B69" w14:textId="77777777" w:rsidR="00BC57D3" w:rsidRDefault="00BC57D3" w:rsidP="00BC57D3">
      <w:pPr>
        <w:pStyle w:val="NormalWeb"/>
        <w:spacing w:before="0" w:beforeAutospacing="0" w:after="0" w:afterAutospacing="0"/>
        <w:jc w:val="center"/>
        <w:rPr>
          <w:rStyle w:val="Strong"/>
          <w:color w:val="0E101A"/>
        </w:rPr>
      </w:pPr>
    </w:p>
    <w:p w14:paraId="684A9FAF" w14:textId="77777777" w:rsidR="00BC57D3" w:rsidRDefault="00BC57D3" w:rsidP="00BC57D3">
      <w:pPr>
        <w:pStyle w:val="NormalWeb"/>
        <w:spacing w:before="0" w:beforeAutospacing="0" w:after="0" w:afterAutospacing="0"/>
        <w:jc w:val="center"/>
        <w:rPr>
          <w:rStyle w:val="Strong"/>
          <w:color w:val="0E101A"/>
        </w:rPr>
      </w:pPr>
    </w:p>
    <w:p w14:paraId="69E7ECFD" w14:textId="762443D1" w:rsidR="00BC57D3" w:rsidRDefault="00BC57D3" w:rsidP="00BC57D3">
      <w:pPr>
        <w:pStyle w:val="NormalWeb"/>
        <w:spacing w:before="0" w:beforeAutospacing="0" w:after="0" w:afterAutospacing="0"/>
        <w:jc w:val="center"/>
        <w:rPr>
          <w:rStyle w:val="Strong"/>
          <w:color w:val="0E101A"/>
        </w:rPr>
      </w:pPr>
      <w:r>
        <w:rPr>
          <w:rStyle w:val="Strong"/>
          <w:color w:val="0E101A"/>
        </w:rPr>
        <w:t>Community Engagement Reflective Report</w:t>
      </w:r>
    </w:p>
    <w:p w14:paraId="7E172464" w14:textId="58DC0E22" w:rsidR="00BC57D3" w:rsidRDefault="00BC57D3" w:rsidP="00BC57D3">
      <w:pPr>
        <w:pStyle w:val="NormalWeb"/>
        <w:spacing w:before="0" w:beforeAutospacing="0" w:after="0" w:afterAutospacing="0"/>
        <w:jc w:val="center"/>
        <w:rPr>
          <w:rStyle w:val="Strong"/>
          <w:color w:val="0E101A"/>
        </w:rPr>
      </w:pPr>
    </w:p>
    <w:p w14:paraId="0D17074B" w14:textId="77777777" w:rsidR="00BC57D3" w:rsidRDefault="00BC57D3" w:rsidP="00BC57D3">
      <w:pPr>
        <w:pStyle w:val="NormalWeb"/>
        <w:spacing w:before="0" w:beforeAutospacing="0" w:after="0" w:afterAutospacing="0"/>
        <w:jc w:val="center"/>
        <w:rPr>
          <w:color w:val="0E101A"/>
        </w:rPr>
      </w:pPr>
    </w:p>
    <w:p w14:paraId="043831AA" w14:textId="7AD5EA1F" w:rsidR="00BC57D3" w:rsidRPr="00BC57D3" w:rsidRDefault="00BC57D3" w:rsidP="00BC57D3">
      <w:pPr>
        <w:pStyle w:val="NormalWeb"/>
        <w:spacing w:before="0" w:beforeAutospacing="0" w:after="0" w:afterAutospacing="0"/>
        <w:rPr>
          <w:b/>
          <w:bCs/>
          <w:color w:val="0E101A"/>
        </w:rPr>
      </w:pPr>
      <w:r>
        <w:rPr>
          <w:rStyle w:val="Strong"/>
          <w:color w:val="0E101A"/>
        </w:rPr>
        <w:t>Introduction </w:t>
      </w:r>
    </w:p>
    <w:p w14:paraId="7D30B444" w14:textId="77777777" w:rsidR="00BC57D3" w:rsidRDefault="00BC57D3" w:rsidP="00BC57D3">
      <w:pPr>
        <w:pStyle w:val="NormalWeb"/>
        <w:spacing w:before="0" w:beforeAutospacing="0" w:after="0" w:afterAutospacing="0"/>
        <w:rPr>
          <w:color w:val="0E101A"/>
        </w:rPr>
      </w:pPr>
      <w:r>
        <w:rPr>
          <w:color w:val="0E101A"/>
        </w:rPr>
        <w:t>Reflection as an ancient concept has been in practice since ancient Greek times. It demonstrates forms of contemplation where individuals search for truths featuring modern applications. Several references point to the significance of reflective learning attributed to the ancient writings of the Chinese (Schulte, 2014). Due to the distinct definitions of reflective practices, reflective practices give a historical sense while using concepts and terminologies applicable to the modern world.</w:t>
      </w:r>
    </w:p>
    <w:p w14:paraId="03356392" w14:textId="77777777" w:rsidR="00BC57D3" w:rsidRDefault="00BC57D3" w:rsidP="00BC57D3">
      <w:pPr>
        <w:pStyle w:val="NormalWeb"/>
        <w:spacing w:before="0" w:beforeAutospacing="0" w:after="0" w:afterAutospacing="0"/>
        <w:rPr>
          <w:color w:val="0E101A"/>
        </w:rPr>
      </w:pPr>
      <w:r>
        <w:rPr>
          <w:color w:val="0E101A"/>
        </w:rPr>
        <w:t> Reflective models entail an evolutionary framework that supports self-improvement mechanisms in personal, academic, and professional perspectives (Seaman et al., 2017). The reflective practice incorporates personal elements and attributes in discovering truths that individuals search for while focusing on development by assessing one's thoughts, actions, and ideas. Most people consider reflection an intuitive and natural way of exploring thoughts and finding meaning from the same. The paper discusses the purpose of reflective practices, how it assists in management, communication, and interpersonal skills, and the model most crucial to the theory and experiences.</w:t>
      </w:r>
    </w:p>
    <w:p w14:paraId="5080A05F" w14:textId="7B839D45" w:rsidR="00BC57D3" w:rsidRDefault="00BC57D3" w:rsidP="00BC57D3">
      <w:pPr>
        <w:pStyle w:val="NormalWeb"/>
        <w:spacing w:before="0" w:beforeAutospacing="0" w:after="0" w:afterAutospacing="0"/>
        <w:rPr>
          <w:color w:val="0E101A"/>
        </w:rPr>
      </w:pPr>
      <w:r>
        <w:rPr>
          <w:color w:val="0E101A"/>
        </w:rPr>
        <w:t> </w:t>
      </w:r>
    </w:p>
    <w:p w14:paraId="719531B4" w14:textId="32398320" w:rsidR="00BC57D3" w:rsidRDefault="00BC57D3" w:rsidP="00BC57D3">
      <w:pPr>
        <w:pStyle w:val="NormalWeb"/>
        <w:spacing w:before="0" w:beforeAutospacing="0" w:after="0" w:afterAutospacing="0"/>
        <w:jc w:val="center"/>
        <w:rPr>
          <w:rStyle w:val="Strong"/>
          <w:color w:val="0E101A"/>
        </w:rPr>
      </w:pPr>
      <w:r>
        <w:rPr>
          <w:rStyle w:val="Strong"/>
          <w:color w:val="0E101A"/>
        </w:rPr>
        <w:t>Reflection</w:t>
      </w:r>
    </w:p>
    <w:p w14:paraId="6368271C" w14:textId="77777777" w:rsidR="00BC57D3" w:rsidRDefault="00BC57D3" w:rsidP="00BC57D3">
      <w:pPr>
        <w:pStyle w:val="NormalWeb"/>
        <w:spacing w:before="0" w:beforeAutospacing="0" w:after="0" w:afterAutospacing="0"/>
        <w:jc w:val="center"/>
        <w:rPr>
          <w:color w:val="0E101A"/>
        </w:rPr>
      </w:pPr>
    </w:p>
    <w:p w14:paraId="03A0B464" w14:textId="77777777" w:rsidR="00BC57D3" w:rsidRDefault="00BC57D3" w:rsidP="00BC57D3">
      <w:pPr>
        <w:pStyle w:val="NormalWeb"/>
        <w:spacing w:before="0" w:beforeAutospacing="0" w:after="0" w:afterAutospacing="0"/>
        <w:rPr>
          <w:color w:val="0E101A"/>
        </w:rPr>
      </w:pPr>
      <w:r>
        <w:rPr>
          <w:rStyle w:val="Emphasis"/>
          <w:b/>
          <w:bCs/>
          <w:color w:val="0E101A"/>
        </w:rPr>
        <w:t>The Purpose of Reflective Practice</w:t>
      </w:r>
    </w:p>
    <w:p w14:paraId="47350651" w14:textId="77777777" w:rsidR="00BC57D3" w:rsidRDefault="00BC57D3" w:rsidP="00BC57D3">
      <w:pPr>
        <w:pStyle w:val="NormalWeb"/>
        <w:spacing w:before="0" w:beforeAutospacing="0" w:after="0" w:afterAutospacing="0"/>
        <w:rPr>
          <w:color w:val="0E101A"/>
        </w:rPr>
      </w:pPr>
      <w:r>
        <w:rPr>
          <w:color w:val="0E101A"/>
        </w:rPr>
        <w:t>Differences between casual thinking and reflective practice are distinct. Human beings think daily, but it does not imply a reflective practice. Understanding the differences is crucial and can only be understood by analysing the purposes of reflective practice. The primary purpose of reflective practice is to promote and support professionals in areas of weakness for improvement reasons (Slade et al., 2019). The practice's purpose of help in child development, thus enhancing development in kindergarten programs. The reflective practice focuses on self-awareness as a critical component of developing intelligence (Slade et al., 2019). Through creative thinking, it aims at encouraging work engagements, building confidence, and decision making such that individuals develop self-esteem crucial for growth.</w:t>
      </w:r>
    </w:p>
    <w:p w14:paraId="58402EC9" w14:textId="77777777" w:rsidR="00BC57D3" w:rsidRDefault="00BC57D3" w:rsidP="00BC57D3">
      <w:pPr>
        <w:pStyle w:val="NormalWeb"/>
        <w:spacing w:before="0" w:beforeAutospacing="0" w:after="0" w:afterAutospacing="0"/>
        <w:rPr>
          <w:color w:val="0E101A"/>
        </w:rPr>
      </w:pPr>
      <w:r>
        <w:rPr>
          <w:color w:val="0E101A"/>
        </w:rPr>
        <w:lastRenderedPageBreak/>
        <w:t xml:space="preserve">The reflective practice process also regards its intention to help teachers develop abilities to understand students and find better ways of encouraging learning (Zhu et al., 2020). This occurrence benefits both the teacher and student, where the teacher develops confidence. In contrast, students get exposure to various learning materials and strategies that support learning and brain development. Reflective learning, in this case, aims at overcoming obstacles in learning and problem-solving. Additionally, it aims to help the teaching professionals better understand the significance of flexibility to assess student skills and knowledge </w:t>
      </w:r>
      <w:proofErr w:type="gramStart"/>
      <w:r>
        <w:rPr>
          <w:color w:val="0E101A"/>
        </w:rPr>
        <w:t>in a given</w:t>
      </w:r>
      <w:proofErr w:type="gramEnd"/>
      <w:r>
        <w:rPr>
          <w:color w:val="0E101A"/>
        </w:rPr>
        <w:t xml:space="preserve"> field. The activity, therefore, necessitates challenging students to engage in creative methods of earning to understand concepts in a better way and secure a knowledge base.</w:t>
      </w:r>
    </w:p>
    <w:p w14:paraId="314FBB4C" w14:textId="77777777" w:rsidR="00BC57D3" w:rsidRDefault="00BC57D3" w:rsidP="00BC57D3">
      <w:pPr>
        <w:pStyle w:val="NormalWeb"/>
        <w:spacing w:before="0" w:beforeAutospacing="0" w:after="0" w:afterAutospacing="0"/>
        <w:rPr>
          <w:color w:val="0E101A"/>
        </w:rPr>
      </w:pPr>
      <w:r>
        <w:rPr>
          <w:color w:val="0E101A"/>
        </w:rPr>
        <w:t>Reflective practice also aims at instilling a sense of responsibility for professionals for the sake of improvement. For instance, teachers learn to be accountable for their students by helping them overcome academic obstacles and create an environment that sustains development in various aspects, including personal attributes. Taking responsibility and acknowledging one's strengths and weaknesses enhances teaching (Zhu et al., 2020). Being responsible through reflective learning comes about the constant thoughts of how to better the environment with which young ones co-exist. Teachers and other professionals with individuals under their care take the initiative to think about new ideas, research social needs, and understand factors that limit growth, thus assessing possible solutions.</w:t>
      </w:r>
    </w:p>
    <w:p w14:paraId="5AD12A20" w14:textId="77777777" w:rsidR="00BC57D3" w:rsidRDefault="00BC57D3" w:rsidP="00BC57D3">
      <w:pPr>
        <w:pStyle w:val="NormalWeb"/>
        <w:spacing w:before="0" w:beforeAutospacing="0" w:after="0" w:afterAutospacing="0"/>
        <w:rPr>
          <w:color w:val="0E101A"/>
        </w:rPr>
      </w:pPr>
      <w:r>
        <w:rPr>
          <w:color w:val="0E101A"/>
        </w:rPr>
        <w:t xml:space="preserve">It is crucial to understand that reflective practice also aims at encouraging innovation. From the ability of an individual to sit back and think about ideas, and other issues that affect their surroundings, it is an excellent opportunity to seek solutions. This statement implies that the moment a </w:t>
      </w:r>
      <w:proofErr w:type="gramStart"/>
      <w:r>
        <w:rPr>
          <w:color w:val="0E101A"/>
        </w:rPr>
        <w:t>professional takes</w:t>
      </w:r>
      <w:proofErr w:type="gramEnd"/>
      <w:r>
        <w:rPr>
          <w:color w:val="0E101A"/>
        </w:rPr>
        <w:t xml:space="preserve"> to think through a project, brainstorming allows for creativity crucial for innovation. Innovation comes from individuals analysing a specific concept related to a project, which allows for critical thinking evaluation of the concept and possibly leads to solutions. In this manner, professionals who constantly practice reflection trains their minds to think extensively, imaginatively, and resourcefully.</w:t>
      </w:r>
    </w:p>
    <w:p w14:paraId="2549ED76" w14:textId="77777777" w:rsidR="00BC57D3" w:rsidRDefault="00BC57D3" w:rsidP="00BC57D3">
      <w:pPr>
        <w:pStyle w:val="NormalWeb"/>
        <w:spacing w:before="0" w:beforeAutospacing="0" w:after="0" w:afterAutospacing="0"/>
        <w:rPr>
          <w:color w:val="0E101A"/>
        </w:rPr>
      </w:pPr>
      <w:r>
        <w:rPr>
          <w:color w:val="0E101A"/>
        </w:rPr>
        <w:t>It also aims at challenging engagements by helping individuals challenge their usual practices and work diligently to expand the thinking horizon to enhance decision-making and rationalization of ideas. This context regards the development of the ability to think critically, become creative and justify one's opinions intellectually. Reflective practice, therefore, purposes to help people understand and voice different views, opinions, and perspectives to strengthen preferences and enhance sharing of ideas. It, therefore, creates room for learning from one another using varied strategies. </w:t>
      </w:r>
    </w:p>
    <w:p w14:paraId="2027878F" w14:textId="77777777" w:rsidR="00BC57D3" w:rsidRDefault="00BC57D3" w:rsidP="00BC57D3">
      <w:pPr>
        <w:pStyle w:val="NormalWeb"/>
        <w:spacing w:before="0" w:beforeAutospacing="0" w:after="0" w:afterAutospacing="0"/>
        <w:rPr>
          <w:color w:val="0E101A"/>
        </w:rPr>
      </w:pPr>
      <w:r>
        <w:rPr>
          <w:color w:val="0E101A"/>
        </w:rPr>
        <w:t> </w:t>
      </w:r>
    </w:p>
    <w:p w14:paraId="27883B90" w14:textId="77777777" w:rsidR="00BC57D3" w:rsidRDefault="00BC57D3" w:rsidP="00BC57D3">
      <w:pPr>
        <w:pStyle w:val="NormalWeb"/>
        <w:spacing w:before="0" w:beforeAutospacing="0" w:after="0" w:afterAutospacing="0"/>
        <w:rPr>
          <w:color w:val="0E101A"/>
        </w:rPr>
      </w:pPr>
      <w:r>
        <w:rPr>
          <w:rStyle w:val="Strong"/>
          <w:color w:val="0E101A"/>
        </w:rPr>
        <w:t>How Reflective Practice Can Help the Development of Effective Self-Management, Communication, and Interpersonal Skills</w:t>
      </w:r>
    </w:p>
    <w:p w14:paraId="3061C926" w14:textId="77777777" w:rsidR="00BC57D3" w:rsidRDefault="00BC57D3" w:rsidP="00BC57D3">
      <w:pPr>
        <w:pStyle w:val="NormalWeb"/>
        <w:spacing w:before="0" w:beforeAutospacing="0" w:after="0" w:afterAutospacing="0"/>
        <w:rPr>
          <w:color w:val="0E101A"/>
        </w:rPr>
      </w:pPr>
    </w:p>
    <w:p w14:paraId="326E755F" w14:textId="77777777" w:rsidR="00BC57D3" w:rsidRDefault="00BC57D3" w:rsidP="00BC57D3">
      <w:pPr>
        <w:pStyle w:val="NormalWeb"/>
        <w:spacing w:before="0" w:beforeAutospacing="0" w:after="0" w:afterAutospacing="0"/>
        <w:rPr>
          <w:color w:val="0E101A"/>
        </w:rPr>
      </w:pPr>
      <w:r>
        <w:rPr>
          <w:color w:val="0E101A"/>
        </w:rPr>
        <w:t>Several scholars identify the need for critical reflection among students to support self-management (</w:t>
      </w:r>
      <w:proofErr w:type="spellStart"/>
      <w:r>
        <w:rPr>
          <w:color w:val="0E101A"/>
        </w:rPr>
        <w:t>Hidayati</w:t>
      </w:r>
      <w:proofErr w:type="spellEnd"/>
      <w:r>
        <w:rPr>
          <w:color w:val="0E101A"/>
        </w:rPr>
        <w:t xml:space="preserve"> et al., 2020). Self-management as a concept entails the ability of an individual to independently make appropriate arrangements of activities and course of actions crucial for a specific project. In this context, students require self-management skills to help create strategic routines and plan for academic ventures. Reflective practice is significant in improving student learning since it encourages critical thinking and the need for authenticity in managing and planning school projects. </w:t>
      </w:r>
    </w:p>
    <w:p w14:paraId="52998AB0" w14:textId="77777777" w:rsidR="00BC57D3" w:rsidRDefault="00BC57D3" w:rsidP="00BC57D3">
      <w:pPr>
        <w:pStyle w:val="NormalWeb"/>
        <w:spacing w:before="0" w:beforeAutospacing="0" w:after="0" w:afterAutospacing="0"/>
        <w:rPr>
          <w:color w:val="0E101A"/>
        </w:rPr>
      </w:pPr>
      <w:r>
        <w:rPr>
          <w:color w:val="0E101A"/>
        </w:rPr>
        <w:t>Students who engage in reflective practices benefit from a stimulated deep level of learning outcomes (</w:t>
      </w:r>
      <w:proofErr w:type="spellStart"/>
      <w:r>
        <w:rPr>
          <w:color w:val="0E101A"/>
        </w:rPr>
        <w:t>Hidayati</w:t>
      </w:r>
      <w:proofErr w:type="spellEnd"/>
      <w:r>
        <w:rPr>
          <w:color w:val="0E101A"/>
        </w:rPr>
        <w:t xml:space="preserve"> et al., 2020). The author implies that it is an essential managerial tool or competency because students learn to be more self-aware of the learning environment's academic requirements and complexities. Self-management, therefore, occurs due to the ability to make meaningful connections between tasks and responsibilities and create </w:t>
      </w:r>
      <w:r>
        <w:rPr>
          <w:color w:val="0E101A"/>
        </w:rPr>
        <w:lastRenderedPageBreak/>
        <w:t xml:space="preserve">adequate time to undertake each responsibility within the given timeframe. This aspect further necessitates the development of management capabilities by focusing on experiences and learning from them by understanding the management element in a different view through critiquing occurrences that shape one's </w:t>
      </w:r>
      <w:proofErr w:type="spellStart"/>
      <w:r>
        <w:rPr>
          <w:color w:val="0E101A"/>
        </w:rPr>
        <w:t>behavior</w:t>
      </w:r>
      <w:proofErr w:type="spellEnd"/>
      <w:r>
        <w:rPr>
          <w:color w:val="0E101A"/>
        </w:rPr>
        <w:t>.</w:t>
      </w:r>
    </w:p>
    <w:p w14:paraId="676A5F39" w14:textId="77777777" w:rsidR="00BC57D3" w:rsidRDefault="00BC57D3" w:rsidP="00BC57D3">
      <w:pPr>
        <w:pStyle w:val="NormalWeb"/>
        <w:spacing w:before="0" w:beforeAutospacing="0" w:after="0" w:afterAutospacing="0"/>
        <w:rPr>
          <w:color w:val="0E101A"/>
        </w:rPr>
      </w:pPr>
      <w:r>
        <w:rPr>
          <w:color w:val="0E101A"/>
        </w:rPr>
        <w:t>Reflective practice also shapes how individuals communicate. Communication is the art of articulating words correctly, appropriately, and effectively so that the audience derives the meaning intended by the speaker (</w:t>
      </w:r>
      <w:proofErr w:type="spellStart"/>
      <w:r>
        <w:rPr>
          <w:color w:val="0E101A"/>
        </w:rPr>
        <w:t>Hidayati</w:t>
      </w:r>
      <w:proofErr w:type="spellEnd"/>
      <w:r>
        <w:rPr>
          <w:color w:val="0E101A"/>
        </w:rPr>
        <w:t xml:space="preserve"> et al., 2020). To communicate effectively, individuals take the time to learn skills and reflect upon ideas and messages for a specific audience. Since reflective practice engages one's mind in thinking, it is a crucial tool for sharing ideas and knowledge. </w:t>
      </w:r>
    </w:p>
    <w:p w14:paraId="76D3ED03" w14:textId="77777777" w:rsidR="00BC57D3" w:rsidRDefault="00BC57D3" w:rsidP="00BC57D3">
      <w:pPr>
        <w:pStyle w:val="NormalWeb"/>
        <w:spacing w:before="0" w:beforeAutospacing="0" w:after="0" w:afterAutospacing="0"/>
        <w:rPr>
          <w:color w:val="0E101A"/>
        </w:rPr>
      </w:pPr>
      <w:r>
        <w:rPr>
          <w:color w:val="0E101A"/>
        </w:rPr>
        <w:t>Engaging in reflective practice trains the mind to critically analyse information, the concept under investigation, and even the choice of words that best represent the intended information. A person can have a good message, but the mode of conveying the information may inhibit communication and potentially stir conflicts when messages are misunderstood (</w:t>
      </w:r>
      <w:proofErr w:type="spellStart"/>
      <w:r>
        <w:rPr>
          <w:color w:val="0E101A"/>
        </w:rPr>
        <w:t>Hidayati</w:t>
      </w:r>
      <w:proofErr w:type="spellEnd"/>
      <w:r>
        <w:rPr>
          <w:color w:val="0E101A"/>
        </w:rPr>
        <w:t xml:space="preserve"> et al., 2020). For example, students who participate in cognitive practices have better competencies in communication (Salas et al., 2011). Cognitive practice enhances the ability to persevere and tolerate ambiguity and stay motivated despite a complex scenario. When students and professionals engage in reflective practices, they can explore varied scenarios that may inhibit communication and critically work towards eliminating communication barriers to support better outcomes when engaging an audience, be it in a clinical setting or in-class projects group discussions. </w:t>
      </w:r>
    </w:p>
    <w:p w14:paraId="3B388E17" w14:textId="77777777" w:rsidR="00BC57D3" w:rsidRDefault="00BC57D3" w:rsidP="00BC57D3">
      <w:pPr>
        <w:pStyle w:val="NormalWeb"/>
        <w:spacing w:before="0" w:beforeAutospacing="0" w:after="0" w:afterAutospacing="0"/>
        <w:rPr>
          <w:color w:val="0E101A"/>
        </w:rPr>
      </w:pPr>
      <w:r>
        <w:rPr>
          <w:color w:val="0E101A"/>
        </w:rPr>
        <w:t xml:space="preserve">In terms of interpersonal skills, reflective practices engage the mind in past experiences, learning from them and engaging one to adapt to better approaches to relating with people. Interpersonal skills are attitudes, tactics, and </w:t>
      </w:r>
      <w:proofErr w:type="spellStart"/>
      <w:r>
        <w:rPr>
          <w:color w:val="0E101A"/>
        </w:rPr>
        <w:t>behaviors</w:t>
      </w:r>
      <w:proofErr w:type="spellEnd"/>
      <w:r>
        <w:rPr>
          <w:color w:val="0E101A"/>
        </w:rPr>
        <w:t xml:space="preserve"> that a person uses when effectively interacting with others, for example, active listening and flexibility (Salas et al., 2011). These attributes encourage better relationships during an interaction, whether academically or professionally. Being an active listener shows the ability to concentrate and comprehend the information shared, whereas flexibility implies the ability to accept conditions one is not used to. Reflective thinking helps develop interpersonal skills by improving physical and emotional well-being, which is crucial for fulfilling relationships. Additionally, due to improved knowledge and credibility, people develop enhanced skills that are efficient in promoting value demonstrated through positively impacting the people in an environment.</w:t>
      </w:r>
    </w:p>
    <w:p w14:paraId="03AFE7E5" w14:textId="77777777" w:rsidR="00BC57D3" w:rsidRDefault="00BC57D3" w:rsidP="00BC57D3">
      <w:pPr>
        <w:pStyle w:val="NormalWeb"/>
        <w:spacing w:before="0" w:beforeAutospacing="0" w:after="0" w:afterAutospacing="0"/>
        <w:rPr>
          <w:color w:val="0E101A"/>
        </w:rPr>
      </w:pPr>
      <w:r>
        <w:rPr>
          <w:color w:val="0E101A"/>
        </w:rPr>
        <w:t> </w:t>
      </w:r>
    </w:p>
    <w:p w14:paraId="0E5FE003" w14:textId="77777777" w:rsidR="00BC57D3" w:rsidRDefault="00BC57D3" w:rsidP="00BC57D3">
      <w:pPr>
        <w:pStyle w:val="NormalWeb"/>
        <w:spacing w:before="0" w:beforeAutospacing="0" w:after="0" w:afterAutospacing="0"/>
        <w:rPr>
          <w:color w:val="0E101A"/>
        </w:rPr>
      </w:pPr>
      <w:r>
        <w:rPr>
          <w:rStyle w:val="Strong"/>
          <w:color w:val="0E101A"/>
        </w:rPr>
        <w:t>Analysis of Gibb's Reflective Model and the Relationship between Academic Theories and Experience</w:t>
      </w:r>
    </w:p>
    <w:p w14:paraId="0F217FD3" w14:textId="77777777" w:rsidR="00BC57D3" w:rsidRDefault="00BC57D3" w:rsidP="00BC57D3">
      <w:pPr>
        <w:pStyle w:val="NormalWeb"/>
        <w:spacing w:before="0" w:beforeAutospacing="0" w:after="0" w:afterAutospacing="0"/>
        <w:rPr>
          <w:color w:val="0E101A"/>
        </w:rPr>
      </w:pPr>
      <w:r>
        <w:rPr>
          <w:color w:val="0E101A"/>
        </w:rPr>
        <w:t> </w:t>
      </w:r>
    </w:p>
    <w:p w14:paraId="133185FD" w14:textId="77777777" w:rsidR="00BC57D3" w:rsidRDefault="00BC57D3" w:rsidP="00BC57D3">
      <w:pPr>
        <w:pStyle w:val="NormalWeb"/>
        <w:spacing w:before="0" w:beforeAutospacing="0" w:after="0" w:afterAutospacing="0"/>
        <w:rPr>
          <w:color w:val="0E101A"/>
        </w:rPr>
      </w:pPr>
      <w:r>
        <w:rPr>
          <w:color w:val="0E101A"/>
        </w:rPr>
        <w:t>Gibb's reflective cycle is a reflective model with six stages exploring experience through descriptions, feelings, evaluation of occurrences, analysis of the events, derivation of conclusion, and plans of action (</w:t>
      </w:r>
      <w:proofErr w:type="spellStart"/>
      <w:r>
        <w:rPr>
          <w:color w:val="0E101A"/>
        </w:rPr>
        <w:t>Adeani</w:t>
      </w:r>
      <w:proofErr w:type="spellEnd"/>
      <w:r>
        <w:rPr>
          <w:color w:val="0E101A"/>
        </w:rPr>
        <w:t xml:space="preserve"> et al., 2020). The description stage creates room for the definition of occurrences as they happened. This stage provides an overview of personal experience and relevance to the subject of discussion. The second phase concerns feelings. It addresses an individual's thoughts and ideas while undergoing the experience described in the first stage. It helps in giving a better perspective of how an individual was affected emotionally by occurrences. </w:t>
      </w:r>
    </w:p>
    <w:p w14:paraId="6DEE078F" w14:textId="77777777" w:rsidR="00BC57D3" w:rsidRDefault="00BC57D3" w:rsidP="00BC57D3">
      <w:pPr>
        <w:pStyle w:val="NormalWeb"/>
        <w:spacing w:before="0" w:beforeAutospacing="0" w:after="0" w:afterAutospacing="0"/>
        <w:rPr>
          <w:color w:val="0E101A"/>
        </w:rPr>
      </w:pPr>
      <w:r>
        <w:rPr>
          <w:color w:val="0E101A"/>
        </w:rPr>
        <w:t xml:space="preserve">Thirdly, the evaluation stage verifies the life experience by indicating whether it was good or bad. The stage provides objectivity regarding what worked or did not work given the situation. In this manner, it enhances the opportunity to demonstrate honesty. The analytic stage helps in making sense of the event. It concerns deriving detailed information about the situation or life experience to understand what worked well and why with the inclusion of literature to support results. The conclusion stage follows to help summarise information </w:t>
      </w:r>
      <w:r>
        <w:rPr>
          <w:color w:val="0E101A"/>
        </w:rPr>
        <w:lastRenderedPageBreak/>
        <w:t>derived from previous stages and make a definite ruling about the situation. The conclusion is crucial since it helps understand the lessons learned from the experience. In this sense, it paves the way for the action plan aimed at finding remedies to deal with similar occurrences in the future. It also caters to strategies that may be appropriate in case of such events or repetition.</w:t>
      </w:r>
    </w:p>
    <w:p w14:paraId="5FA4F22E" w14:textId="77777777" w:rsidR="00BC57D3" w:rsidRDefault="00BC57D3" w:rsidP="00BC57D3">
      <w:pPr>
        <w:pStyle w:val="NormalWeb"/>
        <w:spacing w:before="0" w:beforeAutospacing="0" w:after="0" w:afterAutospacing="0"/>
        <w:rPr>
          <w:color w:val="0E101A"/>
        </w:rPr>
      </w:pPr>
      <w:r>
        <w:rPr>
          <w:color w:val="0E101A"/>
        </w:rPr>
        <w:t>Academics indicate that reflective practices bridge the gaps between theories of high ground and swampy lowlands of practice (Smith, 2020). This application regards applications on personal ideas that encourage an exploration of assumptions and beliefs that helps in problem-solving. In reflective practice, the Gibbs Cycle model theory demonstrates a step-by-step approach to understanding experiences that shape an individual's thoughts for improvement in communication, self-management, and interpersonal characteristics, either academically or professionally.</w:t>
      </w:r>
    </w:p>
    <w:p w14:paraId="55EBCB04" w14:textId="77777777" w:rsidR="00BC57D3" w:rsidRDefault="00BC57D3" w:rsidP="00BC57D3">
      <w:pPr>
        <w:pStyle w:val="NormalWeb"/>
        <w:spacing w:before="0" w:beforeAutospacing="0" w:after="0" w:afterAutospacing="0"/>
        <w:rPr>
          <w:color w:val="0E101A"/>
        </w:rPr>
      </w:pPr>
      <w:r>
        <w:rPr>
          <w:color w:val="0E101A"/>
        </w:rPr>
        <w:t>Groupthink theory illustrates that group members insist on and emphasise the need for every participant to agree on the course of action (Janis, 2008). This theory applies to my experience during group discussions where we found ourselves unable to solve the discussion problem. Having received a project assignment, my group decided that whatever initiative put forth by embers must be agreed upon. Otherwise, the group would feel threatened. Most members assumed that using this theory in application to the group would enhance teamwork; little did we know it would inhibit problem-solving. At one point, we decided on a course of action to demonstrate future outcomes in application to the project. However, the solution failed terribly. Reflecting on this incident, I realise that some group members might have had other opinions.</w:t>
      </w:r>
    </w:p>
    <w:p w14:paraId="51D83F67" w14:textId="2DB14EC4" w:rsidR="00BC57D3" w:rsidRDefault="00BC57D3" w:rsidP="00BC57D3">
      <w:pPr>
        <w:pStyle w:val="NormalWeb"/>
        <w:spacing w:before="0" w:beforeAutospacing="0" w:after="0" w:afterAutospacing="0"/>
        <w:rPr>
          <w:color w:val="0E101A"/>
        </w:rPr>
      </w:pPr>
      <w:r>
        <w:rPr>
          <w:color w:val="0E101A"/>
        </w:rPr>
        <w:t>However, they would not dare raise other suggestions given the condition already set for the group. Therefore, the groupthink theory serves to undermine creativity, improvisation, and critical thinking since it forces members to agree to thy first idea raised by an individual without allowing room for further brainstorming. This experience indicates a failure to critique new opinions and ideas to represent a population of critical thinkers to help in predicting better outcomes. The theory, therefore, created an illusion that the plan would work until it did not, thus failing to challenge our assumptions. </w:t>
      </w:r>
    </w:p>
    <w:p w14:paraId="062776C5" w14:textId="77777777" w:rsidR="00BC57D3" w:rsidRDefault="00BC57D3" w:rsidP="00BC57D3">
      <w:pPr>
        <w:pStyle w:val="NormalWeb"/>
        <w:spacing w:before="0" w:beforeAutospacing="0" w:after="0" w:afterAutospacing="0"/>
        <w:rPr>
          <w:color w:val="0E101A"/>
        </w:rPr>
      </w:pPr>
    </w:p>
    <w:p w14:paraId="70054249" w14:textId="77777777" w:rsidR="00BC57D3" w:rsidRDefault="00BC57D3" w:rsidP="00BC57D3">
      <w:pPr>
        <w:pStyle w:val="NormalWeb"/>
        <w:spacing w:before="0" w:beforeAutospacing="0" w:after="0" w:afterAutospacing="0"/>
        <w:jc w:val="center"/>
        <w:rPr>
          <w:color w:val="0E101A"/>
        </w:rPr>
      </w:pPr>
      <w:r>
        <w:rPr>
          <w:rStyle w:val="Strong"/>
          <w:color w:val="0E101A"/>
        </w:rPr>
        <w:t>Conclusion</w:t>
      </w:r>
    </w:p>
    <w:p w14:paraId="14CCCBA1" w14:textId="77777777" w:rsidR="00BC57D3" w:rsidRDefault="00BC57D3" w:rsidP="00BC57D3">
      <w:pPr>
        <w:pStyle w:val="NormalWeb"/>
        <w:spacing w:before="0" w:beforeAutospacing="0" w:after="0" w:afterAutospacing="0"/>
        <w:rPr>
          <w:color w:val="0E101A"/>
        </w:rPr>
      </w:pPr>
    </w:p>
    <w:p w14:paraId="0FACA28D" w14:textId="0C3977DE" w:rsidR="00BC57D3" w:rsidRDefault="00BC57D3" w:rsidP="00BC57D3">
      <w:pPr>
        <w:pStyle w:val="NormalWeb"/>
        <w:spacing w:before="0" w:beforeAutospacing="0" w:after="0" w:afterAutospacing="0"/>
        <w:rPr>
          <w:color w:val="0E101A"/>
        </w:rPr>
      </w:pPr>
      <w:r>
        <w:rPr>
          <w:color w:val="0E101A"/>
        </w:rPr>
        <w:t>Reflective practice is concerned with personal and professional improvements and growth, as indicated in the discussion earlier. The ability for individuals to succeed either academically or professionally requires a sense of reflection that allows the mind to explore thoughts that are useful in fulfilling tasks. By considering a person's experiences, reflective practice advocates for learning opportunities and better judgment to attain success. Depending on the audience, reflective practice is crucial in shaping an individual's perception of the environment and the capacity to recognise underlying chances for improvement, learning, and development.</w:t>
      </w:r>
    </w:p>
    <w:p w14:paraId="13B83740" w14:textId="77777777" w:rsidR="00891C2A" w:rsidRDefault="00891C2A" w:rsidP="00BC57D3">
      <w:pPr>
        <w:pStyle w:val="NormalWeb"/>
        <w:spacing w:before="0" w:beforeAutospacing="0" w:after="0" w:afterAutospacing="0"/>
        <w:rPr>
          <w:color w:val="0E101A"/>
        </w:rPr>
      </w:pPr>
    </w:p>
    <w:p w14:paraId="6CE4C480" w14:textId="77777777" w:rsidR="00BC57D3" w:rsidRDefault="00BC57D3" w:rsidP="00BC57D3">
      <w:pPr>
        <w:pStyle w:val="NormalWeb"/>
        <w:spacing w:before="0" w:beforeAutospacing="0" w:after="0" w:afterAutospacing="0"/>
        <w:rPr>
          <w:color w:val="0E101A"/>
        </w:rPr>
      </w:pPr>
      <w:r>
        <w:rPr>
          <w:rStyle w:val="Strong"/>
          <w:color w:val="0E101A"/>
        </w:rPr>
        <w:t>References</w:t>
      </w:r>
    </w:p>
    <w:p w14:paraId="1F535511" w14:textId="77777777" w:rsidR="00BC57D3" w:rsidRDefault="00BC57D3" w:rsidP="00BC57D3">
      <w:pPr>
        <w:pStyle w:val="NormalWeb"/>
        <w:spacing w:before="0" w:beforeAutospacing="0" w:after="0" w:afterAutospacing="0"/>
        <w:rPr>
          <w:color w:val="0E101A"/>
        </w:rPr>
      </w:pPr>
    </w:p>
    <w:p w14:paraId="5AF33CAC" w14:textId="77777777" w:rsidR="00BC57D3" w:rsidRDefault="00BC57D3" w:rsidP="00BC57D3">
      <w:pPr>
        <w:pStyle w:val="NormalWeb"/>
        <w:spacing w:before="0" w:beforeAutospacing="0" w:after="0" w:afterAutospacing="0"/>
        <w:rPr>
          <w:color w:val="0E101A"/>
        </w:rPr>
      </w:pPr>
      <w:proofErr w:type="spellStart"/>
      <w:r>
        <w:rPr>
          <w:color w:val="0E101A"/>
        </w:rPr>
        <w:t>Adeani</w:t>
      </w:r>
      <w:proofErr w:type="spellEnd"/>
      <w:r>
        <w:rPr>
          <w:color w:val="0E101A"/>
        </w:rPr>
        <w:t xml:space="preserve">, I. S., </w:t>
      </w:r>
      <w:proofErr w:type="spellStart"/>
      <w:r>
        <w:rPr>
          <w:color w:val="0E101A"/>
        </w:rPr>
        <w:t>Febriani</w:t>
      </w:r>
      <w:proofErr w:type="spellEnd"/>
      <w:r>
        <w:rPr>
          <w:color w:val="0E101A"/>
        </w:rPr>
        <w:t xml:space="preserve">, R. B., &amp; </w:t>
      </w:r>
      <w:proofErr w:type="spellStart"/>
      <w:r>
        <w:rPr>
          <w:color w:val="0E101A"/>
        </w:rPr>
        <w:t>Syafryadin</w:t>
      </w:r>
      <w:proofErr w:type="spellEnd"/>
      <w:r>
        <w:rPr>
          <w:color w:val="0E101A"/>
        </w:rPr>
        <w:t>, S. (2020). USING GIBBS'REFLECTIVE CYCLE IN MAKING REFLECTIONS OF LITERARY ANALYSIS. </w:t>
      </w:r>
      <w:r>
        <w:rPr>
          <w:rStyle w:val="Emphasis"/>
          <w:color w:val="0E101A"/>
        </w:rPr>
        <w:t>Indonesian EFL Journal</w:t>
      </w:r>
      <w:r>
        <w:rPr>
          <w:color w:val="0E101A"/>
        </w:rPr>
        <w:t>, </w:t>
      </w:r>
      <w:r>
        <w:rPr>
          <w:rStyle w:val="Emphasis"/>
          <w:color w:val="0E101A"/>
        </w:rPr>
        <w:t>6</w:t>
      </w:r>
      <w:r>
        <w:rPr>
          <w:color w:val="0E101A"/>
        </w:rPr>
        <w:t>(2), 139-148.</w:t>
      </w:r>
    </w:p>
    <w:p w14:paraId="406B87F9" w14:textId="77777777" w:rsidR="00BC57D3" w:rsidRDefault="00BC57D3" w:rsidP="00BC57D3">
      <w:pPr>
        <w:pStyle w:val="NormalWeb"/>
        <w:spacing w:before="0" w:beforeAutospacing="0" w:after="0" w:afterAutospacing="0"/>
        <w:rPr>
          <w:color w:val="0E101A"/>
        </w:rPr>
      </w:pPr>
      <w:proofErr w:type="spellStart"/>
      <w:r>
        <w:rPr>
          <w:color w:val="0E101A"/>
        </w:rPr>
        <w:t>Hidayati</w:t>
      </w:r>
      <w:proofErr w:type="spellEnd"/>
      <w:r>
        <w:rPr>
          <w:color w:val="0E101A"/>
        </w:rPr>
        <w:t xml:space="preserve">, N., Zubaidah, S., </w:t>
      </w:r>
      <w:proofErr w:type="spellStart"/>
      <w:r>
        <w:rPr>
          <w:color w:val="0E101A"/>
        </w:rPr>
        <w:t>Suarsini</w:t>
      </w:r>
      <w:proofErr w:type="spellEnd"/>
      <w:r>
        <w:rPr>
          <w:color w:val="0E101A"/>
        </w:rPr>
        <w:t xml:space="preserve">, E., &amp; </w:t>
      </w:r>
      <w:proofErr w:type="spellStart"/>
      <w:r>
        <w:rPr>
          <w:color w:val="0E101A"/>
        </w:rPr>
        <w:t>Praherdhiono</w:t>
      </w:r>
      <w:proofErr w:type="spellEnd"/>
      <w:r>
        <w:rPr>
          <w:color w:val="0E101A"/>
        </w:rPr>
        <w:t xml:space="preserve">, H. (2020). Cognitive learning outcomes: Its relationship with communication skills and collaboration skills through digital mind </w:t>
      </w:r>
      <w:proofErr w:type="gramStart"/>
      <w:r>
        <w:rPr>
          <w:color w:val="0E101A"/>
        </w:rPr>
        <w:t>maps-integrated</w:t>
      </w:r>
      <w:proofErr w:type="gramEnd"/>
      <w:r>
        <w:rPr>
          <w:color w:val="0E101A"/>
        </w:rPr>
        <w:t xml:space="preserve"> PBL. </w:t>
      </w:r>
      <w:r>
        <w:rPr>
          <w:rStyle w:val="Emphasis"/>
          <w:color w:val="0E101A"/>
        </w:rPr>
        <w:t>International Journal of Information and Education Technology</w:t>
      </w:r>
      <w:r>
        <w:rPr>
          <w:color w:val="0E101A"/>
        </w:rPr>
        <w:t>, </w:t>
      </w:r>
      <w:r>
        <w:rPr>
          <w:rStyle w:val="Emphasis"/>
          <w:color w:val="0E101A"/>
        </w:rPr>
        <w:t>10</w:t>
      </w:r>
      <w:r>
        <w:rPr>
          <w:color w:val="0E101A"/>
        </w:rPr>
        <w:t>(6), 433-448.</w:t>
      </w:r>
    </w:p>
    <w:p w14:paraId="784C2E1A" w14:textId="77777777" w:rsidR="00BC57D3" w:rsidRDefault="00BC57D3" w:rsidP="00BC57D3">
      <w:pPr>
        <w:pStyle w:val="NormalWeb"/>
        <w:spacing w:before="0" w:beforeAutospacing="0" w:after="0" w:afterAutospacing="0"/>
        <w:rPr>
          <w:color w:val="0E101A"/>
        </w:rPr>
      </w:pPr>
      <w:r>
        <w:rPr>
          <w:color w:val="0E101A"/>
        </w:rPr>
        <w:lastRenderedPageBreak/>
        <w:t>Janis, I. L. (2008). Groupthink. </w:t>
      </w:r>
      <w:r>
        <w:rPr>
          <w:rStyle w:val="Emphasis"/>
          <w:color w:val="0E101A"/>
        </w:rPr>
        <w:t>IEEE Engineering Management Review</w:t>
      </w:r>
      <w:r>
        <w:rPr>
          <w:color w:val="0E101A"/>
        </w:rPr>
        <w:t>, </w:t>
      </w:r>
      <w:r>
        <w:rPr>
          <w:rStyle w:val="Emphasis"/>
          <w:color w:val="0E101A"/>
        </w:rPr>
        <w:t>36</w:t>
      </w:r>
      <w:r>
        <w:rPr>
          <w:color w:val="0E101A"/>
        </w:rPr>
        <w:t>(1), 36.</w:t>
      </w:r>
    </w:p>
    <w:p w14:paraId="1D9182B3" w14:textId="77777777" w:rsidR="00BC57D3" w:rsidRDefault="00BC57D3" w:rsidP="00BC57D3">
      <w:pPr>
        <w:pStyle w:val="NormalWeb"/>
        <w:spacing w:before="0" w:beforeAutospacing="0" w:after="0" w:afterAutospacing="0"/>
        <w:rPr>
          <w:color w:val="0E101A"/>
        </w:rPr>
      </w:pPr>
      <w:r>
        <w:rPr>
          <w:color w:val="0E101A"/>
        </w:rPr>
        <w:t>Salas, E., Bedwell, W. L., &amp; Fiore, S. M. (2011). Developing the 21st century (and beyond) workforce: A review of interpersonal skills and measurement strategies. In </w:t>
      </w:r>
      <w:r>
        <w:rPr>
          <w:rStyle w:val="Emphasis"/>
          <w:color w:val="0E101A"/>
        </w:rPr>
        <w:t xml:space="preserve">NRC Workshop on Assessing 21st Century Skills: http://www7. </w:t>
      </w:r>
      <w:proofErr w:type="spellStart"/>
      <w:r>
        <w:rPr>
          <w:rStyle w:val="Emphasis"/>
          <w:color w:val="0E101A"/>
        </w:rPr>
        <w:t>nationalacademies</w:t>
      </w:r>
      <w:proofErr w:type="spellEnd"/>
      <w:r>
        <w:rPr>
          <w:rStyle w:val="Emphasis"/>
          <w:color w:val="0E101A"/>
        </w:rPr>
        <w:t>. org/bota/21st_Century_Workshop_Salas_Fiore _Paper. pdf [Retrieved July 2017]</w:t>
      </w:r>
      <w:r>
        <w:rPr>
          <w:color w:val="0E101A"/>
        </w:rPr>
        <w:t>.</w:t>
      </w:r>
    </w:p>
    <w:p w14:paraId="724FCC30" w14:textId="77777777" w:rsidR="00BC57D3" w:rsidRDefault="00BC57D3" w:rsidP="00BC57D3">
      <w:pPr>
        <w:pStyle w:val="NormalWeb"/>
        <w:spacing w:before="0" w:beforeAutospacing="0" w:after="0" w:afterAutospacing="0"/>
        <w:rPr>
          <w:color w:val="0E101A"/>
        </w:rPr>
      </w:pPr>
      <w:r>
        <w:rPr>
          <w:color w:val="0E101A"/>
        </w:rPr>
        <w:t>Seaman, J., Brown, M., &amp; Quay, J. (2017). The evolution of experiential learning theory: Tracing lines of research in the JEE. </w:t>
      </w:r>
      <w:r>
        <w:rPr>
          <w:rStyle w:val="Emphasis"/>
          <w:color w:val="0E101A"/>
        </w:rPr>
        <w:t>Journal of Experiential Education</w:t>
      </w:r>
      <w:r>
        <w:rPr>
          <w:color w:val="0E101A"/>
        </w:rPr>
        <w:t>, </w:t>
      </w:r>
      <w:r>
        <w:rPr>
          <w:rStyle w:val="Emphasis"/>
          <w:color w:val="0E101A"/>
        </w:rPr>
        <w:t>40</w:t>
      </w:r>
      <w:r>
        <w:rPr>
          <w:color w:val="0E101A"/>
        </w:rPr>
        <w:t>(4), NP1-NP21.</w:t>
      </w:r>
    </w:p>
    <w:p w14:paraId="7A59525B" w14:textId="77777777" w:rsidR="00BC57D3" w:rsidRDefault="00BC57D3" w:rsidP="00BC57D3">
      <w:pPr>
        <w:pStyle w:val="NormalWeb"/>
        <w:spacing w:before="0" w:beforeAutospacing="0" w:after="0" w:afterAutospacing="0"/>
        <w:rPr>
          <w:color w:val="0E101A"/>
        </w:rPr>
      </w:pPr>
      <w:r>
        <w:rPr>
          <w:color w:val="0E101A"/>
        </w:rPr>
        <w:t>Schulte, R. (2014). </w:t>
      </w:r>
      <w:r>
        <w:rPr>
          <w:rStyle w:val="Emphasis"/>
          <w:color w:val="0E101A"/>
        </w:rPr>
        <w:t>Translating China for Western Readers: Reflective, Critical, and Practical Essays</w:t>
      </w:r>
      <w:r>
        <w:rPr>
          <w:color w:val="0E101A"/>
        </w:rPr>
        <w:t>. SUNY Press.</w:t>
      </w:r>
    </w:p>
    <w:p w14:paraId="4FB97640" w14:textId="77777777" w:rsidR="00BC57D3" w:rsidRDefault="00BC57D3" w:rsidP="00BC57D3">
      <w:pPr>
        <w:pStyle w:val="NormalWeb"/>
        <w:spacing w:before="0" w:beforeAutospacing="0" w:after="0" w:afterAutospacing="0"/>
        <w:rPr>
          <w:color w:val="0E101A"/>
        </w:rPr>
      </w:pPr>
      <w:r>
        <w:rPr>
          <w:color w:val="0E101A"/>
        </w:rPr>
        <w:t xml:space="preserve">Slade, M. L., Burnham, T. J., </w:t>
      </w:r>
      <w:proofErr w:type="spellStart"/>
      <w:r>
        <w:rPr>
          <w:color w:val="0E101A"/>
        </w:rPr>
        <w:t>Catalana</w:t>
      </w:r>
      <w:proofErr w:type="spellEnd"/>
      <w:r>
        <w:rPr>
          <w:color w:val="0E101A"/>
        </w:rPr>
        <w:t>, S. M., &amp; Waters, T. (2019). The Impact of Reflective Practice on Teacher Candidates' Learning. </w:t>
      </w:r>
      <w:r>
        <w:rPr>
          <w:rStyle w:val="Emphasis"/>
          <w:color w:val="0E101A"/>
        </w:rPr>
        <w:t>International Journal for the Scholarship of Teaching and Learning</w:t>
      </w:r>
      <w:r>
        <w:rPr>
          <w:color w:val="0E101A"/>
        </w:rPr>
        <w:t>, </w:t>
      </w:r>
      <w:r>
        <w:rPr>
          <w:rStyle w:val="Emphasis"/>
          <w:color w:val="0E101A"/>
        </w:rPr>
        <w:t>13</w:t>
      </w:r>
      <w:r>
        <w:rPr>
          <w:color w:val="0E101A"/>
        </w:rPr>
        <w:t>(2), 15.</w:t>
      </w:r>
    </w:p>
    <w:p w14:paraId="18FA6592" w14:textId="77777777" w:rsidR="00BC57D3" w:rsidRDefault="00BC57D3" w:rsidP="00BC57D3">
      <w:pPr>
        <w:pStyle w:val="NormalWeb"/>
        <w:spacing w:before="0" w:beforeAutospacing="0" w:after="0" w:afterAutospacing="0"/>
        <w:rPr>
          <w:color w:val="0E101A"/>
        </w:rPr>
      </w:pPr>
      <w:r>
        <w:rPr>
          <w:color w:val="0E101A"/>
        </w:rPr>
        <w:t>Smith, N. (2020). Emerging from the swamp: an autoethnography on the legitimacy of action research. </w:t>
      </w:r>
      <w:r>
        <w:rPr>
          <w:rStyle w:val="Emphasis"/>
          <w:color w:val="0E101A"/>
        </w:rPr>
        <w:t>International Journal of Managing Projects in Business</w:t>
      </w:r>
      <w:r>
        <w:rPr>
          <w:color w:val="0E101A"/>
        </w:rPr>
        <w:t>.</w:t>
      </w:r>
    </w:p>
    <w:p w14:paraId="5917503A" w14:textId="77777777" w:rsidR="00BC57D3" w:rsidRDefault="00BC57D3" w:rsidP="00BC57D3">
      <w:pPr>
        <w:pStyle w:val="NormalWeb"/>
        <w:spacing w:before="0" w:beforeAutospacing="0" w:after="0" w:afterAutospacing="0"/>
        <w:rPr>
          <w:color w:val="0E101A"/>
        </w:rPr>
      </w:pPr>
      <w:r>
        <w:rPr>
          <w:color w:val="0E101A"/>
        </w:rPr>
        <w:t>Tasnim, Z. (2018). SUCCESSFUL PROFESSIONAL JOURNEY OF TEACHING THROUGH CRITICAL REFLECTIVE PRACTICE. </w:t>
      </w:r>
      <w:r>
        <w:rPr>
          <w:rStyle w:val="Emphasis"/>
          <w:color w:val="0E101A"/>
        </w:rPr>
        <w:t>HAMDARD UNIVERSITY BANGLADESH</w:t>
      </w:r>
      <w:r>
        <w:rPr>
          <w:color w:val="0E101A"/>
        </w:rPr>
        <w:t>, </w:t>
      </w:r>
      <w:r>
        <w:rPr>
          <w:rStyle w:val="Emphasis"/>
          <w:color w:val="0E101A"/>
        </w:rPr>
        <w:t>4</w:t>
      </w:r>
      <w:r>
        <w:rPr>
          <w:color w:val="0E101A"/>
        </w:rPr>
        <w:t>(2), 129.</w:t>
      </w:r>
    </w:p>
    <w:p w14:paraId="6E6DB821" w14:textId="77777777" w:rsidR="00BC57D3" w:rsidRDefault="00BC57D3" w:rsidP="00BC57D3">
      <w:pPr>
        <w:pStyle w:val="NormalWeb"/>
        <w:spacing w:before="0" w:beforeAutospacing="0" w:after="0" w:afterAutospacing="0"/>
        <w:rPr>
          <w:color w:val="0E101A"/>
        </w:rPr>
      </w:pPr>
      <w:r>
        <w:rPr>
          <w:color w:val="0E101A"/>
        </w:rPr>
        <w:t>Zhu, M., Bonk, C. J., &amp; Doo, M. Y. (2020). Self-directed learning in MOOCs: Exploring the relationships among motivation, self-monitoring, and self-management. </w:t>
      </w:r>
      <w:r>
        <w:rPr>
          <w:rStyle w:val="Emphasis"/>
          <w:color w:val="0E101A"/>
        </w:rPr>
        <w:t>Educational Technology Research and Development</w:t>
      </w:r>
      <w:r>
        <w:rPr>
          <w:color w:val="0E101A"/>
        </w:rPr>
        <w:t>, </w:t>
      </w:r>
      <w:r>
        <w:rPr>
          <w:rStyle w:val="Emphasis"/>
          <w:color w:val="0E101A"/>
        </w:rPr>
        <w:t>68</w:t>
      </w:r>
      <w:r>
        <w:rPr>
          <w:color w:val="0E101A"/>
        </w:rPr>
        <w:t>(5), 2073-2093.</w:t>
      </w:r>
    </w:p>
    <w:p w14:paraId="540D7616" w14:textId="77777777" w:rsidR="0004499F" w:rsidRDefault="0004499F"/>
    <w:sectPr w:rsidR="000449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7D3"/>
    <w:rsid w:val="0004499F"/>
    <w:rsid w:val="00891C2A"/>
    <w:rsid w:val="00BC5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CDB59"/>
  <w15:chartTrackingRefBased/>
  <w15:docId w15:val="{CC1C2987-F688-4902-A8D7-D2070D4A7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C57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57D3"/>
    <w:rPr>
      <w:b/>
      <w:bCs/>
    </w:rPr>
  </w:style>
  <w:style w:type="character" w:styleId="Emphasis">
    <w:name w:val="Emphasis"/>
    <w:basedOn w:val="DefaultParagraphFont"/>
    <w:uiPriority w:val="20"/>
    <w:qFormat/>
    <w:rsid w:val="00BC57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02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2295</Words>
  <Characters>13083</Characters>
  <Application>Microsoft Office Word</Application>
  <DocSecurity>0</DocSecurity>
  <Lines>109</Lines>
  <Paragraphs>30</Paragraphs>
  <ScaleCrop>false</ScaleCrop>
  <Company/>
  <LinksUpToDate>false</LinksUpToDate>
  <CharactersWithSpaces>15348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Vilaia Cosmin</dc:creator>
  <cp:keywords/>
  <dc:description/>
  <cp:lastModifiedBy>Vilaia Cosmin</cp:lastModifiedBy>
  <cp:revision>2</cp:revision>
  <dcterms:created xsi:type="dcterms:W3CDTF">2022-03-31T22:41:00Z</dcterms:created>
  <dcterms:modified xsi:type="dcterms:W3CDTF">2022-04-03T08:06:00Z</dcterms:modified>
</cp:coreProperties>
</file>