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0BBAD79" w14:textId="77777777" w:rsidR="006A761D" w:rsidRDefault="006A761D">
      <w:pPr>
        <w:spacing w:before="2000"/>
      </w:pPr>
    </w:p>
    <w:p w14:paraId="7AFAD22C" w14:textId="7DD70AA8" w:rsidR="006A761D" w:rsidRDefault="00EF4F48">
      <w:pPr>
        <w:spacing w:after="160" w:line="360" w:lineRule="auto"/>
        <w:jc w:val="center"/>
      </w:pPr>
      <w:r>
        <w:rPr>
          <w:rFonts w:ascii="Arial" w:eastAsia="Arial" w:hAnsi="Arial" w:cs="Arial"/>
          <w:sz w:val="24"/>
          <w:szCs w:val="24"/>
        </w:rPr>
        <w:t>Student Nam</w:t>
      </w:r>
      <w:r w:rsidR="007F2E84">
        <w:rPr>
          <w:rFonts w:ascii="Arial" w:eastAsia="Arial" w:hAnsi="Arial" w:cs="Arial"/>
          <w:sz w:val="24"/>
          <w:szCs w:val="24"/>
        </w:rPr>
        <w:t xml:space="preserve">e: Joylynn Barros </w:t>
      </w:r>
    </w:p>
    <w:p w14:paraId="035DCC50" w14:textId="488199EE" w:rsidR="006A761D" w:rsidRDefault="00EF4F48">
      <w:pPr>
        <w:spacing w:after="400" w:line="360" w:lineRule="auto"/>
        <w:jc w:val="center"/>
      </w:pPr>
      <w:r>
        <w:rPr>
          <w:rFonts w:ascii="Arial" w:eastAsia="Arial" w:hAnsi="Arial" w:cs="Arial"/>
          <w:sz w:val="24"/>
          <w:szCs w:val="24"/>
        </w:rPr>
        <w:t>Student Number</w:t>
      </w:r>
      <w:r w:rsidR="007F2E84">
        <w:rPr>
          <w:rFonts w:ascii="Arial" w:eastAsia="Arial" w:hAnsi="Arial" w:cs="Arial"/>
          <w:sz w:val="24"/>
          <w:szCs w:val="24"/>
        </w:rPr>
        <w:t xml:space="preserve">: </w:t>
      </w:r>
      <w:r w:rsidR="000B1382">
        <w:rPr>
          <w:rFonts w:ascii="Arial" w:eastAsia="Arial" w:hAnsi="Arial" w:cs="Arial"/>
          <w:sz w:val="24"/>
          <w:szCs w:val="24"/>
        </w:rPr>
        <w:t>241</w:t>
      </w:r>
      <w:r w:rsidR="00092FB3">
        <w:rPr>
          <w:rFonts w:ascii="Arial" w:eastAsia="Arial" w:hAnsi="Arial" w:cs="Arial"/>
          <w:sz w:val="24"/>
          <w:szCs w:val="24"/>
        </w:rPr>
        <w:t>3613</w:t>
      </w:r>
    </w:p>
    <w:p w14:paraId="4073C2F3" w14:textId="77777777" w:rsidR="006A761D" w:rsidRDefault="00EF4F48">
      <w:pPr>
        <w:spacing w:after="100" w:line="360" w:lineRule="auto"/>
        <w:jc w:val="center"/>
      </w:pPr>
      <w:r>
        <w:rPr>
          <w:rFonts w:ascii="Arial" w:eastAsia="Arial" w:hAnsi="Arial" w:cs="Arial"/>
          <w:b/>
          <w:bCs/>
          <w:sz w:val="26"/>
          <w:szCs w:val="26"/>
        </w:rPr>
        <w:t>BMHP5014: Changemakers, Creativity and Value Creation</w:t>
      </w:r>
    </w:p>
    <w:p w14:paraId="340AAC5C" w14:textId="77777777" w:rsidR="006A761D" w:rsidRDefault="00EF4F48">
      <w:pPr>
        <w:spacing w:after="500" w:line="360" w:lineRule="auto"/>
        <w:jc w:val="center"/>
      </w:pPr>
      <w:r>
        <w:rPr>
          <w:rFonts w:ascii="Arial" w:eastAsia="Arial" w:hAnsi="Arial" w:cs="Arial"/>
          <w:b/>
          <w:bCs/>
          <w:sz w:val="26"/>
          <w:szCs w:val="26"/>
        </w:rPr>
        <w:t>Component 2: Health and Social Care Innovation Poster and Pitch</w:t>
      </w:r>
    </w:p>
    <w:p w14:paraId="18831539" w14:textId="77777777" w:rsidR="006A761D" w:rsidRDefault="00EF4F48">
      <w:pPr>
        <w:spacing w:after="500" w:line="360" w:lineRule="auto"/>
        <w:jc w:val="center"/>
      </w:pPr>
      <w:r>
        <w:rPr>
          <w:rFonts w:ascii="Arial" w:eastAsia="Arial" w:hAnsi="Arial" w:cs="Arial"/>
          <w:b/>
          <w:bCs/>
          <w:sz w:val="28"/>
          <w:szCs w:val="28"/>
        </w:rPr>
        <w:t>PocketPrescribe: A Social Prescribing Companion App</w:t>
      </w:r>
    </w:p>
    <w:p w14:paraId="77D1F057" w14:textId="1DAAF80D" w:rsidR="006A761D" w:rsidRDefault="00EF4F48">
      <w:pPr>
        <w:spacing w:after="160" w:line="360" w:lineRule="auto"/>
        <w:jc w:val="center"/>
      </w:pPr>
      <w:r>
        <w:rPr>
          <w:rFonts w:ascii="Arial" w:eastAsia="Arial" w:hAnsi="Arial" w:cs="Arial"/>
          <w:sz w:val="24"/>
          <w:szCs w:val="24"/>
        </w:rPr>
        <w:t xml:space="preserve">Lecturer: </w:t>
      </w:r>
      <w:r w:rsidR="00F41410">
        <w:rPr>
          <w:rFonts w:ascii="Arial" w:eastAsia="Arial" w:hAnsi="Arial" w:cs="Arial"/>
          <w:sz w:val="24"/>
          <w:szCs w:val="24"/>
        </w:rPr>
        <w:t xml:space="preserve">Caroline </w:t>
      </w:r>
      <w:r w:rsidR="00E61924">
        <w:rPr>
          <w:rFonts w:ascii="Arial" w:eastAsia="Arial" w:hAnsi="Arial" w:cs="Arial"/>
          <w:sz w:val="24"/>
          <w:szCs w:val="24"/>
        </w:rPr>
        <w:t>salami</w:t>
      </w:r>
    </w:p>
    <w:p w14:paraId="4BFE2221" w14:textId="538041D7" w:rsidR="006A761D" w:rsidRDefault="007A753C">
      <w:pPr>
        <w:spacing w:after="160" w:line="360" w:lineRule="auto"/>
        <w:jc w:val="center"/>
      </w:pPr>
      <w:r>
        <w:rPr>
          <w:rFonts w:ascii="Arial" w:eastAsia="Arial" w:hAnsi="Arial" w:cs="Arial"/>
          <w:sz w:val="24"/>
          <w:szCs w:val="24"/>
        </w:rPr>
        <w:t>07</w:t>
      </w:r>
      <w:r w:rsidR="00BD27CA">
        <w:rPr>
          <w:rFonts w:ascii="Arial" w:eastAsia="Arial" w:hAnsi="Arial" w:cs="Arial"/>
          <w:sz w:val="24"/>
          <w:szCs w:val="24"/>
        </w:rPr>
        <w:t>/0</w:t>
      </w:r>
      <w:r w:rsidR="002569F1">
        <w:rPr>
          <w:rFonts w:ascii="Arial" w:eastAsia="Arial" w:hAnsi="Arial" w:cs="Arial"/>
          <w:sz w:val="24"/>
          <w:szCs w:val="24"/>
        </w:rPr>
        <w:t>8/26</w:t>
      </w:r>
    </w:p>
    <w:p w14:paraId="6F7034CF" w14:textId="77777777" w:rsidR="006A761D" w:rsidRDefault="00EF4F48">
      <w:r>
        <w:br w:type="page"/>
      </w:r>
    </w:p>
    <w:p w14:paraId="3EA6EDD3" w14:textId="77777777" w:rsidR="006A761D" w:rsidRDefault="00EF4F48">
      <w:pPr>
        <w:jc w:val="center"/>
      </w:pPr>
      <w:r>
        <w:rPr>
          <w:noProof/>
        </w:rPr>
        <w:drawing>
          <wp:inline distT="0" distB="0" distL="0" distR="0" wp14:anchorId="20EEDF27" wp14:editId="06F39AC9">
            <wp:extent cx="5286375" cy="74771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5286375" cy="7477125"/>
                    </a:xfrm>
                    <a:prstGeom prst="rect">
                      <a:avLst/>
                    </a:prstGeom>
                  </pic:spPr>
                </pic:pic>
              </a:graphicData>
            </a:graphic>
          </wp:inline>
        </w:drawing>
      </w:r>
    </w:p>
    <w:p w14:paraId="24FE7E76" w14:textId="77777777" w:rsidR="006A761D" w:rsidRDefault="00EF4F48">
      <w:r>
        <w:br w:type="page"/>
      </w:r>
    </w:p>
    <w:p w14:paraId="5246414B" w14:textId="77777777" w:rsidR="006A761D" w:rsidRDefault="00EF4F48">
      <w:pPr>
        <w:pStyle w:val="Heading1"/>
        <w:spacing w:before="320" w:after="180" w:line="360" w:lineRule="auto"/>
      </w:pPr>
      <w:r>
        <w:rPr>
          <w:rFonts w:ascii="Arial" w:eastAsia="Arial" w:hAnsi="Arial" w:cs="Arial"/>
          <w:b/>
          <w:bCs/>
          <w:sz w:val="26"/>
          <w:szCs w:val="26"/>
        </w:rPr>
        <w:t>Pitch: PocketPrescribe</w:t>
      </w:r>
    </w:p>
    <w:p w14:paraId="6C43BE93" w14:textId="6B924DE5" w:rsidR="006A761D" w:rsidRDefault="00EF4F48">
      <w:pPr>
        <w:spacing w:after="200" w:line="360" w:lineRule="auto"/>
        <w:jc w:val="both"/>
      </w:pPr>
      <w:r>
        <w:rPr>
          <w:rFonts w:ascii="Arial" w:eastAsia="Arial" w:hAnsi="Arial" w:cs="Arial"/>
          <w:sz w:val="22"/>
          <w:szCs w:val="22"/>
        </w:rPr>
        <w:t>Picture a patient leaving a GP appointment with a phone number for a bereavement walking group, told it might help more than another course of medication. Three weeks later they have not called, partly because</w:t>
      </w:r>
      <w:r w:rsidR="002569F1">
        <w:rPr>
          <w:rFonts w:ascii="Arial" w:eastAsia="Arial" w:hAnsi="Arial" w:cs="Arial"/>
          <w:sz w:val="22"/>
          <w:szCs w:val="22"/>
        </w:rPr>
        <w:t xml:space="preserve"> </w:t>
      </w:r>
      <w:r>
        <w:rPr>
          <w:rFonts w:ascii="Arial" w:eastAsia="Arial" w:hAnsi="Arial" w:cs="Arial"/>
          <w:sz w:val="22"/>
          <w:szCs w:val="22"/>
        </w:rPr>
        <w:t>grief has made everyday tasks harder and partly because ringing a stranger to join a group alone feels like too much to face. This scenario happens routinely across the country wherever social prescribing is used, and it is the specific problem PocketPrescribe is built to solve.</w:t>
      </w:r>
    </w:p>
    <w:p w14:paraId="7DF2EF8E" w14:textId="77777777" w:rsidR="006A761D" w:rsidRDefault="00EF4F48">
      <w:pPr>
        <w:spacing w:after="200" w:line="360" w:lineRule="auto"/>
        <w:jc w:val="both"/>
      </w:pPr>
      <w:r>
        <w:rPr>
          <w:rFonts w:ascii="Arial" w:eastAsia="Arial" w:hAnsi="Arial" w:cs="Arial"/>
          <w:sz w:val="22"/>
          <w:szCs w:val="22"/>
        </w:rPr>
        <w:t xml:space="preserve">Social prescribing lets a GP or practice nurse refer a patient to non-clinical, community based support, walking groups, debt advice, befriending schemes, arts activities, when the underlying issue behind a health complaint is loneliness, stress or a practical life circumstance rather than something medicine alone can treat. The approach now sits at the centre of NHS primary care policy. The </w:t>
      </w:r>
      <w:hyperlink r:id="rId8" w:history="1">
        <w:r>
          <w:rPr>
            <w:rFonts w:ascii="Arial" w:eastAsia="Arial" w:hAnsi="Arial" w:cs="Arial"/>
            <w:color w:val="0563C1"/>
            <w:sz w:val="22"/>
            <w:szCs w:val="22"/>
            <w:u w:val="single"/>
          </w:rPr>
          <w:t>NHS Long Term Plan</w:t>
        </w:r>
      </w:hyperlink>
      <w:r>
        <w:rPr>
          <w:rFonts w:ascii="Arial" w:eastAsia="Arial" w:hAnsi="Arial" w:cs="Arial"/>
          <w:sz w:val="22"/>
          <w:szCs w:val="22"/>
        </w:rPr>
        <w:t xml:space="preserve"> set an ambition for at least 900,000 people to be referred to social prescribing link workers by 2023/24, recognising that personalised, community based support reduces unnecessary demand on GPs and hospitals (NHS England, 2019). Yet evidence on how well referrals translate into actual support remains mixed. A systematic review by </w:t>
      </w:r>
      <w:hyperlink r:id="rId9" w:history="1">
        <w:r>
          <w:rPr>
            <w:rFonts w:ascii="Arial" w:eastAsia="Arial" w:hAnsi="Arial" w:cs="Arial"/>
            <w:color w:val="0563C1"/>
            <w:sz w:val="22"/>
            <w:szCs w:val="22"/>
            <w:u w:val="single"/>
          </w:rPr>
          <w:t>Bickerdike et al. (2017)</w:t>
        </w:r>
      </w:hyperlink>
      <w:r>
        <w:rPr>
          <w:rFonts w:ascii="Arial" w:eastAsia="Arial" w:hAnsi="Arial" w:cs="Arial"/>
          <w:sz w:val="22"/>
          <w:szCs w:val="22"/>
        </w:rPr>
        <w:t xml:space="preserve"> found that while social prescribing shows promise for wellbeing outcomes, the quality of evidence linking referral to attendance and sustained benefit is inconsistent. A later realist review by </w:t>
      </w:r>
      <w:hyperlink r:id="rId10" w:history="1">
        <w:r>
          <w:rPr>
            <w:rFonts w:ascii="Arial" w:eastAsia="Arial" w:hAnsi="Arial" w:cs="Arial"/>
            <w:color w:val="0563C1"/>
            <w:sz w:val="22"/>
            <w:szCs w:val="22"/>
            <w:u w:val="single"/>
          </w:rPr>
          <w:t>Husk et al. (2020)</w:t>
        </w:r>
      </w:hyperlink>
      <w:r>
        <w:rPr>
          <w:rFonts w:ascii="Arial" w:eastAsia="Arial" w:hAnsi="Arial" w:cs="Arial"/>
          <w:sz w:val="22"/>
          <w:szCs w:val="22"/>
        </w:rPr>
        <w:t xml:space="preserve"> went further, showing that the way a referral is supported, not just whether one is made, is often what determines whether a patient actually engages, since patients who receive follow up contact and reassurance after a referral are considerably more likely to attend than those who are simply handed a name and a number.</w:t>
      </w:r>
    </w:p>
    <w:p w14:paraId="6BDD18D6" w14:textId="77777777" w:rsidR="006A761D" w:rsidRDefault="00EF4F48">
      <w:pPr>
        <w:spacing w:after="200" w:line="360" w:lineRule="auto"/>
        <w:jc w:val="both"/>
      </w:pPr>
      <w:r>
        <w:rPr>
          <w:rFonts w:ascii="Arial" w:eastAsia="Arial" w:hAnsi="Arial" w:cs="Arial"/>
          <w:sz w:val="22"/>
          <w:szCs w:val="22"/>
        </w:rPr>
        <w:t>PocketPrescribe is a simple companion app given to a patient at the point of referral that keeps the connection to support alive during the weeks when patients are most likely to drift away from a plan made in a short appointment. A link worker creates a brief entry in the app containing the service name, location, session times and a plain language reason for the referral. The app sends a reminder before each session, offers a single tap option to message the link worker directly if the patient feels anxio</w:t>
      </w:r>
      <w:r>
        <w:rPr>
          <w:rFonts w:ascii="Arial" w:eastAsia="Arial" w:hAnsi="Arial" w:cs="Arial"/>
          <w:sz w:val="22"/>
          <w:szCs w:val="22"/>
        </w:rPr>
        <w:t>us or has a question, and gives the patient a short space to record how a session went, in writing or with a photo, which the link worker can see and use to check in if something seems wrong. Nothing about this requires new clinical infrastructure. It sits on top of a referral process link workers already carry out, and it targets the exact point in the pathway where patients are currently left to manage the connection to help entirely on their own.</w:t>
      </w:r>
    </w:p>
    <w:p w14:paraId="1C0ECC7F" w14:textId="77777777" w:rsidR="006A761D" w:rsidRDefault="00EF4F48">
      <w:pPr>
        <w:spacing w:after="200" w:line="360" w:lineRule="auto"/>
        <w:jc w:val="both"/>
      </w:pPr>
      <w:r>
        <w:rPr>
          <w:rFonts w:ascii="Arial" w:eastAsia="Arial" w:hAnsi="Arial" w:cs="Arial"/>
          <w:sz w:val="22"/>
          <w:szCs w:val="22"/>
        </w:rPr>
        <w:t xml:space="preserve">The people this reaches are precisely those social prescribing was designed for and most often fails to hold onto: older adults living alone, people managing bereavement or a recent diagnosis, and those with mild to moderate mental health needs who are especially likely to feel that attending something unfamiliar, alone, is more than they can manage. A systematic review by </w:t>
      </w:r>
      <w:hyperlink r:id="rId11" w:history="1">
        <w:r>
          <w:rPr>
            <w:rFonts w:ascii="Arial" w:eastAsia="Arial" w:hAnsi="Arial" w:cs="Arial"/>
            <w:color w:val="0563C1"/>
            <w:sz w:val="22"/>
            <w:szCs w:val="22"/>
            <w:u w:val="single"/>
          </w:rPr>
          <w:t>Cooper et al. (2022)</w:t>
        </w:r>
      </w:hyperlink>
      <w:r>
        <w:rPr>
          <w:rFonts w:ascii="Arial" w:eastAsia="Arial" w:hAnsi="Arial" w:cs="Arial"/>
          <w:sz w:val="22"/>
          <w:szCs w:val="22"/>
        </w:rPr>
        <w:t xml:space="preserve"> found that social prescribing interventions targeting mental health outcomes were most effective when they included an active, ongoing element of support rather than a single point of referral, which is the specific gap PocketPrescribe is designed to close. The wider benefit reaches general practice as well. Every patient who disengages from a social prescribing referral often returns to their GP with the same underlying problem, still unresolved, adding to appointment demand that the referral was meant to</w:t>
      </w:r>
      <w:r>
        <w:rPr>
          <w:rFonts w:ascii="Arial" w:eastAsia="Arial" w:hAnsi="Arial" w:cs="Arial"/>
          <w:sz w:val="22"/>
          <w:szCs w:val="22"/>
        </w:rPr>
        <w:t xml:space="preserve"> reduce in the first place.</w:t>
      </w:r>
    </w:p>
    <w:p w14:paraId="7EC7D643" w14:textId="77777777" w:rsidR="006A761D" w:rsidRDefault="00EF4F48">
      <w:pPr>
        <w:spacing w:after="200" w:line="360" w:lineRule="auto"/>
        <w:jc w:val="both"/>
      </w:pPr>
      <w:r>
        <w:rPr>
          <w:rFonts w:ascii="Arial" w:eastAsia="Arial" w:hAnsi="Arial" w:cs="Arial"/>
          <w:sz w:val="22"/>
          <w:szCs w:val="22"/>
        </w:rPr>
        <w:t xml:space="preserve">Implementation follows the structures already in place across the NHS. Link workers, employed through Primary Care Networks under the Additional Roles Reimbursement Scheme, would use the app exactly as they currently use a phone number or leaflet, at no extra step in their existing workflow. Responsibility for this kind of preventative, community focused support already sits with local authorities and integrated care systems under the wellbeing duties set out in the </w:t>
      </w:r>
      <w:hyperlink r:id="rId12" w:history="1">
        <w:r>
          <w:rPr>
            <w:rFonts w:ascii="Arial" w:eastAsia="Arial" w:hAnsi="Arial" w:cs="Arial"/>
            <w:color w:val="0563C1"/>
            <w:sz w:val="22"/>
            <w:szCs w:val="22"/>
            <w:u w:val="single"/>
          </w:rPr>
          <w:t>Care Act 2014</w:t>
        </w:r>
      </w:hyperlink>
      <w:r>
        <w:rPr>
          <w:rFonts w:ascii="Arial" w:eastAsia="Arial" w:hAnsi="Arial" w:cs="Arial"/>
          <w:sz w:val="22"/>
          <w:szCs w:val="22"/>
        </w:rPr>
        <w:t xml:space="preserve">, and the </w:t>
      </w:r>
      <w:hyperlink r:id="rId13" w:history="1">
        <w:r>
          <w:rPr>
            <w:rFonts w:ascii="Arial" w:eastAsia="Arial" w:hAnsi="Arial" w:cs="Arial"/>
            <w:color w:val="0563C1"/>
            <w:sz w:val="22"/>
            <w:szCs w:val="22"/>
            <w:u w:val="single"/>
          </w:rPr>
          <w:t>Health and Care Act 2022</w:t>
        </w:r>
      </w:hyperlink>
      <w:r>
        <w:rPr>
          <w:rFonts w:ascii="Arial" w:eastAsia="Arial" w:hAnsi="Arial" w:cs="Arial"/>
          <w:sz w:val="22"/>
          <w:szCs w:val="22"/>
        </w:rPr>
        <w:t xml:space="preserve"> gives Integrated Care Boards a clear population health remit that a tool like PocketPrescribe fits within directly, since it targets a defined gap in an existing, funded pathway rather than proposing a new one. The </w:t>
      </w:r>
      <w:hyperlink r:id="rId14" w:history="1">
        <w:r>
          <w:rPr>
            <w:rFonts w:ascii="Arial" w:eastAsia="Arial" w:hAnsi="Arial" w:cs="Arial"/>
            <w:color w:val="0563C1"/>
            <w:sz w:val="22"/>
            <w:szCs w:val="22"/>
            <w:u w:val="single"/>
          </w:rPr>
          <w:t>National Academy for Social Prescribing</w:t>
        </w:r>
      </w:hyperlink>
      <w:r>
        <w:rPr>
          <w:rFonts w:ascii="Arial" w:eastAsia="Arial" w:hAnsi="Arial" w:cs="Arial"/>
          <w:sz w:val="22"/>
          <w:szCs w:val="22"/>
        </w:rPr>
        <w:t>, the national charity responsible for championing social prescribing across the UK, would be a natural delivery partner for testing and promoting the app given its existing reach into link worker networks.</w:t>
      </w:r>
    </w:p>
    <w:p w14:paraId="5373B609" w14:textId="77777777" w:rsidR="006A761D" w:rsidRDefault="00EF4F48">
      <w:pPr>
        <w:spacing w:after="200" w:line="360" w:lineRule="auto"/>
        <w:jc w:val="both"/>
      </w:pPr>
      <w:r>
        <w:rPr>
          <w:rFonts w:ascii="Arial" w:eastAsia="Arial" w:hAnsi="Arial" w:cs="Arial"/>
          <w:sz w:val="22"/>
          <w:szCs w:val="22"/>
        </w:rPr>
        <w:t xml:space="preserve">Because the app carries referral details rather than clinical records, it can be built and assessed relatively quickly. It would be developed against NHS England's </w:t>
      </w:r>
      <w:hyperlink r:id="rId15" w:history="1">
        <w:r>
          <w:rPr>
            <w:rFonts w:ascii="Arial" w:eastAsia="Arial" w:hAnsi="Arial" w:cs="Arial"/>
            <w:color w:val="0563C1"/>
            <w:sz w:val="22"/>
            <w:szCs w:val="22"/>
            <w:u w:val="single"/>
          </w:rPr>
          <w:t>Digital Technology Assessment Criteria</w:t>
        </w:r>
      </w:hyperlink>
      <w:r>
        <w:rPr>
          <w:rFonts w:ascii="Arial" w:eastAsia="Arial" w:hAnsi="Arial" w:cs="Arial"/>
          <w:sz w:val="22"/>
          <w:szCs w:val="22"/>
        </w:rPr>
        <w:t xml:space="preserve"> and checked against </w:t>
      </w:r>
      <w:hyperlink r:id="rId16" w:history="1">
        <w:r>
          <w:rPr>
            <w:rFonts w:ascii="Arial" w:eastAsia="Arial" w:hAnsi="Arial" w:cs="Arial"/>
            <w:color w:val="0563C1"/>
            <w:sz w:val="22"/>
            <w:szCs w:val="22"/>
            <w:u w:val="single"/>
          </w:rPr>
          <w:t>MHRA guidance on software as a medical device</w:t>
        </w:r>
      </w:hyperlink>
      <w:r>
        <w:rPr>
          <w:rFonts w:ascii="Arial" w:eastAsia="Arial" w:hAnsi="Arial" w:cs="Arial"/>
          <w:sz w:val="22"/>
          <w:szCs w:val="22"/>
        </w:rPr>
        <w:t xml:space="preserve"> before any pilot begins, with </w:t>
      </w:r>
      <w:hyperlink r:id="rId17" w:history="1">
        <w:r>
          <w:rPr>
            <w:rFonts w:ascii="Arial" w:eastAsia="Arial" w:hAnsi="Arial" w:cs="Arial"/>
            <w:color w:val="0563C1"/>
            <w:sz w:val="22"/>
            <w:szCs w:val="22"/>
            <w:u w:val="single"/>
          </w:rPr>
          <w:t>UK GDPR</w:t>
        </w:r>
      </w:hyperlink>
      <w:r>
        <w:rPr>
          <w:rFonts w:ascii="Arial" w:eastAsia="Arial" w:hAnsi="Arial" w:cs="Arial"/>
          <w:sz w:val="22"/>
          <w:szCs w:val="22"/>
        </w:rPr>
        <w:t xml:space="preserve"> and the </w:t>
      </w:r>
      <w:hyperlink r:id="rId18" w:history="1">
        <w:r>
          <w:rPr>
            <w:rFonts w:ascii="Arial" w:eastAsia="Arial" w:hAnsi="Arial" w:cs="Arial"/>
            <w:color w:val="0563C1"/>
            <w:sz w:val="22"/>
            <w:szCs w:val="22"/>
            <w:u w:val="single"/>
          </w:rPr>
          <w:t>Data Protection Act 2018</w:t>
        </w:r>
      </w:hyperlink>
      <w:r>
        <w:rPr>
          <w:rFonts w:ascii="Arial" w:eastAsia="Arial" w:hAnsi="Arial" w:cs="Arial"/>
          <w:sz w:val="22"/>
          <w:szCs w:val="22"/>
        </w:rPr>
        <w:t xml:space="preserve"> governing exactly what patient information the app stores and who can see it. The technology itself is intentionally modest: scheduled reminders, secure one tap messaging and a short check in log, with no diagnostic or AI functionality in the first version. Keeping the build simple keeps the regulatory and safety burden proportionate to what the app actually does, which is hold open a line of contact, not make clinical decisions.</w:t>
      </w:r>
    </w:p>
    <w:p w14:paraId="191B4E1D" w14:textId="77777777" w:rsidR="006A761D" w:rsidRDefault="00EF4F48">
      <w:pPr>
        <w:spacing w:after="200" w:line="360" w:lineRule="auto"/>
        <w:jc w:val="both"/>
      </w:pPr>
      <w:r>
        <w:rPr>
          <w:rFonts w:ascii="Arial" w:eastAsia="Arial" w:hAnsi="Arial" w:cs="Arial"/>
          <w:sz w:val="22"/>
          <w:szCs w:val="22"/>
        </w:rPr>
        <w:t>None of this works without the people the app is meant to serve. Patients and carers who have been through social prescribing are the ones best placed to say whether a reminder would have helped them turn up, or whether the wording on a referral screen makes sense without a link worker standing beside them to explain it. Testing the app with patient participation groups and local voluntary sector partners before wider rollout, and inviting the same groups to help promote it once it launches, keeps the publi</w:t>
      </w:r>
      <w:r>
        <w:rPr>
          <w:rFonts w:ascii="Arial" w:eastAsia="Arial" w:hAnsi="Arial" w:cs="Arial"/>
          <w:sz w:val="22"/>
          <w:szCs w:val="22"/>
        </w:rPr>
        <w:t>c involved as more than an audience for a finished product. Dissemination would run through the channels patients already trust: GP practices, link worker networks, the National Academy for Social Prescribing, and community events run by the voluntary organisations social prescribing depends on.</w:t>
      </w:r>
    </w:p>
    <w:p w14:paraId="47907604" w14:textId="77777777" w:rsidR="006A761D" w:rsidRDefault="00EF4F48">
      <w:pPr>
        <w:spacing w:after="200" w:line="360" w:lineRule="auto"/>
        <w:jc w:val="both"/>
      </w:pPr>
      <w:r>
        <w:rPr>
          <w:rFonts w:ascii="Arial" w:eastAsia="Arial" w:hAnsi="Arial" w:cs="Arial"/>
          <w:sz w:val="22"/>
          <w:szCs w:val="22"/>
        </w:rPr>
        <w:t>PocketPrescribe does not propose a new service or a new clinical intervention. It closes a specific, well documented gap in a pathway the NHS has already committed to, at the exact point where the most vulnerable patients are currently left to find their own way to support that was meant to reach them.</w:t>
      </w:r>
    </w:p>
    <w:p w14:paraId="0C0C5C3C" w14:textId="77777777" w:rsidR="006A761D" w:rsidRDefault="00EF4F48">
      <w:pPr>
        <w:pStyle w:val="Heading1"/>
        <w:spacing w:before="320" w:after="180" w:line="360" w:lineRule="auto"/>
      </w:pPr>
      <w:r>
        <w:rPr>
          <w:rFonts w:ascii="Arial" w:eastAsia="Arial" w:hAnsi="Arial" w:cs="Arial"/>
          <w:b/>
          <w:bCs/>
          <w:sz w:val="26"/>
          <w:szCs w:val="26"/>
        </w:rPr>
        <w:t>References</w:t>
      </w:r>
    </w:p>
    <w:p w14:paraId="513B2909" w14:textId="77777777" w:rsidR="006A761D" w:rsidRDefault="00EF4F48">
      <w:pPr>
        <w:spacing w:after="200" w:line="360" w:lineRule="auto"/>
        <w:ind w:left="720" w:hanging="720"/>
      </w:pPr>
      <w:r>
        <w:rPr>
          <w:rFonts w:ascii="Arial" w:eastAsia="Arial" w:hAnsi="Arial" w:cs="Arial"/>
          <w:sz w:val="22"/>
          <w:szCs w:val="22"/>
        </w:rPr>
        <w:t xml:space="preserve">Bickerdike, L., Booth, A., Wilson, P.M., Farley, K. and Wright, K. (2017) 'Social prescribing: less rhetoric and more reality. A systematic review of the evidence', BMJ Open, 7(4), e013384. Available at: </w:t>
      </w:r>
      <w:hyperlink r:id="rId19" w:history="1">
        <w:r>
          <w:rPr>
            <w:rFonts w:ascii="Arial" w:eastAsia="Arial" w:hAnsi="Arial" w:cs="Arial"/>
            <w:color w:val="0563C1"/>
            <w:sz w:val="22"/>
            <w:szCs w:val="22"/>
            <w:u w:val="single"/>
          </w:rPr>
          <w:t>https://bmjopen.bmj.com/content/7/4/e013384</w:t>
        </w:r>
      </w:hyperlink>
      <w:r>
        <w:rPr>
          <w:rFonts w:ascii="Arial" w:eastAsia="Arial" w:hAnsi="Arial" w:cs="Arial"/>
          <w:sz w:val="22"/>
          <w:szCs w:val="22"/>
        </w:rPr>
        <w:t xml:space="preserve"> (Accessed: 7 August 2026).</w:t>
      </w:r>
    </w:p>
    <w:p w14:paraId="65A223CC" w14:textId="77777777" w:rsidR="006A761D" w:rsidRDefault="00EF4F48">
      <w:pPr>
        <w:spacing w:after="200" w:line="360" w:lineRule="auto"/>
        <w:ind w:left="720" w:hanging="720"/>
      </w:pPr>
      <w:r>
        <w:rPr>
          <w:rFonts w:ascii="Arial" w:eastAsia="Arial" w:hAnsi="Arial" w:cs="Arial"/>
          <w:sz w:val="22"/>
          <w:szCs w:val="22"/>
        </w:rPr>
        <w:t>Care Act 2014. London: The Stationery Office.</w:t>
      </w:r>
    </w:p>
    <w:p w14:paraId="184427AC" w14:textId="77777777" w:rsidR="006A761D" w:rsidRDefault="00EF4F48">
      <w:pPr>
        <w:spacing w:after="200" w:line="360" w:lineRule="auto"/>
        <w:ind w:left="720" w:hanging="720"/>
      </w:pPr>
      <w:r>
        <w:rPr>
          <w:rFonts w:ascii="Arial" w:eastAsia="Arial" w:hAnsi="Arial" w:cs="Arial"/>
          <w:sz w:val="22"/>
          <w:szCs w:val="22"/>
        </w:rPr>
        <w:t xml:space="preserve">Cooper, M., Avery, L., Scott, J., Ashley, K., Jordan, C., Errington, L. and Flynn, D. (2022) 'Effectiveness and active ingredients of social prescribing interventions targeting mental health: a systematic review', BMJ Open, 12(7), e060214. Available at: </w:t>
      </w:r>
      <w:hyperlink r:id="rId20" w:history="1">
        <w:r>
          <w:rPr>
            <w:rFonts w:ascii="Arial" w:eastAsia="Arial" w:hAnsi="Arial" w:cs="Arial"/>
            <w:color w:val="0563C1"/>
            <w:sz w:val="22"/>
            <w:szCs w:val="22"/>
            <w:u w:val="single"/>
          </w:rPr>
          <w:t>https://pmc.ncbi.nlm.nih.gov/articles/PMC9328101</w:t>
        </w:r>
      </w:hyperlink>
      <w:r>
        <w:rPr>
          <w:rFonts w:ascii="Arial" w:eastAsia="Arial" w:hAnsi="Arial" w:cs="Arial"/>
          <w:sz w:val="22"/>
          <w:szCs w:val="22"/>
        </w:rPr>
        <w:t xml:space="preserve"> (Accessed: 7 August 2026).</w:t>
      </w:r>
    </w:p>
    <w:p w14:paraId="09B2ADCE" w14:textId="77777777" w:rsidR="006A761D" w:rsidRDefault="00EF4F48">
      <w:pPr>
        <w:spacing w:after="200" w:line="360" w:lineRule="auto"/>
        <w:ind w:left="720" w:hanging="720"/>
      </w:pPr>
      <w:r>
        <w:rPr>
          <w:rFonts w:ascii="Arial" w:eastAsia="Arial" w:hAnsi="Arial" w:cs="Arial"/>
          <w:sz w:val="22"/>
          <w:szCs w:val="22"/>
        </w:rPr>
        <w:t>Data Protection Act 2018. London: The Stationery Office.</w:t>
      </w:r>
    </w:p>
    <w:p w14:paraId="26C273C8" w14:textId="77777777" w:rsidR="006A761D" w:rsidRDefault="00EF4F48">
      <w:pPr>
        <w:spacing w:after="200" w:line="360" w:lineRule="auto"/>
        <w:ind w:left="720" w:hanging="720"/>
      </w:pPr>
      <w:r>
        <w:rPr>
          <w:rFonts w:ascii="Arial" w:eastAsia="Arial" w:hAnsi="Arial" w:cs="Arial"/>
          <w:sz w:val="22"/>
          <w:szCs w:val="22"/>
        </w:rPr>
        <w:t>Health and Care Act 2022. London: The Stationery Office.</w:t>
      </w:r>
    </w:p>
    <w:p w14:paraId="0CE07F20" w14:textId="77777777" w:rsidR="006A761D" w:rsidRDefault="00EF4F48">
      <w:pPr>
        <w:spacing w:after="200" w:line="360" w:lineRule="auto"/>
        <w:ind w:left="720" w:hanging="720"/>
      </w:pPr>
      <w:r>
        <w:rPr>
          <w:rFonts w:ascii="Arial" w:eastAsia="Arial" w:hAnsi="Arial" w:cs="Arial"/>
          <w:sz w:val="22"/>
          <w:szCs w:val="22"/>
        </w:rPr>
        <w:t xml:space="preserve">Husk, K., Blockley, K., Lovell, R., Bethel, A., Lang, I., Byng, R. and Garside, R. (2020) 'What approaches to social prescribing work, for whom, and in what circumstances? A realist review', Health &amp; Social Care in the Community, 28(2), pp.309-324. Available at: </w:t>
      </w:r>
      <w:hyperlink r:id="rId21" w:history="1">
        <w:r>
          <w:rPr>
            <w:rFonts w:ascii="Arial" w:eastAsia="Arial" w:hAnsi="Arial" w:cs="Arial"/>
            <w:color w:val="0563C1"/>
            <w:sz w:val="22"/>
            <w:szCs w:val="22"/>
            <w:u w:val="single"/>
          </w:rPr>
          <w:t>https://onlinelibrary.wiley.com/doi/full/10.1111/hsc.12839</w:t>
        </w:r>
      </w:hyperlink>
      <w:r>
        <w:rPr>
          <w:rFonts w:ascii="Arial" w:eastAsia="Arial" w:hAnsi="Arial" w:cs="Arial"/>
          <w:sz w:val="22"/>
          <w:szCs w:val="22"/>
        </w:rPr>
        <w:t xml:space="preserve"> (Accessed: 7 August 2026).</w:t>
      </w:r>
    </w:p>
    <w:p w14:paraId="1B799C55" w14:textId="77777777" w:rsidR="006A761D" w:rsidRDefault="00EF4F48">
      <w:pPr>
        <w:spacing w:after="200" w:line="360" w:lineRule="auto"/>
        <w:ind w:left="720" w:hanging="720"/>
      </w:pPr>
      <w:r>
        <w:rPr>
          <w:rFonts w:ascii="Arial" w:eastAsia="Arial" w:hAnsi="Arial" w:cs="Arial"/>
          <w:sz w:val="22"/>
          <w:szCs w:val="22"/>
        </w:rPr>
        <w:t xml:space="preserve">MHRA (2023) Guidance: Medical device stand-alone software including apps. Available at: </w:t>
      </w:r>
      <w:hyperlink r:id="rId22" w:history="1">
        <w:r>
          <w:rPr>
            <w:rFonts w:ascii="Arial" w:eastAsia="Arial" w:hAnsi="Arial" w:cs="Arial"/>
            <w:color w:val="0563C1"/>
            <w:sz w:val="22"/>
            <w:szCs w:val="22"/>
            <w:u w:val="single"/>
          </w:rPr>
          <w:t>https://www.gov.uk/government/publications/medical-devices-software-applications-apps</w:t>
        </w:r>
      </w:hyperlink>
      <w:r>
        <w:rPr>
          <w:rFonts w:ascii="Arial" w:eastAsia="Arial" w:hAnsi="Arial" w:cs="Arial"/>
          <w:sz w:val="22"/>
          <w:szCs w:val="22"/>
        </w:rPr>
        <w:t xml:space="preserve"> (Accessed: 7 August 2026).</w:t>
      </w:r>
    </w:p>
    <w:p w14:paraId="236F3B14" w14:textId="77777777" w:rsidR="006A761D" w:rsidRDefault="00EF4F48">
      <w:pPr>
        <w:spacing w:after="200" w:line="360" w:lineRule="auto"/>
        <w:ind w:left="720" w:hanging="720"/>
      </w:pPr>
      <w:r>
        <w:rPr>
          <w:rFonts w:ascii="Arial" w:eastAsia="Arial" w:hAnsi="Arial" w:cs="Arial"/>
          <w:sz w:val="22"/>
          <w:szCs w:val="22"/>
        </w:rPr>
        <w:t xml:space="preserve">National Academy for Social Prescribing (NASP) (2026) About us. Available at: </w:t>
      </w:r>
      <w:hyperlink r:id="rId23" w:history="1">
        <w:r>
          <w:rPr>
            <w:rFonts w:ascii="Arial" w:eastAsia="Arial" w:hAnsi="Arial" w:cs="Arial"/>
            <w:color w:val="0563C1"/>
            <w:sz w:val="22"/>
            <w:szCs w:val="22"/>
            <w:u w:val="single"/>
          </w:rPr>
          <w:t>https://socialprescribingacademy.org.uk/</w:t>
        </w:r>
      </w:hyperlink>
      <w:r>
        <w:rPr>
          <w:rFonts w:ascii="Arial" w:eastAsia="Arial" w:hAnsi="Arial" w:cs="Arial"/>
          <w:sz w:val="22"/>
          <w:szCs w:val="22"/>
        </w:rPr>
        <w:t xml:space="preserve"> (Accessed: 7 August 2026).</w:t>
      </w:r>
    </w:p>
    <w:p w14:paraId="7D3A2BB4" w14:textId="77777777" w:rsidR="006A761D" w:rsidRDefault="00EF4F48">
      <w:pPr>
        <w:spacing w:after="200" w:line="360" w:lineRule="auto"/>
        <w:ind w:left="720" w:hanging="720"/>
      </w:pPr>
      <w:r>
        <w:rPr>
          <w:rFonts w:ascii="Arial" w:eastAsia="Arial" w:hAnsi="Arial" w:cs="Arial"/>
          <w:sz w:val="22"/>
          <w:szCs w:val="22"/>
        </w:rPr>
        <w:t xml:space="preserve">NHS England (2019) The NHS Long Term Plan. Available at: </w:t>
      </w:r>
      <w:hyperlink r:id="rId24" w:history="1">
        <w:r>
          <w:rPr>
            <w:rFonts w:ascii="Arial" w:eastAsia="Arial" w:hAnsi="Arial" w:cs="Arial"/>
            <w:color w:val="0563C1"/>
            <w:sz w:val="22"/>
            <w:szCs w:val="22"/>
            <w:u w:val="single"/>
          </w:rPr>
          <w:t>https://webarchive.nationalarchives.gov.uk/ukgwa/20240709144541/https://www.longtermplan.nhs.uk/</w:t>
        </w:r>
      </w:hyperlink>
      <w:r>
        <w:rPr>
          <w:rFonts w:ascii="Arial" w:eastAsia="Arial" w:hAnsi="Arial" w:cs="Arial"/>
          <w:sz w:val="22"/>
          <w:szCs w:val="22"/>
        </w:rPr>
        <w:t xml:space="preserve"> (Accessed: 7 August 2026).</w:t>
      </w:r>
    </w:p>
    <w:p w14:paraId="3BAB967F" w14:textId="77777777" w:rsidR="006A761D" w:rsidRDefault="00EF4F48">
      <w:pPr>
        <w:spacing w:after="200" w:line="360" w:lineRule="auto"/>
        <w:ind w:left="720" w:hanging="720"/>
      </w:pPr>
      <w:r>
        <w:rPr>
          <w:rFonts w:ascii="Arial" w:eastAsia="Arial" w:hAnsi="Arial" w:cs="Arial"/>
          <w:sz w:val="22"/>
          <w:szCs w:val="22"/>
        </w:rPr>
        <w:t xml:space="preserve">NHS England (2024) Digital Technology Assessment Criteria (DTAC): guidance for buyers and suppliers. Available at: </w:t>
      </w:r>
      <w:hyperlink r:id="rId25" w:history="1">
        <w:r>
          <w:rPr>
            <w:rFonts w:ascii="Arial" w:eastAsia="Arial" w:hAnsi="Arial" w:cs="Arial"/>
            <w:color w:val="0563C1"/>
            <w:sz w:val="22"/>
            <w:szCs w:val="22"/>
            <w:u w:val="single"/>
          </w:rPr>
          <w:t>https://transform.england.nhs.uk/key-tools-and-info/digital-technology-assessment-criteria-dtac/</w:t>
        </w:r>
      </w:hyperlink>
      <w:r>
        <w:rPr>
          <w:rFonts w:ascii="Arial" w:eastAsia="Arial" w:hAnsi="Arial" w:cs="Arial"/>
          <w:sz w:val="22"/>
          <w:szCs w:val="22"/>
        </w:rPr>
        <w:t xml:space="preserve"> (Accessed: 7 August 2026).</w:t>
      </w:r>
    </w:p>
    <w:p w14:paraId="40B95496" w14:textId="77777777" w:rsidR="006A761D" w:rsidRDefault="00EF4F48">
      <w:pPr>
        <w:spacing w:after="200" w:line="360" w:lineRule="auto"/>
        <w:ind w:left="720" w:hanging="720"/>
      </w:pPr>
      <w:r>
        <w:rPr>
          <w:rFonts w:ascii="Arial" w:eastAsia="Arial" w:hAnsi="Arial" w:cs="Arial"/>
          <w:sz w:val="22"/>
          <w:szCs w:val="22"/>
        </w:rPr>
        <w:t xml:space="preserve">UK General Data Protection Regulation (UK GDPR), retained Regulation (EU) 2016/679. Available at: </w:t>
      </w:r>
      <w:hyperlink r:id="rId26" w:history="1">
        <w:r>
          <w:rPr>
            <w:rFonts w:ascii="Arial" w:eastAsia="Arial" w:hAnsi="Arial" w:cs="Arial"/>
            <w:color w:val="0563C1"/>
            <w:sz w:val="22"/>
            <w:szCs w:val="22"/>
            <w:u w:val="single"/>
          </w:rPr>
          <w:t>https://www.legislation.gov.uk/eur/2016/679/contents</w:t>
        </w:r>
      </w:hyperlink>
      <w:r>
        <w:rPr>
          <w:rFonts w:ascii="Arial" w:eastAsia="Arial" w:hAnsi="Arial" w:cs="Arial"/>
          <w:sz w:val="22"/>
          <w:szCs w:val="22"/>
        </w:rPr>
        <w:t xml:space="preserve"> (Accessed: 7 August 2026).</w:t>
      </w:r>
    </w:p>
    <w:sectPr w:rsidR="006A761D">
      <w:footerReference w:type="default" r:id="rId27"/>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85C9F62" w14:textId="77777777" w:rsidR="00EF4F48" w:rsidRDefault="00EF4F48">
      <w:r>
        <w:separator/>
      </w:r>
    </w:p>
  </w:endnote>
  <w:endnote w:type="continuationSeparator" w:id="0">
    <w:p w14:paraId="4AB91D71" w14:textId="77777777" w:rsidR="00EF4F48" w:rsidRDefault="00EF4F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A65BE82" w14:textId="77777777" w:rsidR="006A761D" w:rsidRDefault="00EF4F48">
    <w:pPr>
      <w:jc w:val="center"/>
    </w:pPr>
    <w:r>
      <w:rPr>
        <w:rFonts w:ascii="Arial" w:eastAsia="Arial" w:hAnsi="Arial" w:cs="Arial"/>
        <w:sz w:val="18"/>
        <w:szCs w:val="18"/>
      </w:rPr>
      <w:t xml:space="preserve">Page </w:t>
    </w:r>
    <w:r>
      <w:rPr>
        <w:rFonts w:ascii="Arial" w:eastAsia="Arial" w:hAnsi="Arial" w:cs="Arial"/>
        <w:sz w:val="18"/>
        <w:szCs w:val="18"/>
      </w:rPr>
      <w:fldChar w:fldCharType="begin"/>
    </w:r>
    <w:r>
      <w:rPr>
        <w:rFonts w:ascii="Arial" w:eastAsia="Arial" w:hAnsi="Arial" w:cs="Arial"/>
        <w:sz w:val="18"/>
        <w:szCs w:val="18"/>
      </w:rPr>
      <w:instrText>PAGE</w:instrText>
    </w:r>
    <w:r>
      <w:rPr>
        <w:rFonts w:ascii="Arial" w:eastAsia="Arial" w:hAnsi="Arial" w:cs="Arial"/>
        <w:sz w:val="18"/>
        <w:szCs w:val="18"/>
      </w:rPr>
      <w:fldChar w:fldCharType="separate"/>
    </w:r>
    <w:r>
      <w:rPr>
        <w:rFonts w:ascii="Arial" w:eastAsia="Arial" w:hAnsi="Arial" w:cs="Arial"/>
        <w:sz w:val="18"/>
        <w:szCs w:val="18"/>
      </w:rPr>
      <w:fldChar w:fldCharType="end"/>
    </w:r>
    <w:r>
      <w:rPr>
        <w:rFonts w:ascii="Arial" w:eastAsia="Arial" w:hAnsi="Arial" w:cs="Arial"/>
        <w:sz w:val="18"/>
        <w:szCs w:val="18"/>
      </w:rPr>
      <w:t xml:space="preserve"> of </w:t>
    </w:r>
    <w:r>
      <w:rPr>
        <w:rFonts w:ascii="Arial" w:eastAsia="Arial" w:hAnsi="Arial" w:cs="Arial"/>
        <w:sz w:val="18"/>
        <w:szCs w:val="18"/>
      </w:rPr>
      <w:fldChar w:fldCharType="begin"/>
    </w:r>
    <w:r>
      <w:rPr>
        <w:rFonts w:ascii="Arial" w:eastAsia="Arial" w:hAnsi="Arial" w:cs="Arial"/>
        <w:sz w:val="18"/>
        <w:szCs w:val="18"/>
      </w:rPr>
      <w:instrText>NUMPAGES</w:instrText>
    </w:r>
    <w:r>
      <w:rPr>
        <w:rFonts w:ascii="Arial" w:eastAsia="Arial" w:hAnsi="Arial" w:cs="Arial"/>
        <w:sz w:val="18"/>
        <w:szCs w:val="18"/>
      </w:rPr>
      <w:fldChar w:fldCharType="separate"/>
    </w:r>
    <w:r>
      <w:rPr>
        <w:rFonts w:ascii="Arial" w:eastAsia="Arial" w:hAnsi="Arial" w:cs="Arial"/>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A095FB7" w14:textId="77777777" w:rsidR="00EF4F48" w:rsidRDefault="00EF4F48">
      <w:r>
        <w:separator/>
      </w:r>
    </w:p>
  </w:footnote>
  <w:footnote w:type="continuationSeparator" w:id="0">
    <w:p w14:paraId="1C78702F" w14:textId="77777777" w:rsidR="00EF4F48" w:rsidRDefault="00EF4F4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38780BB5"/>
    <w:multiLevelType w:val="hybridMultilevel"/>
    <w:tmpl w:val="FFFFFFFF"/>
    <w:lvl w:ilvl="0" w:tplc="C36A48C8">
      <w:start w:val="1"/>
      <w:numFmt w:val="bullet"/>
      <w:lvlText w:val="●"/>
      <w:lvlJc w:val="left"/>
      <w:pPr>
        <w:ind w:left="720" w:hanging="360"/>
      </w:pPr>
    </w:lvl>
    <w:lvl w:ilvl="1" w:tplc="9ED845CE">
      <w:start w:val="1"/>
      <w:numFmt w:val="bullet"/>
      <w:lvlText w:val="○"/>
      <w:lvlJc w:val="left"/>
      <w:pPr>
        <w:ind w:left="1440" w:hanging="360"/>
      </w:pPr>
    </w:lvl>
    <w:lvl w:ilvl="2" w:tplc="3BEC521C">
      <w:start w:val="1"/>
      <w:numFmt w:val="bullet"/>
      <w:lvlText w:val="■"/>
      <w:lvlJc w:val="left"/>
      <w:pPr>
        <w:ind w:left="2160" w:hanging="360"/>
      </w:pPr>
    </w:lvl>
    <w:lvl w:ilvl="3" w:tplc="6C183BBC">
      <w:start w:val="1"/>
      <w:numFmt w:val="bullet"/>
      <w:lvlText w:val="●"/>
      <w:lvlJc w:val="left"/>
      <w:pPr>
        <w:ind w:left="2880" w:hanging="360"/>
      </w:pPr>
    </w:lvl>
    <w:lvl w:ilvl="4" w:tplc="21A667DC">
      <w:start w:val="1"/>
      <w:numFmt w:val="bullet"/>
      <w:lvlText w:val="○"/>
      <w:lvlJc w:val="left"/>
      <w:pPr>
        <w:ind w:left="3600" w:hanging="360"/>
      </w:pPr>
    </w:lvl>
    <w:lvl w:ilvl="5" w:tplc="CBF868A4">
      <w:start w:val="1"/>
      <w:numFmt w:val="bullet"/>
      <w:lvlText w:val="■"/>
      <w:lvlJc w:val="left"/>
      <w:pPr>
        <w:ind w:left="4320" w:hanging="360"/>
      </w:pPr>
    </w:lvl>
    <w:lvl w:ilvl="6" w:tplc="D46E1834">
      <w:start w:val="1"/>
      <w:numFmt w:val="bullet"/>
      <w:lvlText w:val="●"/>
      <w:lvlJc w:val="left"/>
      <w:pPr>
        <w:ind w:left="5040" w:hanging="360"/>
      </w:pPr>
    </w:lvl>
    <w:lvl w:ilvl="7" w:tplc="D5D8431A">
      <w:start w:val="1"/>
      <w:numFmt w:val="bullet"/>
      <w:lvlText w:val="●"/>
      <w:lvlJc w:val="left"/>
      <w:pPr>
        <w:ind w:left="5760" w:hanging="360"/>
      </w:pPr>
    </w:lvl>
    <w:lvl w:ilvl="8" w:tplc="90B27860">
      <w:start w:val="1"/>
      <w:numFmt w:val="bullet"/>
      <w:lvlText w:val="●"/>
      <w:lvlJc w:val="left"/>
      <w:pPr>
        <w:ind w:left="6480" w:hanging="360"/>
      </w:pPr>
    </w:lvl>
  </w:abstractNum>
  <w:num w:numId="1" w16cid:durableId="408423300">
    <w:abstractNumId w:val="0"/>
    <w:lvlOverride w:ilvl="0">
      <w:startOverride w:val="1"/>
    </w:lvlOverride>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60"/>
  <w:displayBackgroundShape/>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761D"/>
    <w:rsid w:val="00092FB3"/>
    <w:rsid w:val="000B1382"/>
    <w:rsid w:val="002569F1"/>
    <w:rsid w:val="006A761D"/>
    <w:rsid w:val="007A753C"/>
    <w:rsid w:val="007F2E84"/>
    <w:rsid w:val="00BD27CA"/>
    <w:rsid w:val="00E61924"/>
    <w:rsid w:val="00EF4F48"/>
    <w:rsid w:val="00F36A9A"/>
    <w:rsid w:val="00F414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A77AB92"/>
  <w15:docId w15:val="{B007DC77-0C52-0F4A-B5DF-1490376414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ebarchive.nationalarchives.gov.uk/ukgwa/20240709144541/https://www.longtermplan.nhs.uk/" TargetMode="External"/><Relationship Id="rId13" Type="http://schemas.openxmlformats.org/officeDocument/2006/relationships/hyperlink" Target="https://www.legislation.gov.uk/ukpga/2022/31/contents" TargetMode="External"/><Relationship Id="rId18" Type="http://schemas.openxmlformats.org/officeDocument/2006/relationships/hyperlink" Target="https://www.legislation.gov.uk/ukpga/2018/12/contents" TargetMode="External"/><Relationship Id="rId26" Type="http://schemas.openxmlformats.org/officeDocument/2006/relationships/hyperlink" Target="https://www.legislation.gov.uk/eur/2016/679/contents" TargetMode="External"/><Relationship Id="rId3" Type="http://schemas.openxmlformats.org/officeDocument/2006/relationships/settings" Target="settings.xml"/><Relationship Id="rId21" Type="http://schemas.openxmlformats.org/officeDocument/2006/relationships/hyperlink" Target="https://onlinelibrary.wiley.com/doi/full/10.1111/hsc.12839" TargetMode="External"/><Relationship Id="rId7" Type="http://schemas.openxmlformats.org/officeDocument/2006/relationships/image" Target="media/image1.png"/><Relationship Id="rId12" Type="http://schemas.openxmlformats.org/officeDocument/2006/relationships/hyperlink" Target="https://www.legislation.gov.uk/ukpga/2014/23/contents" TargetMode="External"/><Relationship Id="rId17" Type="http://schemas.openxmlformats.org/officeDocument/2006/relationships/hyperlink" Target="https://www.legislation.gov.uk/eur/2016/679/contents" TargetMode="External"/><Relationship Id="rId25" Type="http://schemas.openxmlformats.org/officeDocument/2006/relationships/hyperlink" Target="https://transform.england.nhs.uk/key-tools-and-info/digital-technology-assessment-criteria-dtac/" TargetMode="External"/><Relationship Id="rId2" Type="http://schemas.openxmlformats.org/officeDocument/2006/relationships/styles" Target="styles.xml"/><Relationship Id="rId16" Type="http://schemas.openxmlformats.org/officeDocument/2006/relationships/hyperlink" Target="https://www.gov.uk/government/publications/medical-devices-software-applications-apps" TargetMode="External"/><Relationship Id="rId20" Type="http://schemas.openxmlformats.org/officeDocument/2006/relationships/hyperlink" Target="https://pmc.ncbi.nlm.nih.gov/articles/PMC9328101"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mc.ncbi.nlm.nih.gov/articles/PMC9328101" TargetMode="External"/><Relationship Id="rId24" Type="http://schemas.openxmlformats.org/officeDocument/2006/relationships/hyperlink" Target="https://webarchive.nationalarchives.gov.uk/ukgwa/20240709144541/https://www.longtermplan.nhs.uk/" TargetMode="External"/><Relationship Id="rId5" Type="http://schemas.openxmlformats.org/officeDocument/2006/relationships/footnotes" Target="footnotes.xml"/><Relationship Id="rId15" Type="http://schemas.openxmlformats.org/officeDocument/2006/relationships/hyperlink" Target="https://transform.england.nhs.uk/key-tools-and-info/digital-technology-assessment-criteria-dtac/" TargetMode="External"/><Relationship Id="rId23" Type="http://schemas.openxmlformats.org/officeDocument/2006/relationships/hyperlink" Target="https://socialprescribingacademy.org.uk/" TargetMode="External"/><Relationship Id="rId28" Type="http://schemas.openxmlformats.org/officeDocument/2006/relationships/fontTable" Target="fontTable.xml"/><Relationship Id="rId10" Type="http://schemas.openxmlformats.org/officeDocument/2006/relationships/hyperlink" Target="https://onlinelibrary.wiley.com/doi/full/10.1111/hsc.12839" TargetMode="External"/><Relationship Id="rId19" Type="http://schemas.openxmlformats.org/officeDocument/2006/relationships/hyperlink" Target="https://bmjopen.bmj.com/content/7/4/e013384" TargetMode="External"/><Relationship Id="rId4" Type="http://schemas.openxmlformats.org/officeDocument/2006/relationships/webSettings" Target="webSettings.xml"/><Relationship Id="rId9" Type="http://schemas.openxmlformats.org/officeDocument/2006/relationships/hyperlink" Target="https://bmjopen.bmj.com/content/7/4/e013384" TargetMode="External"/><Relationship Id="rId14" Type="http://schemas.openxmlformats.org/officeDocument/2006/relationships/hyperlink" Target="https://socialprescribingacademy.org.uk/" TargetMode="External"/><Relationship Id="rId22" Type="http://schemas.openxmlformats.org/officeDocument/2006/relationships/hyperlink" Target="https://www.gov.uk/government/publications/medical-devices-software-applications-apps"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1555</Words>
  <Characters>8869</Characters>
  <Application>Microsoft Office Word</Application>
  <DocSecurity>0</DocSecurity>
  <Lines>73</Lines>
  <Paragraphs>20</Paragraphs>
  <ScaleCrop>false</ScaleCrop>
  <Company/>
  <LinksUpToDate>false</LinksUpToDate>
  <CharactersWithSpaces>10404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Joylynn Barros</cp:lastModifiedBy>
  <cp:revision>2</cp:revision>
  <dcterms:created xsi:type="dcterms:W3CDTF">2026-08-07T12:20:00Z</dcterms:created>
  <dcterms:modified xsi:type="dcterms:W3CDTF">2026-08-07T12:20:00Z</dcterms:modified>
</cp:coreProperties>
</file>